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69005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w:t>
      </w:r>
    </w:p>
    <w:p>
      <w:pPr>
        <w:spacing w:after="0" w:line="10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44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17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333" w:right="759" w:bottom="1440" w:gutter="0" w:footer="0" w:header="0"/>
        </w:sectPr>
      </w:pPr>
    </w:p>
    <w:bookmarkStart w:id="2" w:name="page3"/>
    <w:bookmarkEnd w:id="2"/>
    <w:p>
      <w:pPr>
        <w:ind w:left="91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153670</wp:posOffset>
            </wp:positionV>
            <wp:extent cx="7132320" cy="8820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20785"/>
                    </a:xfrm>
                    <a:prstGeom prst="rect">
                      <a:avLst/>
                    </a:prstGeom>
                    <a:noFill/>
                  </pic:spPr>
                </pic:pic>
              </a:graphicData>
            </a:graphic>
          </wp:anchor>
        </w:drawing>
      </w:r>
    </w:p>
    <w:p>
      <w:pPr>
        <w:sectPr>
          <w:pgSz w:w="11900" w:h="16838" w:orient="portrait"/>
          <w:cols w:equalWidth="0" w:num="1">
            <w:col w:w="10120"/>
          </w:cols>
          <w:pgMar w:left="1440" w:top="242" w:right="339" w:bottom="1440" w:gutter="0" w:footer="0" w:header="0"/>
        </w:sectPr>
      </w:pPr>
    </w:p>
    <w:bookmarkStart w:id="3" w:name="page4"/>
    <w:bookmarkEnd w:id="3"/>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49"/>
          <w:szCs w:val="49"/>
          <w:b w:val="1"/>
          <w:bCs w:val="1"/>
          <w:color w:val="2AD2C8"/>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Operating and Financial Highlights</w:t>
            </w:r>
          </w:p>
        </w:tc>
        <w:tc>
          <w:tcPr>
            <w:tcW w:w="2220" w:type="dxa"/>
            <w:vAlign w:val="bottom"/>
          </w:tcPr>
          <w:p>
            <w:pPr>
              <w:jc w:val="right"/>
              <w:spacing w:after="0"/>
              <w:rPr>
                <w:sz w:val="20"/>
                <w:szCs w:val="20"/>
                <w:color w:val="auto"/>
              </w:rPr>
            </w:pPr>
            <w:r>
              <w:rPr>
                <w:rFonts w:ascii="Arial" w:cs="Arial" w:eastAsia="Arial" w:hAnsi="Arial"/>
                <w:sz w:val="22"/>
                <w:szCs w:val="22"/>
                <w:color w:val="auto"/>
              </w:rPr>
              <w:t>03</w:t>
            </w:r>
          </w:p>
        </w:tc>
      </w:tr>
      <w:tr>
        <w:trPr>
          <w:trHeight w:val="486"/>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Senior Management Quotes</w:t>
            </w:r>
          </w:p>
        </w:tc>
        <w:tc>
          <w:tcPr>
            <w:tcW w:w="2220" w:type="dxa"/>
            <w:vAlign w:val="bottom"/>
          </w:tcPr>
          <w:p>
            <w:pPr>
              <w:jc w:val="right"/>
              <w:spacing w:after="0"/>
              <w:rPr>
                <w:sz w:val="20"/>
                <w:szCs w:val="20"/>
                <w:color w:val="auto"/>
              </w:rPr>
            </w:pPr>
            <w:r>
              <w:rPr>
                <w:rFonts w:ascii="Arial" w:cs="Arial" w:eastAsia="Arial" w:hAnsi="Arial"/>
                <w:sz w:val="22"/>
                <w:szCs w:val="22"/>
                <w:color w:val="auto"/>
              </w:rPr>
              <w:t>05</w:t>
            </w:r>
          </w:p>
        </w:tc>
      </w:tr>
      <w:tr>
        <w:trPr>
          <w:trHeight w:val="486"/>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First Quarter 2024 Earnings Conference Call</w:t>
            </w:r>
          </w:p>
        </w:tc>
        <w:tc>
          <w:tcPr>
            <w:tcW w:w="2220" w:type="dxa"/>
            <w:vAlign w:val="bottom"/>
          </w:tcPr>
          <w:p>
            <w:pPr>
              <w:jc w:val="right"/>
              <w:spacing w:after="0"/>
              <w:rPr>
                <w:sz w:val="20"/>
                <w:szCs w:val="20"/>
                <w:color w:val="auto"/>
              </w:rPr>
            </w:pPr>
            <w:r>
              <w:rPr>
                <w:rFonts w:ascii="Arial" w:cs="Arial" w:eastAsia="Arial" w:hAnsi="Arial"/>
                <w:sz w:val="22"/>
                <w:szCs w:val="22"/>
                <w:color w:val="auto"/>
              </w:rPr>
              <w:t>06</w:t>
            </w:r>
          </w:p>
        </w:tc>
      </w:tr>
      <w:tr>
        <w:trPr>
          <w:trHeight w:val="486"/>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Summary of Financial Performance and Outlook</w:t>
            </w:r>
          </w:p>
        </w:tc>
        <w:tc>
          <w:tcPr>
            <w:tcW w:w="2220" w:type="dxa"/>
            <w:vAlign w:val="bottom"/>
          </w:tcPr>
          <w:p>
            <w:pPr>
              <w:jc w:val="right"/>
              <w:spacing w:after="0"/>
              <w:rPr>
                <w:sz w:val="20"/>
                <w:szCs w:val="20"/>
                <w:color w:val="auto"/>
              </w:rPr>
            </w:pPr>
            <w:r>
              <w:rPr>
                <w:rFonts w:ascii="Arial" w:cs="Arial" w:eastAsia="Arial" w:hAnsi="Arial"/>
                <w:sz w:val="22"/>
                <w:szCs w:val="22"/>
                <w:color w:val="auto"/>
              </w:rPr>
              <w:t>07</w:t>
            </w:r>
          </w:p>
        </w:tc>
      </w:tr>
      <w:tr>
        <w:trPr>
          <w:trHeight w:val="486"/>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Financial Overview</w:t>
            </w:r>
          </w:p>
        </w:tc>
        <w:tc>
          <w:tcPr>
            <w:tcW w:w="22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Credicorp’s Strategy Update</w:t>
            </w:r>
          </w:p>
        </w:tc>
        <w:tc>
          <w:tcPr>
            <w:tcW w:w="22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9020" w:type="dxa"/>
            <w:vAlign w:val="bottom"/>
            <w:gridSpan w:val="2"/>
          </w:tcPr>
          <w:p>
            <w:pPr>
              <w:ind w:left="800"/>
              <w:spacing w:after="0"/>
              <w:rPr>
                <w:sz w:val="20"/>
                <w:szCs w:val="20"/>
                <w:color w:val="auto"/>
              </w:rPr>
            </w:pPr>
            <w:r>
              <w:rPr>
                <w:rFonts w:ascii="Arial" w:cs="Arial" w:eastAsia="Arial" w:hAnsi="Arial"/>
                <w:sz w:val="22"/>
                <w:szCs w:val="22"/>
                <w:b w:val="1"/>
                <w:bCs w:val="1"/>
                <w:color w:val="A6A6A6"/>
              </w:rPr>
              <w:t>Analysis of 1Q24 Consolidated Results</w:t>
            </w:r>
          </w:p>
        </w:tc>
        <w:tc>
          <w:tcPr>
            <w:tcW w:w="2220" w:type="dxa"/>
            <w:vAlign w:val="bottom"/>
          </w:tcPr>
          <w:p>
            <w:pPr>
              <w:spacing w:after="0"/>
              <w:rPr>
                <w:sz w:val="24"/>
                <w:szCs w:val="24"/>
                <w:color w:val="auto"/>
              </w:rPr>
            </w:pPr>
          </w:p>
        </w:tc>
      </w:tr>
      <w:tr>
        <w:trPr>
          <w:trHeight w:val="74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01</w:t>
            </w:r>
          </w:p>
        </w:tc>
        <w:tc>
          <w:tcPr>
            <w:tcW w:w="7580" w:type="dxa"/>
            <w:vAlign w:val="bottom"/>
          </w:tcPr>
          <w:p>
            <w:pPr>
              <w:ind w:left="160"/>
              <w:spacing w:after="0"/>
              <w:rPr>
                <w:sz w:val="20"/>
                <w:szCs w:val="20"/>
                <w:color w:val="auto"/>
              </w:rPr>
            </w:pPr>
            <w:r>
              <w:rPr>
                <w:rFonts w:ascii="Arial" w:cs="Arial" w:eastAsia="Arial" w:hAnsi="Arial"/>
                <w:sz w:val="22"/>
                <w:szCs w:val="22"/>
                <w:color w:val="E93BAC"/>
              </w:rPr>
              <w:t>Loan Portfolio</w:t>
            </w:r>
          </w:p>
        </w:tc>
        <w:tc>
          <w:tcPr>
            <w:tcW w:w="22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704"/>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02</w:t>
            </w:r>
          </w:p>
        </w:tc>
        <w:tc>
          <w:tcPr>
            <w:tcW w:w="7580" w:type="dxa"/>
            <w:vAlign w:val="bottom"/>
          </w:tcPr>
          <w:p>
            <w:pPr>
              <w:ind w:left="160"/>
              <w:spacing w:after="0"/>
              <w:rPr>
                <w:sz w:val="20"/>
                <w:szCs w:val="20"/>
                <w:color w:val="auto"/>
              </w:rPr>
            </w:pPr>
            <w:r>
              <w:rPr>
                <w:rFonts w:ascii="Arial" w:cs="Arial" w:eastAsia="Arial" w:hAnsi="Arial"/>
                <w:sz w:val="22"/>
                <w:szCs w:val="22"/>
                <w:color w:val="E93BAC"/>
              </w:rPr>
              <w:t>Deposits</w:t>
            </w:r>
          </w:p>
        </w:tc>
        <w:tc>
          <w:tcPr>
            <w:tcW w:w="22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70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03</w:t>
            </w:r>
          </w:p>
        </w:tc>
        <w:tc>
          <w:tcPr>
            <w:tcW w:w="7580" w:type="dxa"/>
            <w:vAlign w:val="bottom"/>
          </w:tcPr>
          <w:p>
            <w:pPr>
              <w:ind w:left="160"/>
              <w:spacing w:after="0"/>
              <w:rPr>
                <w:sz w:val="20"/>
                <w:szCs w:val="20"/>
                <w:color w:val="auto"/>
              </w:rPr>
            </w:pPr>
            <w:r>
              <w:rPr>
                <w:rFonts w:ascii="Arial" w:cs="Arial" w:eastAsia="Arial" w:hAnsi="Arial"/>
                <w:sz w:val="22"/>
                <w:szCs w:val="22"/>
                <w:color w:val="E93BAC"/>
              </w:rPr>
              <w:t>Interest Earning Assets and Funding</w:t>
            </w:r>
          </w:p>
        </w:tc>
        <w:tc>
          <w:tcPr>
            <w:tcW w:w="22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700"/>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04</w:t>
            </w:r>
          </w:p>
        </w:tc>
        <w:tc>
          <w:tcPr>
            <w:tcW w:w="7580" w:type="dxa"/>
            <w:vAlign w:val="bottom"/>
          </w:tcPr>
          <w:p>
            <w:pPr>
              <w:ind w:left="160"/>
              <w:spacing w:after="0"/>
              <w:rPr>
                <w:sz w:val="20"/>
                <w:szCs w:val="20"/>
                <w:color w:val="auto"/>
              </w:rPr>
            </w:pPr>
            <w:r>
              <w:rPr>
                <w:rFonts w:ascii="Arial" w:cs="Arial" w:eastAsia="Arial" w:hAnsi="Arial"/>
                <w:sz w:val="22"/>
                <w:szCs w:val="22"/>
                <w:color w:val="E93BAC"/>
              </w:rPr>
              <w:t>Net Interest Income (NII)</w:t>
            </w:r>
          </w:p>
        </w:tc>
        <w:tc>
          <w:tcPr>
            <w:tcW w:w="22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704"/>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05</w:t>
            </w:r>
          </w:p>
        </w:tc>
        <w:tc>
          <w:tcPr>
            <w:tcW w:w="7580" w:type="dxa"/>
            <w:vAlign w:val="bottom"/>
          </w:tcPr>
          <w:p>
            <w:pPr>
              <w:ind w:left="160"/>
              <w:spacing w:after="0"/>
              <w:rPr>
                <w:sz w:val="20"/>
                <w:szCs w:val="20"/>
                <w:color w:val="auto"/>
              </w:rPr>
            </w:pPr>
            <w:r>
              <w:rPr>
                <w:rFonts w:ascii="Arial" w:cs="Arial" w:eastAsia="Arial" w:hAnsi="Arial"/>
                <w:sz w:val="22"/>
                <w:szCs w:val="22"/>
                <w:color w:val="E93BAC"/>
              </w:rPr>
              <w:t>Portfolio Quality and Provisions</w:t>
            </w:r>
          </w:p>
        </w:tc>
        <w:tc>
          <w:tcPr>
            <w:tcW w:w="22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70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06</w:t>
            </w:r>
          </w:p>
        </w:tc>
        <w:tc>
          <w:tcPr>
            <w:tcW w:w="7580" w:type="dxa"/>
            <w:vAlign w:val="bottom"/>
          </w:tcPr>
          <w:p>
            <w:pPr>
              <w:ind w:left="160"/>
              <w:spacing w:after="0"/>
              <w:rPr>
                <w:sz w:val="20"/>
                <w:szCs w:val="20"/>
                <w:color w:val="auto"/>
              </w:rPr>
            </w:pPr>
            <w:r>
              <w:rPr>
                <w:rFonts w:ascii="Arial" w:cs="Arial" w:eastAsia="Arial" w:hAnsi="Arial"/>
                <w:sz w:val="22"/>
                <w:szCs w:val="22"/>
                <w:color w:val="E93BAC"/>
              </w:rPr>
              <w:t>Other Income</w:t>
            </w:r>
          </w:p>
        </w:tc>
        <w:tc>
          <w:tcPr>
            <w:tcW w:w="22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70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07</w:t>
            </w:r>
          </w:p>
        </w:tc>
        <w:tc>
          <w:tcPr>
            <w:tcW w:w="7580" w:type="dxa"/>
            <w:vAlign w:val="bottom"/>
          </w:tcPr>
          <w:p>
            <w:pPr>
              <w:ind w:left="160"/>
              <w:spacing w:after="0"/>
              <w:rPr>
                <w:sz w:val="20"/>
                <w:szCs w:val="20"/>
                <w:color w:val="auto"/>
              </w:rPr>
            </w:pPr>
            <w:r>
              <w:rPr>
                <w:rFonts w:ascii="Arial" w:cs="Arial" w:eastAsia="Arial" w:hAnsi="Arial"/>
                <w:sz w:val="22"/>
                <w:szCs w:val="22"/>
                <w:color w:val="E93BAC"/>
              </w:rPr>
              <w:t>Insurance Underwriting Results</w:t>
            </w:r>
          </w:p>
        </w:tc>
        <w:tc>
          <w:tcPr>
            <w:tcW w:w="22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70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08</w:t>
            </w:r>
          </w:p>
        </w:tc>
        <w:tc>
          <w:tcPr>
            <w:tcW w:w="7580" w:type="dxa"/>
            <w:vAlign w:val="bottom"/>
          </w:tcPr>
          <w:p>
            <w:pPr>
              <w:ind w:left="160"/>
              <w:spacing w:after="0"/>
              <w:rPr>
                <w:sz w:val="20"/>
                <w:szCs w:val="20"/>
                <w:color w:val="auto"/>
              </w:rPr>
            </w:pPr>
            <w:r>
              <w:rPr>
                <w:rFonts w:ascii="Arial" w:cs="Arial" w:eastAsia="Arial" w:hAnsi="Arial"/>
                <w:sz w:val="22"/>
                <w:szCs w:val="22"/>
                <w:color w:val="E93BAC"/>
              </w:rPr>
              <w:t>Operating Expenses</w:t>
            </w:r>
          </w:p>
        </w:tc>
        <w:tc>
          <w:tcPr>
            <w:tcW w:w="22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70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09</w:t>
            </w:r>
          </w:p>
        </w:tc>
        <w:tc>
          <w:tcPr>
            <w:tcW w:w="7580" w:type="dxa"/>
            <w:vAlign w:val="bottom"/>
          </w:tcPr>
          <w:p>
            <w:pPr>
              <w:ind w:left="160"/>
              <w:spacing w:after="0"/>
              <w:rPr>
                <w:sz w:val="20"/>
                <w:szCs w:val="20"/>
                <w:color w:val="auto"/>
              </w:rPr>
            </w:pPr>
            <w:r>
              <w:rPr>
                <w:rFonts w:ascii="Arial" w:cs="Arial" w:eastAsia="Arial" w:hAnsi="Arial"/>
                <w:sz w:val="22"/>
                <w:szCs w:val="22"/>
                <w:color w:val="E93BAC"/>
              </w:rPr>
              <w:t>Operating Efficiency</w:t>
            </w:r>
          </w:p>
        </w:tc>
        <w:tc>
          <w:tcPr>
            <w:tcW w:w="22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702"/>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10</w:t>
            </w:r>
          </w:p>
        </w:tc>
        <w:tc>
          <w:tcPr>
            <w:tcW w:w="7580" w:type="dxa"/>
            <w:vAlign w:val="bottom"/>
          </w:tcPr>
          <w:p>
            <w:pPr>
              <w:ind w:left="160"/>
              <w:spacing w:after="0"/>
              <w:rPr>
                <w:sz w:val="20"/>
                <w:szCs w:val="20"/>
                <w:color w:val="auto"/>
              </w:rPr>
            </w:pPr>
            <w:r>
              <w:rPr>
                <w:rFonts w:ascii="Arial" w:cs="Arial" w:eastAsia="Arial" w:hAnsi="Arial"/>
                <w:sz w:val="22"/>
                <w:szCs w:val="22"/>
                <w:color w:val="E93BAC"/>
              </w:rPr>
              <w:t>Regulatory Capital</w:t>
            </w:r>
          </w:p>
        </w:tc>
        <w:tc>
          <w:tcPr>
            <w:tcW w:w="22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700"/>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11</w:t>
            </w:r>
          </w:p>
        </w:tc>
        <w:tc>
          <w:tcPr>
            <w:tcW w:w="7580" w:type="dxa"/>
            <w:vAlign w:val="bottom"/>
          </w:tcPr>
          <w:p>
            <w:pPr>
              <w:ind w:left="160"/>
              <w:spacing w:after="0"/>
              <w:rPr>
                <w:sz w:val="20"/>
                <w:szCs w:val="20"/>
                <w:color w:val="auto"/>
              </w:rPr>
            </w:pPr>
            <w:r>
              <w:rPr>
                <w:rFonts w:ascii="Arial" w:cs="Arial" w:eastAsia="Arial" w:hAnsi="Arial"/>
                <w:sz w:val="22"/>
                <w:szCs w:val="22"/>
                <w:color w:val="E93BAC"/>
              </w:rPr>
              <w:t>Economic Outlook</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704"/>
        </w:trPr>
        <w:tc>
          <w:tcPr>
            <w:tcW w:w="1440" w:type="dxa"/>
            <w:vAlign w:val="bottom"/>
          </w:tcPr>
          <w:p>
            <w:pPr>
              <w:ind w:left="800"/>
              <w:spacing w:after="0"/>
              <w:rPr>
                <w:sz w:val="20"/>
                <w:szCs w:val="20"/>
                <w:color w:val="auto"/>
              </w:rPr>
            </w:pPr>
            <w:r>
              <w:rPr>
                <w:rFonts w:ascii="Arial" w:cs="Arial" w:eastAsia="Arial" w:hAnsi="Arial"/>
                <w:sz w:val="43"/>
                <w:szCs w:val="43"/>
                <w:b w:val="1"/>
                <w:bCs w:val="1"/>
                <w:color w:val="E93BAC"/>
              </w:rPr>
              <w:t>12</w:t>
            </w:r>
          </w:p>
        </w:tc>
        <w:tc>
          <w:tcPr>
            <w:tcW w:w="7580" w:type="dxa"/>
            <w:vAlign w:val="bottom"/>
          </w:tcPr>
          <w:p>
            <w:pPr>
              <w:ind w:left="160"/>
              <w:spacing w:after="0"/>
              <w:rPr>
                <w:sz w:val="20"/>
                <w:szCs w:val="20"/>
                <w:color w:val="auto"/>
              </w:rPr>
            </w:pPr>
            <w:r>
              <w:rPr>
                <w:rFonts w:ascii="Arial" w:cs="Arial" w:eastAsia="Arial" w:hAnsi="Arial"/>
                <w:sz w:val="22"/>
                <w:szCs w:val="22"/>
                <w:color w:val="E93BAC"/>
              </w:rPr>
              <w:t>Appendix</w:t>
            </w:r>
          </w:p>
        </w:tc>
        <w:tc>
          <w:tcPr>
            <w:tcW w:w="22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01"/>
        </w:trPr>
        <w:tc>
          <w:tcPr>
            <w:tcW w:w="1440" w:type="dxa"/>
            <w:vAlign w:val="bottom"/>
          </w:tcPr>
          <w:p>
            <w:pPr>
              <w:spacing w:after="0"/>
              <w:rPr>
                <w:sz w:val="24"/>
                <w:szCs w:val="24"/>
                <w:color w:val="auto"/>
              </w:rPr>
            </w:pPr>
          </w:p>
        </w:tc>
        <w:tc>
          <w:tcPr>
            <w:tcW w:w="7580" w:type="dxa"/>
            <w:vAlign w:val="bottom"/>
          </w:tcPr>
          <w:p>
            <w:pPr>
              <w:ind w:left="280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645"/>
        </w:trPr>
        <w:tc>
          <w:tcPr>
            <w:tcW w:w="14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-8074660</wp:posOffset>
            </wp:positionV>
            <wp:extent cx="12827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-7457440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-7148830</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-6840220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-6531610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-6223000</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4" w:name="page5"/>
    <w:bookmarkEnd w:id="4"/>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Operating and Financial Highlights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Credicorp Ltd. Reports Financial and Operating Results for 1Q24</w:t>
      </w:r>
    </w:p>
    <w:p>
      <w:pPr>
        <w:spacing w:after="0" w:line="216"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auto"/>
        </w:rPr>
        <w:t>ROE stood at 18.2%, including a reversal for provisions at BCP and Mibanco, in a context of weak loan growth and a gradual improvement in the economy.</w:t>
      </w:r>
    </w:p>
    <w:p>
      <w:pPr>
        <w:spacing w:after="0" w:line="154"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color w:val="auto"/>
        </w:rPr>
        <w:t>The resilience of Risk-Adjusted NIM reflects a disciplined strategy for interest rate management, backed by our position as leader in low-cost funding and a reduction in provisions.</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Diversification of income sources with YoY increases of 9.4% in Net Interest Income (NII) and 8.7% in Other Core Income.</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Controlled Cost of Risk, which rose 30 bps YoY to stand at 2.3%, while the NPL Ratio increased 77 bps to situate at 6.2%.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Efficiency ratio improved 70 bps YoY to 43.6%, mainly reflecting positive operating leverage at BCP.</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Lima, Peru – May 09, 2024 – Credicorp Ltd. (“Credicorp” or “the Company”) (NYSE: BAP | BVL: BAP), </w:t>
      </w:r>
      <w:r>
        <w:rPr>
          <w:rFonts w:ascii="Arial" w:cs="Arial" w:eastAsia="Arial" w:hAnsi="Arial"/>
          <w:sz w:val="20"/>
          <w:szCs w:val="20"/>
          <w:color w:val="auto"/>
        </w:rPr>
        <w:t>the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services holding company in Peru with a presence in Chile, Colombia, Bolivia, and Panama today reported its unaudited results for the quarter ended March 31, 2024. Financial results are expressed in Soles and are presented in accordance with International Financial Reporting Standards (IFRS).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1Q24 OPERATING AND FINANCIAL HIGHLIGHTS</w:t>
      </w:r>
    </w:p>
    <w:p>
      <w:pPr>
        <w:spacing w:after="0" w:line="202" w:lineRule="exact"/>
        <w:rPr>
          <w:sz w:val="20"/>
          <w:szCs w:val="20"/>
          <w:color w:val="auto"/>
        </w:rPr>
      </w:pPr>
    </w:p>
    <w:p>
      <w:pPr>
        <w:jc w:val="both"/>
        <w:ind w:left="340" w:hanging="332"/>
        <w:spacing w:after="0" w:line="242"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Net Income </w:t>
      </w:r>
      <w:r>
        <w:rPr>
          <w:rFonts w:ascii="Arial" w:cs="Arial" w:eastAsia="Arial" w:hAnsi="Arial"/>
          <w:sz w:val="20"/>
          <w:szCs w:val="20"/>
          <w:color w:val="auto"/>
        </w:rPr>
        <w:t>attributable to Credicorp increased 9.2% YoY to S/1,511.7 million, benefiting from a reversal of El Niño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at BCP and Mibanco. Net Shareholders’ equity rose 11.5% YoY. In this context, ROE stood at 18.2%, slightly below the 18.7% reported in 1Q23.</w:t>
      </w:r>
    </w:p>
    <w:p>
      <w:pPr>
        <w:spacing w:after="0" w:line="168" w:lineRule="exact"/>
        <w:rPr>
          <w:rFonts w:ascii="Arial" w:cs="Arial" w:eastAsia="Arial" w:hAnsi="Arial"/>
          <w:sz w:val="20"/>
          <w:szCs w:val="20"/>
          <w:color w:val="auto"/>
        </w:rPr>
      </w:pPr>
    </w:p>
    <w:p>
      <w:pPr>
        <w:jc w:val="both"/>
        <w:ind w:left="340" w:hanging="332"/>
        <w:spacing w:after="0" w:line="237"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Total Loans</w:t>
      </w:r>
      <w:r>
        <w:rPr>
          <w:rFonts w:ascii="Arial" w:cs="Arial" w:eastAsia="Arial" w:hAnsi="Arial"/>
          <w:sz w:val="20"/>
          <w:szCs w:val="20"/>
          <w:color w:val="auto"/>
        </w:rPr>
        <w:t>, measured in average daily balances (ADB), dropped 1.3% QoQ (-1.4% FX Neutral) and 3.1% YoY (-2.8% FX</w:t>
      </w:r>
      <w:r>
        <w:rPr>
          <w:rFonts w:ascii="Arial" w:cs="Arial" w:eastAsia="Arial" w:hAnsi="Arial"/>
          <w:sz w:val="20"/>
          <w:szCs w:val="20"/>
          <w:b w:val="1"/>
          <w:bCs w:val="1"/>
          <w:color w:val="auto"/>
        </w:rPr>
        <w:t xml:space="preserve"> </w:t>
      </w:r>
      <w:r>
        <w:rPr>
          <w:rFonts w:ascii="Arial" w:cs="Arial" w:eastAsia="Arial" w:hAnsi="Arial"/>
          <w:sz w:val="20"/>
          <w:szCs w:val="20"/>
          <w:color w:val="auto"/>
        </w:rPr>
        <w:t>Neutral), due primarily to a drop in Wholesale Banking balances and to amortization of Government Program Loans (GP). These loans represented 2.1% of the total portfolio at quarter-end and were mainly concentrated in SME- Pyme and SME-Business at BCP.</w:t>
      </w:r>
    </w:p>
    <w:p>
      <w:pPr>
        <w:spacing w:after="0" w:line="171"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Total Deposits </w:t>
      </w:r>
      <w:r>
        <w:rPr>
          <w:rFonts w:ascii="Arial" w:cs="Arial" w:eastAsia="Arial" w:hAnsi="Arial"/>
          <w:sz w:val="20"/>
          <w:szCs w:val="20"/>
          <w:color w:val="auto"/>
        </w:rPr>
        <w:t>remained relatively stable, dropping 0.1% QoQ (0.0% FX Neutral). Growth in Time Deposits was offset by a</w:t>
      </w:r>
      <w:r>
        <w:rPr>
          <w:rFonts w:ascii="Arial" w:cs="Arial" w:eastAsia="Arial" w:hAnsi="Arial"/>
          <w:sz w:val="20"/>
          <w:szCs w:val="20"/>
          <w:b w:val="1"/>
          <w:bCs w:val="1"/>
          <w:color w:val="auto"/>
        </w:rPr>
        <w:t xml:space="preserve"> </w:t>
      </w:r>
      <w:r>
        <w:rPr>
          <w:rFonts w:ascii="Arial" w:cs="Arial" w:eastAsia="Arial" w:hAnsi="Arial"/>
          <w:sz w:val="20"/>
          <w:szCs w:val="20"/>
          <w:color w:val="auto"/>
        </w:rPr>
        <w:t>reduction in balances for Low-Cost Deposits. YoY, Total Deposits decreased 0.5% (+0.1% FX Neutral). Low-cost Deposits continue to be the main source of funding and represents 67.4% of total deposits.</w:t>
      </w:r>
    </w:p>
    <w:p>
      <w:pPr>
        <w:spacing w:after="0" w:line="168" w:lineRule="exact"/>
        <w:rPr>
          <w:rFonts w:ascii="Arial" w:cs="Arial" w:eastAsia="Arial" w:hAnsi="Arial"/>
          <w:sz w:val="20"/>
          <w:szCs w:val="20"/>
          <w:color w:val="auto"/>
        </w:rPr>
      </w:pPr>
    </w:p>
    <w:p>
      <w:pPr>
        <w:ind w:left="340" w:hanging="332"/>
        <w:spacing w:after="0" w:line="259"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Net Interest Margin (NIM) </w:t>
      </w:r>
      <w:r>
        <w:rPr>
          <w:rFonts w:ascii="Arial" w:cs="Arial" w:eastAsia="Arial" w:hAnsi="Arial"/>
          <w:sz w:val="20"/>
          <w:szCs w:val="20"/>
          <w:color w:val="auto"/>
        </w:rPr>
        <w:t>increased 10 bps QoQ to stand at 6.30%, which reflects a slight increase in the yield on IEAs and</w:t>
      </w:r>
      <w:r>
        <w:rPr>
          <w:rFonts w:ascii="Arial" w:cs="Arial" w:eastAsia="Arial" w:hAnsi="Arial"/>
          <w:sz w:val="20"/>
          <w:szCs w:val="20"/>
          <w:b w:val="1"/>
          <w:bCs w:val="1"/>
          <w:color w:val="auto"/>
        </w:rPr>
        <w:t xml:space="preserve"> </w:t>
      </w:r>
      <w:r>
        <w:rPr>
          <w:rFonts w:ascii="Arial" w:cs="Arial" w:eastAsia="Arial" w:hAnsi="Arial"/>
          <w:sz w:val="20"/>
          <w:szCs w:val="20"/>
          <w:color w:val="auto"/>
        </w:rPr>
        <w:t>a drop in the Funding Cost. YoY, NIM increased 46 bps.</w:t>
      </w:r>
    </w:p>
    <w:p>
      <w:pPr>
        <w:spacing w:after="0" w:line="151" w:lineRule="exact"/>
        <w:rPr>
          <w:rFonts w:ascii="Arial" w:cs="Arial" w:eastAsia="Arial" w:hAnsi="Arial"/>
          <w:sz w:val="20"/>
          <w:szCs w:val="20"/>
          <w:color w:val="auto"/>
        </w:rPr>
      </w:pPr>
    </w:p>
    <w:p>
      <w:pPr>
        <w:jc w:val="both"/>
        <w:ind w:left="340" w:hanging="332"/>
        <w:spacing w:after="0" w:line="237"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The NPL Ratio </w:t>
      </w:r>
      <w:r>
        <w:rPr>
          <w:rFonts w:ascii="Arial" w:cs="Arial" w:eastAsia="Arial" w:hAnsi="Arial"/>
          <w:sz w:val="20"/>
          <w:szCs w:val="20"/>
          <w:color w:val="auto"/>
        </w:rPr>
        <w:t>rose 34 bps QoQ to 6.2%, driven by an uptick in refinancings and an increase in delinquency in various</w:t>
      </w:r>
      <w:r>
        <w:rPr>
          <w:rFonts w:ascii="Arial" w:cs="Arial" w:eastAsia="Arial" w:hAnsi="Arial"/>
          <w:sz w:val="20"/>
          <w:szCs w:val="20"/>
          <w:b w:val="1"/>
          <w:bCs w:val="1"/>
          <w:color w:val="auto"/>
        </w:rPr>
        <w:t xml:space="preserve"> </w:t>
      </w:r>
      <w:r>
        <w:rPr>
          <w:rFonts w:ascii="Arial" w:cs="Arial" w:eastAsia="Arial" w:hAnsi="Arial"/>
          <w:sz w:val="20"/>
          <w:szCs w:val="20"/>
          <w:color w:val="auto"/>
        </w:rPr>
        <w:t>segments, particularly in old vintages. At BCP, growth in delinquency was driven by: (i) Consumer, (ii) Mortgages, and (iii) Wholesale Banking. These dynamics were partially offset by amortization of Government Program (GP) lloans in SME-Pyme. At Mibanco, delinquency was concentrated in old vintages.</w:t>
      </w:r>
    </w:p>
    <w:p>
      <w:pPr>
        <w:spacing w:after="0" w:line="171" w:lineRule="exact"/>
        <w:rPr>
          <w:rFonts w:ascii="Arial" w:cs="Arial" w:eastAsia="Arial" w:hAnsi="Arial"/>
          <w:sz w:val="20"/>
          <w:szCs w:val="20"/>
          <w:color w:val="auto"/>
        </w:rPr>
      </w:pPr>
    </w:p>
    <w:p>
      <w:pPr>
        <w:jc w:val="both"/>
        <w:ind w:left="340" w:hanging="332"/>
        <w:spacing w:after="0" w:line="237"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Provisions </w:t>
      </w:r>
      <w:r>
        <w:rPr>
          <w:rFonts w:ascii="Arial" w:cs="Arial" w:eastAsia="Arial" w:hAnsi="Arial"/>
          <w:sz w:val="20"/>
          <w:szCs w:val="20"/>
          <w:color w:val="auto"/>
        </w:rPr>
        <w:t>dropped 30.6% QoQ, which reflects the impact of a reversal of approximately S/250 million for El Niño</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If we isolate the impact of El Niño provisions in both quarters, provisions increase 16.0% QoQ, driven mainly by BCP and, to a lesser extent, by Mibanco. The Cost of Risk fell to 2.3%, but if we isolate the effect of El Niño provisions, the Cost of Risk rose 45 bps QoQ to stand at 3.0%. The NPL Coverage Ratio stood at 93.5%.</w:t>
      </w:r>
    </w:p>
    <w:p>
      <w:pPr>
        <w:spacing w:after="0" w:line="171" w:lineRule="exact"/>
        <w:rPr>
          <w:rFonts w:ascii="Arial" w:cs="Arial" w:eastAsia="Arial" w:hAnsi="Arial"/>
          <w:sz w:val="20"/>
          <w:szCs w:val="20"/>
          <w:color w:val="auto"/>
        </w:rPr>
      </w:pPr>
    </w:p>
    <w:p>
      <w:pPr>
        <w:jc w:val="both"/>
        <w:ind w:left="340" w:hanging="332"/>
        <w:spacing w:after="0" w:line="237"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Core Income </w:t>
      </w:r>
      <w:r>
        <w:rPr>
          <w:rFonts w:ascii="Arial" w:cs="Arial" w:eastAsia="Arial" w:hAnsi="Arial"/>
          <w:sz w:val="20"/>
          <w:szCs w:val="20"/>
          <w:color w:val="auto"/>
        </w:rPr>
        <w:t>rose 2.3% QoQ, driven mainly by growth in Net Interest Income (NII), via repricing of Available Funds, mainly</w:t>
      </w:r>
      <w:r>
        <w:rPr>
          <w:rFonts w:ascii="Arial" w:cs="Arial" w:eastAsia="Arial" w:hAnsi="Arial"/>
          <w:sz w:val="20"/>
          <w:szCs w:val="20"/>
          <w:b w:val="1"/>
          <w:bCs w:val="1"/>
          <w:color w:val="auto"/>
        </w:rPr>
        <w:t xml:space="preserve"> </w:t>
      </w:r>
      <w:r>
        <w:rPr>
          <w:rFonts w:ascii="Arial" w:cs="Arial" w:eastAsia="Arial" w:hAnsi="Arial"/>
          <w:sz w:val="20"/>
          <w:szCs w:val="20"/>
          <w:color w:val="auto"/>
        </w:rPr>
        <w:t>in US dollars, and through an increase in interest on investments. Other Core Income was up 2.0% QoQ, fueled by growth in Credit Cards transactions through the e-commerce channel and by an uptick in transactions through Yape. YoY, Core Income increased 9.2%, spurred mainly by an increase in NII.</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5" w:name="page6"/>
    <w:bookmarkEnd w:id="5"/>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Operating and Financial Highlights</w:t>
      </w:r>
    </w:p>
    <w:p>
      <w:pPr>
        <w:spacing w:after="0" w:line="310" w:lineRule="exact"/>
        <w:rPr>
          <w:sz w:val="20"/>
          <w:szCs w:val="20"/>
          <w:color w:val="auto"/>
        </w:rPr>
      </w:pPr>
    </w:p>
    <w:p>
      <w:pPr>
        <w:jc w:val="both"/>
        <w:ind w:left="340" w:hanging="332"/>
        <w:spacing w:after="0" w:line="24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Insurance Underwriting Results </w:t>
      </w:r>
      <w:r>
        <w:rPr>
          <w:rFonts w:ascii="Arial" w:cs="Arial" w:eastAsia="Arial" w:hAnsi="Arial"/>
          <w:sz w:val="20"/>
          <w:szCs w:val="20"/>
          <w:color w:val="auto"/>
        </w:rPr>
        <w:t>contracted 2.9% QoQ, after reporting unusually high levels in 4Q23. The contraction this</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was driven primarily by a reduction in the Underwriting Result in Life, primarily through Disability and Survivorship (D&amp;S) and in Credit Life. YoY, Insurance Underwriting Result contracted by 5.8%.</w:t>
      </w:r>
    </w:p>
    <w:p>
      <w:pPr>
        <w:spacing w:after="0" w:line="16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The Efficiency Ratio </w:t>
      </w:r>
      <w:r>
        <w:rPr>
          <w:rFonts w:ascii="Arial" w:cs="Arial" w:eastAsia="Arial" w:hAnsi="Arial"/>
          <w:sz w:val="20"/>
          <w:szCs w:val="20"/>
          <w:color w:val="auto"/>
        </w:rPr>
        <w:t>improved 70 bps YoY to stand at 43.6%, impacted primarily by positive operating leverage at BCP in a</w:t>
      </w:r>
      <w:r>
        <w:rPr>
          <w:rFonts w:ascii="Arial" w:cs="Arial" w:eastAsia="Arial" w:hAnsi="Arial"/>
          <w:sz w:val="20"/>
          <w:szCs w:val="20"/>
          <w:b w:val="1"/>
          <w:bCs w:val="1"/>
          <w:color w:val="auto"/>
        </w:rPr>
        <w:t xml:space="preserve"> </w:t>
      </w:r>
      <w:r>
        <w:rPr>
          <w:rFonts w:ascii="Arial" w:cs="Arial" w:eastAsia="Arial" w:hAnsi="Arial"/>
          <w:sz w:val="20"/>
          <w:szCs w:val="20"/>
          <w:color w:val="auto"/>
        </w:rPr>
        <w:t>context of an uptick in expenses associated with disruptive initiatives and IT expenses at BCP’s core businesses. Mibanco also reported positive operating leverage.</w:t>
      </w:r>
    </w:p>
    <w:p>
      <w:pPr>
        <w:spacing w:after="0" w:line="168" w:lineRule="exact"/>
        <w:rPr>
          <w:rFonts w:ascii="Arial" w:cs="Arial" w:eastAsia="Arial" w:hAnsi="Arial"/>
          <w:sz w:val="20"/>
          <w:szCs w:val="20"/>
          <w:color w:val="auto"/>
        </w:rPr>
      </w:pPr>
    </w:p>
    <w:p>
      <w:pPr>
        <w:ind w:left="340" w:hanging="332"/>
        <w:spacing w:after="0" w:line="259"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Yape</w:t>
      </w:r>
      <w:r>
        <w:rPr>
          <w:rFonts w:ascii="Arial" w:cs="Arial" w:eastAsia="Arial" w:hAnsi="Arial"/>
          <w:sz w:val="20"/>
          <w:szCs w:val="20"/>
          <w:color w:val="auto"/>
        </w:rPr>
        <w:t>, continues to scale and reached the 11.5 million monthly active users mark in 1Q24; 75% of these affiliates generate</w:t>
      </w:r>
      <w:r>
        <w:rPr>
          <w:rFonts w:ascii="Arial" w:cs="Arial" w:eastAsia="Arial" w:hAnsi="Arial"/>
          <w:sz w:val="20"/>
          <w:szCs w:val="20"/>
          <w:b w:val="1"/>
          <w:bCs w:val="1"/>
          <w:color w:val="auto"/>
        </w:rPr>
        <w:t xml:space="preserve"> </w:t>
      </w:r>
      <w:r>
        <w:rPr>
          <w:rFonts w:ascii="Arial" w:cs="Arial" w:eastAsia="Arial" w:hAnsi="Arial"/>
          <w:sz w:val="20"/>
          <w:szCs w:val="20"/>
          <w:color w:val="auto"/>
        </w:rPr>
        <w:t>fee income. Yape is on its way to breaking even in 2024.</w:t>
      </w:r>
    </w:p>
    <w:p>
      <w:pPr>
        <w:spacing w:after="0" w:line="151"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Credicorp maintains a solid capital base, with an IFRS </w:t>
      </w:r>
      <w:r>
        <w:rPr>
          <w:rFonts w:ascii="Arial" w:cs="Arial" w:eastAsia="Arial" w:hAnsi="Arial"/>
          <w:sz w:val="20"/>
          <w:szCs w:val="20"/>
          <w:b w:val="1"/>
          <w:bCs w:val="1"/>
          <w:color w:val="auto"/>
        </w:rPr>
        <w:t>CET1 Ratio</w:t>
      </w:r>
      <w:r>
        <w:rPr>
          <w:rFonts w:ascii="Arial" w:cs="Arial" w:eastAsia="Arial" w:hAnsi="Arial"/>
          <w:sz w:val="20"/>
          <w:szCs w:val="20"/>
          <w:color w:val="auto"/>
        </w:rPr>
        <w:t xml:space="preserve"> of 11.86% at BCP and 16.06% at Mibanco, down 135 bps QoQ and 231 bps QoQ, respectively. A solid capital base supports the recently announced dividend of S/35.0 per share, to be paid in June 2024.</w:t>
      </w:r>
    </w:p>
    <w:p>
      <w:pPr>
        <w:spacing w:after="0" w:line="16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At BCP, the </w:t>
      </w:r>
      <w:r>
        <w:rPr>
          <w:rFonts w:ascii="Arial" w:cs="Arial" w:eastAsia="Arial" w:hAnsi="Arial"/>
          <w:sz w:val="20"/>
          <w:szCs w:val="20"/>
          <w:b w:val="1"/>
          <w:bCs w:val="1"/>
          <w:color w:val="auto"/>
        </w:rPr>
        <w:t>Liquidity Coverage Ratio (LCR)</w:t>
      </w:r>
      <w:r>
        <w:rPr>
          <w:rFonts w:ascii="Arial" w:cs="Arial" w:eastAsia="Arial" w:hAnsi="Arial"/>
          <w:sz w:val="20"/>
          <w:szCs w:val="20"/>
          <w:color w:val="auto"/>
        </w:rPr>
        <w:t xml:space="preserve"> in PEN at 30 days stood at 199.8% under regulatory requirements and 154.5% based on more stringent internal requirements, while USD 30-day LCR stood at 144.4% and 117.8% under regulatory and more stringent internal requirements, respectively.</w:t>
      </w:r>
    </w:p>
    <w:p>
      <w:pPr>
        <w:spacing w:after="0" w:line="168"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In March 2024, Credicorp published its </w:t>
      </w:r>
      <w:r>
        <w:rPr>
          <w:rFonts w:ascii="Arial" w:cs="Arial" w:eastAsia="Arial" w:hAnsi="Arial"/>
          <w:sz w:val="20"/>
          <w:szCs w:val="20"/>
          <w:b w:val="1"/>
          <w:bCs w:val="1"/>
          <w:color w:val="auto"/>
        </w:rPr>
        <w:t>2023 Annual and Sustainability Report</w:t>
      </w:r>
      <w:r>
        <w:rPr>
          <w:rFonts w:ascii="Arial" w:cs="Arial" w:eastAsia="Arial" w:hAnsi="Arial"/>
          <w:sz w:val="20"/>
          <w:szCs w:val="20"/>
          <w:color w:val="auto"/>
        </w:rPr>
        <w:t>, which provides details on the progress we have made in integrating sustainability into our businesses while we focus on our purpose to “contribute to improving lives by driving the changes that our countries need”.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6" w:name="page7"/>
    <w:bookmarkEnd w:id="6"/>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Senior Management Quotes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6000750" cy="4817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0" cy="481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7" w:name="page8"/>
    <w:bookmarkEnd w:id="7"/>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First Quarter 2024 Earnings Conference Call</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FIRST QUARTER 2024 EARNINGS CONFERENCE CALL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 xml:space="preserve">Date: </w:t>
      </w:r>
      <w:r>
        <w:rPr>
          <w:rFonts w:ascii="Arial" w:cs="Arial" w:eastAsia="Arial" w:hAnsi="Arial"/>
          <w:sz w:val="20"/>
          <w:szCs w:val="20"/>
          <w:color w:val="121212"/>
        </w:rPr>
        <w:t>Friday May 10</w:t>
      </w:r>
      <w:r>
        <w:rPr>
          <w:rFonts w:ascii="Arial" w:cs="Arial" w:eastAsia="Arial" w:hAnsi="Arial"/>
          <w:sz w:val="32"/>
          <w:szCs w:val="32"/>
          <w:color w:val="121212"/>
          <w:vertAlign w:val="superscript"/>
        </w:rPr>
        <w:t>th</w:t>
      </w:r>
      <w:r>
        <w:rPr>
          <w:rFonts w:ascii="Arial" w:cs="Arial" w:eastAsia="Arial" w:hAnsi="Arial"/>
          <w:sz w:val="20"/>
          <w:szCs w:val="20"/>
          <w:color w:val="121212"/>
        </w:rPr>
        <w:t>, 2024</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 xml:space="preserve">Time: </w:t>
      </w:r>
      <w:r>
        <w:rPr>
          <w:rFonts w:ascii="Arial" w:cs="Arial" w:eastAsia="Arial" w:hAnsi="Arial"/>
          <w:sz w:val="20"/>
          <w:szCs w:val="20"/>
          <w:color w:val="121212"/>
        </w:rPr>
        <w:t>10:30 am ET (9:30 am Lima, Perú)</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121212"/>
        </w:rPr>
        <w:t xml:space="preserve">Hosts: </w:t>
      </w:r>
      <w:r>
        <w:rPr>
          <w:rFonts w:ascii="Arial" w:cs="Arial" w:eastAsia="Arial" w:hAnsi="Arial"/>
          <w:sz w:val="20"/>
          <w:szCs w:val="20"/>
          <w:color w:val="121212"/>
        </w:rPr>
        <w:t>Gianfranco Ferrari – Chief Executive Officer, Cesar Rios - Chief Financial Officer, Francesca Raffo – Chief Innovation</w:t>
      </w:r>
      <w:r>
        <w:rPr>
          <w:rFonts w:ascii="Arial" w:cs="Arial" w:eastAsia="Arial" w:hAnsi="Arial"/>
          <w:sz w:val="20"/>
          <w:szCs w:val="20"/>
          <w:b w:val="1"/>
          <w:bCs w:val="1"/>
          <w:color w:val="121212"/>
        </w:rPr>
        <w:t xml:space="preserve"> </w:t>
      </w:r>
      <w:r>
        <w:rPr>
          <w:rFonts w:ascii="Arial" w:cs="Arial" w:eastAsia="Arial" w:hAnsi="Arial"/>
          <w:sz w:val="20"/>
          <w:szCs w:val="20"/>
          <w:color w:val="121212"/>
        </w:rPr>
        <w:t>Officer, Reynaldo Llosa - Chief Risk Officer, Diego Cavero – Head of Universal Banking, Cesar Rivera - Head of Insurance and Pensions, Carlos Sotelo - Mibanco CFO and Investor Relations Team.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To pre-register for the listen-only webcast presentation use the following link: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https://dpregister.com/DiamondPassRegistration/register?confirmationNumber=10188428&amp;linkSecurityString=fc4fdee 944</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121212"/>
        </w:rPr>
        <w:t>Those unable to pre-register may dial in by calling:</w:t>
      </w:r>
    </w:p>
    <w:p>
      <w:pPr>
        <w:spacing w:after="0" w:line="229" w:lineRule="auto"/>
        <w:rPr>
          <w:sz w:val="20"/>
          <w:szCs w:val="20"/>
          <w:color w:val="auto"/>
        </w:rPr>
      </w:pPr>
      <w:r>
        <w:rPr>
          <w:rFonts w:ascii="Arial" w:cs="Arial" w:eastAsia="Arial" w:hAnsi="Arial"/>
          <w:sz w:val="20"/>
          <w:szCs w:val="20"/>
          <w:b w:val="1"/>
          <w:bCs w:val="1"/>
          <w:color w:val="121212"/>
        </w:rPr>
        <w:t xml:space="preserve">1 844 435 0321 </w:t>
      </w:r>
      <w:r>
        <w:rPr>
          <w:rFonts w:ascii="Arial" w:cs="Arial" w:eastAsia="Arial" w:hAnsi="Arial"/>
          <w:sz w:val="20"/>
          <w:szCs w:val="20"/>
          <w:color w:val="121212"/>
        </w:rPr>
        <w:t>(U.S. toll free)</w:t>
      </w:r>
    </w:p>
    <w:p>
      <w:pPr>
        <w:spacing w:after="0" w:line="226" w:lineRule="auto"/>
        <w:rPr>
          <w:sz w:val="20"/>
          <w:szCs w:val="20"/>
          <w:color w:val="auto"/>
        </w:rPr>
      </w:pPr>
      <w:r>
        <w:rPr>
          <w:rFonts w:ascii="Arial" w:cs="Arial" w:eastAsia="Arial" w:hAnsi="Arial"/>
          <w:sz w:val="20"/>
          <w:szCs w:val="20"/>
          <w:b w:val="1"/>
          <w:bCs w:val="1"/>
          <w:color w:val="121212"/>
        </w:rPr>
        <w:t xml:space="preserve">1 412 317 5615 </w:t>
      </w:r>
      <w:r>
        <w:rPr>
          <w:rFonts w:ascii="Arial" w:cs="Arial" w:eastAsia="Arial" w:hAnsi="Arial"/>
          <w:sz w:val="20"/>
          <w:szCs w:val="20"/>
          <w:color w:val="121212"/>
        </w:rPr>
        <w:t>(International)</w:t>
      </w:r>
    </w:p>
    <w:p>
      <w:pPr>
        <w:spacing w:after="0"/>
        <w:rPr>
          <w:sz w:val="20"/>
          <w:szCs w:val="20"/>
          <w:color w:val="auto"/>
        </w:rPr>
      </w:pPr>
      <w:r>
        <w:rPr>
          <w:rFonts w:ascii="Arial" w:cs="Arial" w:eastAsia="Arial" w:hAnsi="Arial"/>
          <w:sz w:val="20"/>
          <w:szCs w:val="20"/>
          <w:b w:val="1"/>
          <w:bCs w:val="1"/>
          <w:color w:val="121212"/>
        </w:rPr>
        <w:t xml:space="preserve">Participant Web Phone: </w:t>
      </w:r>
      <w:r>
        <w:rPr>
          <w:rFonts w:ascii="Arial" w:cs="Arial" w:eastAsia="Arial" w:hAnsi="Arial"/>
          <w:sz w:val="20"/>
          <w:szCs w:val="20"/>
          <w:u w:val="single" w:color="auto"/>
          <w:color w:val="000000"/>
        </w:rPr>
        <w:t>Click Here</w:t>
      </w:r>
    </w:p>
    <w:p>
      <w:pPr>
        <w:spacing w:after="0"/>
        <w:rPr>
          <w:sz w:val="20"/>
          <w:szCs w:val="20"/>
          <w:color w:val="auto"/>
        </w:rPr>
      </w:pPr>
      <w:r>
        <w:rPr>
          <w:rFonts w:ascii="Arial" w:cs="Arial" w:eastAsia="Arial" w:hAnsi="Arial"/>
          <w:sz w:val="20"/>
          <w:szCs w:val="20"/>
          <w:b w:val="1"/>
          <w:bCs w:val="1"/>
          <w:color w:val="121212"/>
        </w:rPr>
        <w:t>Conference ID: Credicorp Conference Call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121212"/>
        </w:rPr>
        <w:t>The webcast will be archived for one year on our investor relations website at: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https://credicorp.gcs-web.com/events-and-presentations/upcoming-events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121212"/>
        </w:rPr>
        <w:t>For a full version of Credicorp´s Fourth Quarter 2023 Earnings Release, please visit: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https://credicorp.gcs-web.com/financial-information/quarterly-results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8" w:name="page9"/>
    <w:bookmarkEnd w:id="8"/>
    <w:p>
      <w:pPr>
        <w:jc w:val="right"/>
        <w:ind w:right="5720"/>
        <w:spacing w:after="0"/>
        <w:tabs>
          <w:tab w:leader="none" w:pos="826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Loans in Average Daily Balances (ADB)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3086100" cy="2005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6100" cy="2005965"/>
                    </a:xfrm>
                    <a:prstGeom prst="rect">
                      <a:avLst/>
                    </a:prstGeom>
                    <a:noFill/>
                  </pic:spPr>
                </pic:pic>
              </a:graphicData>
            </a:graphic>
          </wp:anchor>
        </w:drawing>
      </w:r>
    </w:p>
    <w:p>
      <w:pPr>
        <w:spacing w:after="0" w:line="211" w:lineRule="exact"/>
        <w:rPr>
          <w:sz w:val="20"/>
          <w:szCs w:val="20"/>
          <w:color w:val="auto"/>
        </w:rPr>
      </w:pPr>
    </w:p>
    <w:p>
      <w:pPr>
        <w:jc w:val="both"/>
        <w:ind w:right="5840"/>
        <w:spacing w:after="0" w:line="242" w:lineRule="auto"/>
        <w:rPr>
          <w:sz w:val="20"/>
          <w:szCs w:val="20"/>
          <w:color w:val="auto"/>
        </w:rPr>
      </w:pPr>
      <w:r>
        <w:rPr>
          <w:rFonts w:ascii="Arial" w:cs="Arial" w:eastAsia="Arial" w:hAnsi="Arial"/>
          <w:sz w:val="18"/>
          <w:szCs w:val="18"/>
          <w:color w:val="auto"/>
        </w:rPr>
        <w:t>Total loans, measured in ADB, dropped 1.3% QoQ (-1.4% FX Neutral) to total S/140,429 million. This decrease was driven mainly by i) Wholesale Banking at BCP, due to a lower demand, ii) SME-Business &amp; SME-Pyme segments at BCP, in line with the amortization of government program (GP) loans; and iii) Mibanco, in line with more restrictive origination policies.</w:t>
      </w:r>
    </w:p>
    <w:p>
      <w:pPr>
        <w:spacing w:after="0" w:line="179" w:lineRule="exact"/>
        <w:rPr>
          <w:sz w:val="20"/>
          <w:szCs w:val="20"/>
          <w:color w:val="auto"/>
        </w:rPr>
      </w:pPr>
    </w:p>
    <w:p>
      <w:pPr>
        <w:jc w:val="both"/>
        <w:ind w:right="5840"/>
        <w:spacing w:after="0" w:line="247" w:lineRule="auto"/>
        <w:rPr>
          <w:sz w:val="20"/>
          <w:szCs w:val="20"/>
          <w:color w:val="auto"/>
        </w:rPr>
      </w:pPr>
      <w:r>
        <w:rPr>
          <w:rFonts w:ascii="Arial" w:cs="Arial" w:eastAsia="Arial" w:hAnsi="Arial"/>
          <w:sz w:val="18"/>
          <w:szCs w:val="18"/>
          <w:color w:val="auto"/>
        </w:rPr>
        <w:t>YoY, total loans in ADB fell 3.1% (-2.8% FX Neutral), driven mainly by: i) Wholesale Banking at BCP; ii) SME-Business and SME-Pyme at BCP; and iii) Mibanco, due to the same dynamics as those seen QoQ.</w:t>
      </w:r>
    </w:p>
    <w:p>
      <w:pPr>
        <w:spacing w:after="0" w:line="174" w:lineRule="exact"/>
        <w:rPr>
          <w:sz w:val="20"/>
          <w:szCs w:val="20"/>
          <w:color w:val="auto"/>
        </w:rPr>
      </w:pPr>
    </w:p>
    <w:p>
      <w:pPr>
        <w:jc w:val="both"/>
        <w:ind w:right="5840"/>
        <w:spacing w:after="0" w:line="271" w:lineRule="auto"/>
        <w:rPr>
          <w:sz w:val="20"/>
          <w:szCs w:val="20"/>
          <w:color w:val="auto"/>
        </w:rPr>
      </w:pPr>
      <w:r>
        <w:rPr>
          <w:rFonts w:ascii="Arial" w:cs="Arial" w:eastAsia="Arial" w:hAnsi="Arial"/>
          <w:sz w:val="18"/>
          <w:szCs w:val="18"/>
          <w:color w:val="auto"/>
        </w:rPr>
        <w:t>GP loans represented 2.1% of total loans at quarter-end and are concentrated in SME-Pyme and SME-Business at BCP.</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3145790" cy="2099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45790" cy="2099945"/>
                    </a:xfrm>
                    <a:prstGeom prst="rect">
                      <a:avLst/>
                    </a:prstGeom>
                    <a:noFill/>
                  </pic:spPr>
                </pic:pic>
              </a:graphicData>
            </a:graphic>
          </wp:anchor>
        </w:drawing>
      </w:r>
    </w:p>
    <w:p>
      <w:pPr>
        <w:spacing w:after="0" w:line="211" w:lineRule="exact"/>
        <w:rPr>
          <w:sz w:val="20"/>
          <w:szCs w:val="20"/>
          <w:color w:val="auto"/>
        </w:rPr>
      </w:pPr>
    </w:p>
    <w:p>
      <w:pPr>
        <w:jc w:val="both"/>
        <w:ind w:right="5840"/>
        <w:spacing w:after="0" w:line="247" w:lineRule="auto"/>
        <w:rPr>
          <w:sz w:val="20"/>
          <w:szCs w:val="20"/>
          <w:color w:val="auto"/>
        </w:rPr>
      </w:pPr>
      <w:r>
        <w:rPr>
          <w:rFonts w:ascii="Arial" w:cs="Arial" w:eastAsia="Arial" w:hAnsi="Arial"/>
          <w:sz w:val="18"/>
          <w:szCs w:val="18"/>
          <w:color w:val="auto"/>
        </w:rPr>
        <w:t>Our deposit base, measured in quarter-end balances, remained relatively stable (+0.1% QoQ and 0.0% FX Neutral). Growth in Term Deposits was largely offset by a drop in balances for Demand and Saving Deposits (Low-cost deposits).</w:t>
      </w:r>
    </w:p>
    <w:p>
      <w:pPr>
        <w:spacing w:after="0" w:line="174" w:lineRule="exact"/>
        <w:rPr>
          <w:sz w:val="20"/>
          <w:szCs w:val="20"/>
          <w:color w:val="auto"/>
        </w:rPr>
      </w:pPr>
    </w:p>
    <w:p>
      <w:pPr>
        <w:jc w:val="both"/>
        <w:ind w:right="5840"/>
        <w:spacing w:after="0" w:line="247" w:lineRule="auto"/>
        <w:rPr>
          <w:sz w:val="20"/>
          <w:szCs w:val="20"/>
          <w:color w:val="auto"/>
        </w:rPr>
      </w:pPr>
      <w:r>
        <w:rPr>
          <w:rFonts w:ascii="Arial" w:cs="Arial" w:eastAsia="Arial" w:hAnsi="Arial"/>
          <w:sz w:val="18"/>
          <w:szCs w:val="18"/>
          <w:color w:val="auto"/>
        </w:rPr>
        <w:t>In the YoY comparison, the deposit base dropped 0.5% (+0.1% FX Neutral). Low-cost deposits, which represent 67.4% of our deposit base at quarter-end, continued to play a preponderant role in our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Net Interest Income (NII) and Margin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2974975" cy="1791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4975" cy="1791335"/>
                    </a:xfrm>
                    <a:prstGeom prst="rect">
                      <a:avLst/>
                    </a:prstGeom>
                    <a:noFill/>
                  </pic:spPr>
                </pic:pic>
              </a:graphicData>
            </a:graphic>
          </wp:anchor>
        </w:drawing>
      </w:r>
    </w:p>
    <w:p>
      <w:pPr>
        <w:spacing w:after="0" w:line="211" w:lineRule="exact"/>
        <w:rPr>
          <w:sz w:val="20"/>
          <w:szCs w:val="20"/>
          <w:color w:val="auto"/>
        </w:rPr>
      </w:pPr>
    </w:p>
    <w:p>
      <w:pPr>
        <w:jc w:val="both"/>
        <w:ind w:right="5840"/>
        <w:spacing w:after="0"/>
        <w:rPr>
          <w:sz w:val="20"/>
          <w:szCs w:val="20"/>
          <w:color w:val="auto"/>
        </w:rPr>
      </w:pPr>
      <w:r>
        <w:rPr>
          <w:rFonts w:ascii="Arial" w:cs="Arial" w:eastAsia="Arial" w:hAnsi="Arial"/>
          <w:sz w:val="18"/>
          <w:szCs w:val="18"/>
          <w:color w:val="auto"/>
        </w:rPr>
        <w:t>NII rose 2.3% QoQ to stand at S/3,426 million. This evolution was driven by an increase in Interest and Similar Income, in line with i) higher interest derived from repricing of Available Funds, mainly in US dollars and ii) growth in interest on investments. Interest and Similar Expenses fell 1.5% QoQ, in line with a decrease in the Cost of Funding, after term deposits were renewed at lower rates. In this context, the yield on IEA and the Cost of Funding reported slight improvements, which led NIM to stand at 6.30% at quarter-end.</w:t>
      </w:r>
    </w:p>
    <w:p>
      <w:pPr>
        <w:spacing w:after="0" w:line="180" w:lineRule="exact"/>
        <w:rPr>
          <w:sz w:val="20"/>
          <w:szCs w:val="20"/>
          <w:color w:val="auto"/>
        </w:rPr>
      </w:pPr>
    </w:p>
    <w:p>
      <w:pPr>
        <w:jc w:val="both"/>
        <w:ind w:right="5860"/>
        <w:spacing w:after="0" w:line="271" w:lineRule="auto"/>
        <w:rPr>
          <w:sz w:val="20"/>
          <w:szCs w:val="20"/>
          <w:color w:val="auto"/>
        </w:rPr>
      </w:pPr>
      <w:r>
        <w:rPr>
          <w:rFonts w:ascii="Arial" w:cs="Arial" w:eastAsia="Arial" w:hAnsi="Arial"/>
          <w:sz w:val="18"/>
          <w:szCs w:val="18"/>
          <w:color w:val="auto"/>
        </w:rPr>
        <w:t>YoY, NII rose 9.4%, driven primarily by a shift in the loan mix toward retail segments coupled with repricing of our dollar book.</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9" w:name="page10"/>
    <w:bookmarkEnd w:id="9"/>
    <w:p>
      <w:pPr>
        <w:jc w:val="right"/>
        <w:ind w:right="5720"/>
        <w:spacing w:after="0"/>
        <w:tabs>
          <w:tab w:leader="none" w:pos="826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3257550" cy="1929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7550" cy="1929130"/>
                    </a:xfrm>
                    <a:prstGeom prst="rect">
                      <a:avLst/>
                    </a:prstGeom>
                    <a:noFill/>
                  </pic:spPr>
                </pic:pic>
              </a:graphicData>
            </a:graphic>
          </wp:anchor>
        </w:drawing>
      </w:r>
    </w:p>
    <w:p>
      <w:pPr>
        <w:spacing w:after="0" w:line="211" w:lineRule="exact"/>
        <w:rPr>
          <w:sz w:val="20"/>
          <w:szCs w:val="20"/>
          <w:color w:val="auto"/>
        </w:rPr>
      </w:pPr>
    </w:p>
    <w:p>
      <w:pPr>
        <w:jc w:val="both"/>
        <w:ind w:right="5840"/>
        <w:spacing w:after="0" w:line="242" w:lineRule="auto"/>
        <w:rPr>
          <w:sz w:val="20"/>
          <w:szCs w:val="20"/>
          <w:color w:val="auto"/>
        </w:rPr>
      </w:pPr>
      <w:r>
        <w:rPr>
          <w:rFonts w:ascii="Arial" w:cs="Arial" w:eastAsia="Arial" w:hAnsi="Arial"/>
          <w:sz w:val="18"/>
          <w:szCs w:val="18"/>
          <w:color w:val="auto"/>
        </w:rPr>
        <w:t>QoQ, the NPL balance increased 2.7%. This evolution was driven by growth in (i) Consumer, in line with an uptick in refinancing; (ii) Mortgage, in line with an increase in volumes of overdue loans; (iii) Wholesale Banking, due to refinancing for a specific client; and iv) Mibanco, in line with an uptick in overdue loans, primarily in old vintages.</w:t>
      </w:r>
    </w:p>
    <w:p>
      <w:pPr>
        <w:spacing w:after="0" w:line="179" w:lineRule="exact"/>
        <w:rPr>
          <w:sz w:val="20"/>
          <w:szCs w:val="20"/>
          <w:color w:val="auto"/>
        </w:rPr>
      </w:pPr>
    </w:p>
    <w:p>
      <w:pPr>
        <w:jc w:val="both"/>
        <w:ind w:right="5840"/>
        <w:spacing w:after="0" w:line="244" w:lineRule="auto"/>
        <w:rPr>
          <w:sz w:val="20"/>
          <w:szCs w:val="20"/>
          <w:color w:val="auto"/>
        </w:rPr>
      </w:pPr>
      <w:r>
        <w:rPr>
          <w:rFonts w:ascii="Arial" w:cs="Arial" w:eastAsia="Arial" w:hAnsi="Arial"/>
          <w:sz w:val="18"/>
          <w:szCs w:val="18"/>
          <w:color w:val="auto"/>
        </w:rPr>
        <w:t>YoY, the NPL balance rose 10.8%. This growth was concentrated in: i) Consumer, driven by an uptick in refinancing and in overdue loans, particularly in old vintages; ii) Mortgage, mainly due to growth in overdue and refinancing loans, and iii) Mibanco, in line with an increase in overdue loans.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NPL ratio stood at 6.2% by quarter-end. QoQ,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NPL ratio rose by 34 bps, mainly due to a loan contraction and the</w:t>
      </w:r>
    </w:p>
    <w:p>
      <w:pPr>
        <w:spacing w:after="0" w:line="234" w:lineRule="auto"/>
        <w:rPr>
          <w:sz w:val="20"/>
          <w:szCs w:val="20"/>
          <w:color w:val="auto"/>
        </w:rPr>
      </w:pPr>
      <w:r>
        <w:rPr>
          <w:rFonts w:ascii="Arial" w:cs="Arial" w:eastAsia="Arial" w:hAnsi="Arial"/>
          <w:sz w:val="18"/>
          <w:szCs w:val="18"/>
          <w:color w:val="auto"/>
        </w:rPr>
        <w:t>aforementioned NPL volume dynamics. YoY, the NPL Ratio rose 77</w:t>
      </w:r>
    </w:p>
    <w:p>
      <w:pPr>
        <w:spacing w:after="0" w:line="235" w:lineRule="auto"/>
        <w:rPr>
          <w:sz w:val="20"/>
          <w:szCs w:val="20"/>
          <w:color w:val="auto"/>
        </w:rPr>
      </w:pPr>
      <w:r>
        <w:rPr>
          <w:rFonts w:ascii="Arial" w:cs="Arial" w:eastAsia="Arial" w:hAnsi="Arial"/>
          <w:sz w:val="18"/>
          <w:szCs w:val="18"/>
          <w:color w:val="auto"/>
        </w:rPr>
        <w:t>bps, fueled mainly by the aforementioned increase in the NPL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and secondarily, by a loan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-10160</wp:posOffset>
            </wp:positionV>
            <wp:extent cx="3454400" cy="2014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54400" cy="2014855"/>
                    </a:xfrm>
                    <a:prstGeom prst="rect">
                      <a:avLst/>
                    </a:prstGeom>
                    <a:noFill/>
                  </pic:spPr>
                </pic:pic>
              </a:graphicData>
            </a:graphic>
          </wp:anchor>
        </w:drawing>
      </w:r>
    </w:p>
    <w:p>
      <w:pPr>
        <w:spacing w:after="0" w:line="174" w:lineRule="exact"/>
        <w:rPr>
          <w:sz w:val="20"/>
          <w:szCs w:val="20"/>
          <w:color w:val="auto"/>
        </w:rPr>
      </w:pPr>
    </w:p>
    <w:p>
      <w:pPr>
        <w:jc w:val="both"/>
        <w:ind w:right="5840"/>
        <w:spacing w:after="0" w:line="237" w:lineRule="auto"/>
        <w:rPr>
          <w:sz w:val="20"/>
          <w:szCs w:val="20"/>
          <w:color w:val="auto"/>
        </w:rPr>
      </w:pPr>
      <w:r>
        <w:rPr>
          <w:rFonts w:ascii="Arial" w:cs="Arial" w:eastAsia="Arial" w:hAnsi="Arial"/>
          <w:sz w:val="18"/>
          <w:szCs w:val="18"/>
          <w:color w:val="auto"/>
        </w:rPr>
        <w:t>Provisions this quarter reflected the impact of a reversal of approximately S/250MM in provisions for the El Niño Phenomenon. Throughout this report, our analysis of provision expenses and Cost of Risk will isolate the impact of El Niño provisions registered in 4Q23 and reversed in 1Q24. If we isolate this effect, provisions rose 16.0% QoQ, driven by BCP, and to lesser extent, by Mibanco. At BCP, the following dynamics were noteworthy: i) Mortgage, due to a base effect given that in 4Q23, reversals were reported for specific sub-products and; ii) SME-Pyme, in line with an increase in write-offs (loans that were not 100% provisioned) and with estimates that risk levels rose due to a deterioration in client payment capacities. At Mibanco, the following points were noteworthy: i) a deterioration in the portfolio, particularly in old vintages. YoY, isolating the impact of the aforementioned provision reversal, provisions rise 46.9%, driven by i) SME-Pyme and Credit Cards, which were impacted by a deterioration in payment capacity, and by ii) Consumer, in line with a downturn in payment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we isolate the effect of El Niño Provisions, the Cost of Risk rose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3.0%. While the NPL Coverage Ratio, in turn, stood at 93.5%.</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0" w:name="page11"/>
    <w:bookmarkEnd w:id="10"/>
    <w:p>
      <w:pPr>
        <w:jc w:val="right"/>
        <w:ind w:right="5720"/>
        <w:spacing w:after="0"/>
        <w:tabs>
          <w:tab w:leader="none" w:pos="826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3214370" cy="2245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4370" cy="2245995"/>
                    </a:xfrm>
                    <a:prstGeom prst="rect">
                      <a:avLst/>
                    </a:prstGeom>
                    <a:noFill/>
                  </pic:spPr>
                </pic:pic>
              </a:graphicData>
            </a:graphic>
          </wp:anchor>
        </w:drawing>
      </w:r>
    </w:p>
    <w:p>
      <w:pPr>
        <w:spacing w:after="0" w:line="202" w:lineRule="exact"/>
        <w:rPr>
          <w:sz w:val="20"/>
          <w:szCs w:val="20"/>
          <w:color w:val="auto"/>
        </w:rPr>
      </w:pPr>
    </w:p>
    <w:p>
      <w:pPr>
        <w:jc w:val="both"/>
        <w:ind w:right="5840"/>
        <w:spacing w:after="0" w:line="224" w:lineRule="auto"/>
        <w:rPr>
          <w:sz w:val="20"/>
          <w:szCs w:val="20"/>
          <w:color w:val="auto"/>
        </w:rPr>
      </w:pPr>
      <w:r>
        <w:rPr>
          <w:rFonts w:ascii="Arial" w:cs="Arial" w:eastAsia="Arial" w:hAnsi="Arial"/>
          <w:sz w:val="18"/>
          <w:szCs w:val="18"/>
          <w:color w:val="auto"/>
        </w:rPr>
        <w:t>Other Core Income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increased 2.0% QoQ, driven primarily by BCP. Noteworthy drivers of the increase were the growth in credit cards transactions through the e-commerce channel and, secondarily, the uptick in transactions through Yape. YoY, Other Core Income rose 8.7%, spurred primarily by BCP, driven by solid growth in fee income through Yape and an uptick in transactions via credit and debit cards, and secondarily, by Credicorp Capital, via an uptick in fee income.</w:t>
      </w:r>
    </w:p>
    <w:p>
      <w:pPr>
        <w:spacing w:after="0" w:line="172" w:lineRule="exact"/>
        <w:rPr>
          <w:sz w:val="20"/>
          <w:szCs w:val="20"/>
          <w:color w:val="auto"/>
        </w:rPr>
      </w:pPr>
    </w:p>
    <w:p>
      <w:pPr>
        <w:jc w:val="both"/>
        <w:ind w:right="5840"/>
        <w:spacing w:after="0" w:line="215" w:lineRule="auto"/>
        <w:rPr>
          <w:sz w:val="20"/>
          <w:szCs w:val="20"/>
          <w:color w:val="auto"/>
        </w:rPr>
      </w:pPr>
      <w:r>
        <w:rPr>
          <w:rFonts w:ascii="Arial" w:cs="Arial" w:eastAsia="Arial" w:hAnsi="Arial"/>
          <w:sz w:val="18"/>
          <w:szCs w:val="18"/>
          <w:color w:val="auto"/>
        </w:rPr>
        <w:t>Other Non-Core Income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dropped 18.4% QoQ, due to a drop in the Gain on Securities at BCP and Pacifico. YoY, Other Non-Ordinary income rose 13.6%, driven by an uptick in the Gain on Derivatives at Credicorp Capital and ASB.</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 See calculation formula in Annex 12.7.</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Insurance Underwriting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3008630" cy="323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8630" cy="3231515"/>
                    </a:xfrm>
                    <a:prstGeom prst="rect">
                      <a:avLst/>
                    </a:prstGeom>
                    <a:noFill/>
                  </pic:spPr>
                </pic:pic>
              </a:graphicData>
            </a:graphic>
          </wp:anchor>
        </w:drawing>
      </w:r>
    </w:p>
    <w:p>
      <w:pPr>
        <w:spacing w:after="0" w:line="211" w:lineRule="exact"/>
        <w:rPr>
          <w:sz w:val="20"/>
          <w:szCs w:val="20"/>
          <w:color w:val="auto"/>
        </w:rPr>
      </w:pPr>
    </w:p>
    <w:p>
      <w:pPr>
        <w:jc w:val="both"/>
        <w:ind w:right="5840"/>
        <w:spacing w:after="0" w:line="247" w:lineRule="auto"/>
        <w:rPr>
          <w:sz w:val="20"/>
          <w:szCs w:val="20"/>
          <w:color w:val="auto"/>
        </w:rPr>
      </w:pPr>
      <w:r>
        <w:rPr>
          <w:rFonts w:ascii="Arial" w:cs="Arial" w:eastAsia="Arial" w:hAnsi="Arial"/>
          <w:sz w:val="18"/>
          <w:szCs w:val="18"/>
          <w:color w:val="auto"/>
        </w:rPr>
        <w:t>The Insurance Underwriting Result dropped 2.9% QoQ. This evolution was triggered by a drop in the underwriting result in the Life business, which was impacted by a reduction in income through D&amp;S and Credit Life.</w:t>
      </w:r>
    </w:p>
    <w:p>
      <w:pPr>
        <w:spacing w:after="0" w:line="174" w:lineRule="exact"/>
        <w:rPr>
          <w:sz w:val="20"/>
          <w:szCs w:val="20"/>
          <w:color w:val="auto"/>
        </w:rPr>
      </w:pPr>
    </w:p>
    <w:p>
      <w:pPr>
        <w:jc w:val="both"/>
        <w:ind w:right="5840"/>
        <w:spacing w:after="0" w:line="253" w:lineRule="auto"/>
        <w:rPr>
          <w:sz w:val="20"/>
          <w:szCs w:val="20"/>
          <w:color w:val="auto"/>
        </w:rPr>
      </w:pPr>
      <w:r>
        <w:rPr>
          <w:rFonts w:ascii="Arial" w:cs="Arial" w:eastAsia="Arial" w:hAnsi="Arial"/>
          <w:sz w:val="18"/>
          <w:szCs w:val="18"/>
          <w:color w:val="auto"/>
        </w:rPr>
        <w:t>YoY, the Insurance Underwriting Result decreased 5.8%, driven by a lower underwriting result in Life, which was mainly attributable to a reduction in income from the D&amp;S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8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1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64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1" w:name="page12"/>
    <w:bookmarkEnd w:id="11"/>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2854325" cy="1697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1697355"/>
                    </a:xfrm>
                    <a:prstGeom prst="rect">
                      <a:avLst/>
                    </a:prstGeom>
                    <a:noFill/>
                  </pic:spPr>
                </pic:pic>
              </a:graphicData>
            </a:graphic>
          </wp:anchor>
        </w:drawing>
      </w:r>
    </w:p>
    <w:p>
      <w:pPr>
        <w:spacing w:after="0" w:line="211" w:lineRule="exact"/>
        <w:rPr>
          <w:sz w:val="20"/>
          <w:szCs w:val="20"/>
          <w:color w:val="auto"/>
        </w:rPr>
      </w:pPr>
    </w:p>
    <w:p>
      <w:pPr>
        <w:jc w:val="both"/>
        <w:ind w:right="5840"/>
        <w:spacing w:after="0" w:line="253" w:lineRule="auto"/>
        <w:rPr>
          <w:sz w:val="20"/>
          <w:szCs w:val="20"/>
          <w:color w:val="auto"/>
        </w:rPr>
      </w:pPr>
      <w:r>
        <w:rPr>
          <w:rFonts w:ascii="Arial" w:cs="Arial" w:eastAsia="Arial" w:hAnsi="Arial"/>
          <w:sz w:val="18"/>
          <w:szCs w:val="18"/>
          <w:color w:val="auto"/>
        </w:rPr>
        <w:t>In 1Q24, the Efficiency ratio stood at 43.6%, which reflects an improvement of 70 bps with regard to 1Q23. This dynamic was driven by the positive operating leverage, mainly at BCP.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Net earnings attributable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-166370</wp:posOffset>
            </wp:positionV>
            <wp:extent cx="3154680" cy="1800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54680" cy="1800225"/>
                    </a:xfrm>
                    <a:prstGeom prst="rect">
                      <a:avLst/>
                    </a:prstGeom>
                    <a:noFill/>
                  </pic:spPr>
                </pic:pic>
              </a:graphicData>
            </a:graphic>
          </wp:anchor>
        </w:drawing>
      </w:r>
    </w:p>
    <w:p>
      <w:pPr>
        <w:spacing w:after="0" w:line="211" w:lineRule="exact"/>
        <w:rPr>
          <w:sz w:val="20"/>
          <w:szCs w:val="20"/>
          <w:color w:val="auto"/>
        </w:rPr>
      </w:pPr>
    </w:p>
    <w:p>
      <w:pPr>
        <w:jc w:val="both"/>
        <w:ind w:right="5840"/>
        <w:spacing w:after="0" w:line="247" w:lineRule="auto"/>
        <w:rPr>
          <w:sz w:val="20"/>
          <w:szCs w:val="20"/>
          <w:color w:val="auto"/>
        </w:rPr>
      </w:pPr>
      <w:r>
        <w:rPr>
          <w:rFonts w:ascii="Arial" w:cs="Arial" w:eastAsia="Arial" w:hAnsi="Arial"/>
          <w:sz w:val="18"/>
          <w:szCs w:val="18"/>
          <w:color w:val="auto"/>
        </w:rPr>
        <w:t>In 1Q24, net income attributable to Credicorp totaled S/1,511.7 million, up 79.6% QoQ and 9.2% YoY. Net Shareholders’ Equity stood at S/33,853 million (+4.3% QoQ and +11.5% YoY). In this context, ROE reached 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9D2C8"/>
        </w:rPr>
        <w:t>Contributions and ROE by subsidiary in 1Q24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9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139065</wp:posOffset>
            </wp:positionV>
            <wp:extent cx="6000750" cy="2511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BCP Stand Alone, the figure is lower than net income because it does not include gains on investments in other Credicorp subsidiaries (Mibanco).</w:t>
      </w:r>
    </w:p>
    <w:p>
      <w:pPr>
        <w:ind w:left="340" w:hanging="332"/>
        <w:spacing w:after="0" w:line="216"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Mibanco, the figure is lower than net income because Credicorp owns 99.921% of Mibanco (directly and indirectly).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Contribution of Grupo Pacífico presented here is higher than the earnings reported for Pacifico Seguros because it includes 100% of Crediseguros (including 48% under Grupo Credito)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2" w:name="page13"/>
    <w:bookmarkEnd w:id="12"/>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754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203200</wp:posOffset>
            </wp:positionV>
            <wp:extent cx="6000750" cy="7329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0"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4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631"/>
        </w:trPr>
        <w:tc>
          <w:tcPr>
            <w:tcW w:w="9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FFFFFF"/>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754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99" w:lineRule="exact"/>
        <w:rPr>
          <w:sz w:val="20"/>
          <w:szCs w:val="20"/>
          <w:color w:val="auto"/>
        </w:rPr>
      </w:pPr>
    </w:p>
    <w:p>
      <w:pPr>
        <w:ind w:left="2720"/>
        <w:spacing w:after="0"/>
        <w:tabs>
          <w:tab w:leader="none" w:pos="2940" w:val="left"/>
        </w:tabs>
        <w:rPr>
          <w:sz w:val="20"/>
          <w:szCs w:val="20"/>
          <w:color w:val="auto"/>
        </w:rPr>
      </w:pPr>
      <w:r>
        <w:rPr>
          <w:rFonts w:ascii="Arial" w:cs="Arial" w:eastAsia="Arial" w:hAnsi="Arial"/>
          <w:sz w:val="20"/>
          <w:szCs w:val="20"/>
          <w:color w:val="A6A6A6"/>
        </w:rPr>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4723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72313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460" w:type="dxa"/>
            <w:vAlign w:val="bottom"/>
            <w:tcBorders>
              <w:top w:val="single" w:sz="8" w:color="auto"/>
            </w:tcBorders>
            <w:shd w:val="clear" w:color="auto" w:fill="2AD2C9"/>
          </w:tcPr>
          <w:p>
            <w:pPr>
              <w:ind w:left="60"/>
              <w:spacing w:after="0" w:line="131" w:lineRule="exact"/>
              <w:rPr>
                <w:sz w:val="20"/>
                <w:szCs w:val="20"/>
                <w:color w:val="auto"/>
              </w:rPr>
            </w:pPr>
            <w:r>
              <w:rPr>
                <w:rFonts w:ascii="Arial" w:cs="Arial" w:eastAsia="Arial" w:hAnsi="Arial"/>
                <w:sz w:val="13"/>
                <w:szCs w:val="13"/>
                <w:b w:val="1"/>
                <w:bCs w:val="1"/>
                <w:color w:val="FFFFFF"/>
              </w:rPr>
              <w:t>Credicorp Ltd.</w:t>
            </w:r>
          </w:p>
        </w:tc>
        <w:tc>
          <w:tcPr>
            <w:tcW w:w="1360" w:type="dxa"/>
            <w:vAlign w:val="bottom"/>
            <w:tcBorders>
              <w:top w:val="single" w:sz="8" w:color="auto"/>
            </w:tcBorders>
            <w:vMerge w:val="restart"/>
            <w:shd w:val="clear" w:color="auto" w:fill="2AD2C9"/>
          </w:tcPr>
          <w:p>
            <w:pPr>
              <w:jc w:val="right"/>
              <w:ind w:right="497"/>
              <w:spacing w:after="0"/>
              <w:rPr>
                <w:sz w:val="20"/>
                <w:szCs w:val="20"/>
                <w:color w:val="auto"/>
              </w:rPr>
            </w:pPr>
            <w:r>
              <w:rPr>
                <w:rFonts w:ascii="Arial" w:cs="Arial" w:eastAsia="Arial" w:hAnsi="Arial"/>
                <w:sz w:val="13"/>
                <w:szCs w:val="13"/>
                <w:b w:val="1"/>
                <w:bCs w:val="1"/>
                <w:color w:val="FFFFFF"/>
              </w:rPr>
              <w:t>1Q23</w:t>
            </w:r>
          </w:p>
        </w:tc>
        <w:tc>
          <w:tcPr>
            <w:tcW w:w="1220" w:type="dxa"/>
            <w:vAlign w:val="bottom"/>
            <w:tcBorders>
              <w:top w:val="single" w:sz="8" w:color="auto"/>
            </w:tcBorders>
            <w:shd w:val="clear" w:color="auto" w:fill="2AD2C9"/>
          </w:tcPr>
          <w:p>
            <w:pPr>
              <w:jc w:val="right"/>
              <w:ind w:right="477"/>
              <w:spacing w:after="0" w:line="131" w:lineRule="exact"/>
              <w:rPr>
                <w:sz w:val="20"/>
                <w:szCs w:val="20"/>
                <w:color w:val="auto"/>
              </w:rPr>
            </w:pPr>
            <w:r>
              <w:rPr>
                <w:rFonts w:ascii="Arial" w:cs="Arial" w:eastAsia="Arial" w:hAnsi="Arial"/>
                <w:sz w:val="13"/>
                <w:szCs w:val="13"/>
                <w:b w:val="1"/>
                <w:bCs w:val="1"/>
                <w:color w:val="FFFFFF"/>
              </w:rPr>
              <w:t>Quarter</w:t>
            </w:r>
          </w:p>
        </w:tc>
        <w:tc>
          <w:tcPr>
            <w:tcW w:w="1080" w:type="dxa"/>
            <w:vAlign w:val="bottom"/>
            <w:tcBorders>
              <w:top w:val="single" w:sz="8" w:color="auto"/>
            </w:tcBorders>
            <w:vMerge w:val="restart"/>
            <w:shd w:val="clear" w:color="auto" w:fill="2AD2C9"/>
          </w:tcPr>
          <w:p>
            <w:pPr>
              <w:jc w:val="right"/>
              <w:ind w:right="477"/>
              <w:spacing w:after="0"/>
              <w:rPr>
                <w:sz w:val="20"/>
                <w:szCs w:val="20"/>
                <w:color w:val="auto"/>
              </w:rPr>
            </w:pPr>
            <w:r>
              <w:rPr>
                <w:rFonts w:ascii="Arial" w:cs="Arial" w:eastAsia="Arial" w:hAnsi="Arial"/>
                <w:sz w:val="13"/>
                <w:szCs w:val="13"/>
                <w:b w:val="1"/>
                <w:bCs w:val="1"/>
                <w:color w:val="FFFFFF"/>
              </w:rPr>
              <w:t>1Q24</w:t>
            </w:r>
          </w:p>
        </w:tc>
        <w:tc>
          <w:tcPr>
            <w:tcW w:w="680" w:type="dxa"/>
            <w:vAlign w:val="bottom"/>
            <w:tcBorders>
              <w:top w:val="single" w:sz="8" w:color="auto"/>
            </w:tcBorders>
            <w:vMerge w:val="restart"/>
            <w:shd w:val="clear" w:color="auto" w:fill="2AD2C9"/>
          </w:tcPr>
          <w:p>
            <w:pPr>
              <w:jc w:val="center"/>
              <w:ind w:left="117"/>
              <w:spacing w:after="0"/>
              <w:rPr>
                <w:sz w:val="20"/>
                <w:szCs w:val="20"/>
                <w:color w:val="auto"/>
              </w:rPr>
            </w:pPr>
            <w:r>
              <w:rPr>
                <w:rFonts w:ascii="Arial" w:cs="Arial" w:eastAsia="Arial" w:hAnsi="Arial"/>
                <w:sz w:val="13"/>
                <w:szCs w:val="13"/>
                <w:b w:val="1"/>
                <w:bCs w:val="1"/>
                <w:color w:val="FFFFFF"/>
                <w:w w:val="92"/>
              </w:rPr>
              <w:t>QoQ</w:t>
            </w:r>
          </w:p>
        </w:tc>
        <w:tc>
          <w:tcPr>
            <w:tcW w:w="1420" w:type="dxa"/>
            <w:vAlign w:val="bottom"/>
            <w:tcBorders>
              <w:top w:val="single" w:sz="8" w:color="auto"/>
            </w:tcBorders>
            <w:shd w:val="clear" w:color="auto" w:fill="2AD2C9"/>
          </w:tcPr>
          <w:p>
            <w:pPr>
              <w:ind w:left="20"/>
              <w:spacing w:after="0" w:line="131" w:lineRule="exact"/>
              <w:rPr>
                <w:sz w:val="20"/>
                <w:szCs w:val="20"/>
                <w:color w:val="auto"/>
              </w:rPr>
            </w:pPr>
            <w:r>
              <w:rPr>
                <w:rFonts w:ascii="Arial" w:cs="Arial" w:eastAsia="Arial" w:hAnsi="Arial"/>
                <w:sz w:val="13"/>
                <w:szCs w:val="13"/>
                <w:b w:val="1"/>
                <w:bCs w:val="1"/>
                <w:color w:val="FFFFFF"/>
              </w:rPr>
              <w:t>% change</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S/000</w:t>
            </w:r>
          </w:p>
        </w:tc>
        <w:tc>
          <w:tcPr>
            <w:tcW w:w="1360" w:type="dxa"/>
            <w:vAlign w:val="bottom"/>
            <w:tcBorders>
              <w:bottom w:val="single" w:sz="8" w:color="auto"/>
            </w:tcBorders>
            <w:vMerge w:val="continue"/>
            <w:shd w:val="clear" w:color="auto" w:fill="2AD2C9"/>
          </w:tcPr>
          <w:p>
            <w:pPr>
              <w:spacing w:after="0"/>
              <w:rPr>
                <w:sz w:val="13"/>
                <w:szCs w:val="13"/>
                <w:color w:val="auto"/>
              </w:rPr>
            </w:pPr>
          </w:p>
        </w:tc>
        <w:tc>
          <w:tcPr>
            <w:tcW w:w="1220" w:type="dxa"/>
            <w:vAlign w:val="bottom"/>
            <w:tcBorders>
              <w:bottom w:val="single" w:sz="8" w:color="auto"/>
            </w:tcBorders>
            <w:shd w:val="clear" w:color="auto" w:fill="2AD2C9"/>
          </w:tcPr>
          <w:p>
            <w:pPr>
              <w:jc w:val="right"/>
              <w:ind w:right="577"/>
              <w:spacing w:after="0"/>
              <w:rPr>
                <w:sz w:val="20"/>
                <w:szCs w:val="20"/>
                <w:color w:val="auto"/>
              </w:rPr>
            </w:pPr>
            <w:r>
              <w:rPr>
                <w:rFonts w:ascii="Arial" w:cs="Arial" w:eastAsia="Arial" w:hAnsi="Arial"/>
                <w:sz w:val="13"/>
                <w:szCs w:val="13"/>
                <w:b w:val="1"/>
                <w:bCs w:val="1"/>
                <w:color w:val="FFFFFF"/>
              </w:rPr>
              <w:t>4Q23</w:t>
            </w:r>
          </w:p>
        </w:tc>
        <w:tc>
          <w:tcPr>
            <w:tcW w:w="1080" w:type="dxa"/>
            <w:vAlign w:val="bottom"/>
            <w:tcBorders>
              <w:bottom w:val="single" w:sz="8" w:color="auto"/>
            </w:tcBorders>
            <w:vMerge w:val="continue"/>
            <w:shd w:val="clear" w:color="auto" w:fill="2AD2C9"/>
          </w:tcPr>
          <w:p>
            <w:pPr>
              <w:spacing w:after="0"/>
              <w:rPr>
                <w:sz w:val="13"/>
                <w:szCs w:val="13"/>
                <w:color w:val="auto"/>
              </w:rPr>
            </w:pPr>
          </w:p>
        </w:tc>
        <w:tc>
          <w:tcPr>
            <w:tcW w:w="680" w:type="dxa"/>
            <w:vAlign w:val="bottom"/>
            <w:tcBorders>
              <w:bottom w:val="single" w:sz="8" w:color="auto"/>
            </w:tcBorders>
            <w:vMerge w:val="continue"/>
            <w:shd w:val="clear" w:color="auto" w:fill="2AD2C9"/>
          </w:tcPr>
          <w:p>
            <w:pPr>
              <w:spacing w:after="0"/>
              <w:rPr>
                <w:sz w:val="13"/>
                <w:szCs w:val="13"/>
                <w:color w:val="auto"/>
              </w:rPr>
            </w:pPr>
          </w:p>
        </w:tc>
        <w:tc>
          <w:tcPr>
            <w:tcW w:w="1420" w:type="dxa"/>
            <w:vAlign w:val="bottom"/>
            <w:tcBorders>
              <w:bottom w:val="single" w:sz="8" w:color="auto"/>
            </w:tcBorders>
            <w:shd w:val="clear" w:color="auto" w:fill="2AD2C9"/>
          </w:tcPr>
          <w:p>
            <w:pPr>
              <w:jc w:val="center"/>
              <w:ind w:left="237"/>
              <w:spacing w:after="0"/>
              <w:rPr>
                <w:sz w:val="20"/>
                <w:szCs w:val="20"/>
                <w:color w:val="auto"/>
              </w:rPr>
            </w:pPr>
            <w:r>
              <w:rPr>
                <w:rFonts w:ascii="Arial" w:cs="Arial" w:eastAsia="Arial" w:hAnsi="Arial"/>
                <w:sz w:val="13"/>
                <w:szCs w:val="13"/>
                <w:b w:val="1"/>
                <w:bCs w:val="1"/>
                <w:color w:val="FFFFFF"/>
                <w:w w:val="94"/>
              </w:rPr>
              <w:t>YoY</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60" w:type="dxa"/>
            <w:vAlign w:val="bottom"/>
          </w:tcPr>
          <w:p>
            <w:pPr>
              <w:ind w:left="60"/>
              <w:spacing w:after="0"/>
              <w:rPr>
                <w:sz w:val="20"/>
                <w:szCs w:val="20"/>
                <w:color w:val="auto"/>
              </w:rPr>
            </w:pPr>
            <w:r>
              <w:rPr>
                <w:rFonts w:ascii="Arial" w:cs="Arial" w:eastAsia="Arial" w:hAnsi="Arial"/>
                <w:sz w:val="13"/>
                <w:szCs w:val="13"/>
                <w:color w:val="auto"/>
              </w:rPr>
              <w:t>Net interest, similar income and expenses</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3,132,089</w:t>
            </w:r>
          </w:p>
        </w:tc>
        <w:tc>
          <w:tcPr>
            <w:tcW w:w="1220" w:type="dxa"/>
            <w:vAlign w:val="bottom"/>
          </w:tcPr>
          <w:p>
            <w:pPr>
              <w:jc w:val="right"/>
              <w:ind w:right="157"/>
              <w:spacing w:after="0"/>
              <w:rPr>
                <w:sz w:val="20"/>
                <w:szCs w:val="20"/>
                <w:color w:val="auto"/>
              </w:rPr>
            </w:pPr>
            <w:r>
              <w:rPr>
                <w:rFonts w:ascii="Arial" w:cs="Arial" w:eastAsia="Arial" w:hAnsi="Arial"/>
                <w:sz w:val="13"/>
                <w:szCs w:val="13"/>
                <w:color w:val="auto"/>
              </w:rPr>
              <w:t>3,347,684</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3,426,123</w:t>
            </w:r>
          </w:p>
        </w:tc>
        <w:tc>
          <w:tcPr>
            <w:tcW w:w="680" w:type="dxa"/>
            <w:vAlign w:val="bottom"/>
          </w:tcPr>
          <w:p>
            <w:pPr>
              <w:jc w:val="center"/>
              <w:ind w:left="117"/>
              <w:spacing w:after="0"/>
              <w:rPr>
                <w:sz w:val="20"/>
                <w:szCs w:val="20"/>
                <w:color w:val="auto"/>
              </w:rPr>
            </w:pPr>
            <w:r>
              <w:rPr>
                <w:rFonts w:ascii="Arial" w:cs="Arial" w:eastAsia="Arial" w:hAnsi="Arial"/>
                <w:sz w:val="13"/>
                <w:szCs w:val="13"/>
                <w:color w:val="auto"/>
              </w:rPr>
              <w:t>2.3%</w:t>
            </w:r>
          </w:p>
        </w:tc>
        <w:tc>
          <w:tcPr>
            <w:tcW w:w="1420" w:type="dxa"/>
            <w:vAlign w:val="bottom"/>
          </w:tcPr>
          <w:p>
            <w:pPr>
              <w:jc w:val="center"/>
              <w:ind w:left="237"/>
              <w:spacing w:after="0"/>
              <w:rPr>
                <w:sz w:val="20"/>
                <w:szCs w:val="20"/>
                <w:color w:val="auto"/>
              </w:rPr>
            </w:pPr>
            <w:r>
              <w:rPr>
                <w:rFonts w:ascii="Arial" w:cs="Arial" w:eastAsia="Arial" w:hAnsi="Arial"/>
                <w:sz w:val="13"/>
                <w:szCs w:val="13"/>
                <w:color w:val="auto"/>
                <w:w w:val="94"/>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460" w:type="dxa"/>
            <w:vAlign w:val="bottom"/>
          </w:tcPr>
          <w:p>
            <w:pPr>
              <w:ind w:left="60"/>
              <w:spacing w:after="0"/>
              <w:rPr>
                <w:sz w:val="20"/>
                <w:szCs w:val="20"/>
                <w:color w:val="auto"/>
              </w:rPr>
            </w:pPr>
            <w:r>
              <w:rPr>
                <w:rFonts w:ascii="Arial" w:cs="Arial" w:eastAsia="Arial" w:hAnsi="Arial"/>
                <w:sz w:val="13"/>
                <w:szCs w:val="13"/>
                <w:color w:val="auto"/>
              </w:rPr>
              <w:t>Provision for credit losses on loan portfolio, net of recoveries</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(726,998)</w:t>
            </w:r>
          </w:p>
        </w:tc>
        <w:tc>
          <w:tcPr>
            <w:tcW w:w="1220" w:type="dxa"/>
            <w:vAlign w:val="bottom"/>
          </w:tcPr>
          <w:p>
            <w:pPr>
              <w:jc w:val="right"/>
              <w:ind w:right="157"/>
              <w:spacing w:after="0"/>
              <w:rPr>
                <w:sz w:val="20"/>
                <w:szCs w:val="20"/>
                <w:color w:val="auto"/>
              </w:rPr>
            </w:pPr>
            <w:r>
              <w:rPr>
                <w:rFonts w:ascii="Arial" w:cs="Arial" w:eastAsia="Arial" w:hAnsi="Arial"/>
                <w:sz w:val="13"/>
                <w:szCs w:val="13"/>
                <w:color w:val="auto"/>
              </w:rPr>
              <w:t>(1,173,454)</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(814,699)</w:t>
            </w:r>
          </w:p>
        </w:tc>
        <w:tc>
          <w:tcPr>
            <w:tcW w:w="680" w:type="dxa"/>
            <w:vAlign w:val="bottom"/>
          </w:tcPr>
          <w:p>
            <w:pPr>
              <w:jc w:val="center"/>
              <w:ind w:left="137"/>
              <w:spacing w:after="0"/>
              <w:rPr>
                <w:sz w:val="20"/>
                <w:szCs w:val="20"/>
                <w:color w:val="auto"/>
              </w:rPr>
            </w:pPr>
            <w:r>
              <w:rPr>
                <w:rFonts w:ascii="Arial" w:cs="Arial" w:eastAsia="Arial" w:hAnsi="Arial"/>
                <w:sz w:val="13"/>
                <w:szCs w:val="13"/>
                <w:color w:val="auto"/>
                <w:w w:val="97"/>
              </w:rPr>
              <w:t>-30.6%</w:t>
            </w:r>
          </w:p>
        </w:tc>
        <w:tc>
          <w:tcPr>
            <w:tcW w:w="1420" w:type="dxa"/>
            <w:vAlign w:val="bottom"/>
          </w:tcPr>
          <w:p>
            <w:pPr>
              <w:jc w:val="center"/>
              <w:ind w:left="237"/>
              <w:spacing w:after="0"/>
              <w:rPr>
                <w:sz w:val="20"/>
                <w:szCs w:val="20"/>
                <w:color w:val="auto"/>
              </w:rPr>
            </w:pPr>
            <w:r>
              <w:rPr>
                <w:rFonts w:ascii="Arial" w:cs="Arial" w:eastAsia="Arial" w:hAnsi="Arial"/>
                <w:sz w:val="13"/>
                <w:szCs w:val="13"/>
                <w:color w:val="auto"/>
                <w:w w:val="97"/>
              </w:rPr>
              <w:t>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60"/>
              <w:spacing w:after="0"/>
              <w:rPr>
                <w:sz w:val="20"/>
                <w:szCs w:val="20"/>
                <w:color w:val="auto"/>
              </w:rPr>
            </w:pPr>
            <w:r>
              <w:rPr>
                <w:rFonts w:ascii="Arial" w:cs="Arial" w:eastAsia="Arial" w:hAnsi="Arial"/>
                <w:sz w:val="13"/>
                <w:szCs w:val="13"/>
                <w:b w:val="1"/>
                <w:bCs w:val="1"/>
                <w:color w:val="auto"/>
              </w:rPr>
              <w:t>Net interest, similar income and expenses, after provision for credit losses on loan</w:t>
            </w:r>
          </w:p>
        </w:tc>
        <w:tc>
          <w:tcPr>
            <w:tcW w:w="13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2,405,091</w:t>
            </w:r>
          </w:p>
        </w:tc>
        <w:tc>
          <w:tcPr>
            <w:tcW w:w="12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2,174,230</w:t>
            </w:r>
          </w:p>
        </w:tc>
        <w:tc>
          <w:tcPr>
            <w:tcW w:w="10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2,611,424</w:t>
            </w:r>
          </w:p>
        </w:tc>
        <w:tc>
          <w:tcPr>
            <w:tcW w:w="68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auto"/>
                <w:w w:val="97"/>
              </w:rPr>
              <w:t>20.1%</w:t>
            </w:r>
          </w:p>
        </w:tc>
        <w:tc>
          <w:tcPr>
            <w:tcW w:w="1420" w:type="dxa"/>
            <w:vAlign w:val="bottom"/>
            <w:vMerge w:val="restart"/>
          </w:tcPr>
          <w:p>
            <w:pPr>
              <w:jc w:val="center"/>
              <w:ind w:left="237"/>
              <w:spacing w:after="0"/>
              <w:rPr>
                <w:sz w:val="20"/>
                <w:szCs w:val="20"/>
                <w:color w:val="auto"/>
              </w:rPr>
            </w:pPr>
            <w:r>
              <w:rPr>
                <w:rFonts w:ascii="Arial" w:cs="Arial" w:eastAsia="Arial" w:hAnsi="Arial"/>
                <w:sz w:val="13"/>
                <w:szCs w:val="13"/>
                <w:b w:val="1"/>
                <w:bCs w:val="1"/>
                <w:color w:val="auto"/>
                <w:w w:val="94"/>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54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portfolio</w:t>
            </w:r>
          </w:p>
        </w:tc>
        <w:tc>
          <w:tcPr>
            <w:tcW w:w="13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6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460" w:type="dxa"/>
            <w:vAlign w:val="bottom"/>
          </w:tcPr>
          <w:p>
            <w:pPr>
              <w:ind w:left="60"/>
              <w:spacing w:after="0"/>
              <w:rPr>
                <w:sz w:val="20"/>
                <w:szCs w:val="20"/>
                <w:color w:val="auto"/>
              </w:rPr>
            </w:pPr>
            <w:r>
              <w:rPr>
                <w:rFonts w:ascii="Arial" w:cs="Arial" w:eastAsia="Arial" w:hAnsi="Arial"/>
                <w:sz w:val="13"/>
                <w:szCs w:val="13"/>
                <w:color w:val="auto"/>
              </w:rPr>
              <w:t>Other income</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1,333,275</w:t>
            </w:r>
          </w:p>
        </w:tc>
        <w:tc>
          <w:tcPr>
            <w:tcW w:w="1220" w:type="dxa"/>
            <w:vAlign w:val="bottom"/>
          </w:tcPr>
          <w:p>
            <w:pPr>
              <w:jc w:val="right"/>
              <w:ind w:right="157"/>
              <w:spacing w:after="0"/>
              <w:rPr>
                <w:sz w:val="20"/>
                <w:szCs w:val="20"/>
                <w:color w:val="auto"/>
              </w:rPr>
            </w:pPr>
            <w:r>
              <w:rPr>
                <w:rFonts w:ascii="Arial" w:cs="Arial" w:eastAsia="Arial" w:hAnsi="Arial"/>
                <w:sz w:val="13"/>
                <w:szCs w:val="13"/>
                <w:color w:val="auto"/>
              </w:rPr>
              <w:t>1,486,823</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1,459,394</w:t>
            </w:r>
          </w:p>
        </w:tc>
        <w:tc>
          <w:tcPr>
            <w:tcW w:w="680" w:type="dxa"/>
            <w:vAlign w:val="bottom"/>
          </w:tcPr>
          <w:p>
            <w:pPr>
              <w:jc w:val="center"/>
              <w:ind w:left="117"/>
              <w:spacing w:after="0"/>
              <w:rPr>
                <w:sz w:val="20"/>
                <w:szCs w:val="20"/>
                <w:color w:val="auto"/>
              </w:rPr>
            </w:pPr>
            <w:r>
              <w:rPr>
                <w:rFonts w:ascii="Arial" w:cs="Arial" w:eastAsia="Arial" w:hAnsi="Arial"/>
                <w:sz w:val="13"/>
                <w:szCs w:val="13"/>
                <w:color w:val="auto"/>
                <w:w w:val="99"/>
              </w:rPr>
              <w:t>-1.8%</w:t>
            </w:r>
          </w:p>
        </w:tc>
        <w:tc>
          <w:tcPr>
            <w:tcW w:w="1420" w:type="dxa"/>
            <w:vAlign w:val="bottom"/>
          </w:tcPr>
          <w:p>
            <w:pPr>
              <w:jc w:val="center"/>
              <w:ind w:left="237"/>
              <w:spacing w:after="0"/>
              <w:rPr>
                <w:sz w:val="20"/>
                <w:szCs w:val="20"/>
                <w:color w:val="auto"/>
              </w:rPr>
            </w:pPr>
            <w:r>
              <w:rPr>
                <w:rFonts w:ascii="Arial" w:cs="Arial" w:eastAsia="Arial" w:hAnsi="Arial"/>
                <w:sz w:val="13"/>
                <w:szCs w:val="13"/>
                <w:color w:val="auto"/>
                <w:w w:val="94"/>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Insurance underwriting result</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296,341</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287,295</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279,062</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9"/>
              </w:rPr>
              <w:t>-2.9%</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Total expenses</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(2,126,908)</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(2,661,542)</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(2,279,317)</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color w:val="auto"/>
                <w:w w:val="97"/>
              </w:rPr>
              <w:t>-14.4%</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4"/>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Profit before income tax</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1,907,799</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1,286,806</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2,070,563</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7"/>
              </w:rPr>
              <w:t>60.9%</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Income tax</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(493,466)</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(434,648)</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(528,466)</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color w:val="auto"/>
                <w:w w:val="97"/>
              </w:rPr>
              <w:t>21.6%</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4"/>
              </w:rPr>
              <w:t>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Net profit</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1,414,333</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852,158</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1,542,097</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7"/>
              </w:rPr>
              <w:t>81.0%</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Non-controlling interest</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30,060</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10,331</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30,440</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5"/>
              </w:rPr>
              <w:t>194.6%</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4"/>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Net profit attributable to Credicorp</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1,384,273</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841,827</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1,511,657</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7"/>
              </w:rPr>
              <w:t>79.6%</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Dividends distribution, net of treasury shares effect (S/000)</w:t>
            </w:r>
          </w:p>
        </w:tc>
        <w:tc>
          <w:tcPr>
            <w:tcW w:w="13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1"/>
              </w:rPr>
              <w:t>-</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Net income / share (S/)</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17.4</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10.6</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19.0</w:t>
            </w:r>
          </w:p>
        </w:tc>
        <w:tc>
          <w:tcPr>
            <w:tcW w:w="680" w:type="dxa"/>
            <w:vAlign w:val="bottom"/>
          </w:tcPr>
          <w:p>
            <w:pPr>
              <w:jc w:val="center"/>
              <w:ind w:left="137"/>
              <w:spacing w:after="0" w:line="135" w:lineRule="exact"/>
              <w:rPr>
                <w:sz w:val="20"/>
                <w:szCs w:val="20"/>
                <w:color w:val="auto"/>
              </w:rPr>
            </w:pPr>
            <w:r>
              <w:rPr>
                <w:rFonts w:ascii="Arial" w:cs="Arial" w:eastAsia="Arial" w:hAnsi="Arial"/>
                <w:sz w:val="13"/>
                <w:szCs w:val="13"/>
                <w:color w:val="auto"/>
                <w:w w:val="97"/>
              </w:rPr>
              <w:t>79.6%</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4"/>
              </w:rPr>
              <w:t>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Dividends per share</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color w:val="auto"/>
                <w:w w:val="91"/>
              </w:rPr>
              <w:t>-</w:t>
            </w:r>
          </w:p>
        </w:tc>
        <w:tc>
          <w:tcPr>
            <w:tcW w:w="142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color w:val="auto"/>
                <w:w w:val="91"/>
              </w:rPr>
              <w: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460" w:type="dxa"/>
            <w:vAlign w:val="bottom"/>
          </w:tcPr>
          <w:p>
            <w:pPr>
              <w:ind w:left="60"/>
              <w:spacing w:after="0" w:line="111" w:lineRule="exact"/>
              <w:rPr>
                <w:sz w:val="20"/>
                <w:szCs w:val="20"/>
                <w:color w:val="auto"/>
              </w:rPr>
            </w:pPr>
            <w:r>
              <w:rPr>
                <w:rFonts w:ascii="Arial" w:cs="Arial" w:eastAsia="Arial" w:hAnsi="Arial"/>
                <w:sz w:val="12"/>
                <w:szCs w:val="12"/>
                <w:color w:val="auto"/>
              </w:rPr>
              <w:t>Loans</w:t>
            </w:r>
          </w:p>
        </w:tc>
        <w:tc>
          <w:tcPr>
            <w:tcW w:w="1360" w:type="dxa"/>
            <w:vAlign w:val="bottom"/>
          </w:tcPr>
          <w:p>
            <w:pPr>
              <w:jc w:val="right"/>
              <w:ind w:right="137"/>
              <w:spacing w:after="0" w:line="111" w:lineRule="exact"/>
              <w:rPr>
                <w:sz w:val="20"/>
                <w:szCs w:val="20"/>
                <w:color w:val="auto"/>
              </w:rPr>
            </w:pPr>
            <w:r>
              <w:rPr>
                <w:rFonts w:ascii="Arial" w:cs="Arial" w:eastAsia="Arial" w:hAnsi="Arial"/>
                <w:sz w:val="12"/>
                <w:szCs w:val="12"/>
                <w:color w:val="auto"/>
              </w:rPr>
              <w:t>145,165,713</w:t>
            </w:r>
          </w:p>
        </w:tc>
        <w:tc>
          <w:tcPr>
            <w:tcW w:w="1220" w:type="dxa"/>
            <w:vAlign w:val="bottom"/>
          </w:tcPr>
          <w:p>
            <w:pPr>
              <w:jc w:val="right"/>
              <w:ind w:right="157"/>
              <w:spacing w:after="0" w:line="111" w:lineRule="exact"/>
              <w:rPr>
                <w:sz w:val="20"/>
                <w:szCs w:val="20"/>
                <w:color w:val="auto"/>
              </w:rPr>
            </w:pPr>
            <w:r>
              <w:rPr>
                <w:rFonts w:ascii="Arial" w:cs="Arial" w:eastAsia="Arial" w:hAnsi="Arial"/>
                <w:sz w:val="12"/>
                <w:szCs w:val="12"/>
                <w:color w:val="auto"/>
              </w:rPr>
              <w:t>144,976,051</w:t>
            </w:r>
          </w:p>
        </w:tc>
        <w:tc>
          <w:tcPr>
            <w:tcW w:w="1080" w:type="dxa"/>
            <w:vAlign w:val="bottom"/>
          </w:tcPr>
          <w:p>
            <w:pPr>
              <w:jc w:val="right"/>
              <w:ind w:right="117"/>
              <w:spacing w:after="0" w:line="111" w:lineRule="exact"/>
              <w:rPr>
                <w:sz w:val="20"/>
                <w:szCs w:val="20"/>
                <w:color w:val="auto"/>
              </w:rPr>
            </w:pPr>
            <w:r>
              <w:rPr>
                <w:rFonts w:ascii="Arial" w:cs="Arial" w:eastAsia="Arial" w:hAnsi="Arial"/>
                <w:sz w:val="12"/>
                <w:szCs w:val="12"/>
                <w:color w:val="auto"/>
              </w:rPr>
              <w:t>140,798,083</w:t>
            </w:r>
          </w:p>
        </w:tc>
        <w:tc>
          <w:tcPr>
            <w:tcW w:w="680" w:type="dxa"/>
            <w:vAlign w:val="bottom"/>
          </w:tcPr>
          <w:p>
            <w:pPr>
              <w:jc w:val="center"/>
              <w:ind w:left="117"/>
              <w:spacing w:after="0" w:line="111" w:lineRule="exact"/>
              <w:rPr>
                <w:sz w:val="20"/>
                <w:szCs w:val="20"/>
                <w:color w:val="auto"/>
              </w:rPr>
            </w:pPr>
            <w:r>
              <w:rPr>
                <w:rFonts w:ascii="Arial" w:cs="Arial" w:eastAsia="Arial" w:hAnsi="Arial"/>
                <w:sz w:val="12"/>
                <w:szCs w:val="12"/>
                <w:color w:val="auto"/>
              </w:rPr>
              <w:t>-2.9%</w:t>
            </w:r>
          </w:p>
        </w:tc>
        <w:tc>
          <w:tcPr>
            <w:tcW w:w="1420" w:type="dxa"/>
            <w:vAlign w:val="bottom"/>
          </w:tcPr>
          <w:p>
            <w:pPr>
              <w:jc w:val="center"/>
              <w:ind w:left="257"/>
              <w:spacing w:after="0" w:line="111" w:lineRule="exact"/>
              <w:rPr>
                <w:sz w:val="20"/>
                <w:szCs w:val="20"/>
                <w:color w:val="auto"/>
              </w:rPr>
            </w:pPr>
            <w:r>
              <w:rPr>
                <w:rFonts w:ascii="Arial" w:cs="Arial" w:eastAsia="Arial" w:hAnsi="Arial"/>
                <w:sz w:val="12"/>
                <w:szCs w:val="12"/>
                <w:color w:val="auto"/>
              </w:rPr>
              <w:t>-3.0%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Deposits and obligations</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148,623,300</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147,704,994</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147,857,127</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rPr>
              <w:t>0.1%</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9"/>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equity</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30,359,898</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32,460,004</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33,853,460</w:t>
            </w:r>
          </w:p>
        </w:tc>
        <w:tc>
          <w:tcPr>
            <w:tcW w:w="6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rPr>
              <w:t>4.3%</w:t>
            </w:r>
          </w:p>
        </w:tc>
        <w:tc>
          <w:tcPr>
            <w:tcW w:w="14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2"/>
              </w:rPr>
              <w:t>11.5%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46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Profitability</w:t>
            </w: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460" w:type="dxa"/>
            <w:vAlign w:val="bottom"/>
          </w:tcPr>
          <w:p>
            <w:pPr>
              <w:ind w:left="60"/>
              <w:spacing w:after="0" w:line="141" w:lineRule="exact"/>
              <w:rPr>
                <w:sz w:val="20"/>
                <w:szCs w:val="20"/>
                <w:color w:val="auto"/>
              </w:rPr>
            </w:pPr>
            <w:r>
              <w:rPr>
                <w:rFonts w:ascii="Arial" w:cs="Arial" w:eastAsia="Arial" w:hAnsi="Arial"/>
                <w:sz w:val="10"/>
                <w:szCs w:val="10"/>
                <w:color w:val="auto"/>
              </w:rPr>
              <w:t xml:space="preserve">Net interest margin </w:t>
            </w:r>
            <w:r>
              <w:rPr>
                <w:rFonts w:ascii="Arial" w:cs="Arial" w:eastAsia="Arial" w:hAnsi="Arial"/>
                <w:sz w:val="16"/>
                <w:szCs w:val="16"/>
                <w:color w:val="auto"/>
                <w:vertAlign w:val="superscript"/>
              </w:rPr>
              <w:t>(1)</w:t>
            </w:r>
          </w:p>
        </w:tc>
        <w:tc>
          <w:tcPr>
            <w:tcW w:w="136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5.84%</w:t>
            </w:r>
          </w:p>
        </w:tc>
        <w:tc>
          <w:tcPr>
            <w:tcW w:w="12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6.20%</w:t>
            </w:r>
          </w:p>
        </w:tc>
        <w:tc>
          <w:tcPr>
            <w:tcW w:w="10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6.30%</w:t>
            </w:r>
          </w:p>
        </w:tc>
        <w:tc>
          <w:tcPr>
            <w:tcW w:w="680" w:type="dxa"/>
            <w:vAlign w:val="bottom"/>
          </w:tcPr>
          <w:p>
            <w:pPr>
              <w:jc w:val="center"/>
              <w:ind w:left="117"/>
              <w:spacing w:after="0" w:line="141" w:lineRule="exact"/>
              <w:rPr>
                <w:sz w:val="20"/>
                <w:szCs w:val="20"/>
                <w:color w:val="auto"/>
              </w:rPr>
            </w:pPr>
            <w:r>
              <w:rPr>
                <w:rFonts w:ascii="Arial" w:cs="Arial" w:eastAsia="Arial" w:hAnsi="Arial"/>
                <w:sz w:val="13"/>
                <w:szCs w:val="13"/>
                <w:color w:val="auto"/>
                <w:w w:val="97"/>
              </w:rPr>
              <w:t>10 bps</w:t>
            </w:r>
          </w:p>
        </w:tc>
        <w:tc>
          <w:tcPr>
            <w:tcW w:w="1420" w:type="dxa"/>
            <w:vAlign w:val="bottom"/>
          </w:tcPr>
          <w:p>
            <w:pPr>
              <w:jc w:val="center"/>
              <w:ind w:left="257"/>
              <w:spacing w:after="0" w:line="141" w:lineRule="exact"/>
              <w:rPr>
                <w:sz w:val="20"/>
                <w:szCs w:val="20"/>
                <w:color w:val="auto"/>
              </w:rPr>
            </w:pPr>
            <w:r>
              <w:rPr>
                <w:rFonts w:ascii="Arial" w:cs="Arial" w:eastAsia="Arial" w:hAnsi="Arial"/>
                <w:sz w:val="13"/>
                <w:szCs w:val="13"/>
                <w:color w:val="auto"/>
                <w:w w:val="97"/>
              </w:rPr>
              <w:t>46 bps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60" w:type="dxa"/>
            <w:vAlign w:val="bottom"/>
          </w:tcPr>
          <w:p>
            <w:pPr>
              <w:ind w:left="60"/>
              <w:spacing w:after="0" w:line="129" w:lineRule="exact"/>
              <w:rPr>
                <w:sz w:val="20"/>
                <w:szCs w:val="20"/>
                <w:color w:val="auto"/>
              </w:rPr>
            </w:pPr>
            <w:r>
              <w:rPr>
                <w:rFonts w:ascii="Arial" w:cs="Arial" w:eastAsia="Arial" w:hAnsi="Arial"/>
                <w:sz w:val="13"/>
                <w:szCs w:val="13"/>
                <w:color w:val="auto"/>
              </w:rPr>
              <w:t>Risk-adjusted Net interest margin</w:t>
            </w:r>
          </w:p>
        </w:tc>
        <w:tc>
          <w:tcPr>
            <w:tcW w:w="136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4.54%</w:t>
            </w:r>
          </w:p>
        </w:tc>
        <w:tc>
          <w:tcPr>
            <w:tcW w:w="1220" w:type="dxa"/>
            <w:vAlign w:val="bottom"/>
          </w:tcPr>
          <w:p>
            <w:pPr>
              <w:jc w:val="right"/>
              <w:ind w:right="157"/>
              <w:spacing w:after="0" w:line="129" w:lineRule="exact"/>
              <w:rPr>
                <w:sz w:val="20"/>
                <w:szCs w:val="20"/>
                <w:color w:val="auto"/>
              </w:rPr>
            </w:pPr>
            <w:r>
              <w:rPr>
                <w:rFonts w:ascii="Arial" w:cs="Arial" w:eastAsia="Arial" w:hAnsi="Arial"/>
                <w:sz w:val="13"/>
                <w:szCs w:val="13"/>
                <w:color w:val="auto"/>
              </w:rPr>
              <w:t>4.10%</w:t>
            </w:r>
          </w:p>
        </w:tc>
        <w:tc>
          <w:tcPr>
            <w:tcW w:w="108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4.85%</w:t>
            </w:r>
          </w:p>
        </w:tc>
        <w:tc>
          <w:tcPr>
            <w:tcW w:w="680" w:type="dxa"/>
            <w:vAlign w:val="bottom"/>
          </w:tcPr>
          <w:p>
            <w:pPr>
              <w:jc w:val="center"/>
              <w:ind w:left="117"/>
              <w:spacing w:after="0" w:line="129" w:lineRule="exact"/>
              <w:rPr>
                <w:sz w:val="20"/>
                <w:szCs w:val="20"/>
                <w:color w:val="auto"/>
              </w:rPr>
            </w:pPr>
            <w:r>
              <w:rPr>
                <w:rFonts w:ascii="Arial" w:cs="Arial" w:eastAsia="Arial" w:hAnsi="Arial"/>
                <w:sz w:val="13"/>
                <w:szCs w:val="13"/>
                <w:color w:val="auto"/>
                <w:w w:val="97"/>
              </w:rPr>
              <w:t>75 bps</w:t>
            </w:r>
          </w:p>
        </w:tc>
        <w:tc>
          <w:tcPr>
            <w:tcW w:w="1420" w:type="dxa"/>
            <w:vAlign w:val="bottom"/>
          </w:tcPr>
          <w:p>
            <w:pPr>
              <w:jc w:val="center"/>
              <w:ind w:left="257"/>
              <w:spacing w:after="0" w:line="129" w:lineRule="exact"/>
              <w:rPr>
                <w:sz w:val="20"/>
                <w:szCs w:val="20"/>
                <w:color w:val="auto"/>
              </w:rPr>
            </w:pPr>
            <w:r>
              <w:rPr>
                <w:rFonts w:ascii="Arial" w:cs="Arial" w:eastAsia="Arial" w:hAnsi="Arial"/>
                <w:sz w:val="13"/>
                <w:szCs w:val="13"/>
                <w:color w:val="auto"/>
                <w:w w:val="97"/>
              </w:rPr>
              <w:t>31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460" w:type="dxa"/>
            <w:vAlign w:val="bottom"/>
          </w:tcPr>
          <w:p>
            <w:pPr>
              <w:ind w:left="60"/>
              <w:spacing w:after="0" w:line="141" w:lineRule="exact"/>
              <w:rPr>
                <w:sz w:val="20"/>
                <w:szCs w:val="20"/>
                <w:color w:val="auto"/>
              </w:rPr>
            </w:pPr>
            <w:r>
              <w:rPr>
                <w:rFonts w:ascii="Arial" w:cs="Arial" w:eastAsia="Arial" w:hAnsi="Arial"/>
                <w:sz w:val="10"/>
                <w:szCs w:val="10"/>
                <w:color w:val="auto"/>
              </w:rPr>
              <w:t xml:space="preserve">Funding cost </w:t>
            </w:r>
            <w:r>
              <w:rPr>
                <w:rFonts w:ascii="Arial" w:cs="Arial" w:eastAsia="Arial" w:hAnsi="Arial"/>
                <w:sz w:val="16"/>
                <w:szCs w:val="16"/>
                <w:color w:val="auto"/>
                <w:vertAlign w:val="superscript"/>
              </w:rPr>
              <w:t>(2)</w:t>
            </w:r>
          </w:p>
        </w:tc>
        <w:tc>
          <w:tcPr>
            <w:tcW w:w="136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2.61%</w:t>
            </w:r>
          </w:p>
        </w:tc>
        <w:tc>
          <w:tcPr>
            <w:tcW w:w="12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3.03%</w:t>
            </w:r>
          </w:p>
        </w:tc>
        <w:tc>
          <w:tcPr>
            <w:tcW w:w="10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2.98%</w:t>
            </w:r>
          </w:p>
        </w:tc>
        <w:tc>
          <w:tcPr>
            <w:tcW w:w="680" w:type="dxa"/>
            <w:vAlign w:val="bottom"/>
          </w:tcPr>
          <w:p>
            <w:pPr>
              <w:jc w:val="center"/>
              <w:ind w:left="117"/>
              <w:spacing w:after="0" w:line="141" w:lineRule="exact"/>
              <w:rPr>
                <w:sz w:val="20"/>
                <w:szCs w:val="20"/>
                <w:color w:val="auto"/>
              </w:rPr>
            </w:pPr>
            <w:r>
              <w:rPr>
                <w:rFonts w:ascii="Arial" w:cs="Arial" w:eastAsia="Arial" w:hAnsi="Arial"/>
                <w:sz w:val="13"/>
                <w:szCs w:val="13"/>
                <w:color w:val="auto"/>
                <w:w w:val="93"/>
              </w:rPr>
              <w:t>-5 bps</w:t>
            </w:r>
          </w:p>
        </w:tc>
        <w:tc>
          <w:tcPr>
            <w:tcW w:w="1420" w:type="dxa"/>
            <w:vAlign w:val="bottom"/>
          </w:tcPr>
          <w:p>
            <w:pPr>
              <w:jc w:val="center"/>
              <w:ind w:left="257"/>
              <w:spacing w:after="0" w:line="141" w:lineRule="exact"/>
              <w:rPr>
                <w:sz w:val="20"/>
                <w:szCs w:val="20"/>
                <w:color w:val="auto"/>
              </w:rPr>
            </w:pPr>
            <w:r>
              <w:rPr>
                <w:rFonts w:ascii="Arial" w:cs="Arial" w:eastAsia="Arial" w:hAnsi="Arial"/>
                <w:sz w:val="13"/>
                <w:szCs w:val="13"/>
                <w:color w:val="auto"/>
                <w:w w:val="97"/>
              </w:rPr>
              <w:t>37 bps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ROAE</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18.66%</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10.57%</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18.24%</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9"/>
              </w:rPr>
              <w:t>767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6"/>
              </w:rPr>
              <w:t>-42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ROAA</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2.34%</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1.41%</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2.52%</w:t>
            </w:r>
          </w:p>
        </w:tc>
        <w:tc>
          <w:tcPr>
            <w:tcW w:w="6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90"/>
              </w:rPr>
              <w:t>111 bps</w:t>
            </w:r>
          </w:p>
        </w:tc>
        <w:tc>
          <w:tcPr>
            <w:tcW w:w="14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7"/>
              </w:rPr>
              <w:t>18 bps</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46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Loan portfolio quality</w:t>
            </w: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460" w:type="dxa"/>
            <w:vAlign w:val="bottom"/>
          </w:tcPr>
          <w:p>
            <w:pPr>
              <w:ind w:left="60"/>
              <w:spacing w:after="0" w:line="141" w:lineRule="exact"/>
              <w:rPr>
                <w:sz w:val="20"/>
                <w:szCs w:val="20"/>
                <w:color w:val="auto"/>
              </w:rPr>
            </w:pPr>
            <w:r>
              <w:rPr>
                <w:rFonts w:ascii="Arial" w:cs="Arial" w:eastAsia="Arial" w:hAnsi="Arial"/>
                <w:sz w:val="10"/>
                <w:szCs w:val="10"/>
                <w:color w:val="auto"/>
              </w:rPr>
              <w:t xml:space="preserve">Internal overdue ratio </w:t>
            </w:r>
            <w:r>
              <w:rPr>
                <w:rFonts w:ascii="Arial" w:cs="Arial" w:eastAsia="Arial" w:hAnsi="Arial"/>
                <w:sz w:val="16"/>
                <w:szCs w:val="16"/>
                <w:color w:val="auto"/>
                <w:vertAlign w:val="superscript"/>
              </w:rPr>
              <w:t>(3)</w:t>
            </w:r>
          </w:p>
        </w:tc>
        <w:tc>
          <w:tcPr>
            <w:tcW w:w="136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4.0%</w:t>
            </w:r>
          </w:p>
        </w:tc>
        <w:tc>
          <w:tcPr>
            <w:tcW w:w="12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4.2%</w:t>
            </w:r>
          </w:p>
        </w:tc>
        <w:tc>
          <w:tcPr>
            <w:tcW w:w="10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4.4%</w:t>
            </w:r>
          </w:p>
        </w:tc>
        <w:tc>
          <w:tcPr>
            <w:tcW w:w="680" w:type="dxa"/>
            <w:vAlign w:val="bottom"/>
          </w:tcPr>
          <w:p>
            <w:pPr>
              <w:jc w:val="center"/>
              <w:ind w:left="117"/>
              <w:spacing w:after="0" w:line="141" w:lineRule="exact"/>
              <w:rPr>
                <w:sz w:val="20"/>
                <w:szCs w:val="20"/>
                <w:color w:val="auto"/>
              </w:rPr>
            </w:pPr>
            <w:r>
              <w:rPr>
                <w:rFonts w:ascii="Arial" w:cs="Arial" w:eastAsia="Arial" w:hAnsi="Arial"/>
                <w:sz w:val="13"/>
                <w:szCs w:val="13"/>
                <w:color w:val="auto"/>
                <w:w w:val="97"/>
              </w:rPr>
              <w:t>18 bps</w:t>
            </w:r>
          </w:p>
        </w:tc>
        <w:tc>
          <w:tcPr>
            <w:tcW w:w="1420" w:type="dxa"/>
            <w:vAlign w:val="bottom"/>
          </w:tcPr>
          <w:p>
            <w:pPr>
              <w:jc w:val="center"/>
              <w:ind w:left="257"/>
              <w:spacing w:after="0" w:line="141" w:lineRule="exact"/>
              <w:rPr>
                <w:sz w:val="20"/>
                <w:szCs w:val="20"/>
                <w:color w:val="auto"/>
              </w:rPr>
            </w:pPr>
            <w:r>
              <w:rPr>
                <w:rFonts w:ascii="Arial" w:cs="Arial" w:eastAsia="Arial" w:hAnsi="Arial"/>
                <w:sz w:val="13"/>
                <w:szCs w:val="13"/>
                <w:color w:val="auto"/>
                <w:w w:val="97"/>
              </w:rPr>
              <w:t>42 bps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60" w:type="dxa"/>
            <w:vAlign w:val="bottom"/>
          </w:tcPr>
          <w:p>
            <w:pPr>
              <w:ind w:left="60"/>
              <w:spacing w:after="0" w:line="129" w:lineRule="exact"/>
              <w:rPr>
                <w:sz w:val="20"/>
                <w:szCs w:val="20"/>
                <w:color w:val="auto"/>
              </w:rPr>
            </w:pPr>
            <w:r>
              <w:rPr>
                <w:rFonts w:ascii="Arial" w:cs="Arial" w:eastAsia="Arial" w:hAnsi="Arial"/>
                <w:sz w:val="13"/>
                <w:szCs w:val="13"/>
                <w:color w:val="auto"/>
              </w:rPr>
              <w:t>Internal overdue ratio over 90 days</w:t>
            </w:r>
          </w:p>
        </w:tc>
        <w:tc>
          <w:tcPr>
            <w:tcW w:w="136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3.0%</w:t>
            </w:r>
          </w:p>
        </w:tc>
        <w:tc>
          <w:tcPr>
            <w:tcW w:w="1220" w:type="dxa"/>
            <w:vAlign w:val="bottom"/>
          </w:tcPr>
          <w:p>
            <w:pPr>
              <w:jc w:val="right"/>
              <w:ind w:right="157"/>
              <w:spacing w:after="0" w:line="129" w:lineRule="exact"/>
              <w:rPr>
                <w:sz w:val="20"/>
                <w:szCs w:val="20"/>
                <w:color w:val="auto"/>
              </w:rPr>
            </w:pPr>
            <w:r>
              <w:rPr>
                <w:rFonts w:ascii="Arial" w:cs="Arial" w:eastAsia="Arial" w:hAnsi="Arial"/>
                <w:sz w:val="13"/>
                <w:szCs w:val="13"/>
                <w:color w:val="auto"/>
              </w:rPr>
              <w:t>3.5%</w:t>
            </w:r>
          </w:p>
        </w:tc>
        <w:tc>
          <w:tcPr>
            <w:tcW w:w="108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3.6%</w:t>
            </w:r>
          </w:p>
        </w:tc>
        <w:tc>
          <w:tcPr>
            <w:tcW w:w="680" w:type="dxa"/>
            <w:vAlign w:val="bottom"/>
          </w:tcPr>
          <w:p>
            <w:pPr>
              <w:jc w:val="center"/>
              <w:ind w:left="117"/>
              <w:spacing w:after="0" w:line="129" w:lineRule="exact"/>
              <w:rPr>
                <w:sz w:val="20"/>
                <w:szCs w:val="20"/>
                <w:color w:val="auto"/>
              </w:rPr>
            </w:pPr>
            <w:r>
              <w:rPr>
                <w:rFonts w:ascii="Arial" w:cs="Arial" w:eastAsia="Arial" w:hAnsi="Arial"/>
                <w:sz w:val="13"/>
                <w:szCs w:val="13"/>
                <w:color w:val="auto"/>
                <w:w w:val="97"/>
              </w:rPr>
              <w:t>10 bps</w:t>
            </w:r>
          </w:p>
        </w:tc>
        <w:tc>
          <w:tcPr>
            <w:tcW w:w="1420" w:type="dxa"/>
            <w:vAlign w:val="bottom"/>
          </w:tcPr>
          <w:p>
            <w:pPr>
              <w:jc w:val="center"/>
              <w:ind w:left="257"/>
              <w:spacing w:after="0" w:line="129" w:lineRule="exact"/>
              <w:rPr>
                <w:sz w:val="20"/>
                <w:szCs w:val="20"/>
                <w:color w:val="auto"/>
              </w:rPr>
            </w:pPr>
            <w:r>
              <w:rPr>
                <w:rFonts w:ascii="Arial" w:cs="Arial" w:eastAsia="Arial" w:hAnsi="Arial"/>
                <w:sz w:val="13"/>
                <w:szCs w:val="13"/>
                <w:color w:val="auto"/>
                <w:w w:val="97"/>
              </w:rPr>
              <w:t>54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NPL ratio </w:t>
            </w:r>
            <w:r>
              <w:rPr>
                <w:rFonts w:ascii="Arial" w:cs="Arial" w:eastAsia="Arial" w:hAnsi="Arial"/>
                <w:sz w:val="15"/>
                <w:szCs w:val="15"/>
                <w:color w:val="auto"/>
                <w:vertAlign w:val="superscript"/>
              </w:rPr>
              <w:t>(4)</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5.4%</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5.9%</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6.2%</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7"/>
              </w:rPr>
              <w:t>33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7"/>
              </w:rPr>
              <w:t>77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460" w:type="dxa"/>
            <w:vAlign w:val="bottom"/>
          </w:tcPr>
          <w:p>
            <w:pPr>
              <w:ind w:left="60"/>
              <w:spacing w:after="0" w:line="141" w:lineRule="exact"/>
              <w:rPr>
                <w:sz w:val="20"/>
                <w:szCs w:val="20"/>
                <w:color w:val="auto"/>
              </w:rPr>
            </w:pPr>
            <w:r>
              <w:rPr>
                <w:rFonts w:ascii="Arial" w:cs="Arial" w:eastAsia="Arial" w:hAnsi="Arial"/>
                <w:sz w:val="10"/>
                <w:szCs w:val="10"/>
                <w:color w:val="auto"/>
              </w:rPr>
              <w:t xml:space="preserve">Cost of risk </w:t>
            </w:r>
            <w:r>
              <w:rPr>
                <w:rFonts w:ascii="Arial" w:cs="Arial" w:eastAsia="Arial" w:hAnsi="Arial"/>
                <w:sz w:val="16"/>
                <w:szCs w:val="16"/>
                <w:color w:val="auto"/>
                <w:vertAlign w:val="superscript"/>
              </w:rPr>
              <w:t>(5)</w:t>
            </w:r>
          </w:p>
        </w:tc>
        <w:tc>
          <w:tcPr>
            <w:tcW w:w="136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2.0%</w:t>
            </w:r>
          </w:p>
        </w:tc>
        <w:tc>
          <w:tcPr>
            <w:tcW w:w="12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3.2%</w:t>
            </w:r>
          </w:p>
        </w:tc>
        <w:tc>
          <w:tcPr>
            <w:tcW w:w="10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2.3%</w:t>
            </w:r>
          </w:p>
        </w:tc>
        <w:tc>
          <w:tcPr>
            <w:tcW w:w="680" w:type="dxa"/>
            <w:vAlign w:val="bottom"/>
          </w:tcPr>
          <w:p>
            <w:pPr>
              <w:jc w:val="center"/>
              <w:ind w:left="117"/>
              <w:spacing w:after="0" w:line="141" w:lineRule="exact"/>
              <w:rPr>
                <w:sz w:val="20"/>
                <w:szCs w:val="20"/>
                <w:color w:val="auto"/>
              </w:rPr>
            </w:pPr>
            <w:r>
              <w:rPr>
                <w:rFonts w:ascii="Arial" w:cs="Arial" w:eastAsia="Arial" w:hAnsi="Arial"/>
                <w:sz w:val="13"/>
                <w:szCs w:val="13"/>
                <w:color w:val="auto"/>
                <w:w w:val="96"/>
              </w:rPr>
              <w:t>-96 bps</w:t>
            </w:r>
          </w:p>
        </w:tc>
        <w:tc>
          <w:tcPr>
            <w:tcW w:w="1420" w:type="dxa"/>
            <w:vAlign w:val="bottom"/>
          </w:tcPr>
          <w:p>
            <w:pPr>
              <w:jc w:val="center"/>
              <w:ind w:left="257"/>
              <w:spacing w:after="0" w:line="141" w:lineRule="exact"/>
              <w:rPr>
                <w:sz w:val="20"/>
                <w:szCs w:val="20"/>
                <w:color w:val="auto"/>
              </w:rPr>
            </w:pPr>
            <w:r>
              <w:rPr>
                <w:rFonts w:ascii="Arial" w:cs="Arial" w:eastAsia="Arial" w:hAnsi="Arial"/>
                <w:sz w:val="13"/>
                <w:szCs w:val="13"/>
                <w:color w:val="auto"/>
                <w:w w:val="97"/>
              </w:rPr>
              <w:t>30 bps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3"/>
                <w:szCs w:val="13"/>
                <w:color w:val="auto"/>
              </w:rPr>
              <w:t>Coverage ratio of IOLs</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136.7%</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135.1%</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132.0%</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8"/>
              </w:rPr>
              <w:t>-312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8"/>
              </w:rPr>
              <w:t>-472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Coverage ratio of NPLs</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100.1%</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97.0%</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93.5%</w:t>
            </w:r>
          </w:p>
        </w:tc>
        <w:tc>
          <w:tcPr>
            <w:tcW w:w="6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98"/>
              </w:rPr>
              <w:t>-355 bps</w:t>
            </w:r>
          </w:p>
        </w:tc>
        <w:tc>
          <w:tcPr>
            <w:tcW w:w="14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8"/>
              </w:rPr>
              <w:t>-659 bps</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46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Operating efficiency</w:t>
            </w: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Operating income </w:t>
            </w:r>
            <w:r>
              <w:rPr>
                <w:rFonts w:ascii="Arial" w:cs="Arial" w:eastAsia="Arial" w:hAnsi="Arial"/>
                <w:sz w:val="15"/>
                <w:szCs w:val="15"/>
                <w:color w:val="auto"/>
                <w:vertAlign w:val="superscript"/>
              </w:rPr>
              <w:t>(6)</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4,602,331</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4,893,605</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5,000,613</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rPr>
              <w:t>2.2%</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4"/>
              </w:rPr>
              <w:t>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Operating expenses </w:t>
            </w:r>
            <w:r>
              <w:rPr>
                <w:rFonts w:ascii="Arial" w:cs="Arial" w:eastAsia="Arial" w:hAnsi="Arial"/>
                <w:sz w:val="15"/>
                <w:szCs w:val="15"/>
                <w:color w:val="auto"/>
                <w:vertAlign w:val="superscript"/>
              </w:rPr>
              <w:t>(7)</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2,038,309</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2,395,688</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2,179,645</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9"/>
              </w:rPr>
              <w:t>-9.0%</w:t>
            </w:r>
          </w:p>
        </w:tc>
        <w:tc>
          <w:tcPr>
            <w:tcW w:w="1420" w:type="dxa"/>
            <w:vAlign w:val="bottom"/>
          </w:tcPr>
          <w:p>
            <w:pPr>
              <w:jc w:val="center"/>
              <w:ind w:left="237"/>
              <w:spacing w:after="0" w:line="135" w:lineRule="exact"/>
              <w:rPr>
                <w:sz w:val="20"/>
                <w:szCs w:val="20"/>
                <w:color w:val="auto"/>
              </w:rPr>
            </w:pPr>
            <w:r>
              <w:rPr>
                <w:rFonts w:ascii="Arial" w:cs="Arial" w:eastAsia="Arial" w:hAnsi="Arial"/>
                <w:sz w:val="13"/>
                <w:szCs w:val="13"/>
                <w:color w:val="auto"/>
                <w:w w:val="94"/>
              </w:rPr>
              <w:t>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460" w:type="dxa"/>
            <w:vAlign w:val="bottom"/>
          </w:tcPr>
          <w:p>
            <w:pPr>
              <w:ind w:left="60"/>
              <w:spacing w:after="0" w:line="141" w:lineRule="exact"/>
              <w:rPr>
                <w:sz w:val="20"/>
                <w:szCs w:val="20"/>
                <w:color w:val="auto"/>
              </w:rPr>
            </w:pPr>
            <w:r>
              <w:rPr>
                <w:rFonts w:ascii="Arial" w:cs="Arial" w:eastAsia="Arial" w:hAnsi="Arial"/>
                <w:sz w:val="10"/>
                <w:szCs w:val="10"/>
                <w:color w:val="auto"/>
              </w:rPr>
              <w:t xml:space="preserve">Efficiency ratio </w:t>
            </w:r>
            <w:r>
              <w:rPr>
                <w:rFonts w:ascii="Arial" w:cs="Arial" w:eastAsia="Arial" w:hAnsi="Arial"/>
                <w:sz w:val="16"/>
                <w:szCs w:val="16"/>
                <w:color w:val="auto"/>
                <w:vertAlign w:val="superscript"/>
              </w:rPr>
              <w:t>(8)</w:t>
            </w:r>
          </w:p>
        </w:tc>
        <w:tc>
          <w:tcPr>
            <w:tcW w:w="136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44.3%</w:t>
            </w:r>
          </w:p>
        </w:tc>
        <w:tc>
          <w:tcPr>
            <w:tcW w:w="12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49.0%</w:t>
            </w:r>
          </w:p>
        </w:tc>
        <w:tc>
          <w:tcPr>
            <w:tcW w:w="10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43.6%</w:t>
            </w:r>
          </w:p>
        </w:tc>
        <w:tc>
          <w:tcPr>
            <w:tcW w:w="680" w:type="dxa"/>
            <w:vAlign w:val="bottom"/>
          </w:tcPr>
          <w:p>
            <w:pPr>
              <w:jc w:val="center"/>
              <w:ind w:left="117"/>
              <w:spacing w:after="0" w:line="141" w:lineRule="exact"/>
              <w:rPr>
                <w:sz w:val="20"/>
                <w:szCs w:val="20"/>
                <w:color w:val="auto"/>
              </w:rPr>
            </w:pPr>
            <w:r>
              <w:rPr>
                <w:rFonts w:ascii="Arial" w:cs="Arial" w:eastAsia="Arial" w:hAnsi="Arial"/>
                <w:sz w:val="13"/>
                <w:szCs w:val="13"/>
                <w:color w:val="auto"/>
                <w:w w:val="98"/>
              </w:rPr>
              <w:t>-537 bps</w:t>
            </w:r>
          </w:p>
        </w:tc>
        <w:tc>
          <w:tcPr>
            <w:tcW w:w="1420" w:type="dxa"/>
            <w:vAlign w:val="bottom"/>
          </w:tcPr>
          <w:p>
            <w:pPr>
              <w:jc w:val="center"/>
              <w:ind w:left="257"/>
              <w:spacing w:after="0" w:line="141" w:lineRule="exact"/>
              <w:rPr>
                <w:sz w:val="20"/>
                <w:szCs w:val="20"/>
                <w:color w:val="auto"/>
              </w:rPr>
            </w:pPr>
            <w:r>
              <w:rPr>
                <w:rFonts w:ascii="Arial" w:cs="Arial" w:eastAsia="Arial" w:hAnsi="Arial"/>
                <w:sz w:val="13"/>
                <w:szCs w:val="13"/>
                <w:color w:val="auto"/>
                <w:w w:val="96"/>
              </w:rPr>
              <w:t>-70 bps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Operating expenses / Total average assets</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3.5%</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4.0%</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3.6%</w:t>
            </w:r>
          </w:p>
        </w:tc>
        <w:tc>
          <w:tcPr>
            <w:tcW w:w="6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96"/>
              </w:rPr>
              <w:t>-39 bps</w:t>
            </w:r>
          </w:p>
        </w:tc>
        <w:tc>
          <w:tcPr>
            <w:tcW w:w="14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7"/>
              </w:rPr>
              <w:t>18 bps</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46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Capital adequacy - BCP Stand-alone</w:t>
            </w: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Global Capital ratio </w:t>
            </w:r>
            <w:r>
              <w:rPr>
                <w:rFonts w:ascii="Arial" w:cs="Arial" w:eastAsia="Arial" w:hAnsi="Arial"/>
                <w:sz w:val="15"/>
                <w:szCs w:val="15"/>
                <w:color w:val="auto"/>
                <w:vertAlign w:val="superscript"/>
              </w:rPr>
              <w:t>(9)</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16.45%</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17.46%</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16.12%</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8"/>
              </w:rPr>
              <w:t>-134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6"/>
              </w:rPr>
              <w:t>-33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Tier 1 ratio </w:t>
            </w:r>
            <w:r>
              <w:rPr>
                <w:rFonts w:ascii="Arial" w:cs="Arial" w:eastAsia="Arial" w:hAnsi="Arial"/>
                <w:sz w:val="15"/>
                <w:szCs w:val="15"/>
                <w:color w:val="auto"/>
                <w:vertAlign w:val="superscript"/>
              </w:rPr>
              <w:t>(10)</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11.86%</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13.09%</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11.72%</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8"/>
              </w:rPr>
              <w:t>-137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6"/>
              </w:rPr>
              <w:t>-15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6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18"/>
                <w:szCs w:val="18"/>
                <w:color w:val="auto"/>
                <w:vertAlign w:val="superscript"/>
              </w:rPr>
              <w:t>(11)(13)</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11.93%</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13.20%</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11.86%</w:t>
            </w:r>
          </w:p>
        </w:tc>
        <w:tc>
          <w:tcPr>
            <w:tcW w:w="6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98"/>
              </w:rPr>
              <w:t>-135 bps</w:t>
            </w:r>
          </w:p>
        </w:tc>
        <w:tc>
          <w:tcPr>
            <w:tcW w:w="14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3"/>
              </w:rPr>
              <w:t>-7 bps</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46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Capital adequacy - Mibanco</w:t>
            </w: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Global Capital ratio </w:t>
            </w:r>
            <w:r>
              <w:rPr>
                <w:rFonts w:ascii="Arial" w:cs="Arial" w:eastAsia="Arial" w:hAnsi="Arial"/>
                <w:sz w:val="15"/>
                <w:szCs w:val="15"/>
                <w:color w:val="auto"/>
                <w:vertAlign w:val="superscript"/>
              </w:rPr>
              <w:t>(9)</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18.76%</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20.56%</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18.03%</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8"/>
              </w:rPr>
              <w:t>-253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6"/>
              </w:rPr>
              <w:t>-73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ind w:left="60"/>
              <w:spacing w:after="0" w:line="135" w:lineRule="exact"/>
              <w:rPr>
                <w:sz w:val="20"/>
                <w:szCs w:val="20"/>
                <w:color w:val="auto"/>
              </w:rPr>
            </w:pPr>
            <w:r>
              <w:rPr>
                <w:rFonts w:ascii="Arial" w:cs="Arial" w:eastAsia="Arial" w:hAnsi="Arial"/>
                <w:sz w:val="10"/>
                <w:szCs w:val="10"/>
                <w:color w:val="auto"/>
              </w:rPr>
              <w:t xml:space="preserve">Tier 1 ratio </w:t>
            </w:r>
            <w:r>
              <w:rPr>
                <w:rFonts w:ascii="Arial" w:cs="Arial" w:eastAsia="Arial" w:hAnsi="Arial"/>
                <w:sz w:val="15"/>
                <w:szCs w:val="15"/>
                <w:color w:val="auto"/>
                <w:vertAlign w:val="superscript"/>
              </w:rPr>
              <w:t>(10)</w:t>
            </w:r>
          </w:p>
        </w:tc>
        <w:tc>
          <w:tcPr>
            <w:tcW w:w="13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16.40%</w:t>
            </w:r>
          </w:p>
        </w:tc>
        <w:tc>
          <w:tcPr>
            <w:tcW w:w="12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18.22%</w:t>
            </w:r>
          </w:p>
        </w:tc>
        <w:tc>
          <w:tcPr>
            <w:tcW w:w="10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15.69%</w:t>
            </w:r>
          </w:p>
        </w:tc>
        <w:tc>
          <w:tcPr>
            <w:tcW w:w="68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8"/>
              </w:rPr>
              <w:t>-253 bps</w:t>
            </w:r>
          </w:p>
        </w:tc>
        <w:tc>
          <w:tcPr>
            <w:tcW w:w="1420" w:type="dxa"/>
            <w:vAlign w:val="bottom"/>
          </w:tcPr>
          <w:p>
            <w:pPr>
              <w:jc w:val="center"/>
              <w:ind w:left="257"/>
              <w:spacing w:after="0" w:line="135" w:lineRule="exact"/>
              <w:rPr>
                <w:sz w:val="20"/>
                <w:szCs w:val="20"/>
                <w:color w:val="auto"/>
              </w:rPr>
            </w:pPr>
            <w:r>
              <w:rPr>
                <w:rFonts w:ascii="Arial" w:cs="Arial" w:eastAsia="Arial" w:hAnsi="Arial"/>
                <w:sz w:val="13"/>
                <w:szCs w:val="13"/>
                <w:color w:val="auto"/>
                <w:w w:val="96"/>
              </w:rPr>
              <w:t>-71 bps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6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18"/>
                <w:szCs w:val="18"/>
                <w:color w:val="auto"/>
                <w:vertAlign w:val="superscript"/>
              </w:rPr>
              <w:t>(11)(13)</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16.38%</w:t>
            </w: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18.37%</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16.06%</w:t>
            </w:r>
          </w:p>
        </w:tc>
        <w:tc>
          <w:tcPr>
            <w:tcW w:w="6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98"/>
              </w:rPr>
              <w:t>-231 bps</w:t>
            </w:r>
          </w:p>
        </w:tc>
        <w:tc>
          <w:tcPr>
            <w:tcW w:w="14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color w:val="auto"/>
                <w:w w:val="96"/>
              </w:rPr>
              <w:t>-32 bps</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46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Employees</w:t>
            </w:r>
          </w:p>
        </w:tc>
        <w:tc>
          <w:tcPr>
            <w:tcW w:w="136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37,184</w:t>
            </w:r>
          </w:p>
        </w:tc>
        <w:tc>
          <w:tcPr>
            <w:tcW w:w="122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36,947</w:t>
            </w:r>
          </w:p>
        </w:tc>
        <w:tc>
          <w:tcPr>
            <w:tcW w:w="108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35,508</w:t>
            </w:r>
          </w:p>
        </w:tc>
        <w:tc>
          <w:tcPr>
            <w:tcW w:w="680" w:type="dxa"/>
            <w:vAlign w:val="bottom"/>
            <w:tcBorders>
              <w:bottom w:val="single" w:sz="8" w:color="auto"/>
            </w:tcBorders>
          </w:tcPr>
          <w:p>
            <w:pPr>
              <w:jc w:val="center"/>
              <w:ind w:left="117"/>
              <w:spacing w:after="0" w:line="129" w:lineRule="exact"/>
              <w:rPr>
                <w:sz w:val="20"/>
                <w:szCs w:val="20"/>
                <w:color w:val="auto"/>
              </w:rPr>
            </w:pPr>
            <w:r>
              <w:rPr>
                <w:rFonts w:ascii="Arial" w:cs="Arial" w:eastAsia="Arial" w:hAnsi="Arial"/>
                <w:sz w:val="13"/>
                <w:szCs w:val="13"/>
                <w:color w:val="auto"/>
                <w:w w:val="99"/>
              </w:rPr>
              <w:t>-3.9%</w:t>
            </w:r>
          </w:p>
        </w:tc>
        <w:tc>
          <w:tcPr>
            <w:tcW w:w="1420" w:type="dxa"/>
            <w:vAlign w:val="bottom"/>
            <w:tcBorders>
              <w:bottom w:val="single" w:sz="8" w:color="auto"/>
            </w:tcBorders>
          </w:tcPr>
          <w:p>
            <w:pPr>
              <w:jc w:val="center"/>
              <w:ind w:left="257"/>
              <w:spacing w:after="0" w:line="129" w:lineRule="exact"/>
              <w:rPr>
                <w:sz w:val="20"/>
                <w:szCs w:val="20"/>
                <w:color w:val="auto"/>
              </w:rPr>
            </w:pPr>
            <w:r>
              <w:rPr>
                <w:rFonts w:ascii="Arial" w:cs="Arial" w:eastAsia="Arial" w:hAnsi="Arial"/>
                <w:sz w:val="13"/>
                <w:szCs w:val="13"/>
                <w:color w:val="auto"/>
                <w:w w:val="99"/>
              </w:rPr>
              <w:t>-4.5%</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460" w:type="dxa"/>
            <w:vAlign w:val="bottom"/>
          </w:tcPr>
          <w:p>
            <w:pPr>
              <w:ind w:left="60"/>
              <w:spacing w:after="0" w:line="111" w:lineRule="exact"/>
              <w:rPr>
                <w:sz w:val="20"/>
                <w:szCs w:val="20"/>
                <w:color w:val="auto"/>
              </w:rPr>
            </w:pPr>
            <w:r>
              <w:rPr>
                <w:rFonts w:ascii="Arial" w:cs="Arial" w:eastAsia="Arial" w:hAnsi="Arial"/>
                <w:sz w:val="12"/>
                <w:szCs w:val="12"/>
                <w:b w:val="1"/>
                <w:bCs w:val="1"/>
                <w:color w:val="auto"/>
              </w:rPr>
              <w:t>Share Information</w:t>
            </w:r>
          </w:p>
        </w:tc>
        <w:tc>
          <w:tcPr>
            <w:tcW w:w="1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460" w:type="dxa"/>
            <w:vAlign w:val="bottom"/>
          </w:tcPr>
          <w:p>
            <w:pPr>
              <w:ind w:left="60"/>
              <w:spacing w:after="0" w:line="129" w:lineRule="exact"/>
              <w:rPr>
                <w:sz w:val="20"/>
                <w:szCs w:val="20"/>
                <w:color w:val="auto"/>
              </w:rPr>
            </w:pPr>
            <w:r>
              <w:rPr>
                <w:rFonts w:ascii="Arial" w:cs="Arial" w:eastAsia="Arial" w:hAnsi="Arial"/>
                <w:sz w:val="13"/>
                <w:szCs w:val="13"/>
                <w:color w:val="auto"/>
              </w:rPr>
              <w:t>Issued Shares</w:t>
            </w:r>
          </w:p>
        </w:tc>
        <w:tc>
          <w:tcPr>
            <w:tcW w:w="136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94,382</w:t>
            </w:r>
          </w:p>
        </w:tc>
        <w:tc>
          <w:tcPr>
            <w:tcW w:w="1220" w:type="dxa"/>
            <w:vAlign w:val="bottom"/>
          </w:tcPr>
          <w:p>
            <w:pPr>
              <w:jc w:val="right"/>
              <w:ind w:right="157"/>
              <w:spacing w:after="0" w:line="129" w:lineRule="exact"/>
              <w:rPr>
                <w:sz w:val="20"/>
                <w:szCs w:val="20"/>
                <w:color w:val="auto"/>
              </w:rPr>
            </w:pPr>
            <w:r>
              <w:rPr>
                <w:rFonts w:ascii="Arial" w:cs="Arial" w:eastAsia="Arial" w:hAnsi="Arial"/>
                <w:sz w:val="13"/>
                <w:szCs w:val="13"/>
                <w:color w:val="auto"/>
              </w:rPr>
              <w:t>94,382</w:t>
            </w:r>
          </w:p>
        </w:tc>
        <w:tc>
          <w:tcPr>
            <w:tcW w:w="108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94,382</w:t>
            </w:r>
          </w:p>
        </w:tc>
        <w:tc>
          <w:tcPr>
            <w:tcW w:w="680" w:type="dxa"/>
            <w:vAlign w:val="bottom"/>
          </w:tcPr>
          <w:p>
            <w:pPr>
              <w:jc w:val="center"/>
              <w:ind w:left="117"/>
              <w:spacing w:after="0" w:line="129" w:lineRule="exact"/>
              <w:rPr>
                <w:sz w:val="20"/>
                <w:szCs w:val="20"/>
                <w:color w:val="auto"/>
              </w:rPr>
            </w:pPr>
            <w:r>
              <w:rPr>
                <w:rFonts w:ascii="Arial" w:cs="Arial" w:eastAsia="Arial" w:hAnsi="Arial"/>
                <w:sz w:val="13"/>
                <w:szCs w:val="13"/>
                <w:color w:val="auto"/>
              </w:rPr>
              <w:t>0.0%</w:t>
            </w:r>
          </w:p>
        </w:tc>
        <w:tc>
          <w:tcPr>
            <w:tcW w:w="1420" w:type="dxa"/>
            <w:vAlign w:val="bottom"/>
          </w:tcPr>
          <w:p>
            <w:pPr>
              <w:jc w:val="center"/>
              <w:ind w:left="237"/>
              <w:spacing w:after="0" w:line="129" w:lineRule="exact"/>
              <w:rPr>
                <w:sz w:val="20"/>
                <w:szCs w:val="20"/>
                <w:color w:val="auto"/>
              </w:rPr>
            </w:pPr>
            <w:r>
              <w:rPr>
                <w:rFonts w:ascii="Arial" w:cs="Arial" w:eastAsia="Arial" w:hAnsi="Arial"/>
                <w:sz w:val="13"/>
                <w:szCs w:val="13"/>
                <w:color w:val="auto"/>
                <w:w w:val="94"/>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460" w:type="dxa"/>
            <w:vAlign w:val="bottom"/>
          </w:tcPr>
          <w:p>
            <w:pPr>
              <w:ind w:left="60"/>
              <w:spacing w:after="0" w:line="141" w:lineRule="exact"/>
              <w:rPr>
                <w:sz w:val="20"/>
                <w:szCs w:val="20"/>
                <w:color w:val="auto"/>
              </w:rPr>
            </w:pPr>
            <w:r>
              <w:rPr>
                <w:rFonts w:ascii="Arial" w:cs="Arial" w:eastAsia="Arial" w:hAnsi="Arial"/>
                <w:sz w:val="10"/>
                <w:szCs w:val="10"/>
                <w:color w:val="auto"/>
              </w:rPr>
              <w:t xml:space="preserve">Treasury Shares </w:t>
            </w:r>
            <w:r>
              <w:rPr>
                <w:rFonts w:ascii="Arial" w:cs="Arial" w:eastAsia="Arial" w:hAnsi="Arial"/>
                <w:sz w:val="16"/>
                <w:szCs w:val="16"/>
                <w:color w:val="auto"/>
                <w:vertAlign w:val="superscript"/>
              </w:rPr>
              <w:t>(12)</w:t>
            </w:r>
          </w:p>
        </w:tc>
        <w:tc>
          <w:tcPr>
            <w:tcW w:w="1360" w:type="dxa"/>
            <w:vAlign w:val="bottom"/>
          </w:tcPr>
          <w:p>
            <w:pPr>
              <w:jc w:val="right"/>
              <w:ind w:right="137"/>
              <w:spacing w:after="0" w:line="141" w:lineRule="exact"/>
              <w:rPr>
                <w:sz w:val="20"/>
                <w:szCs w:val="20"/>
                <w:color w:val="auto"/>
              </w:rPr>
            </w:pPr>
            <w:r>
              <w:rPr>
                <w:rFonts w:ascii="Arial" w:cs="Arial" w:eastAsia="Arial" w:hAnsi="Arial"/>
                <w:sz w:val="13"/>
                <w:szCs w:val="13"/>
                <w:color w:val="auto"/>
              </w:rPr>
              <w:t>14,887</w:t>
            </w:r>
          </w:p>
        </w:tc>
        <w:tc>
          <w:tcPr>
            <w:tcW w:w="12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14,886</w:t>
            </w:r>
          </w:p>
        </w:tc>
        <w:tc>
          <w:tcPr>
            <w:tcW w:w="10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14,908</w:t>
            </w:r>
          </w:p>
        </w:tc>
        <w:tc>
          <w:tcPr>
            <w:tcW w:w="680" w:type="dxa"/>
            <w:vAlign w:val="bottom"/>
          </w:tcPr>
          <w:p>
            <w:pPr>
              <w:jc w:val="center"/>
              <w:ind w:left="117"/>
              <w:spacing w:after="0" w:line="141" w:lineRule="exact"/>
              <w:rPr>
                <w:sz w:val="20"/>
                <w:szCs w:val="20"/>
                <w:color w:val="auto"/>
              </w:rPr>
            </w:pPr>
            <w:r>
              <w:rPr>
                <w:rFonts w:ascii="Arial" w:cs="Arial" w:eastAsia="Arial" w:hAnsi="Arial"/>
                <w:sz w:val="13"/>
                <w:szCs w:val="13"/>
                <w:color w:val="auto"/>
              </w:rPr>
              <w:t>0.1%</w:t>
            </w:r>
          </w:p>
        </w:tc>
        <w:tc>
          <w:tcPr>
            <w:tcW w:w="1420" w:type="dxa"/>
            <w:vAlign w:val="bottom"/>
          </w:tcPr>
          <w:p>
            <w:pPr>
              <w:jc w:val="center"/>
              <w:ind w:left="237"/>
              <w:spacing w:after="0" w:line="141" w:lineRule="exact"/>
              <w:rPr>
                <w:sz w:val="20"/>
                <w:szCs w:val="20"/>
                <w:color w:val="auto"/>
              </w:rPr>
            </w:pPr>
            <w:r>
              <w:rPr>
                <w:rFonts w:ascii="Arial" w:cs="Arial" w:eastAsia="Arial" w:hAnsi="Arial"/>
                <w:sz w:val="13"/>
                <w:szCs w:val="13"/>
                <w:color w:val="auto"/>
                <w:w w:val="94"/>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60" w:type="dxa"/>
            <w:vAlign w:val="bottom"/>
          </w:tcPr>
          <w:p>
            <w:pPr>
              <w:ind w:left="60"/>
              <w:spacing w:after="0"/>
              <w:rPr>
                <w:sz w:val="20"/>
                <w:szCs w:val="20"/>
                <w:color w:val="auto"/>
              </w:rPr>
            </w:pPr>
            <w:r>
              <w:rPr>
                <w:rFonts w:ascii="Arial" w:cs="Arial" w:eastAsia="Arial" w:hAnsi="Arial"/>
                <w:sz w:val="13"/>
                <w:szCs w:val="13"/>
                <w:color w:val="auto"/>
              </w:rPr>
              <w:t>Outstanding Shares</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79,495</w:t>
            </w:r>
          </w:p>
        </w:tc>
        <w:tc>
          <w:tcPr>
            <w:tcW w:w="1220" w:type="dxa"/>
            <w:vAlign w:val="bottom"/>
          </w:tcPr>
          <w:p>
            <w:pPr>
              <w:jc w:val="right"/>
              <w:ind w:right="157"/>
              <w:spacing w:after="0"/>
              <w:rPr>
                <w:sz w:val="20"/>
                <w:szCs w:val="20"/>
                <w:color w:val="auto"/>
              </w:rPr>
            </w:pPr>
            <w:r>
              <w:rPr>
                <w:rFonts w:ascii="Arial" w:cs="Arial" w:eastAsia="Arial" w:hAnsi="Arial"/>
                <w:sz w:val="13"/>
                <w:szCs w:val="13"/>
                <w:color w:val="auto"/>
              </w:rPr>
              <w:t>79,496</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79,474</w:t>
            </w:r>
          </w:p>
        </w:tc>
        <w:tc>
          <w:tcPr>
            <w:tcW w:w="680" w:type="dxa"/>
            <w:vAlign w:val="bottom"/>
          </w:tcPr>
          <w:p>
            <w:pPr>
              <w:jc w:val="center"/>
              <w:ind w:left="117"/>
              <w:spacing w:after="0"/>
              <w:rPr>
                <w:sz w:val="20"/>
                <w:szCs w:val="20"/>
                <w:color w:val="auto"/>
              </w:rPr>
            </w:pPr>
            <w:r>
              <w:rPr>
                <w:rFonts w:ascii="Arial" w:cs="Arial" w:eastAsia="Arial" w:hAnsi="Arial"/>
                <w:sz w:val="13"/>
                <w:szCs w:val="13"/>
                <w:color w:val="auto"/>
              </w:rPr>
              <w:t>0.0%</w:t>
            </w:r>
          </w:p>
        </w:tc>
        <w:tc>
          <w:tcPr>
            <w:tcW w:w="1420" w:type="dxa"/>
            <w:vAlign w:val="bottom"/>
          </w:tcPr>
          <w:p>
            <w:pPr>
              <w:jc w:val="center"/>
              <w:ind w:left="237"/>
              <w:spacing w:after="0"/>
              <w:rPr>
                <w:sz w:val="20"/>
                <w:szCs w:val="20"/>
                <w:color w:val="auto"/>
              </w:rPr>
            </w:pPr>
            <w:r>
              <w:rPr>
                <w:rFonts w:ascii="Arial" w:cs="Arial" w:eastAsia="Arial" w:hAnsi="Arial"/>
                <w:sz w:val="13"/>
                <w:szCs w:val="13"/>
                <w:color w:val="auto"/>
                <w:w w:val="94"/>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Net Interest Margin = Net Interest Income (Excluding Net Insurance Financial Expenses) / Average Interest Earning Assets</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Funding Cost = Interest Expense (Does not include Net Insurance Financial Expenses) / Average Funding</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Internal Overdue Loans: includes overdue loans and loans under legal collection, according to our internal policy for overdue loans. Internal Overdue Ratio: Internal overdue loans / Total loans</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Non-performing loans (NPL): Internal overdue loans + Refinanced loans. NPL ratio: NPL / Total loans.</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Cost of risk = Annualized provision for loan losses, net of recoveries / Average Total loans. Cost of risk = Annualized provision for loan losses, net of recoveries / Average Total loans.</w:t>
      </w:r>
    </w:p>
    <w:p>
      <w:pPr>
        <w:ind w:right="200" w:firstLine="8"/>
        <w:spacing w:after="0" w:line="230" w:lineRule="auto"/>
        <w:tabs>
          <w:tab w:leader="none" w:pos="162" w:val="left"/>
        </w:tabs>
        <w:numPr>
          <w:ilvl w:val="0"/>
          <w:numId w:val="4"/>
        </w:numPr>
        <w:rPr>
          <w:rFonts w:ascii="Arial" w:cs="Arial" w:eastAsia="Arial" w:hAnsi="Arial"/>
          <w:sz w:val="11"/>
          <w:szCs w:val="11"/>
          <w:color w:val="auto"/>
        </w:rPr>
      </w:pPr>
      <w:r>
        <w:rPr>
          <w:rFonts w:ascii="Arial" w:cs="Arial" w:eastAsia="Arial" w:hAnsi="Arial"/>
          <w:sz w:val="11"/>
          <w:szCs w:val="11"/>
          <w:color w:val="auto"/>
        </w:rPr>
        <w:t>Operating Income = Net interest, similar income and expenses + Fee Income+ Net gain on foreign exchange transactions + Net Gain From associates + Net gain on derivatives held for trading + Result on exchange differences + Insurance Underwriting Result</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Operating Expenses = Salaries and employee benefits + Administrative expenses + Depreciation and amortization + Association in participation + Acquisition cost</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Efficiency Ratio = Operating Expenses / Operating Income</w:t>
      </w:r>
    </w:p>
    <w:p>
      <w:pPr>
        <w:ind w:left="180" w:hanging="172"/>
        <w:spacing w:after="0" w:line="230" w:lineRule="auto"/>
        <w:tabs>
          <w:tab w:leader="none" w:pos="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Regulatory Capital / Risk-weighted assets (legal minimum = 10% since July 2011).</w:t>
      </w:r>
    </w:p>
    <w:p>
      <w:pPr>
        <w:ind w:left="240" w:hanging="232"/>
        <w:spacing w:after="0" w:line="230" w:lineRule="auto"/>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Tier 1 = Capital + Legal and other capital reserves + Accumulated earnings with capitalization agreement + (0.5 x Unrealized profit and net income in subsidiaries) - Goodwill - (0.5 x Investment in</w:t>
      </w:r>
    </w:p>
    <w:p>
      <w:pPr>
        <w:ind w:right="1740"/>
        <w:spacing w:after="0" w:line="230" w:lineRule="auto"/>
        <w:rPr>
          <w:sz w:val="20"/>
          <w:szCs w:val="20"/>
          <w:color w:val="auto"/>
        </w:rPr>
      </w:pPr>
      <w:r>
        <w:rPr>
          <w:rFonts w:ascii="Arial" w:cs="Arial" w:eastAsia="Arial" w:hAnsi="Arial"/>
          <w:sz w:val="11"/>
          <w:szCs w:val="11"/>
          <w:color w:val="auto"/>
        </w:rPr>
        <w:t>subsidiaries) + Perpetual subordinated debt (maximum amount that can be included is 17.65% of Capital + Reserves + Accumulated earnings with capitalization agreement + Unrealized profit and net income in subsidiaries - Goodwill).</w:t>
      </w:r>
    </w:p>
    <w:p>
      <w:pPr>
        <w:ind w:left="220" w:hanging="212"/>
        <w:spacing w:after="0" w:line="231" w:lineRule="auto"/>
        <w:tabs>
          <w:tab w:leader="none" w:pos="220" w:val="left"/>
        </w:tabs>
        <w:numPr>
          <w:ilvl w:val="0"/>
          <w:numId w:val="5"/>
        </w:numPr>
        <w:rPr>
          <w:rFonts w:ascii="Arial" w:cs="Arial" w:eastAsia="Arial" w:hAnsi="Arial"/>
          <w:sz w:val="11"/>
          <w:szCs w:val="11"/>
          <w:color w:val="auto"/>
        </w:rPr>
      </w:pPr>
      <w:r>
        <w:rPr>
          <w:rFonts w:ascii="Arial" w:cs="Arial" w:eastAsia="Arial" w:hAnsi="Arial"/>
          <w:sz w:val="11"/>
          <w:szCs w:val="11"/>
          <w:color w:val="auto"/>
        </w:rPr>
        <w:t>Common Equity Tier I = Capital + Reserves – 100% of applicable deductions (investment in subsidiaries, goodwill, intangibles and net deferred taxes that rely on future profitability) + retained earnings + unrealized gains.</w:t>
      </w:r>
    </w:p>
    <w:p>
      <w:pPr>
        <w:ind w:left="240" w:hanging="232"/>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These shares are held by Atlantic Security Holding Corporation (ASHC).</w:t>
      </w:r>
    </w:p>
    <w:p>
      <w:pPr>
        <w:spacing w:after="0" w:line="52" w:lineRule="exact"/>
        <w:rPr>
          <w:rFonts w:ascii="Arial" w:cs="Arial" w:eastAsia="Arial" w:hAnsi="Arial"/>
          <w:sz w:val="11"/>
          <w:szCs w:val="11"/>
          <w:color w:val="auto"/>
        </w:rPr>
      </w:pPr>
    </w:p>
    <w:p>
      <w:pPr>
        <w:ind w:left="240" w:hanging="232"/>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Common Equity Tier I calculated based on IFRS Accounting.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Credicorp’s Strategy Update</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E93BAC"/>
        </w:rPr>
        <w:t>Credicorp’s Strategy</w:t>
      </w:r>
    </w:p>
    <w:p>
      <w:pPr>
        <w:spacing w:after="0" w:line="23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Credicorp continues to invest in technology in both its core businesses and disruptive initiatives to maintain a competitive advantage and ensure sustainability. Credicorp aims to solidify its position by understanding market trends and meeting customer needs.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KPIs of Credicorp’s Strategy</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6320" w:type="dxa"/>
            <w:vAlign w:val="bottom"/>
            <w:tcBorders>
              <w:top w:val="single" w:sz="8" w:color="auto"/>
              <w:left w:val="single" w:sz="8" w:color="auto"/>
              <w:bottom w:val="single" w:sz="8" w:color="auto"/>
              <w:right w:val="single" w:sz="8" w:color="auto"/>
            </w:tcBorders>
            <w:shd w:val="clear" w:color="auto" w:fill="2AD2C9"/>
          </w:tcPr>
          <w:p>
            <w:pPr>
              <w:ind w:left="80"/>
              <w:spacing w:after="0" w:line="324" w:lineRule="exact"/>
              <w:rPr>
                <w:sz w:val="20"/>
                <w:szCs w:val="20"/>
                <w:color w:val="auto"/>
              </w:rPr>
            </w:pPr>
            <w:r>
              <w:rPr>
                <w:rFonts w:ascii="Arial" w:cs="Arial" w:eastAsia="Arial" w:hAnsi="Arial"/>
                <w:sz w:val="18"/>
                <w:szCs w:val="18"/>
                <w:b w:val="1"/>
                <w:bCs w:val="1"/>
                <w:i w:val="1"/>
                <w:iCs w:val="1"/>
                <w:color w:val="auto"/>
              </w:rPr>
              <w:t xml:space="preserve">Transformation of traditional businesses </w:t>
            </w:r>
            <w:r>
              <w:rPr>
                <w:rFonts w:ascii="Arial" w:cs="Arial" w:eastAsia="Arial" w:hAnsi="Arial"/>
                <w:sz w:val="29"/>
                <w:szCs w:val="29"/>
                <w:b w:val="1"/>
                <w:bCs w:val="1"/>
                <w:i w:val="1"/>
                <w:iCs w:val="1"/>
                <w:color w:val="auto"/>
                <w:vertAlign w:val="superscript"/>
              </w:rPr>
              <w:t>(1)</w:t>
            </w:r>
          </w:p>
        </w:tc>
        <w:tc>
          <w:tcPr>
            <w:tcW w:w="1240" w:type="dxa"/>
            <w:vAlign w:val="bottom"/>
            <w:tcBorders>
              <w:top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i w:val="1"/>
                <w:iCs w:val="1"/>
                <w:color w:val="auto"/>
              </w:rPr>
              <w:t>Subsidiary</w:t>
            </w:r>
          </w:p>
        </w:tc>
        <w:tc>
          <w:tcPr>
            <w:tcW w:w="122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1Q23</w:t>
            </w:r>
          </w:p>
        </w:tc>
        <w:tc>
          <w:tcPr>
            <w:tcW w:w="122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4Q23</w:t>
            </w:r>
          </w:p>
        </w:tc>
        <w:tc>
          <w:tcPr>
            <w:tcW w:w="124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1Q24</w:t>
            </w:r>
          </w:p>
        </w:tc>
      </w:tr>
      <w:tr>
        <w:trPr>
          <w:trHeight w:val="276"/>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Day-to-day</w:t>
            </w:r>
          </w:p>
        </w:tc>
        <w:tc>
          <w:tcPr>
            <w:tcW w:w="124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365"/>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Digital Monetary Transactions </w:t>
            </w:r>
            <w:r>
              <w:rPr>
                <w:rFonts w:ascii="Arial" w:cs="Arial" w:eastAsia="Arial" w:hAnsi="Arial"/>
                <w:sz w:val="29"/>
                <w:szCs w:val="29"/>
                <w:color w:val="auto"/>
                <w:vertAlign w:val="superscript"/>
              </w:rPr>
              <w:t>(2)</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81%</w:t>
            </w:r>
          </w:p>
        </w:tc>
      </w:tr>
      <w:tr>
        <w:trPr>
          <w:trHeight w:val="310"/>
        </w:trPr>
        <w:tc>
          <w:tcPr>
            <w:tcW w:w="6320" w:type="dxa"/>
            <w:vAlign w:val="bottom"/>
            <w:tcBorders>
              <w:left w:val="single" w:sz="8" w:color="auto"/>
              <w:right w:val="single" w:sz="8" w:color="auto"/>
            </w:tcBorders>
          </w:tcPr>
          <w:p>
            <w:pPr>
              <w:ind w:left="80"/>
              <w:spacing w:after="0" w:line="310" w:lineRule="exact"/>
              <w:rPr>
                <w:sz w:val="20"/>
                <w:szCs w:val="20"/>
                <w:color w:val="auto"/>
              </w:rPr>
            </w:pPr>
            <w:r>
              <w:rPr>
                <w:rFonts w:ascii="Arial" w:cs="Arial" w:eastAsia="Arial" w:hAnsi="Arial"/>
                <w:sz w:val="18"/>
                <w:szCs w:val="18"/>
                <w:color w:val="auto"/>
              </w:rPr>
              <w:t xml:space="preserve">Disbursements through Leads </w:t>
            </w:r>
            <w:r>
              <w:rPr>
                <w:rFonts w:ascii="Arial" w:cs="Arial" w:eastAsia="Arial" w:hAnsi="Arial"/>
                <w:sz w:val="29"/>
                <w:szCs w:val="29"/>
                <w:color w:val="auto"/>
                <w:vertAlign w:val="superscript"/>
              </w:rPr>
              <w:t>(3)</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Mibanco</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71%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69%</w:t>
            </w:r>
          </w:p>
        </w:tc>
      </w:tr>
      <w:tr>
        <w:trPr>
          <w:trHeight w:val="311"/>
        </w:trPr>
        <w:tc>
          <w:tcPr>
            <w:tcW w:w="6320" w:type="dxa"/>
            <w:vAlign w:val="bottom"/>
            <w:tcBorders>
              <w:left w:val="single" w:sz="8" w:color="auto"/>
              <w:right w:val="single" w:sz="8" w:color="auto"/>
            </w:tcBorders>
          </w:tcPr>
          <w:p>
            <w:pPr>
              <w:ind w:left="80"/>
              <w:spacing w:after="0" w:line="310" w:lineRule="exact"/>
              <w:rPr>
                <w:sz w:val="20"/>
                <w:szCs w:val="20"/>
                <w:color w:val="auto"/>
              </w:rPr>
            </w:pPr>
            <w:r>
              <w:rPr>
                <w:rFonts w:ascii="Arial" w:cs="Arial" w:eastAsia="Arial" w:hAnsi="Arial"/>
                <w:sz w:val="18"/>
                <w:szCs w:val="18"/>
                <w:color w:val="auto"/>
              </w:rPr>
              <w:t xml:space="preserve">Disbursements through Alternative Channels </w:t>
            </w:r>
            <w:r>
              <w:rPr>
                <w:rFonts w:ascii="Arial" w:cs="Arial" w:eastAsia="Arial" w:hAnsi="Arial"/>
                <w:sz w:val="29"/>
                <w:szCs w:val="29"/>
                <w:color w:val="auto"/>
                <w:vertAlign w:val="superscript"/>
              </w:rPr>
              <w:t>(4)</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Mibanco</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85"/>
        </w:trPr>
        <w:tc>
          <w:tcPr>
            <w:tcW w:w="6320" w:type="dxa"/>
            <w:vAlign w:val="bottom"/>
            <w:tcBorders>
              <w:left w:val="single" w:sz="8" w:color="auto"/>
              <w:bottom w:val="single" w:sz="8" w:color="auto"/>
              <w:right w:val="single" w:sz="8" w:color="auto"/>
            </w:tcBorders>
          </w:tcPr>
          <w:p>
            <w:pPr>
              <w:ind w:left="80"/>
              <w:spacing w:after="0" w:line="284" w:lineRule="exact"/>
              <w:rPr>
                <w:sz w:val="20"/>
                <w:szCs w:val="20"/>
                <w:color w:val="auto"/>
              </w:rPr>
            </w:pPr>
            <w:r>
              <w:rPr>
                <w:rFonts w:ascii="Arial" w:cs="Arial" w:eastAsia="Arial" w:hAnsi="Arial"/>
                <w:sz w:val="18"/>
                <w:szCs w:val="18"/>
                <w:color w:val="auto"/>
              </w:rPr>
              <w:t xml:space="preserve">Mibanco Productivity </w:t>
            </w:r>
            <w:r>
              <w:rPr>
                <w:rFonts w:ascii="Arial" w:cs="Arial" w:eastAsia="Arial" w:hAnsi="Arial"/>
                <w:sz w:val="29"/>
                <w:szCs w:val="29"/>
                <w:color w:val="auto"/>
                <w:vertAlign w:val="superscript"/>
              </w:rPr>
              <w:t>(5)</w:t>
            </w: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Mibanco</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21.6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r>
      <w:tr>
        <w:trPr>
          <w:trHeight w:val="276"/>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Cashless</w:t>
            </w:r>
          </w:p>
        </w:tc>
        <w:tc>
          <w:tcPr>
            <w:tcW w:w="124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374"/>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Cashless Transactions </w:t>
            </w:r>
            <w:r>
              <w:rPr>
                <w:rFonts w:ascii="Arial" w:cs="Arial" w:eastAsia="Arial" w:hAnsi="Arial"/>
                <w:sz w:val="29"/>
                <w:szCs w:val="29"/>
                <w:color w:val="auto"/>
                <w:vertAlign w:val="superscript"/>
              </w:rPr>
              <w:t>(6)</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56%</w:t>
            </w:r>
          </w:p>
        </w:tc>
      </w:tr>
      <w:tr>
        <w:trPr>
          <w:trHeight w:val="239"/>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Mobile Banking rating iOs</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4.8</w:t>
            </w:r>
          </w:p>
        </w:tc>
      </w:tr>
      <w:tr>
        <w:trPr>
          <w:trHeight w:val="310"/>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Mobile Banking rating Android</w:t>
            </w:r>
          </w:p>
        </w:tc>
        <w:tc>
          <w:tcPr>
            <w:tcW w:w="12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BCP</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4.6</w:t>
            </w:r>
          </w:p>
        </w:tc>
      </w:tr>
      <w:tr>
        <w:trPr>
          <w:trHeight w:val="37"/>
        </w:trPr>
        <w:tc>
          <w:tcPr>
            <w:tcW w:w="632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r>
      <w:tr>
        <w:trPr>
          <w:trHeight w:val="275"/>
        </w:trPr>
        <w:tc>
          <w:tcPr>
            <w:tcW w:w="6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Digital Acquisition</w:t>
            </w:r>
          </w:p>
        </w:tc>
        <w:tc>
          <w:tcPr>
            <w:tcW w:w="124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346"/>
        </w:trPr>
        <w:tc>
          <w:tcPr>
            <w:tcW w:w="63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Digital Sales </w:t>
            </w:r>
            <w:r>
              <w:rPr>
                <w:rFonts w:ascii="Arial" w:cs="Arial" w:eastAsia="Arial" w:hAnsi="Arial"/>
                <w:sz w:val="29"/>
                <w:szCs w:val="29"/>
                <w:color w:val="auto"/>
                <w:vertAlign w:val="superscript"/>
              </w:rPr>
              <w:t>(7)</w:t>
            </w: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BCP</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58%</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61%</w:t>
            </w:r>
          </w:p>
        </w:tc>
      </w:tr>
    </w:tbl>
    <w:p>
      <w:pPr>
        <w:spacing w:after="0" w:line="5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Figures for March 2022, December 2023, and March 2023</w:t>
      </w:r>
    </w:p>
    <w:p>
      <w:pPr>
        <w:spacing w:after="0" w:line="22" w:lineRule="exact"/>
        <w:rPr>
          <w:rFonts w:ascii="Arial" w:cs="Arial" w:eastAsia="Arial" w:hAnsi="Arial"/>
          <w:sz w:val="11"/>
          <w:szCs w:val="11"/>
          <w:color w:val="auto"/>
        </w:rPr>
      </w:pPr>
    </w:p>
    <w:p>
      <w:pPr>
        <w:ind w:left="180" w:hanging="172"/>
        <w:spacing w:after="0"/>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Monetary Transactions conducted through Retail Banking, Internet Banking, Yape, and Telecredito/Total Retail Monetary Transactions in Retail Banking.</w:t>
      </w:r>
    </w:p>
    <w:p>
      <w:pPr>
        <w:spacing w:after="0" w:line="5" w:lineRule="exact"/>
        <w:rPr>
          <w:rFonts w:ascii="Arial" w:cs="Arial" w:eastAsia="Arial" w:hAnsi="Arial"/>
          <w:sz w:val="11"/>
          <w:szCs w:val="11"/>
          <w:color w:val="auto"/>
        </w:rPr>
      </w:pPr>
    </w:p>
    <w:p>
      <w:pPr>
        <w:ind w:left="180" w:hanging="172"/>
        <w:spacing w:after="0" w:line="230" w:lineRule="auto"/>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Disbursements generated through leads/Total disbursements. Figures differ from what was previously reported due to a methodological change.</w:t>
      </w:r>
    </w:p>
    <w:p>
      <w:pPr>
        <w:ind w:left="180" w:hanging="172"/>
        <w:spacing w:after="0"/>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Disbursements conducted through alternative channels/Total disbursements.</w:t>
      </w:r>
    </w:p>
    <w:p>
      <w:pPr>
        <w:spacing w:after="0" w:line="52" w:lineRule="exact"/>
        <w:rPr>
          <w:rFonts w:ascii="Arial" w:cs="Arial" w:eastAsia="Arial" w:hAnsi="Arial"/>
          <w:sz w:val="11"/>
          <w:szCs w:val="11"/>
          <w:color w:val="auto"/>
        </w:rPr>
      </w:pPr>
    </w:p>
    <w:p>
      <w:pPr>
        <w:ind w:left="180" w:hanging="172"/>
        <w:spacing w:after="0"/>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Number of loans disbursed/ Total relationship managers</w:t>
      </w:r>
    </w:p>
    <w:p>
      <w:pPr>
        <w:spacing w:after="0" w:line="22" w:lineRule="exact"/>
        <w:rPr>
          <w:rFonts w:ascii="Arial" w:cs="Arial" w:eastAsia="Arial" w:hAnsi="Arial"/>
          <w:sz w:val="11"/>
          <w:szCs w:val="11"/>
          <w:color w:val="auto"/>
        </w:rPr>
      </w:pPr>
    </w:p>
    <w:p>
      <w:pPr>
        <w:ind w:left="180" w:hanging="172"/>
        <w:spacing w:after="0"/>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Amount transacted through Mobile Banking, Internet Banking, Yape y POS/ Total amount transacted through Retail Banking Minorista.</w:t>
      </w:r>
    </w:p>
    <w:p>
      <w:pPr>
        <w:spacing w:after="0" w:line="62" w:lineRule="exact"/>
        <w:rPr>
          <w:rFonts w:ascii="Arial" w:cs="Arial" w:eastAsia="Arial" w:hAnsi="Arial"/>
          <w:sz w:val="11"/>
          <w:szCs w:val="11"/>
          <w:color w:val="auto"/>
        </w:rPr>
      </w:pPr>
    </w:p>
    <w:p>
      <w:pPr>
        <w:ind w:left="180" w:hanging="172"/>
        <w:spacing w:after="0"/>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Units sold by Retail Banking through digital channels/ Total number of units sold by Retail Banking.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5" w:name="page16"/>
    <w:bookmarkEnd w:id="15"/>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Credicorp’s Strategy Update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Disruptive Initiatives: Yape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Yape is making progress towards its goal of reaching breakeven in 2024. Thanks to new functionalities, Yape’s monthly active users (MAU) stood at 11.5, an NPS OF 78 and higher engagement with 1,127 million transactions conducted in 1Q24, which translated into an average of 36 transactions a month per MAU and a TPV of S/50.4 billion. As a result, Yape reached 8.6 million users who generated income, with the average monthly income per active yapero S/3.7, while the expense per active yapero stood at S/3.9.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1Q24, the drivers of monetization that stood out for each of Yape’s lines of business were: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Bill payments</w:t>
      </w:r>
      <w:r>
        <w:rPr>
          <w:rFonts w:ascii="Arial" w:cs="Arial" w:eastAsia="Arial" w:hAnsi="Arial"/>
          <w:sz w:val="18"/>
          <w:szCs w:val="18"/>
          <w:color w:val="auto"/>
        </w:rPr>
        <w:t>: 23.4 million payments through Yape, representing an increase of 29.9% QoQ and 35.2 times YoY.</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Payment with QR through POS: </w:t>
      </w:r>
      <w:r>
        <w:rPr>
          <w:rFonts w:ascii="Arial" w:cs="Arial" w:eastAsia="Arial" w:hAnsi="Arial"/>
          <w:sz w:val="18"/>
          <w:szCs w:val="18"/>
          <w:color w:val="auto"/>
        </w:rPr>
        <w:t>35.6 million payments via POS, representing a growth of 19.5% QoQ and 3.2 times YoY.</w:t>
      </w:r>
    </w:p>
    <w:p>
      <w:pPr>
        <w:ind w:left="660" w:right="3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Mobile Top-Ups: </w:t>
      </w:r>
      <w:r>
        <w:rPr>
          <w:rFonts w:ascii="Arial" w:cs="Arial" w:eastAsia="Arial" w:hAnsi="Arial"/>
          <w:sz w:val="18"/>
          <w:szCs w:val="18"/>
          <w:color w:val="auto"/>
        </w:rPr>
        <w:t>5.0 million Yaperos made more than 55.5 million mobile top-ups, which reflects growth of 9.5% QoQ and 82.5%</w:t>
      </w:r>
      <w:r>
        <w:rPr>
          <w:rFonts w:ascii="Arial" w:cs="Arial" w:eastAsia="Arial" w:hAnsi="Arial"/>
          <w:sz w:val="18"/>
          <w:szCs w:val="18"/>
          <w:b w:val="1"/>
          <w:bCs w:val="1"/>
          <w:color w:val="auto"/>
        </w:rPr>
        <w:t xml:space="preserve"> </w:t>
      </w:r>
      <w:r>
        <w:rPr>
          <w:rFonts w:ascii="Arial" w:cs="Arial" w:eastAsia="Arial" w:hAnsi="Arial"/>
          <w:sz w:val="18"/>
          <w:szCs w:val="18"/>
          <w:color w:val="auto"/>
        </w:rPr>
        <w:t>YoY.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14" w:lineRule="exact"/>
        <w:rPr>
          <w:sz w:val="20"/>
          <w:szCs w:val="20"/>
          <w:color w:val="auto"/>
        </w:rPr>
      </w:pP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Microloans single-installment: </w:t>
      </w:r>
      <w:r>
        <w:rPr>
          <w:rFonts w:ascii="Arial" w:cs="Arial" w:eastAsia="Arial" w:hAnsi="Arial"/>
          <w:sz w:val="18"/>
          <w:szCs w:val="18"/>
          <w:color w:val="auto"/>
        </w:rPr>
        <w:t>443.9 thousand single-installment microcredits were granted (+55.5 QoQ and +199.0% YoY) for a</w:t>
      </w:r>
      <w:r>
        <w:rPr>
          <w:rFonts w:ascii="Arial" w:cs="Arial" w:eastAsia="Arial" w:hAnsi="Arial"/>
          <w:sz w:val="18"/>
          <w:szCs w:val="18"/>
          <w:b w:val="1"/>
          <w:bCs w:val="1"/>
          <w:color w:val="auto"/>
        </w:rPr>
        <w:t xml:space="preserve"> </w:t>
      </w:r>
      <w:r>
        <w:rPr>
          <w:rFonts w:ascii="Arial" w:cs="Arial" w:eastAsia="Arial" w:hAnsi="Arial"/>
          <w:sz w:val="18"/>
          <w:szCs w:val="18"/>
          <w:color w:val="auto"/>
        </w:rPr>
        <w:t>total of S/89.2 million, which represents growth of 36.7% compared to 3Q23 and 166.0% versus1Q23.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2" w:lineRule="exact"/>
        <w:rPr>
          <w:sz w:val="20"/>
          <w:szCs w:val="20"/>
          <w:color w:val="auto"/>
        </w:rPr>
      </w:pPr>
    </w:p>
    <w:p>
      <w:pPr>
        <w:ind w:left="340" w:right="60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Yape Promos</w:t>
      </w:r>
      <w:r>
        <w:rPr>
          <w:rFonts w:ascii="Arial" w:cs="Arial" w:eastAsia="Arial" w:hAnsi="Arial"/>
          <w:sz w:val="18"/>
          <w:szCs w:val="18"/>
          <w:color w:val="auto"/>
        </w:rPr>
        <w:t>: 2.2 million transactions were conducted through Yape Promos (up +28.6% QoQ and +4.1 times YoY). This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translates into a GMV (gross merchant volume) of S/41.7 million (+40.3% QoQ and up 3.1 times YoY).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KPIs of Yape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84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8"/>
                <w:szCs w:val="18"/>
                <w:b w:val="1"/>
                <w:bCs w:val="1"/>
                <w:i w:val="1"/>
                <w:iCs w:val="1"/>
                <w:color w:val="auto"/>
              </w:rPr>
              <w:t>Disruptive Initiatives: Yape</w:t>
            </w:r>
          </w:p>
        </w:tc>
        <w:tc>
          <w:tcPr>
            <w:tcW w:w="2760" w:type="dxa"/>
            <w:vAlign w:val="bottom"/>
            <w:tcBorders>
              <w:bottom w:val="single" w:sz="8" w:color="auto"/>
            </w:tcBorders>
            <w:shd w:val="clear" w:color="auto" w:fill="2AD2C9"/>
          </w:tcPr>
          <w:p>
            <w:pPr>
              <w:jc w:val="center"/>
              <w:ind w:left="1230"/>
              <w:spacing w:after="0"/>
              <w:rPr>
                <w:sz w:val="20"/>
                <w:szCs w:val="20"/>
                <w:color w:val="auto"/>
              </w:rPr>
            </w:pPr>
            <w:r>
              <w:rPr>
                <w:rFonts w:ascii="Arial" w:cs="Arial" w:eastAsia="Arial" w:hAnsi="Arial"/>
                <w:sz w:val="18"/>
                <w:szCs w:val="18"/>
                <w:b w:val="1"/>
                <w:bCs w:val="1"/>
                <w:i w:val="1"/>
                <w:iCs w:val="1"/>
                <w:color w:val="auto"/>
                <w:w w:val="99"/>
              </w:rPr>
              <w:t>1Q23</w:t>
            </w:r>
          </w:p>
        </w:tc>
        <w:tc>
          <w:tcPr>
            <w:tcW w:w="16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4Q23</w:t>
            </w:r>
          </w:p>
        </w:tc>
        <w:tc>
          <w:tcPr>
            <w:tcW w:w="15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1Q24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Users</w:t>
            </w:r>
          </w:p>
        </w:tc>
        <w:tc>
          <w:tcPr>
            <w:tcW w:w="2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20"/>
              <w:spacing w:after="0"/>
              <w:rPr>
                <w:sz w:val="20"/>
                <w:szCs w:val="20"/>
                <w:color w:val="auto"/>
              </w:rPr>
            </w:pPr>
            <w:r>
              <w:rPr>
                <w:rFonts w:ascii="Arial" w:cs="Arial" w:eastAsia="Arial" w:hAnsi="Arial"/>
                <w:sz w:val="18"/>
                <w:szCs w:val="18"/>
                <w:color w:val="auto"/>
              </w:rPr>
              <w:t>Users (millions)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w w:val="96"/>
              </w:rPr>
              <w:t>12.3</w:t>
            </w:r>
          </w:p>
        </w:tc>
        <w:tc>
          <w:tcPr>
            <w:tcW w:w="1620" w:type="dxa"/>
            <w:vAlign w:val="bottom"/>
          </w:tcPr>
          <w:p>
            <w:pPr>
              <w:jc w:val="center"/>
              <w:spacing w:after="0"/>
              <w:rPr>
                <w:sz w:val="20"/>
                <w:szCs w:val="20"/>
                <w:color w:val="auto"/>
              </w:rPr>
            </w:pPr>
            <w:r>
              <w:rPr>
                <w:rFonts w:ascii="Arial" w:cs="Arial" w:eastAsia="Arial" w:hAnsi="Arial"/>
                <w:sz w:val="18"/>
                <w:szCs w:val="18"/>
                <w:color w:val="auto"/>
              </w:rPr>
              <w:t>14.2</w:t>
            </w:r>
          </w:p>
        </w:tc>
        <w:tc>
          <w:tcPr>
            <w:tcW w:w="1560" w:type="dxa"/>
            <w:vAlign w:val="bottom"/>
          </w:tcPr>
          <w:p>
            <w:pPr>
              <w:jc w:val="center"/>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120"/>
              <w:spacing w:after="0" w:line="239" w:lineRule="exact"/>
              <w:rPr>
                <w:sz w:val="20"/>
                <w:szCs w:val="20"/>
                <w:color w:val="auto"/>
              </w:rPr>
            </w:pPr>
            <w:r>
              <w:rPr>
                <w:rFonts w:ascii="Arial" w:cs="Arial" w:eastAsia="Arial" w:hAnsi="Arial"/>
                <w:sz w:val="17"/>
                <w:szCs w:val="17"/>
                <w:color w:val="auto"/>
              </w:rPr>
              <w:t xml:space="preserve">Monthly Active Users (MAU) (millions) </w:t>
            </w:r>
            <w:r>
              <w:rPr>
                <w:rFonts w:ascii="Arial" w:cs="Arial" w:eastAsia="Arial" w:hAnsi="Arial"/>
                <w:sz w:val="27"/>
                <w:szCs w:val="27"/>
                <w:color w:val="auto"/>
                <w:vertAlign w:val="superscript"/>
              </w:rPr>
              <w:t>(1)</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8.4</w:t>
            </w:r>
          </w:p>
        </w:tc>
        <w:tc>
          <w:tcPr>
            <w:tcW w:w="1620" w:type="dxa"/>
            <w:vAlign w:val="bottom"/>
          </w:tcPr>
          <w:p>
            <w:pPr>
              <w:jc w:val="center"/>
              <w:spacing w:after="0"/>
              <w:rPr>
                <w:sz w:val="20"/>
                <w:szCs w:val="20"/>
                <w:color w:val="auto"/>
              </w:rPr>
            </w:pPr>
            <w:r>
              <w:rPr>
                <w:rFonts w:ascii="Arial" w:cs="Arial" w:eastAsia="Arial" w:hAnsi="Arial"/>
                <w:sz w:val="18"/>
                <w:szCs w:val="18"/>
                <w:color w:val="auto"/>
              </w:rPr>
              <w:t>10.7</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Fee Income Generating MAU (millions)</w:t>
            </w:r>
          </w:p>
        </w:tc>
        <w:tc>
          <w:tcPr>
            <w:tcW w:w="27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w w:val="99"/>
              </w:rPr>
              <w:t>4</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7.9</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8.6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120"/>
              <w:spacing w:after="0"/>
              <w:rPr>
                <w:sz w:val="20"/>
                <w:szCs w:val="20"/>
                <w:color w:val="auto"/>
              </w:rPr>
            </w:pPr>
            <w:r>
              <w:rPr>
                <w:rFonts w:ascii="Arial" w:cs="Arial" w:eastAsia="Arial" w:hAnsi="Arial"/>
                <w:sz w:val="18"/>
                <w:szCs w:val="18"/>
                <w:b w:val="1"/>
                <w:bCs w:val="1"/>
                <w:color w:val="auto"/>
              </w:rPr>
              <w:t>Engagement</w:t>
            </w:r>
          </w:p>
        </w:tc>
        <w:tc>
          <w:tcPr>
            <w:tcW w:w="2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20"/>
              <w:spacing w:after="0"/>
              <w:rPr>
                <w:sz w:val="20"/>
                <w:szCs w:val="20"/>
                <w:color w:val="auto"/>
              </w:rPr>
            </w:pPr>
            <w:r>
              <w:rPr>
                <w:rFonts w:ascii="Arial" w:cs="Arial" w:eastAsia="Arial" w:hAnsi="Arial"/>
                <w:sz w:val="18"/>
                <w:szCs w:val="18"/>
                <w:color w:val="auto"/>
              </w:rPr>
              <w:t># Monthly Transactions (millions)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480.3</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1,027.90</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1,127.70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auto"/>
            </w:tcBorders>
          </w:tcPr>
          <w:p>
            <w:pPr>
              <w:ind w:left="120"/>
              <w:spacing w:after="0" w:line="245" w:lineRule="exact"/>
              <w:rPr>
                <w:sz w:val="20"/>
                <w:szCs w:val="20"/>
                <w:color w:val="auto"/>
              </w:rPr>
            </w:pPr>
            <w:r>
              <w:rPr>
                <w:rFonts w:ascii="Arial" w:cs="Arial" w:eastAsia="Arial" w:hAnsi="Arial"/>
                <w:sz w:val="17"/>
                <w:szCs w:val="17"/>
                <w:color w:val="auto"/>
              </w:rPr>
              <w:t xml:space="preserve">TPV </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(S/, billions)</w:t>
            </w:r>
          </w:p>
        </w:tc>
        <w:tc>
          <w:tcPr>
            <w:tcW w:w="276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99"/>
              </w:rPr>
              <w:t>24</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47.1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50.4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Experience</w:t>
            </w:r>
          </w:p>
        </w:tc>
        <w:tc>
          <w:tcPr>
            <w:tcW w:w="2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80" w:type="dxa"/>
            <w:vAlign w:val="bottom"/>
          </w:tcPr>
          <w:p>
            <w:pPr>
              <w:ind w:left="120"/>
              <w:spacing w:after="0" w:line="241" w:lineRule="exact"/>
              <w:rPr>
                <w:sz w:val="20"/>
                <w:szCs w:val="20"/>
                <w:color w:val="auto"/>
              </w:rPr>
            </w:pPr>
            <w:r>
              <w:rPr>
                <w:rFonts w:ascii="Arial" w:cs="Arial" w:eastAsia="Arial" w:hAnsi="Arial"/>
                <w:sz w:val="27"/>
                <w:szCs w:val="27"/>
                <w:color w:val="auto"/>
                <w:vertAlign w:val="subscript"/>
              </w:rPr>
              <w:t>NPS</w:t>
            </w:r>
            <w:r>
              <w:rPr>
                <w:rFonts w:ascii="Arial" w:cs="Arial" w:eastAsia="Arial" w:hAnsi="Arial"/>
                <w:sz w:val="13"/>
                <w:szCs w:val="13"/>
                <w:color w:val="auto"/>
              </w:rPr>
              <w:t xml:space="preserve"> (3)</w:t>
            </w:r>
          </w:p>
        </w:tc>
        <w:tc>
          <w:tcPr>
            <w:tcW w:w="2760" w:type="dxa"/>
            <w:vAlign w:val="bottom"/>
          </w:tcPr>
          <w:p>
            <w:pPr>
              <w:jc w:val="center"/>
              <w:ind w:left="1230"/>
              <w:spacing w:after="0"/>
              <w:rPr>
                <w:sz w:val="20"/>
                <w:szCs w:val="20"/>
                <w:color w:val="auto"/>
              </w:rPr>
            </w:pPr>
            <w:r>
              <w:rPr>
                <w:rFonts w:ascii="Arial" w:cs="Arial" w:eastAsia="Arial" w:hAnsi="Arial"/>
                <w:sz w:val="18"/>
                <w:szCs w:val="18"/>
                <w:color w:val="auto"/>
                <w:w w:val="99"/>
              </w:rPr>
              <w:t>73</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Metric per Monthly Active User (MAU))</w:t>
            </w:r>
          </w:p>
        </w:tc>
        <w:tc>
          <w:tcPr>
            <w:tcW w:w="2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Monthly Transactions / MAU</w:t>
            </w:r>
          </w:p>
        </w:tc>
        <w:tc>
          <w:tcPr>
            <w:tcW w:w="2760" w:type="dxa"/>
            <w:vAlign w:val="bottom"/>
          </w:tcPr>
          <w:p>
            <w:pPr>
              <w:jc w:val="center"/>
              <w:ind w:left="1230"/>
              <w:spacing w:after="0"/>
              <w:rPr>
                <w:sz w:val="20"/>
                <w:szCs w:val="20"/>
                <w:color w:val="auto"/>
              </w:rPr>
            </w:pPr>
            <w:r>
              <w:rPr>
                <w:rFonts w:ascii="Arial" w:cs="Arial" w:eastAsia="Arial" w:hAnsi="Arial"/>
                <w:sz w:val="18"/>
                <w:szCs w:val="18"/>
                <w:color w:val="auto"/>
                <w:w w:val="99"/>
              </w:rPr>
              <w:t>21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Monthly Revenues / MAU</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1.9</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Monthly Expenses / MAU</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4.2</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Monthly Cash Cost / MAU</w:t>
            </w:r>
          </w:p>
        </w:tc>
        <w:tc>
          <w:tcPr>
            <w:tcW w:w="27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rPr>
              <w:t>5.2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4.2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120"/>
              <w:spacing w:after="0"/>
              <w:rPr>
                <w:sz w:val="20"/>
                <w:szCs w:val="20"/>
                <w:color w:val="auto"/>
              </w:rPr>
            </w:pPr>
            <w:r>
              <w:rPr>
                <w:rFonts w:ascii="Arial" w:cs="Arial" w:eastAsia="Arial" w:hAnsi="Arial"/>
                <w:sz w:val="18"/>
                <w:szCs w:val="18"/>
                <w:b w:val="1"/>
                <w:bCs w:val="1"/>
                <w:color w:val="auto"/>
              </w:rPr>
              <w:t>Monetization Drivers</w:t>
            </w:r>
          </w:p>
        </w:tc>
        <w:tc>
          <w:tcPr>
            <w:tcW w:w="2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80" w:type="dxa"/>
            <w:vAlign w:val="bottom"/>
          </w:tcPr>
          <w:p>
            <w:pPr>
              <w:ind w:left="280"/>
              <w:spacing w:after="0"/>
              <w:rPr>
                <w:sz w:val="20"/>
                <w:szCs w:val="20"/>
                <w:color w:val="auto"/>
              </w:rPr>
            </w:pPr>
            <w:r>
              <w:rPr>
                <w:rFonts w:ascii="Arial" w:cs="Arial" w:eastAsia="Arial" w:hAnsi="Arial"/>
                <w:sz w:val="18"/>
                <w:szCs w:val="18"/>
                <w:b w:val="1"/>
                <w:bCs w:val="1"/>
                <w:color w:val="auto"/>
              </w:rPr>
              <w:t>Payments</w:t>
            </w:r>
          </w:p>
        </w:tc>
        <w:tc>
          <w:tcPr>
            <w:tcW w:w="2760" w:type="dxa"/>
            <w:vAlign w:val="bottom"/>
            <w:vMerge w:val="restart"/>
          </w:tcPr>
          <w:p>
            <w:pPr>
              <w:jc w:val="center"/>
              <w:ind w:left="1210"/>
              <w:spacing w:after="0"/>
              <w:rPr>
                <w:sz w:val="20"/>
                <w:szCs w:val="20"/>
                <w:color w:val="auto"/>
              </w:rPr>
            </w:pPr>
            <w:r>
              <w:rPr>
                <w:rFonts w:ascii="Arial" w:cs="Arial" w:eastAsia="Arial" w:hAnsi="Arial"/>
                <w:sz w:val="18"/>
                <w:szCs w:val="18"/>
                <w:color w:val="auto"/>
                <w:w w:val="96"/>
              </w:rPr>
              <w:t>30.4</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rPr>
              <w:t>50.6</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 Mobile Top-Ups transactions (millions)</w:t>
            </w:r>
          </w:p>
        </w:tc>
        <w:tc>
          <w:tcPr>
            <w:tcW w:w="276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 Bill Payments transactions (millions)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0.6</w:t>
            </w:r>
          </w:p>
        </w:tc>
        <w:tc>
          <w:tcPr>
            <w:tcW w:w="1620" w:type="dxa"/>
            <w:vAlign w:val="bottom"/>
          </w:tcPr>
          <w:p>
            <w:pPr>
              <w:jc w:val="center"/>
              <w:spacing w:after="0"/>
              <w:rPr>
                <w:sz w:val="20"/>
                <w:szCs w:val="20"/>
                <w:color w:val="auto"/>
              </w:rPr>
            </w:pPr>
            <w:r>
              <w:rPr>
                <w:rFonts w:ascii="Arial" w:cs="Arial" w:eastAsia="Arial" w:hAnsi="Arial"/>
                <w:sz w:val="18"/>
                <w:szCs w:val="18"/>
                <w:color w:val="auto"/>
              </w:rPr>
              <w:t>18.1</w:t>
            </w:r>
          </w:p>
        </w:tc>
        <w:tc>
          <w:tcPr>
            <w:tcW w:w="1560" w:type="dxa"/>
            <w:vAlign w:val="bottom"/>
          </w:tcPr>
          <w:p>
            <w:pPr>
              <w:jc w:val="center"/>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 QR POS transactions (millions)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280.7</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910.3</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 Checkout transactions (millions)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0.6</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280"/>
              <w:spacing w:after="0"/>
              <w:rPr>
                <w:sz w:val="20"/>
                <w:szCs w:val="20"/>
                <w:color w:val="auto"/>
              </w:rPr>
            </w:pPr>
            <w:r>
              <w:rPr>
                <w:rFonts w:ascii="Arial" w:cs="Arial" w:eastAsia="Arial" w:hAnsi="Arial"/>
                <w:sz w:val="18"/>
                <w:szCs w:val="18"/>
                <w:b w:val="1"/>
                <w:bCs w:val="1"/>
                <w:color w:val="auto"/>
              </w:rPr>
              <w:t>Market Place</w:t>
            </w:r>
          </w:p>
        </w:tc>
        <w:tc>
          <w:tcPr>
            <w:tcW w:w="2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280"/>
              <w:spacing w:after="0" w:line="239" w:lineRule="exact"/>
              <w:rPr>
                <w:sz w:val="20"/>
                <w:szCs w:val="20"/>
                <w:color w:val="auto"/>
              </w:rPr>
            </w:pPr>
            <w:r>
              <w:rPr>
                <w:rFonts w:ascii="Arial" w:cs="Arial" w:eastAsia="Arial" w:hAnsi="Arial"/>
                <w:sz w:val="17"/>
                <w:szCs w:val="17"/>
                <w:color w:val="auto"/>
              </w:rPr>
              <w:t xml:space="preserve">Yape Promos GMV </w:t>
            </w:r>
            <w:r>
              <w:rPr>
                <w:rFonts w:ascii="Arial" w:cs="Arial" w:eastAsia="Arial" w:hAnsi="Arial"/>
                <w:sz w:val="27"/>
                <w:szCs w:val="27"/>
                <w:color w:val="auto"/>
                <w:vertAlign w:val="superscript"/>
              </w:rPr>
              <w:t>(4)</w:t>
            </w:r>
            <w:r>
              <w:rPr>
                <w:rFonts w:ascii="Arial" w:cs="Arial" w:eastAsia="Arial" w:hAnsi="Arial"/>
                <w:sz w:val="17"/>
                <w:szCs w:val="17"/>
                <w:color w:val="auto"/>
              </w:rPr>
              <w:t xml:space="preserve"> (S/, millones)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w w:val="96"/>
              </w:rPr>
              <w:t>10.1</w:t>
            </w:r>
          </w:p>
        </w:tc>
        <w:tc>
          <w:tcPr>
            <w:tcW w:w="1620" w:type="dxa"/>
            <w:vAlign w:val="bottom"/>
          </w:tcPr>
          <w:p>
            <w:pPr>
              <w:jc w:val="center"/>
              <w:spacing w:after="0"/>
              <w:rPr>
                <w:sz w:val="20"/>
                <w:szCs w:val="20"/>
                <w:color w:val="auto"/>
              </w:rPr>
            </w:pPr>
            <w:r>
              <w:rPr>
                <w:rFonts w:ascii="Arial" w:cs="Arial" w:eastAsia="Arial" w:hAnsi="Arial"/>
                <w:sz w:val="18"/>
                <w:szCs w:val="18"/>
                <w:color w:val="auto"/>
              </w:rPr>
              <w:t>29.7</w:t>
            </w:r>
          </w:p>
        </w:tc>
        <w:tc>
          <w:tcPr>
            <w:tcW w:w="1560" w:type="dxa"/>
            <w:vAlign w:val="bottom"/>
          </w:tcPr>
          <w:p>
            <w:pPr>
              <w:jc w:val="center"/>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80" w:type="dxa"/>
            <w:vAlign w:val="bottom"/>
          </w:tcPr>
          <w:p>
            <w:pPr>
              <w:ind w:left="280"/>
              <w:spacing w:after="0"/>
              <w:rPr>
                <w:sz w:val="20"/>
                <w:szCs w:val="20"/>
                <w:color w:val="auto"/>
              </w:rPr>
            </w:pPr>
            <w:r>
              <w:rPr>
                <w:rFonts w:ascii="Arial" w:cs="Arial" w:eastAsia="Arial" w:hAnsi="Arial"/>
                <w:sz w:val="18"/>
                <w:szCs w:val="18"/>
                <w:b w:val="1"/>
                <w:bCs w:val="1"/>
                <w:color w:val="auto"/>
              </w:rPr>
              <w:t>Financial</w:t>
            </w:r>
          </w:p>
        </w:tc>
        <w:tc>
          <w:tcPr>
            <w:tcW w:w="2760" w:type="dxa"/>
            <w:vAlign w:val="bottom"/>
            <w:vMerge w:val="restart"/>
          </w:tcPr>
          <w:p>
            <w:pPr>
              <w:jc w:val="center"/>
              <w:ind w:left="1210"/>
              <w:spacing w:after="0"/>
              <w:rPr>
                <w:sz w:val="20"/>
                <w:szCs w:val="20"/>
                <w:color w:val="auto"/>
              </w:rPr>
            </w:pPr>
            <w:r>
              <w:rPr>
                <w:rFonts w:ascii="Arial" w:cs="Arial" w:eastAsia="Arial" w:hAnsi="Arial"/>
                <w:sz w:val="18"/>
                <w:szCs w:val="18"/>
                <w:color w:val="auto"/>
              </w:rPr>
              <w:t>148.5</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7"/>
              </w:rPr>
              <w:t>290.5</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7"/>
              </w:rPr>
              <w:t>471.5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 Microloans Disbursements (miles)</w:t>
            </w:r>
          </w:p>
        </w:tc>
        <w:tc>
          <w:tcPr>
            <w:tcW w:w="276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80" w:type="dxa"/>
            <w:vAlign w:val="bottom"/>
          </w:tcPr>
          <w:p>
            <w:pPr>
              <w:ind w:left="280"/>
              <w:spacing w:after="0"/>
              <w:rPr>
                <w:sz w:val="20"/>
                <w:szCs w:val="20"/>
                <w:color w:val="auto"/>
              </w:rPr>
            </w:pPr>
            <w:r>
              <w:rPr>
                <w:rFonts w:ascii="Arial" w:cs="Arial" w:eastAsia="Arial" w:hAnsi="Arial"/>
                <w:sz w:val="18"/>
                <w:szCs w:val="18"/>
                <w:i w:val="1"/>
                <w:iCs w:val="1"/>
                <w:color w:val="auto"/>
              </w:rPr>
              <w:t># Insurance sales</w:t>
            </w:r>
          </w:p>
        </w:tc>
        <w:tc>
          <w:tcPr>
            <w:tcW w:w="2760" w:type="dxa"/>
            <w:vAlign w:val="bottom"/>
          </w:tcPr>
          <w:p>
            <w:pPr>
              <w:jc w:val="center"/>
              <w:ind w:left="1210"/>
              <w:spacing w:after="0"/>
              <w:rPr>
                <w:sz w:val="20"/>
                <w:szCs w:val="20"/>
                <w:color w:val="auto"/>
              </w:rPr>
            </w:pPr>
            <w:r>
              <w:rPr>
                <w:rFonts w:ascii="Arial" w:cs="Arial" w:eastAsia="Arial" w:hAnsi="Arial"/>
                <w:sz w:val="18"/>
                <w:szCs w:val="18"/>
                <w:color w:val="auto"/>
              </w:rPr>
              <w:t>4.9</w:t>
            </w:r>
          </w:p>
        </w:tc>
        <w:tc>
          <w:tcPr>
            <w:tcW w:w="1620" w:type="dxa"/>
            <w:vAlign w:val="bottom"/>
          </w:tcPr>
          <w:p>
            <w:pPr>
              <w:jc w:val="center"/>
              <w:spacing w:after="0"/>
              <w:rPr>
                <w:sz w:val="20"/>
                <w:szCs w:val="20"/>
                <w:color w:val="auto"/>
              </w:rPr>
            </w:pPr>
            <w:r>
              <w:rPr>
                <w:rFonts w:ascii="Arial" w:cs="Arial" w:eastAsia="Arial" w:hAnsi="Arial"/>
                <w:sz w:val="18"/>
                <w:szCs w:val="18"/>
                <w:color w:val="auto"/>
              </w:rPr>
              <w:t>35.3</w:t>
            </w:r>
          </w:p>
        </w:tc>
        <w:tc>
          <w:tcPr>
            <w:tcW w:w="1560" w:type="dxa"/>
            <w:vAlign w:val="bottom"/>
          </w:tcPr>
          <w:p>
            <w:pPr>
              <w:jc w:val="center"/>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Yape users that have made at least one transaction over the last month.</w:t>
      </w:r>
    </w:p>
    <w:p>
      <w:pPr>
        <w:spacing w:after="0" w:line="1" w:lineRule="exact"/>
        <w:rPr>
          <w:rFonts w:ascii="Arial" w:cs="Arial" w:eastAsia="Arial" w:hAnsi="Arial"/>
          <w:sz w:val="11"/>
          <w:szCs w:val="11"/>
          <w:color w:val="auto"/>
        </w:rPr>
      </w:pPr>
    </w:p>
    <w:p>
      <w:pPr>
        <w:ind w:left="180" w:hanging="172"/>
        <w:spacing w:after="0" w:line="230" w:lineRule="auto"/>
        <w:tabs>
          <w:tab w:leader="none" w:pos="1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Total Payment Volume</w:t>
      </w:r>
    </w:p>
    <w:p>
      <w:pPr>
        <w:ind w:left="180" w:hanging="172"/>
        <w:spacing w:after="0"/>
        <w:tabs>
          <w:tab w:leader="none" w:pos="1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Net Promoting Score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6" w:name="page17"/>
    <w:bookmarkEnd w:id="16"/>
    <w:p>
      <w:pPr>
        <w:ind w:left="2720"/>
        <w:spacing w:after="0"/>
        <w:tabs>
          <w:tab w:leader="none" w:pos="29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5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75438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Credicorp’s Strategy Update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Integrating Sustainability in Our Businesses</w:t>
      </w:r>
    </w:p>
    <w:p>
      <w:pPr>
        <w:spacing w:after="0" w:line="1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For more information on our sustainability strategy, program and initiatives, see “</w:t>
      </w:r>
      <w:r>
        <w:rPr>
          <w:rFonts w:ascii="Arial" w:cs="Arial" w:eastAsia="Arial" w:hAnsi="Arial"/>
          <w:sz w:val="18"/>
          <w:szCs w:val="18"/>
          <w:u w:val="single" w:color="auto"/>
          <w:color w:val="0562C1"/>
        </w:rPr>
        <w:t>Sustainability Strategy 2020-25”</w:t>
      </w:r>
      <w:r>
        <w:rPr>
          <w:rFonts w:ascii="Arial" w:cs="Arial" w:eastAsia="Arial" w:hAnsi="Arial"/>
          <w:sz w:val="18"/>
          <w:szCs w:val="18"/>
          <w:color w:val="auto"/>
        </w:rPr>
        <w:t xml:space="preserve">. Among the milestones reached in the first quarter of this year, we published our </w:t>
      </w:r>
      <w:r>
        <w:rPr>
          <w:rFonts w:ascii="Arial" w:cs="Arial" w:eastAsia="Arial" w:hAnsi="Arial"/>
          <w:sz w:val="18"/>
          <w:szCs w:val="18"/>
          <w:u w:val="single" w:color="auto"/>
          <w:color w:val="0562C1"/>
        </w:rPr>
        <w:t>Annual and Sustainability Report 2023,</w:t>
      </w:r>
      <w:r>
        <w:rPr>
          <w:rFonts w:ascii="Arial" w:cs="Arial" w:eastAsia="Arial" w:hAnsi="Arial"/>
          <w:sz w:val="18"/>
          <w:szCs w:val="18"/>
          <w:color w:val="auto"/>
        </w:rPr>
        <w:t xml:space="preserve"> which was developed according to GRI and SASB standards. We would like to report on the progress we have made in our Sustainability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Front – Driving environmental sustainability through the financial sector and ESG risk management</w:t>
      </w:r>
    </w:p>
    <w:p>
      <w:pPr>
        <w:spacing w:after="0" w:line="212" w:lineRule="exact"/>
        <w:rPr>
          <w:sz w:val="20"/>
          <w:szCs w:val="20"/>
          <w:color w:val="auto"/>
        </w:rPr>
      </w:pPr>
    </w:p>
    <w:p>
      <w:pPr>
        <w:jc w:val="both"/>
        <w:ind w:left="340" w:hanging="332"/>
        <w:spacing w:after="0" w:line="23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Measuring the portfolio’s footprint: </w:t>
      </w:r>
      <w:r>
        <w:rPr>
          <w:rFonts w:ascii="Arial" w:cs="Arial" w:eastAsia="Arial" w:hAnsi="Arial"/>
          <w:sz w:val="18"/>
          <w:szCs w:val="18"/>
          <w:color w:val="auto"/>
        </w:rPr>
        <w:t>Pacífico Seguros and Prima AFP measured 68% and 75% of their portfolios, respectively. In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loan portfolio, 22% of the wholesale banking portfolio at BCP was measured. The financed footprint was measured with the PCAF methodology (Partnership for Carbon Accounting Financials), which incorporates data on footprints reported by issuers, clients and other estimations. In this first quarter, we initiated an analysis of our results. Additionally, work began to measure the footprint of BCP Bolivia’s portfolios and two Latin American portfolios at Credicorp Capital Asset Management.</w:t>
      </w:r>
    </w:p>
    <w:p>
      <w:pPr>
        <w:spacing w:after="0" w:line="4" w:lineRule="exact"/>
        <w:rPr>
          <w:rFonts w:ascii="Arial" w:cs="Arial" w:eastAsia="Arial" w:hAnsi="Arial"/>
          <w:sz w:val="18"/>
          <w:szCs w:val="18"/>
          <w:color w:val="auto"/>
        </w:rPr>
      </w:pPr>
    </w:p>
    <w:p>
      <w:pPr>
        <w:ind w:left="340" w:hanging="332"/>
        <w:spacing w:after="0" w:line="187"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Business Opportunities</w:t>
      </w:r>
      <w:r>
        <w:rPr>
          <w:rFonts w:ascii="Arial" w:cs="Arial" w:eastAsia="Arial" w:hAnsi="Arial"/>
          <w:sz w:val="17"/>
          <w:szCs w:val="17"/>
          <w:color w:val="auto"/>
        </w:rPr>
        <w:t>: The next step in our process to monitor our sustainable financing focuses on disbursements of sustainable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loans and on labeling transactions (reported previously). In the first quarter, BCP disbursed a total of US$ 148 million in green loans </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jc w:val="both"/>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Risks: </w:t>
      </w:r>
      <w:r>
        <w:rPr>
          <w:rFonts w:ascii="Arial" w:cs="Arial" w:eastAsia="Arial" w:hAnsi="Arial"/>
          <w:sz w:val="18"/>
          <w:szCs w:val="18"/>
          <w:color w:val="auto"/>
        </w:rPr>
        <w:t>On the investment front, we completed work to define and develop tools for ESG assessment (such as questionnaires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scores) for different types of prioritized assets. Atlantic Security Banking was included in the scope of the ESG Risk Enabler Project, and work began to review own portfolios (Managers, Treasury and Trading) to determine if they are aligned with corporate exclusions. This initiative is a complement to the regular investment control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Front – Expanding financial inclusion and education in finance and entrepreneurship</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Financial Inclusion</w:t>
      </w:r>
      <w:r>
        <w:rPr>
          <w:rFonts w:ascii="Arial" w:cs="Arial" w:eastAsia="Arial" w:hAnsi="Arial"/>
          <w:sz w:val="18"/>
          <w:szCs w:val="18"/>
          <w:color w:val="auto"/>
        </w:rPr>
        <w:t>: Yape continued to affiliate microbusinesses in intermediate-size cities and smaller population centers in the regions;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 is now present in 12 departments. Also, 72.9 thousand people obtained their first loan from the Financial System through Yape; 43% of them were women. Lastly, the “Agente Móvil” at BCP has traveled 10.8 thousand km and posted a historic high of 15 thousand transactions completed in rural and urban locations in the departments of Arequipa, Cusco and Moquegua.</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Financial Education</w:t>
      </w:r>
      <w:r>
        <w:rPr>
          <w:rFonts w:ascii="Arial" w:cs="Arial" w:eastAsia="Arial" w:hAnsi="Arial"/>
          <w:sz w:val="18"/>
          <w:szCs w:val="18"/>
          <w:color w:val="auto"/>
        </w:rPr>
        <w:t>: BCP continued to promote improvements in the financial behavior (Credit Risk, Day-to-Day and Savings Habits) of 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 clients in the first quarter, thanks to its Financial Education through Business initiatives. More than 114 thousand clients from Mibanco received on-line or on-site training on business management, entrepreneurship and finance in 1Q24 through different education strategies at the bank, including the Basic Program for Digit Advice and Powerful Women and Pymes (Programa Básico Asesoría Digital, Mujeres Poderosas y Pymes). Prima’s web-based education program “Ahorrando a Fondo” reported 26 thousand sessions this quarter, posting an organic increase.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our progress in other initiatives and platforms on the social 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005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6760" w:type="dxa"/>
            <w:vAlign w:val="bottom"/>
            <w:tcBorders>
              <w:top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i w:val="1"/>
                <w:iCs w:val="1"/>
                <w:color w:val="auto"/>
              </w:rPr>
              <w:t>Progress on Initiatives</w:t>
            </w:r>
          </w:p>
        </w:tc>
        <w:tc>
          <w:tcPr>
            <w:tcW w:w="112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i w:val="1"/>
                <w:iCs w:val="1"/>
                <w:color w:val="auto"/>
                <w:w w:val="97"/>
              </w:rPr>
              <w:t>Company</w:t>
            </w:r>
          </w:p>
        </w:tc>
        <w:tc>
          <w:tcPr>
            <w:tcW w:w="112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i w:val="1"/>
                <w:iCs w:val="1"/>
                <w:color w:val="auto"/>
                <w:w w:val="94"/>
              </w:rPr>
              <w:t>1Q23</w:t>
            </w:r>
          </w:p>
        </w:tc>
        <w:tc>
          <w:tcPr>
            <w:tcW w:w="112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i w:val="1"/>
                <w:iCs w:val="1"/>
                <w:color w:val="auto"/>
                <w:w w:val="94"/>
              </w:rPr>
              <w:t>4Q23</w:t>
            </w:r>
          </w:p>
        </w:tc>
        <w:tc>
          <w:tcPr>
            <w:tcW w:w="110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i w:val="1"/>
                <w:iCs w:val="1"/>
                <w:color w:val="auto"/>
                <w:w w:val="94"/>
              </w:rPr>
              <w:t>1Q24</w:t>
            </w:r>
          </w:p>
        </w:tc>
        <w:tc>
          <w:tcPr>
            <w:tcW w:w="20" w:type="dxa"/>
            <w:vAlign w:val="bottom"/>
            <w:tcBorders>
              <w:top w:val="single" w:sz="8" w:color="auto"/>
              <w:bottom w:val="single" w:sz="8" w:color="auto"/>
            </w:tcBorders>
          </w:tcPr>
          <w:p>
            <w:pPr>
              <w:spacing w:after="0"/>
              <w:rPr>
                <w:sz w:val="15"/>
                <w:szCs w:val="15"/>
                <w:color w:val="auto"/>
              </w:rPr>
            </w:pPr>
          </w:p>
        </w:tc>
      </w:tr>
      <w:tr>
        <w:trPr>
          <w:trHeight w:val="183"/>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Financial Inclusion</w:t>
            </w:r>
          </w:p>
        </w:tc>
        <w:tc>
          <w:tcPr>
            <w:tcW w:w="1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6"/>
        </w:trPr>
        <w:tc>
          <w:tcPr>
            <w:tcW w:w="676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13"/>
                <w:szCs w:val="13"/>
                <w:color w:val="auto"/>
              </w:rPr>
              <w:t>Financially included through BCP and Yape</w:t>
            </w:r>
            <w:r>
              <w:rPr>
                <w:rFonts w:ascii="Arial" w:cs="Arial" w:eastAsia="Arial" w:hAnsi="Arial"/>
                <w:sz w:val="20"/>
                <w:szCs w:val="20"/>
                <w:color w:val="auto"/>
                <w:vertAlign w:val="superscript"/>
              </w:rPr>
              <w:t>(2)</w:t>
            </w:r>
            <w:r>
              <w:rPr>
                <w:rFonts w:ascii="Arial" w:cs="Arial" w:eastAsia="Arial" w:hAnsi="Arial"/>
                <w:sz w:val="13"/>
                <w:szCs w:val="13"/>
                <w:color w:val="auto"/>
              </w:rPr>
              <w:t> – cumulative since 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BCP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2.6 million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4.1 million</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4.2 million</w:t>
            </w:r>
          </w:p>
        </w:tc>
        <w:tc>
          <w:tcPr>
            <w:tcW w:w="20" w:type="dxa"/>
            <w:vAlign w:val="bottom"/>
          </w:tcPr>
          <w:p>
            <w:pPr>
              <w:spacing w:after="0"/>
              <w:rPr>
                <w:sz w:val="17"/>
                <w:szCs w:val="17"/>
                <w:color w:val="auto"/>
              </w:rPr>
            </w:pPr>
          </w:p>
        </w:tc>
      </w:tr>
      <w:tr>
        <w:trPr>
          <w:trHeight w:val="173"/>
        </w:trPr>
        <w:tc>
          <w:tcPr>
            <w:tcW w:w="6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Stock of inclusive insurance policies – YTD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Pacífico Seguros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2.8 million</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3.2 million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3.3 million</w:t>
            </w:r>
          </w:p>
        </w:tc>
        <w:tc>
          <w:tcPr>
            <w:tcW w:w="20" w:type="dxa"/>
            <w:vAlign w:val="bottom"/>
            <w:tcBorders>
              <w:bottom w:val="single" w:sz="8" w:color="auto"/>
            </w:tcBorders>
          </w:tcPr>
          <w:p>
            <w:pPr>
              <w:spacing w:after="0"/>
              <w:rPr>
                <w:sz w:val="15"/>
                <w:szCs w:val="15"/>
                <w:color w:val="auto"/>
              </w:rPr>
            </w:pPr>
          </w:p>
        </w:tc>
      </w:tr>
      <w:tr>
        <w:trPr>
          <w:trHeight w:val="185"/>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Financial Education</w:t>
            </w: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3"/>
        </w:trPr>
        <w:tc>
          <w:tcPr>
            <w:tcW w:w="67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Trained through online courses via ABC at BCP (ABC del BCP) – YTD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BCP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117.5 thousand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614.1 thousand</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142.6 thousand</w:t>
            </w:r>
          </w:p>
        </w:tc>
        <w:tc>
          <w:tcPr>
            <w:tcW w:w="20" w:type="dxa"/>
            <w:vAlign w:val="bottom"/>
          </w:tcPr>
          <w:p>
            <w:pPr>
              <w:spacing w:after="0"/>
              <w:rPr>
                <w:sz w:val="15"/>
                <w:szCs w:val="15"/>
                <w:color w:val="auto"/>
              </w:rPr>
            </w:pPr>
          </w:p>
        </w:tc>
      </w:tr>
      <w:tr>
        <w:trPr>
          <w:trHeight w:val="189"/>
        </w:trPr>
        <w:tc>
          <w:tcPr>
            <w:tcW w:w="67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Individuals trained in risk prevention via Safe Community (Comunidad Segura) – YTD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Pacífico Seguros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0.3 thousand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38.4 thousand</w:t>
            </w:r>
          </w:p>
        </w:tc>
        <w:tc>
          <w:tcPr>
            <w:tcW w:w="1100" w:type="dxa"/>
            <w:vAlign w:val="bottom"/>
          </w:tcPr>
          <w:p>
            <w:pPr>
              <w:jc w:val="center"/>
              <w:spacing w:after="0"/>
              <w:rPr>
                <w:sz w:val="20"/>
                <w:szCs w:val="20"/>
                <w:color w:val="auto"/>
              </w:rPr>
            </w:pPr>
            <w:r>
              <w:rPr>
                <w:rFonts w:ascii="Arial" w:cs="Arial" w:eastAsia="Arial" w:hAnsi="Arial"/>
                <w:sz w:val="13"/>
                <w:szCs w:val="13"/>
                <w:color w:val="auto"/>
                <w:w w:val="98"/>
              </w:rPr>
              <w:t>0.1 thousand</w:t>
            </w:r>
          </w:p>
        </w:tc>
        <w:tc>
          <w:tcPr>
            <w:tcW w:w="20" w:type="dxa"/>
            <w:vAlign w:val="bottom"/>
          </w:tcPr>
          <w:p>
            <w:pPr>
              <w:spacing w:after="0"/>
              <w:rPr>
                <w:sz w:val="16"/>
                <w:szCs w:val="16"/>
                <w:color w:val="auto"/>
              </w:rPr>
            </w:pPr>
          </w:p>
        </w:tc>
      </w:tr>
      <w:tr>
        <w:trPr>
          <w:trHeight w:val="189"/>
        </w:trPr>
        <w:tc>
          <w:tcPr>
            <w:tcW w:w="67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Young people trained through the ABC of the Pension Culture (ABC de la Cultura Previsional) – YTD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Prima AFP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5.6 thousand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138.0 thousand</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110.4 thousand</w:t>
            </w:r>
          </w:p>
        </w:tc>
        <w:tc>
          <w:tcPr>
            <w:tcW w:w="20" w:type="dxa"/>
            <w:vAlign w:val="bottom"/>
          </w:tcPr>
          <w:p>
            <w:pPr>
              <w:spacing w:after="0"/>
              <w:rPr>
                <w:sz w:val="16"/>
                <w:szCs w:val="16"/>
                <w:color w:val="auto"/>
              </w:rPr>
            </w:pPr>
          </w:p>
        </w:tc>
      </w:tr>
      <w:tr>
        <w:trPr>
          <w:trHeight w:val="196"/>
        </w:trPr>
        <w:tc>
          <w:tcPr>
            <w:tcW w:w="6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Clients trained through the Basic Program for Digital Guidance (Programa Básico de Asesoría Digital) – YTD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Mibanco Perú</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108.0 thousand </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272.0 thousand</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35.9 thousand</w:t>
            </w:r>
          </w:p>
        </w:tc>
        <w:tc>
          <w:tcPr>
            <w:tcW w:w="20" w:type="dxa"/>
            <w:vAlign w:val="bottom"/>
            <w:tcBorders>
              <w:bottom w:val="single" w:sz="8" w:color="auto"/>
            </w:tcBorders>
          </w:tcPr>
          <w:p>
            <w:pPr>
              <w:spacing w:after="0"/>
              <w:rPr>
                <w:sz w:val="17"/>
                <w:szCs w:val="17"/>
                <w:color w:val="auto"/>
              </w:rPr>
            </w:pPr>
          </w:p>
        </w:tc>
      </w:tr>
      <w:tr>
        <w:trPr>
          <w:trHeight w:val="185"/>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Opportunities and Products for Women</w:t>
            </w: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676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13"/>
                <w:szCs w:val="13"/>
                <w:color w:val="auto"/>
              </w:rPr>
              <w:t xml:space="preserve">Number of disbursements through Loans for Women </w:t>
            </w:r>
            <w:r>
              <w:rPr>
                <w:rFonts w:ascii="Arial" w:cs="Arial" w:eastAsia="Arial" w:hAnsi="Arial"/>
                <w:sz w:val="20"/>
                <w:szCs w:val="20"/>
                <w:color w:val="auto"/>
                <w:vertAlign w:val="superscript"/>
              </w:rPr>
              <w:t>(3)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Mibanco Perú</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12.9 thousand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12.0 thousand</w:t>
            </w:r>
          </w:p>
        </w:tc>
        <w:tc>
          <w:tcPr>
            <w:tcW w:w="1100" w:type="dxa"/>
            <w:vAlign w:val="bottom"/>
          </w:tcPr>
          <w:p>
            <w:pPr>
              <w:jc w:val="center"/>
              <w:spacing w:after="0"/>
              <w:rPr>
                <w:sz w:val="20"/>
                <w:szCs w:val="20"/>
                <w:color w:val="auto"/>
              </w:rPr>
            </w:pPr>
            <w:r>
              <w:rPr>
                <w:rFonts w:ascii="Arial" w:cs="Arial" w:eastAsia="Arial" w:hAnsi="Arial"/>
                <w:sz w:val="13"/>
                <w:szCs w:val="13"/>
                <w:color w:val="auto"/>
                <w:w w:val="97"/>
              </w:rPr>
              <w:t>10.6 thousand</w:t>
            </w:r>
          </w:p>
        </w:tc>
        <w:tc>
          <w:tcPr>
            <w:tcW w:w="20" w:type="dxa"/>
            <w:vAlign w:val="bottom"/>
          </w:tcPr>
          <w:p>
            <w:pPr>
              <w:spacing w:after="0"/>
              <w:rPr>
                <w:sz w:val="17"/>
                <w:szCs w:val="17"/>
                <w:color w:val="auto"/>
              </w:rPr>
            </w:pPr>
          </w:p>
        </w:tc>
      </w:tr>
      <w:tr>
        <w:trPr>
          <w:trHeight w:val="173"/>
        </w:trPr>
        <w:tc>
          <w:tcPr>
            <w:tcW w:w="6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Percentage of women banked on the asset side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Mibanco Perú</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54.3%</w:t>
            </w:r>
          </w:p>
        </w:tc>
        <w:tc>
          <w:tcPr>
            <w:tcW w:w="1120" w:type="dxa"/>
            <w:vAlign w:val="bottom"/>
            <w:tcBorders>
              <w:bottom w:val="single" w:sz="8" w:color="auto"/>
              <w:right w:val="single" w:sz="8" w:color="auto"/>
            </w:tcBorders>
          </w:tcPr>
          <w:p>
            <w:pPr>
              <w:jc w:val="right"/>
              <w:ind w:right="317"/>
              <w:spacing w:after="0"/>
              <w:rPr>
                <w:sz w:val="20"/>
                <w:szCs w:val="20"/>
                <w:color w:val="auto"/>
              </w:rPr>
            </w:pPr>
            <w:r>
              <w:rPr>
                <w:rFonts w:ascii="Arial" w:cs="Arial" w:eastAsia="Arial" w:hAnsi="Arial"/>
                <w:sz w:val="13"/>
                <w:szCs w:val="13"/>
                <w:color w:val="auto"/>
              </w:rPr>
              <w:t>55.9%</w:t>
            </w: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63.6%</w:t>
            </w:r>
          </w:p>
        </w:tc>
        <w:tc>
          <w:tcPr>
            <w:tcW w:w="20" w:type="dxa"/>
            <w:vAlign w:val="bottom"/>
            <w:tcBorders>
              <w:bottom w:val="single" w:sz="8" w:color="auto"/>
            </w:tcBorders>
          </w:tcPr>
          <w:p>
            <w:pPr>
              <w:spacing w:after="0"/>
              <w:rPr>
                <w:sz w:val="15"/>
                <w:szCs w:val="15"/>
                <w:color w:val="auto"/>
              </w:rPr>
            </w:pPr>
          </w:p>
        </w:tc>
      </w:tr>
      <w:tr>
        <w:trPr>
          <w:trHeight w:val="185"/>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Helping small businesses grow</w:t>
            </w: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3"/>
        </w:trPr>
        <w:tc>
          <w:tcPr>
            <w:tcW w:w="6760" w:type="dxa"/>
            <w:vAlign w:val="bottom"/>
          </w:tcPr>
          <w:p>
            <w:pPr>
              <w:ind w:left="60"/>
              <w:spacing w:after="0"/>
              <w:rPr>
                <w:sz w:val="20"/>
                <w:szCs w:val="20"/>
                <w:color w:val="auto"/>
              </w:rPr>
            </w:pPr>
            <w:r>
              <w:rPr>
                <w:rFonts w:ascii="Arial" w:cs="Arial" w:eastAsia="Arial" w:hAnsi="Arial"/>
                <w:sz w:val="13"/>
                <w:szCs w:val="13"/>
                <w:color w:val="auto"/>
              </w:rPr>
              <w:t>Trained via Accompanying Entrepreneurs (Contigo Emprendedor) – YTD</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BCP</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13.1 thousand</w:t>
            </w: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121.0 thousand</w:t>
            </w:r>
          </w:p>
        </w:tc>
        <w:tc>
          <w:tcPr>
            <w:tcW w:w="1100" w:type="dxa"/>
            <w:vAlign w:val="bottom"/>
          </w:tcPr>
          <w:p>
            <w:pPr>
              <w:jc w:val="center"/>
              <w:spacing w:after="0"/>
              <w:rPr>
                <w:sz w:val="20"/>
                <w:szCs w:val="20"/>
                <w:color w:val="auto"/>
              </w:rPr>
            </w:pPr>
            <w:r>
              <w:rPr>
                <w:rFonts w:ascii="Arial" w:cs="Arial" w:eastAsia="Arial" w:hAnsi="Arial"/>
                <w:sz w:val="13"/>
                <w:szCs w:val="13"/>
                <w:color w:val="auto"/>
                <w:w w:val="98"/>
              </w:rPr>
              <w:t>3.7 thousand</w:t>
            </w:r>
          </w:p>
        </w:tc>
        <w:tc>
          <w:tcPr>
            <w:tcW w:w="20" w:type="dxa"/>
            <w:vAlign w:val="bottom"/>
          </w:tcPr>
          <w:p>
            <w:pPr>
              <w:spacing w:after="0"/>
              <w:rPr>
                <w:sz w:val="15"/>
                <w:szCs w:val="15"/>
                <w:color w:val="auto"/>
              </w:rPr>
            </w:pPr>
          </w:p>
        </w:tc>
      </w:tr>
      <w:tr>
        <w:trPr>
          <w:trHeight w:val="212"/>
        </w:trPr>
        <w:tc>
          <w:tcPr>
            <w:tcW w:w="6760" w:type="dxa"/>
            <w:vAlign w:val="bottom"/>
          </w:tcPr>
          <w:p>
            <w:pPr>
              <w:ind w:left="60"/>
              <w:spacing w:after="0"/>
              <w:rPr>
                <w:sz w:val="20"/>
                <w:szCs w:val="20"/>
                <w:color w:val="auto"/>
              </w:rPr>
            </w:pPr>
            <w:r>
              <w:rPr>
                <w:rFonts w:ascii="Arial" w:cs="Arial" w:eastAsia="Arial" w:hAnsi="Arial"/>
                <w:sz w:val="13"/>
                <w:szCs w:val="13"/>
                <w:color w:val="auto"/>
              </w:rPr>
              <w:t>SME-Pymes financially included through loans (working capital and invoice discounting) – YTD</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BCP</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7.7 thousand </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33.9 thousand</w:t>
            </w:r>
          </w:p>
        </w:tc>
        <w:tc>
          <w:tcPr>
            <w:tcW w:w="1100" w:type="dxa"/>
            <w:vAlign w:val="bottom"/>
          </w:tcPr>
          <w:p>
            <w:pPr>
              <w:jc w:val="center"/>
              <w:spacing w:after="0" w:line="212" w:lineRule="exact"/>
              <w:rPr>
                <w:sz w:val="20"/>
                <w:szCs w:val="20"/>
                <w:color w:val="auto"/>
              </w:rPr>
            </w:pPr>
            <w:r>
              <w:rPr>
                <w:rFonts w:ascii="Arial" w:cs="Arial" w:eastAsia="Arial" w:hAnsi="Arial"/>
                <w:sz w:val="13"/>
                <w:szCs w:val="13"/>
                <w:color w:val="auto"/>
                <w:w w:val="93"/>
              </w:rPr>
              <w:t>6.0 thousand</w:t>
            </w:r>
            <w:r>
              <w:rPr>
                <w:rFonts w:ascii="Arial" w:cs="Arial" w:eastAsia="Arial" w:hAnsi="Arial"/>
                <w:sz w:val="20"/>
                <w:szCs w:val="20"/>
                <w:color w:val="auto"/>
                <w:w w:val="93"/>
                <w:vertAlign w:val="superscript"/>
              </w:rPr>
              <w:t>(4)</w:t>
            </w:r>
          </w:p>
        </w:tc>
        <w:tc>
          <w:tcPr>
            <w:tcW w:w="20" w:type="dxa"/>
            <w:vAlign w:val="bottom"/>
          </w:tcPr>
          <w:p>
            <w:pPr>
              <w:spacing w:after="0"/>
              <w:rPr>
                <w:sz w:val="18"/>
                <w:szCs w:val="18"/>
                <w:color w:val="auto"/>
              </w:rPr>
            </w:pPr>
          </w:p>
        </w:tc>
      </w:tr>
      <w:tr>
        <w:trPr>
          <w:trHeight w:val="166"/>
        </w:trPr>
        <w:tc>
          <w:tcPr>
            <w:tcW w:w="6760" w:type="dxa"/>
            <w:vAlign w:val="bottom"/>
          </w:tcPr>
          <w:p>
            <w:pPr>
              <w:ind w:left="60"/>
              <w:spacing w:after="0"/>
              <w:rPr>
                <w:sz w:val="20"/>
                <w:szCs w:val="20"/>
                <w:color w:val="auto"/>
              </w:rPr>
            </w:pPr>
            <w:r>
              <w:rPr>
                <w:rFonts w:ascii="Arial" w:cs="Arial" w:eastAsia="Arial" w:hAnsi="Arial"/>
                <w:sz w:val="13"/>
                <w:szCs w:val="13"/>
                <w:color w:val="auto"/>
              </w:rPr>
              <w:t>Microbusiness affiliated to Yape – YTD</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BCP</w:t>
            </w: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1.6 thousand</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26.9 thousand</w:t>
            </w:r>
          </w:p>
        </w:tc>
        <w:tc>
          <w:tcPr>
            <w:tcW w:w="1100" w:type="dxa"/>
            <w:vAlign w:val="bottom"/>
          </w:tcPr>
          <w:p>
            <w:pPr>
              <w:jc w:val="center"/>
              <w:spacing w:after="0"/>
              <w:rPr>
                <w:sz w:val="20"/>
                <w:szCs w:val="20"/>
                <w:color w:val="auto"/>
              </w:rPr>
            </w:pPr>
            <w:r>
              <w:rPr>
                <w:rFonts w:ascii="Arial" w:cs="Arial" w:eastAsia="Arial" w:hAnsi="Arial"/>
                <w:sz w:val="13"/>
                <w:szCs w:val="13"/>
                <w:color w:val="auto"/>
                <w:w w:val="98"/>
              </w:rPr>
              <w:t>8.3 thousand</w:t>
            </w:r>
          </w:p>
        </w:tc>
        <w:tc>
          <w:tcPr>
            <w:tcW w:w="20" w:type="dxa"/>
            <w:vAlign w:val="bottom"/>
          </w:tcPr>
          <w:p>
            <w:pPr>
              <w:spacing w:after="0"/>
              <w:rPr>
                <w:sz w:val="14"/>
                <w:szCs w:val="14"/>
                <w:color w:val="auto"/>
              </w:rPr>
            </w:pPr>
          </w:p>
        </w:tc>
      </w:tr>
    </w:tbl>
    <w:p>
      <w:pPr>
        <w:spacing w:after="0" w:line="1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Partial information at the end of the first quarter of 2024.</w:t>
      </w:r>
    </w:p>
    <w:p>
      <w:pPr>
        <w:spacing w:after="0" w:line="5" w:lineRule="exact"/>
        <w:rPr>
          <w:rFonts w:ascii="Arial" w:cs="Arial" w:eastAsia="Arial" w:hAnsi="Arial"/>
          <w:sz w:val="11"/>
          <w:szCs w:val="11"/>
          <w:color w:val="auto"/>
        </w:rPr>
      </w:pPr>
    </w:p>
    <w:p>
      <w:pPr>
        <w:ind w:right="20" w:firstLine="8"/>
        <w:spacing w:after="0" w:line="230" w:lineRule="auto"/>
        <w:tabs>
          <w:tab w:leader="none" w:pos="192" w:val="left"/>
        </w:tabs>
        <w:numPr>
          <w:ilvl w:val="0"/>
          <w:numId w:val="12"/>
        </w:numPr>
        <w:rPr>
          <w:rFonts w:ascii="Arial" w:cs="Arial" w:eastAsia="Arial" w:hAnsi="Arial"/>
          <w:sz w:val="11"/>
          <w:szCs w:val="11"/>
          <w:color w:val="auto"/>
        </w:rPr>
      </w:pPr>
      <w:r>
        <w:rPr>
          <w:rFonts w:ascii="Arial" w:cs="Arial" w:eastAsia="Arial" w:hAnsi="Arial"/>
          <w:sz w:val="11"/>
          <w:szCs w:val="11"/>
          <w:color w:val="auto"/>
        </w:rPr>
        <w:t>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ind w:left="180" w:hanging="172"/>
        <w:spacing w:after="0" w:line="230" w:lineRule="auto"/>
        <w:tabs>
          <w:tab w:leader="none" w:pos="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Non-cumulative. Figure for the period.</w:t>
      </w:r>
    </w:p>
    <w:p>
      <w:pPr>
        <w:ind w:left="180" w:hanging="172"/>
        <w:spacing w:after="0"/>
        <w:tabs>
          <w:tab w:leader="none" w:pos="1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Up to February.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631"/>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7" w:name="page18"/>
    <w:bookmarkEnd w:id="17"/>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71805"/>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01 </w:t>
      </w:r>
      <w:r>
        <w:rPr>
          <w:rFonts w:ascii="Arial" w:cs="Arial" w:eastAsia="Arial" w:hAnsi="Arial"/>
          <w:sz w:val="32"/>
          <w:szCs w:val="32"/>
          <w:color w:val="E93BAB"/>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29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335"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8"/>
          <w:szCs w:val="18"/>
          <w:color w:val="FFFFFF"/>
        </w:rPr>
        <w:t>QoQ, total loans measured in average daily balances (ADB) dropped 1.3% (FX neutral -1.4%). This evolution was driven mainly by i) an uptick in loan amortizations in Wholesale Banking, which reflects seasonal factors seen every first quarter ii) an increase in amortizations of Government Program Loans in Small Businesses Banking and iii) tightened lending guidelines at Mibanco. The drop in total loans was partially offset by growth in Mortgage loans.</w:t>
      </w:r>
    </w:p>
    <w:p>
      <w:pPr>
        <w:spacing w:after="0" w:line="160"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8"/>
          <w:szCs w:val="18"/>
          <w:color w:val="FFFFFF"/>
        </w:rPr>
        <w:t>YoY, total loans in average daily balances decreased 3.1% (FX neutral -2.8%). In Wholesale Banking, the reduction in balances was mainly attributable to a weak macroeconomic environment and limited private investment while in Small Business and Mibanco, the decline was driven by the same factors as those seen QoQ. The decrease in ADBs YoY was partially offset by growth in Credit Cards and Mortgage loans.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Total Loans (in Average Daily Balances)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08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380" w:type="dxa"/>
            <w:vAlign w:val="bottom"/>
            <w:shd w:val="clear" w:color="auto" w:fill="2AD2C9"/>
          </w:tcPr>
          <w:p>
            <w:pPr>
              <w:ind w:left="60"/>
              <w:spacing w:after="0"/>
              <w:rPr>
                <w:sz w:val="20"/>
                <w:szCs w:val="20"/>
                <w:color w:val="auto"/>
              </w:rPr>
            </w:pPr>
            <w:r>
              <w:rPr>
                <w:rFonts w:ascii="Arial" w:cs="Arial" w:eastAsia="Arial" w:hAnsi="Arial"/>
                <w:sz w:val="16"/>
                <w:szCs w:val="16"/>
                <w:b w:val="1"/>
                <w:bCs w:val="1"/>
                <w:color w:val="FFFFFF"/>
              </w:rPr>
              <w:t>Total Loans</w:t>
            </w:r>
          </w:p>
        </w:tc>
        <w:tc>
          <w:tcPr>
            <w:tcW w:w="800" w:type="dxa"/>
            <w:vAlign w:val="bottom"/>
            <w:shd w:val="clear" w:color="auto" w:fill="2AD2C9"/>
          </w:tcPr>
          <w:p>
            <w:pPr>
              <w:spacing w:after="0"/>
              <w:rPr>
                <w:sz w:val="21"/>
                <w:szCs w:val="21"/>
                <w:color w:val="auto"/>
              </w:rPr>
            </w:pPr>
          </w:p>
        </w:tc>
        <w:tc>
          <w:tcPr>
            <w:tcW w:w="780" w:type="dxa"/>
            <w:vAlign w:val="bottom"/>
            <w:shd w:val="clear" w:color="auto" w:fill="2AD2C9"/>
          </w:tcPr>
          <w:p>
            <w:pPr>
              <w:jc w:val="center"/>
              <w:spacing w:after="0"/>
              <w:rPr>
                <w:sz w:val="20"/>
                <w:szCs w:val="20"/>
                <w:color w:val="auto"/>
              </w:rPr>
            </w:pPr>
            <w:r>
              <w:rPr>
                <w:rFonts w:ascii="Arial" w:cs="Arial" w:eastAsia="Arial" w:hAnsi="Arial"/>
                <w:sz w:val="16"/>
                <w:szCs w:val="16"/>
                <w:b w:val="1"/>
                <w:bCs w:val="1"/>
                <w:color w:val="FFFFFF"/>
              </w:rPr>
              <w:t>As of</w:t>
            </w:r>
          </w:p>
        </w:tc>
        <w:tc>
          <w:tcPr>
            <w:tcW w:w="780" w:type="dxa"/>
            <w:vAlign w:val="bottom"/>
            <w:shd w:val="clear" w:color="auto" w:fill="2AD2C9"/>
          </w:tcPr>
          <w:p>
            <w:pPr>
              <w:spacing w:after="0"/>
              <w:rPr>
                <w:sz w:val="21"/>
                <w:szCs w:val="21"/>
                <w:color w:val="auto"/>
              </w:rPr>
            </w:pPr>
          </w:p>
        </w:tc>
        <w:tc>
          <w:tcPr>
            <w:tcW w:w="1580" w:type="dxa"/>
            <w:vAlign w:val="bottom"/>
            <w:gridSpan w:val="2"/>
            <w:shd w:val="clear" w:color="auto" w:fill="2AD2C9"/>
          </w:tcPr>
          <w:p>
            <w:pPr>
              <w:ind w:left="200"/>
              <w:spacing w:after="0"/>
              <w:rPr>
                <w:sz w:val="20"/>
                <w:szCs w:val="20"/>
                <w:color w:val="auto"/>
              </w:rPr>
            </w:pPr>
            <w:r>
              <w:rPr>
                <w:rFonts w:ascii="Arial" w:cs="Arial" w:eastAsia="Arial" w:hAnsi="Arial"/>
                <w:sz w:val="16"/>
                <w:szCs w:val="16"/>
                <w:b w:val="1"/>
                <w:bCs w:val="1"/>
                <w:color w:val="FFFFFF"/>
              </w:rPr>
              <w:t>Volume change</w:t>
            </w:r>
          </w:p>
        </w:tc>
        <w:tc>
          <w:tcPr>
            <w:tcW w:w="1560" w:type="dxa"/>
            <w:vAlign w:val="bottom"/>
            <w:gridSpan w:val="2"/>
            <w:shd w:val="clear" w:color="auto" w:fill="2AD2C9"/>
          </w:tcPr>
          <w:p>
            <w:pPr>
              <w:ind w:left="400"/>
              <w:spacing w:after="0"/>
              <w:rPr>
                <w:sz w:val="20"/>
                <w:szCs w:val="20"/>
                <w:color w:val="auto"/>
              </w:rPr>
            </w:pPr>
            <w:r>
              <w:rPr>
                <w:rFonts w:ascii="Arial" w:cs="Arial" w:eastAsia="Arial" w:hAnsi="Arial"/>
                <w:sz w:val="16"/>
                <w:szCs w:val="16"/>
                <w:b w:val="1"/>
                <w:bCs w:val="1"/>
                <w:color w:val="FFFFFF"/>
              </w:rPr>
              <w:t>% change</w:t>
            </w:r>
          </w:p>
        </w:tc>
        <w:tc>
          <w:tcPr>
            <w:tcW w:w="2340" w:type="dxa"/>
            <w:vAlign w:val="bottom"/>
            <w:gridSpan w:val="3"/>
            <w:shd w:val="clear" w:color="auto" w:fill="2AD2C9"/>
          </w:tcPr>
          <w:p>
            <w:pPr>
              <w:jc w:val="center"/>
              <w:spacing w:after="0"/>
              <w:rPr>
                <w:sz w:val="20"/>
                <w:szCs w:val="20"/>
                <w:color w:val="auto"/>
              </w:rPr>
            </w:pPr>
            <w:r>
              <w:rPr>
                <w:rFonts w:ascii="Arial" w:cs="Arial" w:eastAsia="Arial" w:hAnsi="Arial"/>
                <w:sz w:val="16"/>
                <w:szCs w:val="16"/>
                <w:b w:val="1"/>
                <w:bCs w:val="1"/>
                <w:color w:val="FFFFFF"/>
              </w:rPr>
              <w:t>% Part. in total loans</w:t>
            </w:r>
          </w:p>
        </w:tc>
        <w:tc>
          <w:tcPr>
            <w:tcW w:w="20" w:type="dxa"/>
            <w:vAlign w:val="bottom"/>
          </w:tcPr>
          <w:p>
            <w:pPr>
              <w:spacing w:after="0"/>
              <w:rPr>
                <w:sz w:val="21"/>
                <w:szCs w:val="21"/>
                <w:color w:val="auto"/>
              </w:rPr>
            </w:pPr>
          </w:p>
        </w:tc>
      </w:tr>
      <w:tr>
        <w:trPr>
          <w:trHeight w:val="314"/>
        </w:trPr>
        <w:tc>
          <w:tcPr>
            <w:tcW w:w="338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6"/>
                <w:szCs w:val="16"/>
                <w:color w:val="FFFFFF"/>
              </w:rPr>
              <w:t>(S/ millions)</w:t>
            </w:r>
          </w:p>
        </w:tc>
        <w:tc>
          <w:tcPr>
            <w:tcW w:w="80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6"/>
                <w:szCs w:val="16"/>
                <w:b w:val="1"/>
                <w:bCs w:val="1"/>
                <w:color w:val="FFFFFF"/>
              </w:rPr>
              <w:t>Mar 23</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Dec 23</w:t>
            </w:r>
          </w:p>
        </w:tc>
        <w:tc>
          <w:tcPr>
            <w:tcW w:w="78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6"/>
                <w:szCs w:val="16"/>
                <w:b w:val="1"/>
                <w:bCs w:val="1"/>
                <w:color w:val="FFFFFF"/>
              </w:rPr>
              <w:t>Mar 24</w:t>
            </w:r>
          </w:p>
        </w:tc>
        <w:tc>
          <w:tcPr>
            <w:tcW w:w="78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6"/>
                <w:szCs w:val="16"/>
                <w:b w:val="1"/>
                <w:bCs w:val="1"/>
                <w:color w:val="FFFFFF"/>
              </w:rPr>
              <w:t>YoY</w:t>
            </w:r>
          </w:p>
        </w:tc>
        <w:tc>
          <w:tcPr>
            <w:tcW w:w="76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6"/>
                <w:szCs w:val="16"/>
                <w:b w:val="1"/>
                <w:bCs w:val="1"/>
                <w:color w:val="FFFFFF"/>
              </w:rPr>
              <w:t>YoY</w:t>
            </w:r>
          </w:p>
        </w:tc>
        <w:tc>
          <w:tcPr>
            <w:tcW w:w="78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6"/>
                <w:szCs w:val="16"/>
                <w:b w:val="1"/>
                <w:bCs w:val="1"/>
                <w:color w:val="FFFFFF"/>
              </w:rPr>
              <w:t>Mar 23</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Dec 23</w:t>
            </w:r>
          </w:p>
        </w:tc>
        <w:tc>
          <w:tcPr>
            <w:tcW w:w="78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6"/>
                <w:szCs w:val="16"/>
                <w:b w:val="1"/>
                <w:bCs w:val="1"/>
                <w:color w:val="FFFFFF"/>
              </w:rPr>
              <w:t>Mar 24</w:t>
            </w:r>
          </w:p>
        </w:tc>
        <w:tc>
          <w:tcPr>
            <w:tcW w:w="20" w:type="dxa"/>
            <w:vAlign w:val="bottom"/>
            <w:tcBorders>
              <w:bottom w:val="single" w:sz="8" w:color="auto"/>
            </w:tcBorders>
          </w:tcPr>
          <w:p>
            <w:pPr>
              <w:spacing w:after="0"/>
              <w:rPr>
                <w:sz w:val="24"/>
                <w:szCs w:val="24"/>
                <w:color w:val="auto"/>
              </w:rPr>
            </w:pPr>
          </w:p>
        </w:tc>
      </w:tr>
      <w:tr>
        <w:trPr>
          <w:trHeight w:val="233"/>
        </w:trPr>
        <w:tc>
          <w:tcPr>
            <w:tcW w:w="3380" w:type="dxa"/>
            <w:vAlign w:val="bottom"/>
          </w:tcPr>
          <w:p>
            <w:pPr>
              <w:ind w:left="60"/>
              <w:spacing w:after="0"/>
              <w:rPr>
                <w:sz w:val="20"/>
                <w:szCs w:val="20"/>
                <w:color w:val="auto"/>
              </w:rPr>
            </w:pPr>
            <w:r>
              <w:rPr>
                <w:rFonts w:ascii="Arial" w:cs="Arial" w:eastAsia="Arial" w:hAnsi="Arial"/>
                <w:sz w:val="16"/>
                <w:szCs w:val="16"/>
                <w:b w:val="1"/>
                <w:bCs w:val="1"/>
                <w:color w:val="auto"/>
              </w:rPr>
              <w:t>BCP Stand-alone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118,707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116,011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114,383</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-1,628</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rPr>
              <w:t>-4,324</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-3.6%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81.9%</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81.5%</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81.5%</w:t>
            </w:r>
          </w:p>
        </w:tc>
        <w:tc>
          <w:tcPr>
            <w:tcW w:w="20" w:type="dxa"/>
            <w:vAlign w:val="bottom"/>
          </w:tcPr>
          <w:p>
            <w:pPr>
              <w:spacing w:after="0"/>
              <w:rPr>
                <w:sz w:val="20"/>
                <w:szCs w:val="20"/>
                <w:color w:val="auto"/>
              </w:rPr>
            </w:pPr>
          </w:p>
        </w:tc>
      </w:tr>
      <w:tr>
        <w:trPr>
          <w:trHeight w:val="247"/>
        </w:trPr>
        <w:tc>
          <w:tcPr>
            <w:tcW w:w="3380" w:type="dxa"/>
            <w:vAlign w:val="bottom"/>
          </w:tcPr>
          <w:p>
            <w:pPr>
              <w:ind w:left="180"/>
              <w:spacing w:after="0"/>
              <w:rPr>
                <w:sz w:val="20"/>
                <w:szCs w:val="20"/>
                <w:color w:val="auto"/>
              </w:rPr>
            </w:pPr>
            <w:r>
              <w:rPr>
                <w:rFonts w:ascii="Arial" w:cs="Arial" w:eastAsia="Arial" w:hAnsi="Arial"/>
                <w:sz w:val="16"/>
                <w:szCs w:val="16"/>
                <w:b w:val="1"/>
                <w:bCs w:val="1"/>
                <w:color w:val="auto"/>
              </w:rPr>
              <w:t>Wholesale Banking</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55,141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52,476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51,266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-1,210</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rPr>
              <w:t>-3,876</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-2.3%</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-7.0%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38.0%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36.9%</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36.5%</w:t>
            </w:r>
          </w:p>
        </w:tc>
        <w:tc>
          <w:tcPr>
            <w:tcW w:w="20" w:type="dxa"/>
            <w:vAlign w:val="bottom"/>
          </w:tcPr>
          <w:p>
            <w:pPr>
              <w:spacing w:after="0"/>
              <w:rPr>
                <w:sz w:val="21"/>
                <w:szCs w:val="21"/>
                <w:color w:val="auto"/>
              </w:rPr>
            </w:pPr>
          </w:p>
        </w:tc>
      </w:tr>
      <w:tr>
        <w:trPr>
          <w:trHeight w:val="231"/>
        </w:trPr>
        <w:tc>
          <w:tcPr>
            <w:tcW w:w="3380" w:type="dxa"/>
            <w:vAlign w:val="bottom"/>
          </w:tcPr>
          <w:p>
            <w:pPr>
              <w:ind w:left="340"/>
              <w:spacing w:after="0"/>
              <w:rPr>
                <w:sz w:val="20"/>
                <w:szCs w:val="20"/>
                <w:color w:val="auto"/>
              </w:rPr>
            </w:pPr>
            <w:r>
              <w:rPr>
                <w:rFonts w:ascii="Arial" w:cs="Arial" w:eastAsia="Arial" w:hAnsi="Arial"/>
                <w:sz w:val="16"/>
                <w:szCs w:val="16"/>
                <w:color w:val="auto"/>
              </w:rPr>
              <w:t>Corporate</w:t>
            </w:r>
          </w:p>
        </w:tc>
        <w:tc>
          <w:tcPr>
            <w:tcW w:w="800" w:type="dxa"/>
            <w:vAlign w:val="bottom"/>
          </w:tcPr>
          <w:p>
            <w:pPr>
              <w:jc w:val="center"/>
              <w:spacing w:after="0"/>
              <w:rPr>
                <w:sz w:val="20"/>
                <w:szCs w:val="20"/>
                <w:color w:val="auto"/>
              </w:rPr>
            </w:pPr>
            <w:r>
              <w:rPr>
                <w:rFonts w:ascii="Arial" w:cs="Arial" w:eastAsia="Arial" w:hAnsi="Arial"/>
                <w:sz w:val="16"/>
                <w:szCs w:val="16"/>
                <w:color w:val="auto"/>
              </w:rPr>
              <w:t>32,717</w:t>
            </w:r>
          </w:p>
        </w:tc>
        <w:tc>
          <w:tcPr>
            <w:tcW w:w="780" w:type="dxa"/>
            <w:vAlign w:val="bottom"/>
          </w:tcPr>
          <w:p>
            <w:pPr>
              <w:jc w:val="center"/>
              <w:spacing w:after="0"/>
              <w:rPr>
                <w:sz w:val="20"/>
                <w:szCs w:val="20"/>
                <w:color w:val="auto"/>
              </w:rPr>
            </w:pPr>
            <w:r>
              <w:rPr>
                <w:rFonts w:ascii="Arial" w:cs="Arial" w:eastAsia="Arial" w:hAnsi="Arial"/>
                <w:sz w:val="16"/>
                <w:szCs w:val="16"/>
                <w:color w:val="auto"/>
              </w:rPr>
              <w:t>30,559</w:t>
            </w:r>
          </w:p>
        </w:tc>
        <w:tc>
          <w:tcPr>
            <w:tcW w:w="780" w:type="dxa"/>
            <w:vAlign w:val="bottom"/>
          </w:tcPr>
          <w:p>
            <w:pPr>
              <w:jc w:val="center"/>
              <w:spacing w:after="0"/>
              <w:rPr>
                <w:sz w:val="20"/>
                <w:szCs w:val="20"/>
                <w:color w:val="auto"/>
              </w:rPr>
            </w:pPr>
            <w:r>
              <w:rPr>
                <w:rFonts w:ascii="Arial" w:cs="Arial" w:eastAsia="Arial" w:hAnsi="Arial"/>
                <w:sz w:val="16"/>
                <w:szCs w:val="16"/>
                <w:color w:val="auto"/>
              </w:rPr>
              <w:t>29,676</w:t>
            </w:r>
          </w:p>
        </w:tc>
        <w:tc>
          <w:tcPr>
            <w:tcW w:w="78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-883</w:t>
            </w:r>
          </w:p>
        </w:tc>
        <w:tc>
          <w:tcPr>
            <w:tcW w:w="80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6"/>
              </w:rPr>
              <w:t>-3,041</w:t>
            </w:r>
          </w:p>
        </w:tc>
        <w:tc>
          <w:tcPr>
            <w:tcW w:w="760" w:type="dxa"/>
            <w:vAlign w:val="bottom"/>
          </w:tcPr>
          <w:p>
            <w:pPr>
              <w:jc w:val="center"/>
              <w:spacing w:after="0"/>
              <w:rPr>
                <w:sz w:val="20"/>
                <w:szCs w:val="20"/>
                <w:color w:val="auto"/>
              </w:rPr>
            </w:pPr>
            <w:r>
              <w:rPr>
                <w:rFonts w:ascii="Arial" w:cs="Arial" w:eastAsia="Arial" w:hAnsi="Arial"/>
                <w:sz w:val="16"/>
                <w:szCs w:val="16"/>
                <w:color w:val="auto"/>
              </w:rPr>
              <w:t>-2.9%</w:t>
            </w:r>
          </w:p>
        </w:tc>
        <w:tc>
          <w:tcPr>
            <w:tcW w:w="800" w:type="dxa"/>
            <w:vAlign w:val="bottom"/>
          </w:tcPr>
          <w:p>
            <w:pPr>
              <w:jc w:val="center"/>
              <w:spacing w:after="0"/>
              <w:rPr>
                <w:sz w:val="20"/>
                <w:szCs w:val="20"/>
                <w:color w:val="auto"/>
              </w:rPr>
            </w:pPr>
            <w:r>
              <w:rPr>
                <w:rFonts w:ascii="Arial" w:cs="Arial" w:eastAsia="Arial" w:hAnsi="Arial"/>
                <w:sz w:val="16"/>
                <w:szCs w:val="16"/>
                <w:color w:val="auto"/>
              </w:rPr>
              <w:t>-9.3%</w:t>
            </w:r>
          </w:p>
        </w:tc>
        <w:tc>
          <w:tcPr>
            <w:tcW w:w="780" w:type="dxa"/>
            <w:vAlign w:val="bottom"/>
          </w:tcPr>
          <w:p>
            <w:pPr>
              <w:jc w:val="center"/>
              <w:spacing w:after="0"/>
              <w:rPr>
                <w:sz w:val="20"/>
                <w:szCs w:val="20"/>
                <w:color w:val="auto"/>
              </w:rPr>
            </w:pPr>
            <w:r>
              <w:rPr>
                <w:rFonts w:ascii="Arial" w:cs="Arial" w:eastAsia="Arial" w:hAnsi="Arial"/>
                <w:sz w:val="16"/>
                <w:szCs w:val="16"/>
                <w:color w:val="auto"/>
              </w:rPr>
              <w:t>22.6%</w:t>
            </w:r>
          </w:p>
        </w:tc>
        <w:tc>
          <w:tcPr>
            <w:tcW w:w="780" w:type="dxa"/>
            <w:vAlign w:val="bottom"/>
          </w:tcPr>
          <w:p>
            <w:pPr>
              <w:jc w:val="center"/>
              <w:spacing w:after="0"/>
              <w:rPr>
                <w:sz w:val="20"/>
                <w:szCs w:val="20"/>
                <w:color w:val="auto"/>
              </w:rPr>
            </w:pPr>
            <w:r>
              <w:rPr>
                <w:rFonts w:ascii="Arial" w:cs="Arial" w:eastAsia="Arial" w:hAnsi="Arial"/>
                <w:sz w:val="16"/>
                <w:szCs w:val="16"/>
                <w:color w:val="auto"/>
              </w:rPr>
              <w:t>21.5%</w:t>
            </w:r>
          </w:p>
        </w:tc>
        <w:tc>
          <w:tcPr>
            <w:tcW w:w="780" w:type="dxa"/>
            <w:vAlign w:val="bottom"/>
          </w:tcPr>
          <w:p>
            <w:pPr>
              <w:jc w:val="center"/>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20"/>
                <w:szCs w:val="20"/>
                <w:color w:val="auto"/>
              </w:rPr>
            </w:pPr>
          </w:p>
        </w:tc>
      </w:tr>
      <w:tr>
        <w:trPr>
          <w:trHeight w:val="258"/>
        </w:trPr>
        <w:tc>
          <w:tcPr>
            <w:tcW w:w="3380" w:type="dxa"/>
            <w:vAlign w:val="bottom"/>
          </w:tcPr>
          <w:p>
            <w:pPr>
              <w:ind w:left="340"/>
              <w:spacing w:after="0"/>
              <w:rPr>
                <w:sz w:val="20"/>
                <w:szCs w:val="20"/>
                <w:color w:val="auto"/>
              </w:rPr>
            </w:pPr>
            <w:r>
              <w:rPr>
                <w:rFonts w:ascii="Arial" w:cs="Arial" w:eastAsia="Arial" w:hAnsi="Arial"/>
                <w:sz w:val="16"/>
                <w:szCs w:val="16"/>
                <w:color w:val="auto"/>
              </w:rPr>
              <w:t>Middle - Market</w:t>
            </w:r>
          </w:p>
        </w:tc>
        <w:tc>
          <w:tcPr>
            <w:tcW w:w="800" w:type="dxa"/>
            <w:vAlign w:val="bottom"/>
          </w:tcPr>
          <w:p>
            <w:pPr>
              <w:jc w:val="center"/>
              <w:spacing w:after="0"/>
              <w:rPr>
                <w:sz w:val="20"/>
                <w:szCs w:val="20"/>
                <w:color w:val="auto"/>
              </w:rPr>
            </w:pPr>
            <w:r>
              <w:rPr>
                <w:rFonts w:ascii="Arial" w:cs="Arial" w:eastAsia="Arial" w:hAnsi="Arial"/>
                <w:sz w:val="16"/>
                <w:szCs w:val="16"/>
                <w:color w:val="auto"/>
              </w:rPr>
              <w:t>22,424</w:t>
            </w:r>
          </w:p>
        </w:tc>
        <w:tc>
          <w:tcPr>
            <w:tcW w:w="780" w:type="dxa"/>
            <w:vAlign w:val="bottom"/>
          </w:tcPr>
          <w:p>
            <w:pPr>
              <w:jc w:val="center"/>
              <w:spacing w:after="0"/>
              <w:rPr>
                <w:sz w:val="20"/>
                <w:szCs w:val="20"/>
                <w:color w:val="auto"/>
              </w:rPr>
            </w:pPr>
            <w:r>
              <w:rPr>
                <w:rFonts w:ascii="Arial" w:cs="Arial" w:eastAsia="Arial" w:hAnsi="Arial"/>
                <w:sz w:val="16"/>
                <w:szCs w:val="16"/>
                <w:color w:val="auto"/>
              </w:rPr>
              <w:t>21,916</w:t>
            </w:r>
          </w:p>
        </w:tc>
        <w:tc>
          <w:tcPr>
            <w:tcW w:w="780" w:type="dxa"/>
            <w:vAlign w:val="bottom"/>
          </w:tcPr>
          <w:p>
            <w:pPr>
              <w:jc w:val="center"/>
              <w:spacing w:after="0"/>
              <w:rPr>
                <w:sz w:val="20"/>
                <w:szCs w:val="20"/>
                <w:color w:val="auto"/>
              </w:rPr>
            </w:pPr>
            <w:r>
              <w:rPr>
                <w:rFonts w:ascii="Arial" w:cs="Arial" w:eastAsia="Arial" w:hAnsi="Arial"/>
                <w:sz w:val="16"/>
                <w:szCs w:val="16"/>
                <w:color w:val="auto"/>
              </w:rPr>
              <w:t>21,589</w:t>
            </w:r>
          </w:p>
        </w:tc>
        <w:tc>
          <w:tcPr>
            <w:tcW w:w="78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-327</w:t>
            </w:r>
          </w:p>
        </w:tc>
        <w:tc>
          <w:tcPr>
            <w:tcW w:w="80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-835</w:t>
            </w:r>
          </w:p>
        </w:tc>
        <w:tc>
          <w:tcPr>
            <w:tcW w:w="760" w:type="dxa"/>
            <w:vAlign w:val="bottom"/>
          </w:tcPr>
          <w:p>
            <w:pPr>
              <w:jc w:val="center"/>
              <w:spacing w:after="0"/>
              <w:rPr>
                <w:sz w:val="20"/>
                <w:szCs w:val="20"/>
                <w:color w:val="auto"/>
              </w:rPr>
            </w:pPr>
            <w:r>
              <w:rPr>
                <w:rFonts w:ascii="Arial" w:cs="Arial" w:eastAsia="Arial" w:hAnsi="Arial"/>
                <w:sz w:val="16"/>
                <w:szCs w:val="16"/>
                <w:color w:val="auto"/>
              </w:rPr>
              <w:t>-1.5%</w:t>
            </w:r>
          </w:p>
        </w:tc>
        <w:tc>
          <w:tcPr>
            <w:tcW w:w="800" w:type="dxa"/>
            <w:vAlign w:val="bottom"/>
          </w:tcPr>
          <w:p>
            <w:pPr>
              <w:jc w:val="center"/>
              <w:spacing w:after="0"/>
              <w:rPr>
                <w:sz w:val="20"/>
                <w:szCs w:val="20"/>
                <w:color w:val="auto"/>
              </w:rPr>
            </w:pPr>
            <w:r>
              <w:rPr>
                <w:rFonts w:ascii="Arial" w:cs="Arial" w:eastAsia="Arial" w:hAnsi="Arial"/>
                <w:sz w:val="16"/>
                <w:szCs w:val="16"/>
                <w:color w:val="auto"/>
              </w:rPr>
              <w:t>-3.7%</w:t>
            </w:r>
          </w:p>
        </w:tc>
        <w:tc>
          <w:tcPr>
            <w:tcW w:w="780" w:type="dxa"/>
            <w:vAlign w:val="bottom"/>
          </w:tcPr>
          <w:p>
            <w:pPr>
              <w:jc w:val="center"/>
              <w:spacing w:after="0"/>
              <w:rPr>
                <w:sz w:val="20"/>
                <w:szCs w:val="20"/>
                <w:color w:val="auto"/>
              </w:rPr>
            </w:pPr>
            <w:r>
              <w:rPr>
                <w:rFonts w:ascii="Arial" w:cs="Arial" w:eastAsia="Arial" w:hAnsi="Arial"/>
                <w:sz w:val="16"/>
                <w:szCs w:val="16"/>
                <w:color w:val="auto"/>
              </w:rPr>
              <w:t>15.5%</w:t>
            </w:r>
          </w:p>
        </w:tc>
        <w:tc>
          <w:tcPr>
            <w:tcW w:w="780" w:type="dxa"/>
            <w:vAlign w:val="bottom"/>
          </w:tcPr>
          <w:p>
            <w:pPr>
              <w:jc w:val="center"/>
              <w:spacing w:after="0"/>
              <w:rPr>
                <w:sz w:val="20"/>
                <w:szCs w:val="20"/>
                <w:color w:val="auto"/>
              </w:rPr>
            </w:pPr>
            <w:r>
              <w:rPr>
                <w:rFonts w:ascii="Arial" w:cs="Arial" w:eastAsia="Arial" w:hAnsi="Arial"/>
                <w:sz w:val="16"/>
                <w:szCs w:val="16"/>
                <w:color w:val="auto"/>
              </w:rPr>
              <w:t>15.4%</w:t>
            </w:r>
          </w:p>
        </w:tc>
        <w:tc>
          <w:tcPr>
            <w:tcW w:w="780" w:type="dxa"/>
            <w:vAlign w:val="bottom"/>
          </w:tcPr>
          <w:p>
            <w:pPr>
              <w:jc w:val="center"/>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22"/>
                <w:szCs w:val="22"/>
                <w:color w:val="auto"/>
              </w:rPr>
            </w:pPr>
          </w:p>
        </w:tc>
      </w:tr>
      <w:tr>
        <w:trPr>
          <w:trHeight w:val="239"/>
        </w:trPr>
        <w:tc>
          <w:tcPr>
            <w:tcW w:w="3380" w:type="dxa"/>
            <w:vAlign w:val="bottom"/>
          </w:tcPr>
          <w:p>
            <w:pPr>
              <w:ind w:left="180"/>
              <w:spacing w:after="0"/>
              <w:rPr>
                <w:sz w:val="20"/>
                <w:szCs w:val="20"/>
                <w:color w:val="auto"/>
              </w:rPr>
            </w:pPr>
            <w:r>
              <w:rPr>
                <w:rFonts w:ascii="Arial" w:cs="Arial" w:eastAsia="Arial" w:hAnsi="Arial"/>
                <w:sz w:val="16"/>
                <w:szCs w:val="16"/>
                <w:b w:val="1"/>
                <w:bCs w:val="1"/>
                <w:color w:val="auto"/>
              </w:rPr>
              <w:t>Retail Banking</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63,566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63,535</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63,117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-418</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9"/>
              </w:rPr>
              <w:t>-448</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-0.7%</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-0.7%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43.8%</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44.7%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44.9%</w:t>
            </w:r>
          </w:p>
        </w:tc>
        <w:tc>
          <w:tcPr>
            <w:tcW w:w="20" w:type="dxa"/>
            <w:vAlign w:val="bottom"/>
          </w:tcPr>
          <w:p>
            <w:pPr>
              <w:spacing w:after="0"/>
              <w:rPr>
                <w:sz w:val="20"/>
                <w:szCs w:val="20"/>
                <w:color w:val="auto"/>
              </w:rPr>
            </w:pPr>
          </w:p>
        </w:tc>
      </w:tr>
      <w:tr>
        <w:trPr>
          <w:trHeight w:val="231"/>
        </w:trPr>
        <w:tc>
          <w:tcPr>
            <w:tcW w:w="3380" w:type="dxa"/>
            <w:vAlign w:val="bottom"/>
          </w:tcPr>
          <w:p>
            <w:pPr>
              <w:ind w:left="340"/>
              <w:spacing w:after="0"/>
              <w:rPr>
                <w:sz w:val="20"/>
                <w:szCs w:val="20"/>
                <w:color w:val="auto"/>
              </w:rPr>
            </w:pPr>
            <w:r>
              <w:rPr>
                <w:rFonts w:ascii="Arial" w:cs="Arial" w:eastAsia="Arial" w:hAnsi="Arial"/>
                <w:sz w:val="16"/>
                <w:szCs w:val="16"/>
                <w:color w:val="auto"/>
              </w:rPr>
              <w:t>SME - Business</w:t>
            </w:r>
          </w:p>
        </w:tc>
        <w:tc>
          <w:tcPr>
            <w:tcW w:w="800" w:type="dxa"/>
            <w:vAlign w:val="bottom"/>
          </w:tcPr>
          <w:p>
            <w:pPr>
              <w:jc w:val="center"/>
              <w:spacing w:after="0"/>
              <w:rPr>
                <w:sz w:val="20"/>
                <w:szCs w:val="20"/>
                <w:color w:val="auto"/>
              </w:rPr>
            </w:pPr>
            <w:r>
              <w:rPr>
                <w:rFonts w:ascii="Arial" w:cs="Arial" w:eastAsia="Arial" w:hAnsi="Arial"/>
                <w:sz w:val="16"/>
                <w:szCs w:val="16"/>
                <w:color w:val="auto"/>
              </w:rPr>
              <w:t>7,884</w:t>
            </w:r>
          </w:p>
        </w:tc>
        <w:tc>
          <w:tcPr>
            <w:tcW w:w="780" w:type="dxa"/>
            <w:vAlign w:val="bottom"/>
          </w:tcPr>
          <w:p>
            <w:pPr>
              <w:jc w:val="center"/>
              <w:spacing w:after="0"/>
              <w:rPr>
                <w:sz w:val="20"/>
                <w:szCs w:val="20"/>
                <w:color w:val="auto"/>
              </w:rPr>
            </w:pPr>
            <w:r>
              <w:rPr>
                <w:rFonts w:ascii="Arial" w:cs="Arial" w:eastAsia="Arial" w:hAnsi="Arial"/>
                <w:sz w:val="16"/>
                <w:szCs w:val="16"/>
                <w:color w:val="auto"/>
              </w:rPr>
              <w:t>7,168</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6,872</w:t>
            </w:r>
          </w:p>
        </w:tc>
        <w:tc>
          <w:tcPr>
            <w:tcW w:w="78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-296</w:t>
            </w:r>
          </w:p>
        </w:tc>
        <w:tc>
          <w:tcPr>
            <w:tcW w:w="80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6"/>
              </w:rPr>
              <w:t>-1,012</w:t>
            </w:r>
          </w:p>
        </w:tc>
        <w:tc>
          <w:tcPr>
            <w:tcW w:w="760" w:type="dxa"/>
            <w:vAlign w:val="bottom"/>
          </w:tcPr>
          <w:p>
            <w:pPr>
              <w:jc w:val="center"/>
              <w:spacing w:after="0"/>
              <w:rPr>
                <w:sz w:val="20"/>
                <w:szCs w:val="20"/>
                <w:color w:val="auto"/>
              </w:rPr>
            </w:pPr>
            <w:r>
              <w:rPr>
                <w:rFonts w:ascii="Arial" w:cs="Arial" w:eastAsia="Arial" w:hAnsi="Arial"/>
                <w:sz w:val="16"/>
                <w:szCs w:val="16"/>
                <w:color w:val="auto"/>
              </w:rPr>
              <w:t>-4.1%</w:t>
            </w:r>
          </w:p>
        </w:tc>
        <w:tc>
          <w:tcPr>
            <w:tcW w:w="800" w:type="dxa"/>
            <w:vAlign w:val="bottom"/>
          </w:tcPr>
          <w:p>
            <w:pPr>
              <w:jc w:val="center"/>
              <w:spacing w:after="0"/>
              <w:rPr>
                <w:sz w:val="20"/>
                <w:szCs w:val="20"/>
                <w:color w:val="auto"/>
              </w:rPr>
            </w:pPr>
            <w:r>
              <w:rPr>
                <w:rFonts w:ascii="Arial" w:cs="Arial" w:eastAsia="Arial" w:hAnsi="Arial"/>
                <w:sz w:val="16"/>
                <w:szCs w:val="16"/>
                <w:color w:val="auto"/>
              </w:rPr>
              <w:t>-12.8%</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5.4%</w:t>
            </w:r>
          </w:p>
        </w:tc>
        <w:tc>
          <w:tcPr>
            <w:tcW w:w="780" w:type="dxa"/>
            <w:vAlign w:val="bottom"/>
          </w:tcPr>
          <w:p>
            <w:pPr>
              <w:jc w:val="center"/>
              <w:spacing w:after="0"/>
              <w:rPr>
                <w:sz w:val="20"/>
                <w:szCs w:val="20"/>
                <w:color w:val="auto"/>
              </w:rPr>
            </w:pPr>
            <w:r>
              <w:rPr>
                <w:rFonts w:ascii="Arial" w:cs="Arial" w:eastAsia="Arial" w:hAnsi="Arial"/>
                <w:sz w:val="16"/>
                <w:szCs w:val="16"/>
                <w:color w:val="auto"/>
              </w:rPr>
              <w:t>5.0%</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4.9%</w:t>
            </w:r>
          </w:p>
        </w:tc>
        <w:tc>
          <w:tcPr>
            <w:tcW w:w="20" w:type="dxa"/>
            <w:vAlign w:val="bottom"/>
          </w:tcPr>
          <w:p>
            <w:pPr>
              <w:spacing w:after="0"/>
              <w:rPr>
                <w:sz w:val="20"/>
                <w:szCs w:val="20"/>
                <w:color w:val="auto"/>
              </w:rPr>
            </w:pPr>
          </w:p>
        </w:tc>
      </w:tr>
      <w:tr>
        <w:trPr>
          <w:trHeight w:val="258"/>
        </w:trPr>
        <w:tc>
          <w:tcPr>
            <w:tcW w:w="3380" w:type="dxa"/>
            <w:vAlign w:val="bottom"/>
          </w:tcPr>
          <w:p>
            <w:pPr>
              <w:ind w:left="340"/>
              <w:spacing w:after="0"/>
              <w:rPr>
                <w:sz w:val="20"/>
                <w:szCs w:val="20"/>
                <w:color w:val="auto"/>
              </w:rPr>
            </w:pPr>
            <w:r>
              <w:rPr>
                <w:rFonts w:ascii="Arial" w:cs="Arial" w:eastAsia="Arial" w:hAnsi="Arial"/>
                <w:sz w:val="16"/>
                <w:szCs w:val="16"/>
                <w:color w:val="auto"/>
              </w:rPr>
              <w:t>SME - Pyme</w:t>
            </w:r>
          </w:p>
        </w:tc>
        <w:tc>
          <w:tcPr>
            <w:tcW w:w="800" w:type="dxa"/>
            <w:vAlign w:val="bottom"/>
          </w:tcPr>
          <w:p>
            <w:pPr>
              <w:jc w:val="center"/>
              <w:spacing w:after="0"/>
              <w:rPr>
                <w:sz w:val="20"/>
                <w:szCs w:val="20"/>
                <w:color w:val="auto"/>
              </w:rPr>
            </w:pPr>
            <w:r>
              <w:rPr>
                <w:rFonts w:ascii="Arial" w:cs="Arial" w:eastAsia="Arial" w:hAnsi="Arial"/>
                <w:sz w:val="16"/>
                <w:szCs w:val="16"/>
                <w:color w:val="auto"/>
              </w:rPr>
              <w:t>16,996</w:t>
            </w:r>
          </w:p>
        </w:tc>
        <w:tc>
          <w:tcPr>
            <w:tcW w:w="780" w:type="dxa"/>
            <w:vAlign w:val="bottom"/>
          </w:tcPr>
          <w:p>
            <w:pPr>
              <w:jc w:val="center"/>
              <w:spacing w:after="0"/>
              <w:rPr>
                <w:sz w:val="20"/>
                <w:szCs w:val="20"/>
                <w:color w:val="auto"/>
              </w:rPr>
            </w:pPr>
            <w:r>
              <w:rPr>
                <w:rFonts w:ascii="Arial" w:cs="Arial" w:eastAsia="Arial" w:hAnsi="Arial"/>
                <w:sz w:val="16"/>
                <w:szCs w:val="16"/>
                <w:color w:val="auto"/>
              </w:rPr>
              <w:t>16,751</w:t>
            </w:r>
          </w:p>
        </w:tc>
        <w:tc>
          <w:tcPr>
            <w:tcW w:w="780" w:type="dxa"/>
            <w:vAlign w:val="bottom"/>
          </w:tcPr>
          <w:p>
            <w:pPr>
              <w:jc w:val="center"/>
              <w:spacing w:after="0"/>
              <w:rPr>
                <w:sz w:val="20"/>
                <w:szCs w:val="20"/>
                <w:color w:val="auto"/>
              </w:rPr>
            </w:pPr>
            <w:r>
              <w:rPr>
                <w:rFonts w:ascii="Arial" w:cs="Arial" w:eastAsia="Arial" w:hAnsi="Arial"/>
                <w:sz w:val="16"/>
                <w:szCs w:val="16"/>
                <w:color w:val="auto"/>
              </w:rPr>
              <w:t>16,512</w:t>
            </w:r>
          </w:p>
        </w:tc>
        <w:tc>
          <w:tcPr>
            <w:tcW w:w="78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-239</w:t>
            </w:r>
          </w:p>
        </w:tc>
        <w:tc>
          <w:tcPr>
            <w:tcW w:w="80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-484</w:t>
            </w:r>
          </w:p>
        </w:tc>
        <w:tc>
          <w:tcPr>
            <w:tcW w:w="760" w:type="dxa"/>
            <w:vAlign w:val="bottom"/>
          </w:tcPr>
          <w:p>
            <w:pPr>
              <w:jc w:val="center"/>
              <w:spacing w:after="0"/>
              <w:rPr>
                <w:sz w:val="20"/>
                <w:szCs w:val="20"/>
                <w:color w:val="auto"/>
              </w:rPr>
            </w:pPr>
            <w:r>
              <w:rPr>
                <w:rFonts w:ascii="Arial" w:cs="Arial" w:eastAsia="Arial" w:hAnsi="Arial"/>
                <w:sz w:val="16"/>
                <w:szCs w:val="16"/>
                <w:color w:val="auto"/>
              </w:rPr>
              <w:t>-1.4%</w:t>
            </w:r>
          </w:p>
        </w:tc>
        <w:tc>
          <w:tcPr>
            <w:tcW w:w="800" w:type="dxa"/>
            <w:vAlign w:val="bottom"/>
          </w:tcPr>
          <w:p>
            <w:pPr>
              <w:jc w:val="center"/>
              <w:spacing w:after="0"/>
              <w:rPr>
                <w:sz w:val="20"/>
                <w:szCs w:val="20"/>
                <w:color w:val="auto"/>
              </w:rPr>
            </w:pPr>
            <w:r>
              <w:rPr>
                <w:rFonts w:ascii="Arial" w:cs="Arial" w:eastAsia="Arial" w:hAnsi="Arial"/>
                <w:sz w:val="16"/>
                <w:szCs w:val="16"/>
                <w:color w:val="auto"/>
              </w:rPr>
              <w:t>-2.8%</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11.7%</w:t>
            </w:r>
          </w:p>
        </w:tc>
        <w:tc>
          <w:tcPr>
            <w:tcW w:w="780" w:type="dxa"/>
            <w:vAlign w:val="bottom"/>
          </w:tcPr>
          <w:p>
            <w:pPr>
              <w:jc w:val="center"/>
              <w:spacing w:after="0"/>
              <w:rPr>
                <w:sz w:val="20"/>
                <w:szCs w:val="20"/>
                <w:color w:val="auto"/>
              </w:rPr>
            </w:pPr>
            <w:r>
              <w:rPr>
                <w:rFonts w:ascii="Arial" w:cs="Arial" w:eastAsia="Arial" w:hAnsi="Arial"/>
                <w:sz w:val="16"/>
                <w:szCs w:val="16"/>
                <w:color w:val="auto"/>
              </w:rPr>
              <w:t>11.8%</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11.8%</w:t>
            </w:r>
          </w:p>
        </w:tc>
        <w:tc>
          <w:tcPr>
            <w:tcW w:w="20" w:type="dxa"/>
            <w:vAlign w:val="bottom"/>
          </w:tcPr>
          <w:p>
            <w:pPr>
              <w:spacing w:after="0"/>
              <w:rPr>
                <w:sz w:val="22"/>
                <w:szCs w:val="22"/>
                <w:color w:val="auto"/>
              </w:rPr>
            </w:pPr>
          </w:p>
        </w:tc>
      </w:tr>
      <w:tr>
        <w:trPr>
          <w:trHeight w:val="243"/>
        </w:trPr>
        <w:tc>
          <w:tcPr>
            <w:tcW w:w="3380" w:type="dxa"/>
            <w:vAlign w:val="bottom"/>
          </w:tcPr>
          <w:p>
            <w:pPr>
              <w:ind w:left="340"/>
              <w:spacing w:after="0"/>
              <w:rPr>
                <w:sz w:val="20"/>
                <w:szCs w:val="20"/>
                <w:color w:val="auto"/>
              </w:rPr>
            </w:pPr>
            <w:r>
              <w:rPr>
                <w:rFonts w:ascii="Arial" w:cs="Arial" w:eastAsia="Arial" w:hAnsi="Arial"/>
                <w:sz w:val="16"/>
                <w:szCs w:val="16"/>
                <w:color w:val="auto"/>
              </w:rPr>
              <w:t>Mortgage</w:t>
            </w:r>
          </w:p>
        </w:tc>
        <w:tc>
          <w:tcPr>
            <w:tcW w:w="800" w:type="dxa"/>
            <w:vAlign w:val="bottom"/>
          </w:tcPr>
          <w:p>
            <w:pPr>
              <w:jc w:val="center"/>
              <w:spacing w:after="0"/>
              <w:rPr>
                <w:sz w:val="20"/>
                <w:szCs w:val="20"/>
                <w:color w:val="auto"/>
              </w:rPr>
            </w:pPr>
            <w:r>
              <w:rPr>
                <w:rFonts w:ascii="Arial" w:cs="Arial" w:eastAsia="Arial" w:hAnsi="Arial"/>
                <w:sz w:val="16"/>
                <w:szCs w:val="16"/>
                <w:color w:val="auto"/>
              </w:rPr>
              <w:t>20,282</w:t>
            </w:r>
          </w:p>
        </w:tc>
        <w:tc>
          <w:tcPr>
            <w:tcW w:w="780" w:type="dxa"/>
            <w:vAlign w:val="bottom"/>
          </w:tcPr>
          <w:p>
            <w:pPr>
              <w:jc w:val="center"/>
              <w:spacing w:after="0"/>
              <w:rPr>
                <w:sz w:val="20"/>
                <w:szCs w:val="20"/>
                <w:color w:val="auto"/>
              </w:rPr>
            </w:pPr>
            <w:r>
              <w:rPr>
                <w:rFonts w:ascii="Arial" w:cs="Arial" w:eastAsia="Arial" w:hAnsi="Arial"/>
                <w:sz w:val="16"/>
                <w:szCs w:val="16"/>
                <w:color w:val="auto"/>
              </w:rPr>
              <w:t>21,061</w:t>
            </w:r>
          </w:p>
        </w:tc>
        <w:tc>
          <w:tcPr>
            <w:tcW w:w="780" w:type="dxa"/>
            <w:vAlign w:val="bottom"/>
          </w:tcPr>
          <w:p>
            <w:pPr>
              <w:jc w:val="center"/>
              <w:spacing w:after="0"/>
              <w:rPr>
                <w:sz w:val="20"/>
                <w:szCs w:val="20"/>
                <w:color w:val="auto"/>
              </w:rPr>
            </w:pPr>
            <w:r>
              <w:rPr>
                <w:rFonts w:ascii="Arial" w:cs="Arial" w:eastAsia="Arial" w:hAnsi="Arial"/>
                <w:sz w:val="16"/>
                <w:szCs w:val="16"/>
                <w:color w:val="auto"/>
              </w:rPr>
              <w:t>21,235</w:t>
            </w:r>
          </w:p>
        </w:tc>
        <w:tc>
          <w:tcPr>
            <w:tcW w:w="780" w:type="dxa"/>
            <w:vAlign w:val="bottom"/>
          </w:tcPr>
          <w:p>
            <w:pPr>
              <w:jc w:val="center"/>
              <w:spacing w:after="0"/>
              <w:rPr>
                <w:sz w:val="20"/>
                <w:szCs w:val="20"/>
                <w:color w:val="auto"/>
              </w:rPr>
            </w:pPr>
            <w:r>
              <w:rPr>
                <w:rFonts w:ascii="Arial" w:cs="Arial" w:eastAsia="Arial" w:hAnsi="Arial"/>
                <w:sz w:val="16"/>
                <w:szCs w:val="16"/>
                <w:color w:val="auto"/>
              </w:rPr>
              <w:t>174</w:t>
            </w:r>
          </w:p>
        </w:tc>
        <w:tc>
          <w:tcPr>
            <w:tcW w:w="800" w:type="dxa"/>
            <w:vAlign w:val="bottom"/>
            <w:shd w:val="clear" w:color="auto" w:fill="00B050"/>
          </w:tcPr>
          <w:p>
            <w:pPr>
              <w:jc w:val="center"/>
              <w:spacing w:after="0"/>
              <w:rPr>
                <w:sz w:val="20"/>
                <w:szCs w:val="20"/>
                <w:color w:val="auto"/>
              </w:rPr>
            </w:pPr>
            <w:r>
              <w:rPr>
                <w:rFonts w:ascii="Arial" w:cs="Arial" w:eastAsia="Arial" w:hAnsi="Arial"/>
                <w:sz w:val="16"/>
                <w:szCs w:val="16"/>
                <w:color w:val="auto"/>
              </w:rPr>
              <w:t>954</w:t>
            </w:r>
          </w:p>
        </w:tc>
        <w:tc>
          <w:tcPr>
            <w:tcW w:w="760" w:type="dxa"/>
            <w:vAlign w:val="bottom"/>
          </w:tcPr>
          <w:p>
            <w:pPr>
              <w:jc w:val="center"/>
              <w:spacing w:after="0"/>
              <w:rPr>
                <w:sz w:val="20"/>
                <w:szCs w:val="20"/>
                <w:color w:val="auto"/>
              </w:rPr>
            </w:pPr>
            <w:r>
              <w:rPr>
                <w:rFonts w:ascii="Arial" w:cs="Arial" w:eastAsia="Arial" w:hAnsi="Arial"/>
                <w:sz w:val="16"/>
                <w:szCs w:val="16"/>
                <w:color w:val="auto"/>
              </w:rPr>
              <w:t>0.8%</w:t>
            </w:r>
          </w:p>
        </w:tc>
        <w:tc>
          <w:tcPr>
            <w:tcW w:w="800" w:type="dxa"/>
            <w:vAlign w:val="bottom"/>
          </w:tcPr>
          <w:p>
            <w:pPr>
              <w:jc w:val="center"/>
              <w:spacing w:after="0"/>
              <w:rPr>
                <w:sz w:val="20"/>
                <w:szCs w:val="20"/>
                <w:color w:val="auto"/>
              </w:rPr>
            </w:pPr>
            <w:r>
              <w:rPr>
                <w:rFonts w:ascii="Arial" w:cs="Arial" w:eastAsia="Arial" w:hAnsi="Arial"/>
                <w:sz w:val="16"/>
                <w:szCs w:val="16"/>
                <w:color w:val="auto"/>
              </w:rPr>
              <w:t>4.7%</w:t>
            </w:r>
          </w:p>
        </w:tc>
        <w:tc>
          <w:tcPr>
            <w:tcW w:w="780" w:type="dxa"/>
            <w:vAlign w:val="bottom"/>
          </w:tcPr>
          <w:p>
            <w:pPr>
              <w:jc w:val="center"/>
              <w:spacing w:after="0"/>
              <w:rPr>
                <w:sz w:val="20"/>
                <w:szCs w:val="20"/>
                <w:color w:val="auto"/>
              </w:rPr>
            </w:pPr>
            <w:r>
              <w:rPr>
                <w:rFonts w:ascii="Arial" w:cs="Arial" w:eastAsia="Arial" w:hAnsi="Arial"/>
                <w:sz w:val="16"/>
                <w:szCs w:val="16"/>
                <w:color w:val="auto"/>
              </w:rPr>
              <w:t>14.0%</w:t>
            </w:r>
          </w:p>
        </w:tc>
        <w:tc>
          <w:tcPr>
            <w:tcW w:w="780" w:type="dxa"/>
            <w:vAlign w:val="bottom"/>
          </w:tcPr>
          <w:p>
            <w:pPr>
              <w:jc w:val="center"/>
              <w:spacing w:after="0"/>
              <w:rPr>
                <w:sz w:val="20"/>
                <w:szCs w:val="20"/>
                <w:color w:val="auto"/>
              </w:rPr>
            </w:pPr>
            <w:r>
              <w:rPr>
                <w:rFonts w:ascii="Arial" w:cs="Arial" w:eastAsia="Arial" w:hAnsi="Arial"/>
                <w:sz w:val="16"/>
                <w:szCs w:val="16"/>
                <w:color w:val="auto"/>
              </w:rPr>
              <w:t>14.8%</w:t>
            </w:r>
          </w:p>
        </w:tc>
        <w:tc>
          <w:tcPr>
            <w:tcW w:w="780" w:type="dxa"/>
            <w:vAlign w:val="bottom"/>
          </w:tcPr>
          <w:p>
            <w:pPr>
              <w:jc w:val="center"/>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21"/>
                <w:szCs w:val="21"/>
                <w:color w:val="auto"/>
              </w:rPr>
            </w:pPr>
          </w:p>
        </w:tc>
      </w:tr>
      <w:tr>
        <w:trPr>
          <w:trHeight w:val="235"/>
        </w:trPr>
        <w:tc>
          <w:tcPr>
            <w:tcW w:w="3380" w:type="dxa"/>
            <w:vAlign w:val="bottom"/>
          </w:tcPr>
          <w:p>
            <w:pPr>
              <w:ind w:left="340"/>
              <w:spacing w:after="0"/>
              <w:rPr>
                <w:sz w:val="20"/>
                <w:szCs w:val="20"/>
                <w:color w:val="auto"/>
              </w:rPr>
            </w:pPr>
            <w:r>
              <w:rPr>
                <w:rFonts w:ascii="Arial" w:cs="Arial" w:eastAsia="Arial" w:hAnsi="Arial"/>
                <w:sz w:val="16"/>
                <w:szCs w:val="16"/>
                <w:color w:val="auto"/>
              </w:rPr>
              <w:t>Consumer</w:t>
            </w:r>
          </w:p>
        </w:tc>
        <w:tc>
          <w:tcPr>
            <w:tcW w:w="800" w:type="dxa"/>
            <w:vAlign w:val="bottom"/>
          </w:tcPr>
          <w:p>
            <w:pPr>
              <w:jc w:val="center"/>
              <w:spacing w:after="0"/>
              <w:rPr>
                <w:sz w:val="20"/>
                <w:szCs w:val="20"/>
                <w:color w:val="auto"/>
              </w:rPr>
            </w:pPr>
            <w:r>
              <w:rPr>
                <w:rFonts w:ascii="Arial" w:cs="Arial" w:eastAsia="Arial" w:hAnsi="Arial"/>
                <w:sz w:val="16"/>
                <w:szCs w:val="16"/>
                <w:color w:val="auto"/>
              </w:rPr>
              <w:t>12,984</w:t>
            </w:r>
          </w:p>
        </w:tc>
        <w:tc>
          <w:tcPr>
            <w:tcW w:w="780" w:type="dxa"/>
            <w:vAlign w:val="bottom"/>
          </w:tcPr>
          <w:p>
            <w:pPr>
              <w:jc w:val="center"/>
              <w:spacing w:after="0"/>
              <w:rPr>
                <w:sz w:val="20"/>
                <w:szCs w:val="20"/>
                <w:color w:val="auto"/>
              </w:rPr>
            </w:pPr>
            <w:r>
              <w:rPr>
                <w:rFonts w:ascii="Arial" w:cs="Arial" w:eastAsia="Arial" w:hAnsi="Arial"/>
                <w:sz w:val="16"/>
                <w:szCs w:val="16"/>
                <w:color w:val="auto"/>
              </w:rPr>
              <w:t>12,604</w:t>
            </w:r>
          </w:p>
        </w:tc>
        <w:tc>
          <w:tcPr>
            <w:tcW w:w="780" w:type="dxa"/>
            <w:vAlign w:val="bottom"/>
          </w:tcPr>
          <w:p>
            <w:pPr>
              <w:jc w:val="center"/>
              <w:spacing w:after="0"/>
              <w:rPr>
                <w:sz w:val="20"/>
                <w:szCs w:val="20"/>
                <w:color w:val="auto"/>
              </w:rPr>
            </w:pPr>
            <w:r>
              <w:rPr>
                <w:rFonts w:ascii="Arial" w:cs="Arial" w:eastAsia="Arial" w:hAnsi="Arial"/>
                <w:sz w:val="16"/>
                <w:szCs w:val="16"/>
                <w:color w:val="auto"/>
              </w:rPr>
              <w:t>12,496</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-109</w:t>
            </w:r>
          </w:p>
        </w:tc>
        <w:tc>
          <w:tcPr>
            <w:tcW w:w="80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-489</w:t>
            </w:r>
          </w:p>
        </w:tc>
        <w:tc>
          <w:tcPr>
            <w:tcW w:w="760" w:type="dxa"/>
            <w:vAlign w:val="bottom"/>
          </w:tcPr>
          <w:p>
            <w:pPr>
              <w:jc w:val="center"/>
              <w:spacing w:after="0"/>
              <w:rPr>
                <w:sz w:val="20"/>
                <w:szCs w:val="20"/>
                <w:color w:val="auto"/>
              </w:rPr>
            </w:pPr>
            <w:r>
              <w:rPr>
                <w:rFonts w:ascii="Arial" w:cs="Arial" w:eastAsia="Arial" w:hAnsi="Arial"/>
                <w:sz w:val="16"/>
                <w:szCs w:val="16"/>
                <w:color w:val="auto"/>
              </w:rPr>
              <w:t>-0.9%</w:t>
            </w:r>
          </w:p>
        </w:tc>
        <w:tc>
          <w:tcPr>
            <w:tcW w:w="800" w:type="dxa"/>
            <w:vAlign w:val="bottom"/>
          </w:tcPr>
          <w:p>
            <w:pPr>
              <w:jc w:val="center"/>
              <w:spacing w:after="0"/>
              <w:rPr>
                <w:sz w:val="20"/>
                <w:szCs w:val="20"/>
                <w:color w:val="auto"/>
              </w:rPr>
            </w:pPr>
            <w:r>
              <w:rPr>
                <w:rFonts w:ascii="Arial" w:cs="Arial" w:eastAsia="Arial" w:hAnsi="Arial"/>
                <w:sz w:val="16"/>
                <w:szCs w:val="16"/>
                <w:color w:val="auto"/>
              </w:rPr>
              <w:t>-3.8%</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9.0%</w:t>
            </w:r>
          </w:p>
        </w:tc>
        <w:tc>
          <w:tcPr>
            <w:tcW w:w="780" w:type="dxa"/>
            <w:vAlign w:val="bottom"/>
          </w:tcPr>
          <w:p>
            <w:pPr>
              <w:jc w:val="center"/>
              <w:spacing w:after="0"/>
              <w:rPr>
                <w:sz w:val="20"/>
                <w:szCs w:val="20"/>
                <w:color w:val="auto"/>
              </w:rPr>
            </w:pPr>
            <w:r>
              <w:rPr>
                <w:rFonts w:ascii="Arial" w:cs="Arial" w:eastAsia="Arial" w:hAnsi="Arial"/>
                <w:sz w:val="16"/>
                <w:szCs w:val="16"/>
                <w:color w:val="auto"/>
              </w:rPr>
              <w:t>8.9%</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8.9%</w:t>
            </w:r>
          </w:p>
        </w:tc>
        <w:tc>
          <w:tcPr>
            <w:tcW w:w="20" w:type="dxa"/>
            <w:vAlign w:val="bottom"/>
          </w:tcPr>
          <w:p>
            <w:pPr>
              <w:spacing w:after="0"/>
              <w:rPr>
                <w:sz w:val="20"/>
                <w:szCs w:val="20"/>
                <w:color w:val="auto"/>
              </w:rPr>
            </w:pPr>
          </w:p>
        </w:tc>
      </w:tr>
      <w:tr>
        <w:trPr>
          <w:trHeight w:val="251"/>
        </w:trPr>
        <w:tc>
          <w:tcPr>
            <w:tcW w:w="3380" w:type="dxa"/>
            <w:vAlign w:val="bottom"/>
          </w:tcPr>
          <w:p>
            <w:pPr>
              <w:ind w:left="340"/>
              <w:spacing w:after="0"/>
              <w:rPr>
                <w:sz w:val="20"/>
                <w:szCs w:val="20"/>
                <w:color w:val="auto"/>
              </w:rPr>
            </w:pPr>
            <w:r>
              <w:rPr>
                <w:rFonts w:ascii="Arial" w:cs="Arial" w:eastAsia="Arial" w:hAnsi="Arial"/>
                <w:sz w:val="16"/>
                <w:szCs w:val="16"/>
                <w:color w:val="auto"/>
              </w:rPr>
              <w:t>Credit Card</w:t>
            </w:r>
          </w:p>
        </w:tc>
        <w:tc>
          <w:tcPr>
            <w:tcW w:w="800" w:type="dxa"/>
            <w:vAlign w:val="bottom"/>
          </w:tcPr>
          <w:p>
            <w:pPr>
              <w:jc w:val="center"/>
              <w:spacing w:after="0"/>
              <w:rPr>
                <w:sz w:val="20"/>
                <w:szCs w:val="20"/>
                <w:color w:val="auto"/>
              </w:rPr>
            </w:pPr>
            <w:r>
              <w:rPr>
                <w:rFonts w:ascii="Arial" w:cs="Arial" w:eastAsia="Arial" w:hAnsi="Arial"/>
                <w:sz w:val="16"/>
                <w:szCs w:val="16"/>
                <w:color w:val="auto"/>
              </w:rPr>
              <w:t>5,420</w:t>
            </w:r>
          </w:p>
        </w:tc>
        <w:tc>
          <w:tcPr>
            <w:tcW w:w="780" w:type="dxa"/>
            <w:vAlign w:val="bottom"/>
          </w:tcPr>
          <w:p>
            <w:pPr>
              <w:jc w:val="center"/>
              <w:spacing w:after="0"/>
              <w:rPr>
                <w:sz w:val="20"/>
                <w:szCs w:val="20"/>
                <w:color w:val="auto"/>
              </w:rPr>
            </w:pPr>
            <w:r>
              <w:rPr>
                <w:rFonts w:ascii="Arial" w:cs="Arial" w:eastAsia="Arial" w:hAnsi="Arial"/>
                <w:sz w:val="16"/>
                <w:szCs w:val="16"/>
                <w:color w:val="auto"/>
              </w:rPr>
              <w:t>5,951</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6,002</w:t>
            </w:r>
          </w:p>
        </w:tc>
        <w:tc>
          <w:tcPr>
            <w:tcW w:w="780" w:type="dxa"/>
            <w:vAlign w:val="bottom"/>
          </w:tcPr>
          <w:p>
            <w:pPr>
              <w:jc w:val="center"/>
              <w:spacing w:after="0"/>
              <w:rPr>
                <w:sz w:val="20"/>
                <w:szCs w:val="20"/>
                <w:color w:val="auto"/>
              </w:rPr>
            </w:pPr>
            <w:r>
              <w:rPr>
                <w:rFonts w:ascii="Arial" w:cs="Arial" w:eastAsia="Arial" w:hAnsi="Arial"/>
                <w:sz w:val="16"/>
                <w:szCs w:val="16"/>
                <w:color w:val="auto"/>
              </w:rPr>
              <w:t>51</w:t>
            </w:r>
          </w:p>
        </w:tc>
        <w:tc>
          <w:tcPr>
            <w:tcW w:w="800" w:type="dxa"/>
            <w:vAlign w:val="bottom"/>
            <w:shd w:val="clear" w:color="auto" w:fill="00B050"/>
          </w:tcPr>
          <w:p>
            <w:pPr>
              <w:jc w:val="center"/>
              <w:spacing w:after="0"/>
              <w:rPr>
                <w:sz w:val="20"/>
                <w:szCs w:val="20"/>
                <w:color w:val="auto"/>
              </w:rPr>
            </w:pPr>
            <w:r>
              <w:rPr>
                <w:rFonts w:ascii="Arial" w:cs="Arial" w:eastAsia="Arial" w:hAnsi="Arial"/>
                <w:sz w:val="16"/>
                <w:szCs w:val="16"/>
                <w:color w:val="auto"/>
              </w:rPr>
              <w:t>582</w:t>
            </w:r>
          </w:p>
        </w:tc>
        <w:tc>
          <w:tcPr>
            <w:tcW w:w="760" w:type="dxa"/>
            <w:vAlign w:val="bottom"/>
          </w:tcPr>
          <w:p>
            <w:pPr>
              <w:jc w:val="center"/>
              <w:spacing w:after="0"/>
              <w:rPr>
                <w:sz w:val="20"/>
                <w:szCs w:val="20"/>
                <w:color w:val="auto"/>
              </w:rPr>
            </w:pPr>
            <w:r>
              <w:rPr>
                <w:rFonts w:ascii="Arial" w:cs="Arial" w:eastAsia="Arial" w:hAnsi="Arial"/>
                <w:sz w:val="16"/>
                <w:szCs w:val="16"/>
                <w:color w:val="auto"/>
              </w:rPr>
              <w:t>0.9%</w:t>
            </w:r>
          </w:p>
        </w:tc>
        <w:tc>
          <w:tcPr>
            <w:tcW w:w="800" w:type="dxa"/>
            <w:vAlign w:val="bottom"/>
          </w:tcPr>
          <w:p>
            <w:pPr>
              <w:jc w:val="center"/>
              <w:spacing w:after="0"/>
              <w:rPr>
                <w:sz w:val="20"/>
                <w:szCs w:val="20"/>
                <w:color w:val="auto"/>
              </w:rPr>
            </w:pPr>
            <w:r>
              <w:rPr>
                <w:rFonts w:ascii="Arial" w:cs="Arial" w:eastAsia="Arial" w:hAnsi="Arial"/>
                <w:sz w:val="16"/>
                <w:szCs w:val="16"/>
                <w:color w:val="auto"/>
              </w:rPr>
              <w:t>10.7%</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3.7%</w:t>
            </w:r>
          </w:p>
        </w:tc>
        <w:tc>
          <w:tcPr>
            <w:tcW w:w="780" w:type="dxa"/>
            <w:vAlign w:val="bottom"/>
          </w:tcPr>
          <w:p>
            <w:pPr>
              <w:jc w:val="center"/>
              <w:spacing w:after="0"/>
              <w:rPr>
                <w:sz w:val="20"/>
                <w:szCs w:val="20"/>
                <w:color w:val="auto"/>
              </w:rPr>
            </w:pPr>
            <w:r>
              <w:rPr>
                <w:rFonts w:ascii="Arial" w:cs="Arial" w:eastAsia="Arial" w:hAnsi="Arial"/>
                <w:sz w:val="16"/>
                <w:szCs w:val="16"/>
                <w:color w:val="auto"/>
              </w:rPr>
              <w:t>4.2%</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20" w:type="dxa"/>
            <w:vAlign w:val="bottom"/>
          </w:tcPr>
          <w:p>
            <w:pPr>
              <w:spacing w:after="0"/>
              <w:rPr>
                <w:sz w:val="21"/>
                <w:szCs w:val="21"/>
                <w:color w:val="auto"/>
              </w:rPr>
            </w:pPr>
          </w:p>
        </w:tc>
      </w:tr>
      <w:tr>
        <w:trPr>
          <w:trHeight w:val="243"/>
        </w:trPr>
        <w:tc>
          <w:tcPr>
            <w:tcW w:w="3380" w:type="dxa"/>
            <w:vAlign w:val="bottom"/>
          </w:tcPr>
          <w:p>
            <w:pPr>
              <w:ind w:left="60"/>
              <w:spacing w:after="0"/>
              <w:rPr>
                <w:sz w:val="20"/>
                <w:szCs w:val="20"/>
                <w:color w:val="auto"/>
              </w:rPr>
            </w:pPr>
            <w:r>
              <w:rPr>
                <w:rFonts w:ascii="Arial" w:cs="Arial" w:eastAsia="Arial" w:hAnsi="Arial"/>
                <w:sz w:val="16"/>
                <w:szCs w:val="16"/>
                <w:b w:val="1"/>
                <w:bCs w:val="1"/>
                <w:color w:val="auto"/>
              </w:rPr>
              <w:t>Mibanco</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14,098</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13,665</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13,244</w:t>
            </w:r>
          </w:p>
        </w:tc>
        <w:tc>
          <w:tcPr>
            <w:tcW w:w="780" w:type="dxa"/>
            <w:vAlign w:val="bottom"/>
            <w:shd w:val="clear" w:color="auto" w:fill="E93CAC"/>
          </w:tcPr>
          <w:p>
            <w:pPr>
              <w:jc w:val="center"/>
              <w:spacing w:after="0"/>
              <w:rPr>
                <w:sz w:val="20"/>
                <w:szCs w:val="20"/>
                <w:color w:val="auto"/>
              </w:rPr>
            </w:pPr>
            <w:r>
              <w:rPr>
                <w:rFonts w:ascii="Arial" w:cs="Arial" w:eastAsia="Arial" w:hAnsi="Arial"/>
                <w:sz w:val="16"/>
                <w:szCs w:val="16"/>
                <w:b w:val="1"/>
                <w:bCs w:val="1"/>
                <w:color w:val="auto"/>
                <w:w w:val="99"/>
              </w:rPr>
              <w:t>-421</w:t>
            </w:r>
          </w:p>
        </w:tc>
        <w:tc>
          <w:tcPr>
            <w:tcW w:w="800" w:type="dxa"/>
            <w:vAlign w:val="bottom"/>
            <w:shd w:val="clear" w:color="auto" w:fill="E93CAC"/>
          </w:tcPr>
          <w:p>
            <w:pPr>
              <w:jc w:val="center"/>
              <w:spacing w:after="0"/>
              <w:rPr>
                <w:sz w:val="20"/>
                <w:szCs w:val="20"/>
                <w:color w:val="auto"/>
              </w:rPr>
            </w:pPr>
            <w:r>
              <w:rPr>
                <w:rFonts w:ascii="Arial" w:cs="Arial" w:eastAsia="Arial" w:hAnsi="Arial"/>
                <w:sz w:val="16"/>
                <w:szCs w:val="16"/>
                <w:b w:val="1"/>
                <w:bCs w:val="1"/>
                <w:color w:val="auto"/>
                <w:w w:val="99"/>
              </w:rPr>
              <w:t>-854</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-3.1%</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-6.1%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9.7%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9.6%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9.4%</w:t>
            </w:r>
          </w:p>
        </w:tc>
        <w:tc>
          <w:tcPr>
            <w:tcW w:w="20" w:type="dxa"/>
            <w:vAlign w:val="bottom"/>
          </w:tcPr>
          <w:p>
            <w:pPr>
              <w:spacing w:after="0"/>
              <w:rPr>
                <w:sz w:val="21"/>
                <w:szCs w:val="21"/>
                <w:color w:val="auto"/>
              </w:rPr>
            </w:pPr>
          </w:p>
        </w:tc>
      </w:tr>
      <w:tr>
        <w:trPr>
          <w:trHeight w:val="236"/>
        </w:trPr>
        <w:tc>
          <w:tcPr>
            <w:tcW w:w="3380" w:type="dxa"/>
            <w:vAlign w:val="bottom"/>
          </w:tcPr>
          <w:p>
            <w:pPr>
              <w:ind w:left="60"/>
              <w:spacing w:after="0"/>
              <w:rPr>
                <w:sz w:val="20"/>
                <w:szCs w:val="20"/>
                <w:color w:val="auto"/>
              </w:rPr>
            </w:pPr>
            <w:r>
              <w:rPr>
                <w:rFonts w:ascii="Arial" w:cs="Arial" w:eastAsia="Arial" w:hAnsi="Arial"/>
                <w:sz w:val="16"/>
                <w:szCs w:val="16"/>
                <w:b w:val="1"/>
                <w:bCs w:val="1"/>
                <w:color w:val="auto"/>
              </w:rPr>
              <w:t>Mibanco Colombia</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1,250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1,667</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1,730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63</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479</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3.8%</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38.3%</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0.9%</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20" w:type="dxa"/>
            <w:vAlign w:val="bottom"/>
          </w:tcPr>
          <w:p>
            <w:pPr>
              <w:spacing w:after="0"/>
              <w:rPr>
                <w:sz w:val="20"/>
                <w:szCs w:val="20"/>
                <w:color w:val="auto"/>
              </w:rPr>
            </w:pPr>
          </w:p>
        </w:tc>
      </w:tr>
      <w:tr>
        <w:trPr>
          <w:trHeight w:val="243"/>
        </w:trPr>
        <w:tc>
          <w:tcPr>
            <w:tcW w:w="3380" w:type="dxa"/>
            <w:vAlign w:val="bottom"/>
          </w:tcPr>
          <w:p>
            <w:pPr>
              <w:ind w:left="60"/>
              <w:spacing w:after="0"/>
              <w:rPr>
                <w:sz w:val="20"/>
                <w:szCs w:val="20"/>
                <w:color w:val="auto"/>
              </w:rPr>
            </w:pPr>
            <w:r>
              <w:rPr>
                <w:rFonts w:ascii="Arial" w:cs="Arial" w:eastAsia="Arial" w:hAnsi="Arial"/>
                <w:sz w:val="16"/>
                <w:szCs w:val="16"/>
                <w:b w:val="1"/>
                <w:bCs w:val="1"/>
                <w:color w:val="auto"/>
              </w:rPr>
              <w:t>Bolivia</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8,951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9,186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9,362</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175</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410</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1.9%</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4.6%</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6.2%</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6.5%</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6.7%</w:t>
            </w:r>
          </w:p>
        </w:tc>
        <w:tc>
          <w:tcPr>
            <w:tcW w:w="20" w:type="dxa"/>
            <w:vAlign w:val="bottom"/>
          </w:tcPr>
          <w:p>
            <w:pPr>
              <w:spacing w:after="0"/>
              <w:rPr>
                <w:sz w:val="21"/>
                <w:szCs w:val="21"/>
                <w:color w:val="auto"/>
              </w:rPr>
            </w:pPr>
          </w:p>
        </w:tc>
      </w:tr>
      <w:tr>
        <w:trPr>
          <w:trHeight w:val="247"/>
        </w:trPr>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ASB Bank Corp.</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1,958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1,749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1,711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-37</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-247</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-2.1%</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-12.6%</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1.2%</w:t>
            </w:r>
          </w:p>
        </w:tc>
        <w:tc>
          <w:tcPr>
            <w:tcW w:w="20" w:type="dxa"/>
            <w:vAlign w:val="bottom"/>
            <w:tcBorders>
              <w:bottom w:val="single" w:sz="8" w:color="auto"/>
            </w:tcBorders>
          </w:tcPr>
          <w:p>
            <w:pPr>
              <w:spacing w:after="0"/>
              <w:rPr>
                <w:sz w:val="21"/>
                <w:szCs w:val="21"/>
                <w:color w:val="auto"/>
              </w:rPr>
            </w:pPr>
          </w:p>
        </w:tc>
      </w:tr>
      <w:tr>
        <w:trPr>
          <w:trHeight w:val="233"/>
        </w:trPr>
        <w:tc>
          <w:tcPr>
            <w:tcW w:w="3380" w:type="dxa"/>
            <w:vAlign w:val="bottom"/>
          </w:tcPr>
          <w:p>
            <w:pPr>
              <w:ind w:left="60"/>
              <w:spacing w:after="0"/>
              <w:rPr>
                <w:sz w:val="20"/>
                <w:szCs w:val="20"/>
                <w:color w:val="auto"/>
              </w:rPr>
            </w:pPr>
            <w:r>
              <w:rPr>
                <w:rFonts w:ascii="Arial" w:cs="Arial" w:eastAsia="Arial" w:hAnsi="Arial"/>
                <w:sz w:val="16"/>
                <w:szCs w:val="16"/>
                <w:b w:val="1"/>
                <w:bCs w:val="1"/>
                <w:color w:val="auto"/>
              </w:rPr>
              <w:t>BAP's total loans</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144,964</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142,278</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140,429</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-1,849</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rPr>
              <w:t>-4,536</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-1.3%</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-3.1%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100.0%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100.0%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100.0%</w:t>
            </w:r>
          </w:p>
        </w:tc>
        <w:tc>
          <w:tcPr>
            <w:tcW w:w="20" w:type="dxa"/>
            <w:vAlign w:val="bottom"/>
          </w:tcPr>
          <w:p>
            <w:pPr>
              <w:spacing w:after="0"/>
              <w:rPr>
                <w:sz w:val="20"/>
                <w:szCs w:val="20"/>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-71120</wp:posOffset>
            </wp:positionV>
            <wp:extent cx="114871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8715" cy="188595"/>
                    </a:xfrm>
                    <a:prstGeom prst="rect">
                      <a:avLst/>
                    </a:prstGeom>
                    <a:noFill/>
                  </pic:spPr>
                </pic:pic>
              </a:graphicData>
            </a:graphic>
          </wp:anchor>
        </w:drawing>
      </w:r>
    </w:p>
    <w:p>
      <w:pPr>
        <w:ind w:left="180" w:hanging="172"/>
        <w:spacing w:after="0"/>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12.3 Loan Portfolio Quality”</w:t>
      </w:r>
    </w:p>
    <w:p>
      <w:pPr>
        <w:ind w:left="180" w:hanging="172"/>
        <w:spacing w:after="0"/>
        <w:tabs>
          <w:tab w:leader="none" w:pos="1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Internal Management Figures</w:t>
      </w:r>
    </w:p>
    <w:p>
      <w:pPr>
        <w:sectPr>
          <w:pgSz w:w="11900" w:h="16838" w:orient="portrait"/>
          <w:cols w:equalWidth="0" w:num="1">
            <w:col w:w="11240"/>
          </w:cols>
          <w:pgMar w:left="320" w:top="561"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total loans in average daily balances dropped 1.3% (- 1.4%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FX Neutral). The decline was driven mainly by:</w:t>
      </w:r>
    </w:p>
    <w:p>
      <w:pPr>
        <w:spacing w:after="0" w:line="194" w:lineRule="exact"/>
        <w:rPr>
          <w:sz w:val="20"/>
          <w:szCs w:val="20"/>
          <w:color w:val="auto"/>
        </w:rPr>
      </w:pPr>
    </w:p>
    <w:p>
      <w:pPr>
        <w:jc w:val="both"/>
        <w:ind w:left="660" w:hanging="328"/>
        <w:spacing w:after="0"/>
        <w:tabs>
          <w:tab w:leader="none" w:pos="660" w:val="left"/>
        </w:tabs>
        <w:numPr>
          <w:ilvl w:val="0"/>
          <w:numId w:val="14"/>
        </w:numPr>
        <w:rPr>
          <w:rFonts w:ascii="Arial" w:cs="Arial" w:eastAsia="Arial" w:hAnsi="Arial"/>
          <w:sz w:val="18"/>
          <w:szCs w:val="18"/>
          <w:color w:val="auto"/>
          <w:strike w:val="1"/>
        </w:rPr>
      </w:pPr>
      <w:r>
        <w:rPr>
          <w:rFonts w:ascii="Arial" w:cs="Arial" w:eastAsia="Arial" w:hAnsi="Arial"/>
          <w:sz w:val="18"/>
          <w:szCs w:val="18"/>
          <w:b w:val="1"/>
          <w:bCs w:val="1"/>
          <w:color w:val="auto"/>
        </w:rPr>
        <w:t>Wholesale Banking</w:t>
      </w:r>
      <w:r>
        <w:rPr>
          <w:rFonts w:ascii="Arial" w:cs="Arial" w:eastAsia="Arial" w:hAnsi="Arial"/>
          <w:sz w:val="18"/>
          <w:szCs w:val="18"/>
          <w:color w:val="auto"/>
        </w:rPr>
        <w:t>, where both</w:t>
      </w:r>
      <w:r>
        <w:rPr>
          <w:rFonts w:ascii="Arial" w:cs="Arial" w:eastAsia="Arial" w:hAnsi="Arial"/>
          <w:sz w:val="18"/>
          <w:szCs w:val="18"/>
          <w:b w:val="1"/>
          <w:bCs w:val="1"/>
          <w:color w:val="auto"/>
        </w:rPr>
        <w:t xml:space="preserve"> Corporate Banking </w:t>
      </w:r>
      <w:r>
        <w:rPr>
          <w:rFonts w:ascii="Arial" w:cs="Arial" w:eastAsia="Arial" w:hAnsi="Arial"/>
          <w:sz w:val="18"/>
          <w:szCs w:val="18"/>
          <w:color w:val="auto"/>
        </w:rPr>
        <w:t>and</w:t>
      </w:r>
      <w:r>
        <w:rPr>
          <w:rFonts w:ascii="Arial" w:cs="Arial" w:eastAsia="Arial" w:hAnsi="Arial"/>
          <w:sz w:val="18"/>
          <w:szCs w:val="18"/>
          <w:b w:val="1"/>
          <w:bCs w:val="1"/>
          <w:color w:val="auto"/>
        </w:rPr>
        <w:t xml:space="preserve"> Middle Market Banking </w:t>
      </w:r>
      <w:r>
        <w:rPr>
          <w:rFonts w:ascii="Arial" w:cs="Arial" w:eastAsia="Arial" w:hAnsi="Arial"/>
          <w:sz w:val="18"/>
          <w:szCs w:val="18"/>
          <w:color w:val="auto"/>
        </w:rPr>
        <w:t>reported lower balances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seasonal effect, given that clients that took on debt for working capital in 4Q23 amortized their loans in 1Q24.</w:t>
      </w:r>
    </w:p>
    <w:p>
      <w:pPr>
        <w:jc w:val="both"/>
        <w:ind w:left="660" w:right="20" w:hanging="328"/>
        <w:spacing w:after="0" w:line="234" w:lineRule="auto"/>
        <w:tabs>
          <w:tab w:leader="none" w:pos="660" w:val="left"/>
        </w:tabs>
        <w:numPr>
          <w:ilvl w:val="0"/>
          <w:numId w:val="14"/>
        </w:numPr>
        <w:rPr>
          <w:rFonts w:ascii="Arial" w:cs="Arial" w:eastAsia="Arial" w:hAnsi="Arial"/>
          <w:sz w:val="18"/>
          <w:szCs w:val="18"/>
          <w:color w:val="auto"/>
          <w:strike w:val="1"/>
        </w:rPr>
      </w:pPr>
      <w:r>
        <w:rPr>
          <w:rFonts w:ascii="Arial" w:cs="Arial" w:eastAsia="Arial" w:hAnsi="Arial"/>
          <w:sz w:val="18"/>
          <w:szCs w:val="18"/>
          <w:b w:val="1"/>
          <w:bCs w:val="1"/>
          <w:color w:val="auto"/>
        </w:rPr>
        <w:t xml:space="preserve">SME-Business and SME-Pyme, </w:t>
      </w:r>
      <w:r>
        <w:rPr>
          <w:rFonts w:ascii="Arial" w:cs="Arial" w:eastAsia="Arial" w:hAnsi="Arial"/>
          <w:sz w:val="18"/>
          <w:szCs w:val="18"/>
          <w:color w:val="auto"/>
        </w:rPr>
        <w:t>due to an uptick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amortizations of Government Program Loans (GP). If we exclude this effect, total loans in ADB fell slightly in </w:t>
      </w:r>
      <w:r>
        <w:rPr>
          <w:rFonts w:ascii="Arial" w:cs="Arial" w:eastAsia="Arial" w:hAnsi="Arial"/>
          <w:sz w:val="18"/>
          <w:szCs w:val="18"/>
          <w:b w:val="1"/>
          <w:bCs w:val="1"/>
          <w:color w:val="auto"/>
        </w:rPr>
        <w:t>SME-Business</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SME-Pyme </w:t>
      </w:r>
      <w:r>
        <w:rPr>
          <w:rFonts w:ascii="Arial" w:cs="Arial" w:eastAsia="Arial" w:hAnsi="Arial"/>
          <w:sz w:val="18"/>
          <w:szCs w:val="18"/>
          <w:color w:val="auto"/>
        </w:rPr>
        <w:t>rose due to back-to-school campaigns in 1Q24.</w:t>
      </w:r>
    </w:p>
    <w:p>
      <w:pPr>
        <w:spacing w:after="0" w:line="3" w:lineRule="exact"/>
        <w:rPr>
          <w:rFonts w:ascii="Arial" w:cs="Arial" w:eastAsia="Arial" w:hAnsi="Arial"/>
          <w:sz w:val="18"/>
          <w:szCs w:val="18"/>
          <w:color w:val="auto"/>
          <w:strike w:val="1"/>
        </w:rPr>
      </w:pPr>
    </w:p>
    <w:p>
      <w:pPr>
        <w:jc w:val="both"/>
        <w:ind w:left="660" w:hanging="328"/>
        <w:spacing w:after="0" w:line="238" w:lineRule="auto"/>
        <w:tabs>
          <w:tab w:leader="none" w:pos="660" w:val="left"/>
        </w:tabs>
        <w:numPr>
          <w:ilvl w:val="0"/>
          <w:numId w:val="14"/>
        </w:numPr>
        <w:rPr>
          <w:rFonts w:ascii="Arial" w:cs="Arial" w:eastAsia="Arial" w:hAnsi="Arial"/>
          <w:sz w:val="18"/>
          <w:szCs w:val="18"/>
          <w:color w:val="auto"/>
          <w:strike w:val="1"/>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impacted by tightened lending guidelines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still complicated scenario in which the industry shows similar commercial behavior. In this context,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has maintained its market share and is leveraging the strengths of its hybrid model to redirect loan flows to low-ticket, lower-risk loans.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aforementioned was partially offset by growth in Mortgage loans.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total loans in average daily balances decreased 3.1% (- 2.8%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FX Neutral). The decline was driven primarily by:</w:t>
      </w:r>
    </w:p>
    <w:p>
      <w:pPr>
        <w:spacing w:after="0" w:line="194" w:lineRule="exact"/>
        <w:rPr>
          <w:sz w:val="20"/>
          <w:szCs w:val="20"/>
          <w:color w:val="auto"/>
        </w:rPr>
      </w:pPr>
    </w:p>
    <w:p>
      <w:pPr>
        <w:jc w:val="both"/>
        <w:ind w:left="660" w:right="20" w:hanging="327"/>
        <w:spacing w:after="0" w:line="241" w:lineRule="auto"/>
        <w:tabs>
          <w:tab w:leader="none" w:pos="660" w:val="left"/>
        </w:tabs>
        <w:numPr>
          <w:ilvl w:val="0"/>
          <w:numId w:val="15"/>
        </w:numPr>
        <w:rPr>
          <w:rFonts w:ascii="Arial" w:cs="Arial" w:eastAsia="Arial" w:hAnsi="Arial"/>
          <w:sz w:val="18"/>
          <w:szCs w:val="18"/>
          <w:color w:val="auto"/>
          <w:strike w:val="1"/>
        </w:rPr>
      </w:pPr>
      <w:r>
        <w:rPr>
          <w:rFonts w:ascii="Arial" w:cs="Arial" w:eastAsia="Arial" w:hAnsi="Arial"/>
          <w:sz w:val="18"/>
          <w:szCs w:val="18"/>
          <w:b w:val="1"/>
          <w:bCs w:val="1"/>
          <w:color w:val="auto"/>
        </w:rPr>
        <w:t xml:space="preserve">Wholesale Banking, </w:t>
      </w:r>
      <w:r>
        <w:rPr>
          <w:rFonts w:ascii="Arial" w:cs="Arial" w:eastAsia="Arial" w:hAnsi="Arial"/>
          <w:sz w:val="18"/>
          <w:szCs w:val="18"/>
          <w:color w:val="auto"/>
        </w:rPr>
        <w:t>due to weak macroeconomic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limited private investment, and the fact that our clients have less appetite for long-term debt.</w:t>
      </w:r>
    </w:p>
    <w:p>
      <w:pPr>
        <w:spacing w:after="0" w:line="1" w:lineRule="exact"/>
        <w:rPr>
          <w:rFonts w:ascii="Arial" w:cs="Arial" w:eastAsia="Arial" w:hAnsi="Arial"/>
          <w:sz w:val="18"/>
          <w:szCs w:val="18"/>
          <w:color w:val="auto"/>
          <w:strike w:val="1"/>
        </w:rPr>
      </w:pPr>
    </w:p>
    <w:p>
      <w:pPr>
        <w:jc w:val="both"/>
        <w:ind w:left="660" w:hanging="327"/>
        <w:spacing w:after="0" w:line="234" w:lineRule="auto"/>
        <w:tabs>
          <w:tab w:leader="none" w:pos="660" w:val="left"/>
        </w:tabs>
        <w:numPr>
          <w:ilvl w:val="0"/>
          <w:numId w:val="15"/>
        </w:numPr>
        <w:rPr>
          <w:rFonts w:ascii="Arial" w:cs="Arial" w:eastAsia="Arial" w:hAnsi="Arial"/>
          <w:sz w:val="18"/>
          <w:szCs w:val="18"/>
          <w:color w:val="auto"/>
          <w:strike w:val="1"/>
        </w:rPr>
      </w:pPr>
      <w:r>
        <w:rPr>
          <w:rFonts w:ascii="Arial" w:cs="Arial" w:eastAsia="Arial" w:hAnsi="Arial"/>
          <w:sz w:val="18"/>
          <w:szCs w:val="18"/>
          <w:b w:val="1"/>
          <w:bCs w:val="1"/>
          <w:color w:val="auto"/>
        </w:rPr>
        <w:t xml:space="preserve">SME-Business and SME-Pyme, </w:t>
      </w:r>
      <w:r>
        <w:rPr>
          <w:rFonts w:ascii="Arial" w:cs="Arial" w:eastAsia="Arial" w:hAnsi="Arial"/>
          <w:sz w:val="18"/>
          <w:szCs w:val="18"/>
          <w:color w:val="auto"/>
        </w:rPr>
        <w:t>attributable to an uptick</w:t>
      </w:r>
      <w:r>
        <w:rPr>
          <w:rFonts w:ascii="Arial" w:cs="Arial" w:eastAsia="Arial" w:hAnsi="Arial"/>
          <w:sz w:val="18"/>
          <w:szCs w:val="18"/>
          <w:b w:val="1"/>
          <w:bCs w:val="1"/>
          <w:color w:val="auto"/>
        </w:rPr>
        <w:t xml:space="preserve"> </w:t>
      </w:r>
      <w:r>
        <w:rPr>
          <w:rFonts w:ascii="Arial" w:cs="Arial" w:eastAsia="Arial" w:hAnsi="Arial"/>
          <w:sz w:val="18"/>
          <w:szCs w:val="18"/>
          <w:color w:val="auto"/>
        </w:rPr>
        <w:t>in amortizations of Government Program Loans (GP). If we exclude this effect from the calculation, both portfolios present growth. In SME- Pyme, growth was driven by higher-ticket loans.</w:t>
      </w:r>
    </w:p>
    <w:p>
      <w:pPr>
        <w:spacing w:after="0" w:line="3" w:lineRule="exact"/>
        <w:rPr>
          <w:rFonts w:ascii="Arial" w:cs="Arial" w:eastAsia="Arial" w:hAnsi="Arial"/>
          <w:sz w:val="18"/>
          <w:szCs w:val="18"/>
          <w:color w:val="auto"/>
          <w:strike w:val="1"/>
        </w:rPr>
      </w:pPr>
    </w:p>
    <w:p>
      <w:pPr>
        <w:ind w:left="660" w:hanging="327"/>
        <w:spacing w:after="0"/>
        <w:tabs>
          <w:tab w:leader="none" w:pos="660" w:val="left"/>
        </w:tabs>
        <w:numPr>
          <w:ilvl w:val="0"/>
          <w:numId w:val="15"/>
        </w:numPr>
        <w:rPr>
          <w:rFonts w:ascii="Arial" w:cs="Arial" w:eastAsia="Arial" w:hAnsi="Arial"/>
          <w:sz w:val="18"/>
          <w:szCs w:val="18"/>
          <w:color w:val="auto"/>
          <w:strike w:val="1"/>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due to the same factors as those seen QoQ.</w:t>
      </w:r>
    </w:p>
    <w:p>
      <w:pPr>
        <w:spacing w:after="0" w:line="806" w:lineRule="exact"/>
        <w:rPr>
          <w:sz w:val="20"/>
          <w:szCs w:val="20"/>
          <w:color w:val="auto"/>
        </w:rPr>
      </w:pPr>
    </w:p>
    <w:p>
      <w:pPr>
        <w:sectPr>
          <w:pgSz w:w="11900" w:h="16838" w:orient="portrait"/>
          <w:cols w:equalWidth="0" w:num="2">
            <w:col w:w="5400" w:space="440"/>
            <w:col w:w="5400"/>
          </w:cols>
          <w:pgMar w:left="320" w:top="561" w:right="33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type w:val="continuous"/>
        </w:sectPr>
      </w:pPr>
    </w:p>
    <w:bookmarkStart w:id="18" w:name="page19"/>
    <w:bookmarkEnd w:id="18"/>
    <w:p>
      <w:pPr>
        <w:jc w:val="center"/>
        <w:ind w:left="2720"/>
        <w:spacing w:after="0"/>
        <w:tabs>
          <w:tab w:leader="none" w:pos="16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Earnings Release 1Q / 2024</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01. Loan Portfolio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 loan growth in:</w:t>
      </w:r>
    </w:p>
    <w:p>
      <w:pPr>
        <w:spacing w:after="0" w:line="212" w:lineRule="exact"/>
        <w:rPr>
          <w:sz w:val="20"/>
          <w:szCs w:val="20"/>
          <w:color w:val="auto"/>
        </w:rPr>
      </w:pPr>
    </w:p>
    <w:p>
      <w:pPr>
        <w:ind w:left="660" w:right="120" w:hanging="328"/>
        <w:spacing w:after="0" w:line="271" w:lineRule="auto"/>
        <w:tabs>
          <w:tab w:leader="none" w:pos="660" w:val="left"/>
        </w:tabs>
        <w:numPr>
          <w:ilvl w:val="0"/>
          <w:numId w:val="16"/>
        </w:numPr>
        <w:rPr>
          <w:rFonts w:ascii="Arial" w:cs="Arial" w:eastAsia="Arial" w:hAnsi="Arial"/>
          <w:sz w:val="18"/>
          <w:szCs w:val="18"/>
          <w:color w:val="auto"/>
          <w:strike w:val="1"/>
        </w:rPr>
      </w:pPr>
      <w:r>
        <w:rPr>
          <w:rFonts w:ascii="Arial" w:cs="Arial" w:eastAsia="Arial" w:hAnsi="Arial"/>
          <w:sz w:val="18"/>
          <w:szCs w:val="18"/>
          <w:b w:val="1"/>
          <w:bCs w:val="1"/>
          <w:color w:val="auto"/>
        </w:rPr>
        <w:t>Mortgage</w:t>
      </w:r>
      <w:r>
        <w:rPr>
          <w:rFonts w:ascii="Arial" w:cs="Arial" w:eastAsia="Arial" w:hAnsi="Arial"/>
          <w:sz w:val="18"/>
          <w:szCs w:val="18"/>
          <w:color w:val="auto"/>
        </w:rPr>
        <w:t>, after new lending products were launched to</w:t>
      </w:r>
      <w:r>
        <w:rPr>
          <w:rFonts w:ascii="Arial" w:cs="Arial" w:eastAsia="Arial" w:hAnsi="Arial"/>
          <w:sz w:val="18"/>
          <w:szCs w:val="18"/>
          <w:b w:val="1"/>
          <w:bCs w:val="1"/>
          <w:color w:val="auto"/>
        </w:rPr>
        <w:t xml:space="preserve"> </w:t>
      </w:r>
      <w:r>
        <w:rPr>
          <w:rFonts w:ascii="Arial" w:cs="Arial" w:eastAsia="Arial" w:hAnsi="Arial"/>
          <w:sz w:val="18"/>
          <w:szCs w:val="18"/>
          <w:color w:val="auto"/>
        </w:rPr>
        <w:t>meet a broader cross-section of needs in the market.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167"/>
        <w:spacing w:after="0"/>
        <w:rPr>
          <w:sz w:val="20"/>
          <w:szCs w:val="20"/>
          <w:color w:val="auto"/>
        </w:rPr>
      </w:pPr>
      <w:r>
        <w:rPr>
          <w:rFonts w:ascii="Arial" w:cs="Arial" w:eastAsia="Arial" w:hAnsi="Arial"/>
          <w:sz w:val="20"/>
          <w:szCs w:val="20"/>
          <w:b w:val="1"/>
          <w:bCs w:val="1"/>
          <w:color w:val="E93BAC"/>
        </w:rPr>
        <w:t>Analysis of 1Q24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27" w:right="20" w:hanging="327"/>
        <w:spacing w:after="0" w:line="253" w:lineRule="auto"/>
        <w:tabs>
          <w:tab w:leader="none" w:pos="327" w:val="left"/>
        </w:tabs>
        <w:numPr>
          <w:ilvl w:val="0"/>
          <w:numId w:val="17"/>
        </w:numPr>
        <w:rPr>
          <w:rFonts w:ascii="Arial" w:cs="Arial" w:eastAsia="Arial" w:hAnsi="Arial"/>
          <w:sz w:val="18"/>
          <w:szCs w:val="18"/>
          <w:color w:val="auto"/>
          <w:strike w:val="1"/>
        </w:rPr>
      </w:pPr>
      <w:r>
        <w:rPr>
          <w:rFonts w:ascii="Arial" w:cs="Arial" w:eastAsia="Arial" w:hAnsi="Arial"/>
          <w:sz w:val="18"/>
          <w:szCs w:val="18"/>
          <w:b w:val="1"/>
          <w:bCs w:val="1"/>
          <w:color w:val="auto"/>
        </w:rPr>
        <w:t xml:space="preserve">Credit Cards, </w:t>
      </w:r>
      <w:r>
        <w:rPr>
          <w:rFonts w:ascii="Arial" w:cs="Arial" w:eastAsia="Arial" w:hAnsi="Arial"/>
          <w:sz w:val="18"/>
          <w:szCs w:val="18"/>
          <w:color w:val="auto"/>
        </w:rPr>
        <w:t>which reflects the growth that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first half of 2023. However, this growth has slowed in recent months.</w:t>
      </w:r>
    </w:p>
    <w:p>
      <w:pPr>
        <w:spacing w:after="0" w:line="431" w:lineRule="exact"/>
        <w:rPr>
          <w:sz w:val="20"/>
          <w:szCs w:val="20"/>
          <w:color w:val="auto"/>
        </w:rPr>
      </w:pPr>
    </w:p>
    <w:p>
      <w:pPr>
        <w:sectPr>
          <w:pgSz w:w="11900" w:h="16838" w:orient="portrait"/>
          <w:cols w:equalWidth="0" w:num="2">
            <w:col w:w="5520" w:space="653"/>
            <w:col w:w="5067"/>
          </w:cols>
          <w:pgMar w:left="320" w:top="561"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Loan Dollarization (in Average Daily Balances) </w:t>
      </w:r>
      <w:r>
        <w:rPr>
          <w:rFonts w:ascii="Arial" w:cs="Arial" w:eastAsia="Arial" w:hAnsi="Arial"/>
          <w:sz w:val="29"/>
          <w:szCs w:val="29"/>
          <w:b w:val="1"/>
          <w:bCs w:val="1"/>
          <w:color w:val="auto"/>
          <w:vertAlign w:val="superscript"/>
        </w:rPr>
        <w:t>(1)(2)</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178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Total Loans</w:t>
            </w:r>
          </w:p>
        </w:tc>
        <w:tc>
          <w:tcPr>
            <w:tcW w:w="2440" w:type="dxa"/>
            <w:vAlign w:val="bottom"/>
            <w:tcBorders>
              <w:top w:val="single" w:sz="8" w:color="auto"/>
              <w:right w:val="single" w:sz="8" w:color="auto"/>
            </w:tcBorders>
            <w:gridSpan w:val="3"/>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Local Currency (LC) - S/ millions</w:t>
            </w:r>
          </w:p>
        </w:tc>
        <w:tc>
          <w:tcPr>
            <w:tcW w:w="1540" w:type="dxa"/>
            <w:vAlign w:val="bottom"/>
            <w:tcBorders>
              <w:top w:val="single" w:sz="8" w:color="auto"/>
              <w:right w:val="single" w:sz="8" w:color="auto"/>
            </w:tcBorders>
            <w:gridSpan w:val="2"/>
            <w:vMerge w:val="restart"/>
            <w:shd w:val="clear" w:color="auto" w:fill="2AD2C9"/>
          </w:tcPr>
          <w:p>
            <w:pPr>
              <w:ind w:left="460"/>
              <w:spacing w:after="0"/>
              <w:rPr>
                <w:sz w:val="20"/>
                <w:szCs w:val="20"/>
                <w:color w:val="auto"/>
              </w:rPr>
            </w:pPr>
            <w:r>
              <w:rPr>
                <w:rFonts w:ascii="Arial" w:cs="Arial" w:eastAsia="Arial" w:hAnsi="Arial"/>
                <w:sz w:val="13"/>
                <w:szCs w:val="13"/>
                <w:b w:val="1"/>
                <w:bCs w:val="1"/>
                <w:color w:val="FFFFFF"/>
              </w:rPr>
              <w:t>% change</w:t>
            </w:r>
          </w:p>
        </w:tc>
        <w:tc>
          <w:tcPr>
            <w:tcW w:w="2360" w:type="dxa"/>
            <w:vAlign w:val="bottom"/>
            <w:tcBorders>
              <w:top w:val="single" w:sz="8" w:color="auto"/>
              <w:right w:val="single" w:sz="8" w:color="auto"/>
            </w:tcBorders>
            <w:gridSpan w:val="3"/>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Foreign Currency (FC) - US$ millions</w:t>
            </w:r>
          </w:p>
        </w:tc>
        <w:tc>
          <w:tcPr>
            <w:tcW w:w="1560" w:type="dxa"/>
            <w:vAlign w:val="bottom"/>
            <w:tcBorders>
              <w:top w:val="single" w:sz="8" w:color="auto"/>
              <w:right w:val="single" w:sz="8" w:color="auto"/>
            </w:tcBorders>
            <w:gridSpan w:val="2"/>
            <w:vMerge w:val="restart"/>
            <w:shd w:val="clear" w:color="auto" w:fill="2AD2C9"/>
          </w:tcPr>
          <w:p>
            <w:pPr>
              <w:ind w:left="480"/>
              <w:spacing w:after="0"/>
              <w:rPr>
                <w:sz w:val="20"/>
                <w:szCs w:val="20"/>
                <w:color w:val="auto"/>
              </w:rPr>
            </w:pPr>
            <w:r>
              <w:rPr>
                <w:rFonts w:ascii="Arial" w:cs="Arial" w:eastAsia="Arial" w:hAnsi="Arial"/>
                <w:sz w:val="13"/>
                <w:szCs w:val="13"/>
                <w:b w:val="1"/>
                <w:bCs w:val="1"/>
                <w:color w:val="FFFFFF"/>
              </w:rPr>
              <w:t>% change</w:t>
            </w:r>
          </w:p>
        </w:tc>
        <w:tc>
          <w:tcPr>
            <w:tcW w:w="1560" w:type="dxa"/>
            <w:vAlign w:val="bottom"/>
            <w:tcBorders>
              <w:top w:val="single" w:sz="8" w:color="auto"/>
              <w:right w:val="single" w:sz="8" w:color="auto"/>
            </w:tcBorders>
            <w:gridSpan w:val="2"/>
            <w:shd w:val="clear" w:color="auto" w:fill="2AD2C9"/>
          </w:tcPr>
          <w:p>
            <w:pPr>
              <w:ind w:left="180"/>
              <w:spacing w:after="0"/>
              <w:rPr>
                <w:sz w:val="20"/>
                <w:szCs w:val="20"/>
                <w:color w:val="auto"/>
              </w:rPr>
            </w:pPr>
            <w:r>
              <w:rPr>
                <w:rFonts w:ascii="Arial" w:cs="Arial" w:eastAsia="Arial" w:hAnsi="Arial"/>
                <w:sz w:val="13"/>
                <w:szCs w:val="13"/>
                <w:b w:val="1"/>
                <w:bCs w:val="1"/>
                <w:color w:val="FFFFFF"/>
              </w:rPr>
              <w:t>% part. by currency</w:t>
            </w:r>
          </w:p>
        </w:tc>
        <w:tc>
          <w:tcPr>
            <w:tcW w:w="0" w:type="dxa"/>
            <w:vAlign w:val="bottom"/>
          </w:tcPr>
          <w:p>
            <w:pPr>
              <w:spacing w:after="0"/>
              <w:rPr>
                <w:sz w:val="1"/>
                <w:szCs w:val="1"/>
                <w:color w:val="auto"/>
              </w:rPr>
            </w:pPr>
          </w:p>
        </w:tc>
      </w:tr>
      <w:tr>
        <w:trPr>
          <w:trHeight w:val="104"/>
        </w:trPr>
        <w:tc>
          <w:tcPr>
            <w:tcW w:w="178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13"/>
                <w:szCs w:val="13"/>
                <w:color w:val="FFFFFF"/>
              </w:rPr>
              <w:t>(S/ millions)</w:t>
            </w:r>
          </w:p>
        </w:tc>
        <w:tc>
          <w:tcPr>
            <w:tcW w:w="720" w:type="dxa"/>
            <w:vAlign w:val="bottom"/>
            <w:shd w:val="clear" w:color="auto" w:fill="2AD2C9"/>
          </w:tcPr>
          <w:p>
            <w:pPr>
              <w:spacing w:after="0"/>
              <w:rPr>
                <w:sz w:val="9"/>
                <w:szCs w:val="9"/>
                <w:color w:val="auto"/>
              </w:rPr>
            </w:pPr>
          </w:p>
        </w:tc>
        <w:tc>
          <w:tcPr>
            <w:tcW w:w="820" w:type="dxa"/>
            <w:vAlign w:val="bottom"/>
            <w:vMerge w:val="restart"/>
            <w:shd w:val="clear" w:color="auto" w:fill="2AD2C9"/>
          </w:tcPr>
          <w:p>
            <w:pPr>
              <w:jc w:val="center"/>
              <w:ind w:left="97"/>
              <w:spacing w:after="0"/>
              <w:rPr>
                <w:sz w:val="20"/>
                <w:szCs w:val="20"/>
                <w:color w:val="auto"/>
              </w:rPr>
            </w:pPr>
            <w:r>
              <w:rPr>
                <w:rFonts w:ascii="Arial" w:cs="Arial" w:eastAsia="Arial" w:hAnsi="Arial"/>
                <w:sz w:val="13"/>
                <w:szCs w:val="13"/>
                <w:b w:val="1"/>
                <w:bCs w:val="1"/>
                <w:color w:val="FFFFFF"/>
                <w:w w:val="96"/>
              </w:rPr>
              <w:t>Total</w:t>
            </w:r>
          </w:p>
        </w:tc>
        <w:tc>
          <w:tcPr>
            <w:tcW w:w="900" w:type="dxa"/>
            <w:vAlign w:val="bottom"/>
            <w:tcBorders>
              <w:right w:val="single" w:sz="8" w:color="auto"/>
            </w:tcBorders>
            <w:shd w:val="clear" w:color="auto" w:fill="2AD2C9"/>
          </w:tcPr>
          <w:p>
            <w:pPr>
              <w:spacing w:after="0"/>
              <w:rPr>
                <w:sz w:val="9"/>
                <w:szCs w:val="9"/>
                <w:color w:val="auto"/>
              </w:rPr>
            </w:pPr>
          </w:p>
        </w:tc>
        <w:tc>
          <w:tcPr>
            <w:tcW w:w="1540" w:type="dxa"/>
            <w:vAlign w:val="bottom"/>
            <w:tcBorders>
              <w:right w:val="single" w:sz="8" w:color="auto"/>
            </w:tcBorders>
            <w:gridSpan w:val="2"/>
            <w:vMerge w:val="continue"/>
            <w:shd w:val="clear" w:color="auto" w:fill="2AD2C9"/>
          </w:tcPr>
          <w:p>
            <w:pPr>
              <w:spacing w:after="0"/>
              <w:rPr>
                <w:sz w:val="9"/>
                <w:szCs w:val="9"/>
                <w:color w:val="auto"/>
              </w:rPr>
            </w:pPr>
          </w:p>
        </w:tc>
        <w:tc>
          <w:tcPr>
            <w:tcW w:w="780" w:type="dxa"/>
            <w:vAlign w:val="bottom"/>
            <w:shd w:val="clear" w:color="auto" w:fill="2AD2C9"/>
          </w:tcPr>
          <w:p>
            <w:pPr>
              <w:spacing w:after="0"/>
              <w:rPr>
                <w:sz w:val="9"/>
                <w:szCs w:val="9"/>
                <w:color w:val="auto"/>
              </w:rPr>
            </w:pPr>
          </w:p>
        </w:tc>
        <w:tc>
          <w:tcPr>
            <w:tcW w:w="780" w:type="dxa"/>
            <w:vAlign w:val="bottom"/>
            <w:vMerge w:val="restart"/>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800" w:type="dxa"/>
            <w:vAlign w:val="bottom"/>
            <w:tcBorders>
              <w:right w:val="single" w:sz="8" w:color="auto"/>
            </w:tcBorders>
            <w:shd w:val="clear" w:color="auto" w:fill="2AD2C9"/>
          </w:tcPr>
          <w:p>
            <w:pPr>
              <w:spacing w:after="0"/>
              <w:rPr>
                <w:sz w:val="9"/>
                <w:szCs w:val="9"/>
                <w:color w:val="auto"/>
              </w:rPr>
            </w:pPr>
          </w:p>
        </w:tc>
        <w:tc>
          <w:tcPr>
            <w:tcW w:w="1560" w:type="dxa"/>
            <w:vAlign w:val="bottom"/>
            <w:tcBorders>
              <w:right w:val="single" w:sz="8" w:color="auto"/>
            </w:tcBorders>
            <w:gridSpan w:val="2"/>
            <w:vMerge w:val="continue"/>
            <w:shd w:val="clear" w:color="auto" w:fill="2AD2C9"/>
          </w:tcPr>
          <w:p>
            <w:pPr>
              <w:spacing w:after="0"/>
              <w:rPr>
                <w:sz w:val="9"/>
                <w:szCs w:val="9"/>
                <w:color w:val="auto"/>
              </w:rPr>
            </w:pPr>
          </w:p>
        </w:tc>
        <w:tc>
          <w:tcPr>
            <w:tcW w:w="560" w:type="dxa"/>
            <w:vAlign w:val="bottom"/>
            <w:shd w:val="clear" w:color="auto" w:fill="2AD2C9"/>
          </w:tcPr>
          <w:p>
            <w:pPr>
              <w:spacing w:after="0"/>
              <w:rPr>
                <w:sz w:val="9"/>
                <w:szCs w:val="9"/>
                <w:color w:val="auto"/>
              </w:rPr>
            </w:pPr>
          </w:p>
        </w:tc>
        <w:tc>
          <w:tcPr>
            <w:tcW w:w="1000" w:type="dxa"/>
            <w:vAlign w:val="bottom"/>
            <w:tcBorders>
              <w:right w:val="single" w:sz="8" w:color="auto"/>
            </w:tcBorders>
            <w:vMerge w:val="restart"/>
            <w:shd w:val="clear" w:color="auto" w:fill="2AD2C9"/>
          </w:tcPr>
          <w:p>
            <w:pPr>
              <w:ind w:left="20"/>
              <w:spacing w:after="0"/>
              <w:rPr>
                <w:sz w:val="20"/>
                <w:szCs w:val="20"/>
                <w:color w:val="auto"/>
              </w:rPr>
            </w:pPr>
            <w:r>
              <w:rPr>
                <w:rFonts w:ascii="Arial" w:cs="Arial" w:eastAsia="Arial" w:hAnsi="Arial"/>
                <w:sz w:val="13"/>
                <w:szCs w:val="13"/>
                <w:b w:val="1"/>
                <w:bCs w:val="1"/>
                <w:color w:val="FFFFFF"/>
              </w:rPr>
              <w:t>Mar 24</w:t>
            </w:r>
          </w:p>
        </w:tc>
        <w:tc>
          <w:tcPr>
            <w:tcW w:w="0" w:type="dxa"/>
            <w:vAlign w:val="bottom"/>
          </w:tcPr>
          <w:p>
            <w:pPr>
              <w:spacing w:after="0"/>
              <w:rPr>
                <w:sz w:val="1"/>
                <w:szCs w:val="1"/>
                <w:color w:val="auto"/>
              </w:rPr>
            </w:pPr>
          </w:p>
        </w:tc>
      </w:tr>
      <w:tr>
        <w:trPr>
          <w:trHeight w:val="71"/>
        </w:trPr>
        <w:tc>
          <w:tcPr>
            <w:tcW w:w="1780" w:type="dxa"/>
            <w:vAlign w:val="bottom"/>
            <w:tcBorders>
              <w:left w:val="single" w:sz="8" w:color="auto"/>
              <w:right w:val="single" w:sz="8" w:color="auto"/>
            </w:tcBorders>
            <w:vMerge w:val="continue"/>
            <w:shd w:val="clear" w:color="auto" w:fill="2AD2C9"/>
          </w:tcPr>
          <w:p>
            <w:pPr>
              <w:spacing w:after="0"/>
              <w:rPr>
                <w:sz w:val="6"/>
                <w:szCs w:val="6"/>
                <w:color w:val="auto"/>
              </w:rPr>
            </w:pPr>
          </w:p>
        </w:tc>
        <w:tc>
          <w:tcPr>
            <w:tcW w:w="720" w:type="dxa"/>
            <w:vAlign w:val="bottom"/>
            <w:shd w:val="clear" w:color="auto" w:fill="2AD2C9"/>
          </w:tcPr>
          <w:p>
            <w:pPr>
              <w:spacing w:after="0"/>
              <w:rPr>
                <w:sz w:val="6"/>
                <w:szCs w:val="6"/>
                <w:color w:val="auto"/>
              </w:rPr>
            </w:pPr>
          </w:p>
        </w:tc>
        <w:tc>
          <w:tcPr>
            <w:tcW w:w="820" w:type="dxa"/>
            <w:vAlign w:val="bottom"/>
            <w:vMerge w:val="continue"/>
            <w:shd w:val="clear" w:color="auto" w:fill="2AD2C9"/>
          </w:tcPr>
          <w:p>
            <w:pPr>
              <w:spacing w:after="0"/>
              <w:rPr>
                <w:sz w:val="6"/>
                <w:szCs w:val="6"/>
                <w:color w:val="auto"/>
              </w:rPr>
            </w:pPr>
          </w:p>
        </w:tc>
        <w:tc>
          <w:tcPr>
            <w:tcW w:w="900" w:type="dxa"/>
            <w:vAlign w:val="bottom"/>
            <w:tcBorders>
              <w:right w:val="single" w:sz="8" w:color="auto"/>
            </w:tcBorders>
            <w:shd w:val="clear" w:color="auto" w:fill="2AD2C9"/>
          </w:tcPr>
          <w:p>
            <w:pPr>
              <w:spacing w:after="0"/>
              <w:rPr>
                <w:sz w:val="6"/>
                <w:szCs w:val="6"/>
                <w:color w:val="auto"/>
              </w:rPr>
            </w:pPr>
          </w:p>
        </w:tc>
        <w:tc>
          <w:tcPr>
            <w:tcW w:w="760" w:type="dxa"/>
            <w:vAlign w:val="bottom"/>
            <w:shd w:val="clear" w:color="auto" w:fill="2AD2C9"/>
          </w:tcPr>
          <w:p>
            <w:pPr>
              <w:spacing w:after="0"/>
              <w:rPr>
                <w:sz w:val="6"/>
                <w:szCs w:val="6"/>
                <w:color w:val="auto"/>
              </w:rPr>
            </w:pPr>
          </w:p>
        </w:tc>
        <w:tc>
          <w:tcPr>
            <w:tcW w:w="780" w:type="dxa"/>
            <w:vAlign w:val="bottom"/>
            <w:tcBorders>
              <w:right w:val="single" w:sz="8" w:color="auto"/>
            </w:tcBorders>
            <w:shd w:val="clear" w:color="auto" w:fill="2AD2C9"/>
          </w:tcPr>
          <w:p>
            <w:pPr>
              <w:spacing w:after="0"/>
              <w:rPr>
                <w:sz w:val="6"/>
                <w:szCs w:val="6"/>
                <w:color w:val="auto"/>
              </w:rPr>
            </w:pPr>
          </w:p>
        </w:tc>
        <w:tc>
          <w:tcPr>
            <w:tcW w:w="780" w:type="dxa"/>
            <w:vAlign w:val="bottom"/>
            <w:shd w:val="clear" w:color="auto" w:fill="2AD2C9"/>
          </w:tcPr>
          <w:p>
            <w:pPr>
              <w:spacing w:after="0"/>
              <w:rPr>
                <w:sz w:val="6"/>
                <w:szCs w:val="6"/>
                <w:color w:val="auto"/>
              </w:rPr>
            </w:pPr>
          </w:p>
        </w:tc>
        <w:tc>
          <w:tcPr>
            <w:tcW w:w="780" w:type="dxa"/>
            <w:vAlign w:val="bottom"/>
            <w:vMerge w:val="continue"/>
            <w:shd w:val="clear" w:color="auto" w:fill="2AD2C9"/>
          </w:tcPr>
          <w:p>
            <w:pPr>
              <w:spacing w:after="0"/>
              <w:rPr>
                <w:sz w:val="6"/>
                <w:szCs w:val="6"/>
                <w:color w:val="auto"/>
              </w:rPr>
            </w:pPr>
          </w:p>
        </w:tc>
        <w:tc>
          <w:tcPr>
            <w:tcW w:w="800" w:type="dxa"/>
            <w:vAlign w:val="bottom"/>
            <w:tcBorders>
              <w:right w:val="single" w:sz="8" w:color="auto"/>
            </w:tcBorders>
            <w:shd w:val="clear" w:color="auto" w:fill="2AD2C9"/>
          </w:tcPr>
          <w:p>
            <w:pPr>
              <w:spacing w:after="0"/>
              <w:rPr>
                <w:sz w:val="6"/>
                <w:szCs w:val="6"/>
                <w:color w:val="auto"/>
              </w:rPr>
            </w:pPr>
          </w:p>
        </w:tc>
        <w:tc>
          <w:tcPr>
            <w:tcW w:w="760" w:type="dxa"/>
            <w:vAlign w:val="bottom"/>
            <w:shd w:val="clear" w:color="auto" w:fill="2AD2C9"/>
          </w:tcPr>
          <w:p>
            <w:pPr>
              <w:spacing w:after="0"/>
              <w:rPr>
                <w:sz w:val="6"/>
                <w:szCs w:val="6"/>
                <w:color w:val="auto"/>
              </w:rPr>
            </w:pPr>
          </w:p>
        </w:tc>
        <w:tc>
          <w:tcPr>
            <w:tcW w:w="800" w:type="dxa"/>
            <w:vAlign w:val="bottom"/>
            <w:tcBorders>
              <w:right w:val="single" w:sz="8" w:color="auto"/>
            </w:tcBorders>
            <w:shd w:val="clear" w:color="auto" w:fill="2AD2C9"/>
          </w:tcPr>
          <w:p>
            <w:pPr>
              <w:spacing w:after="0"/>
              <w:rPr>
                <w:sz w:val="6"/>
                <w:szCs w:val="6"/>
                <w:color w:val="auto"/>
              </w:rPr>
            </w:pPr>
          </w:p>
        </w:tc>
        <w:tc>
          <w:tcPr>
            <w:tcW w:w="560" w:type="dxa"/>
            <w:vAlign w:val="bottom"/>
            <w:shd w:val="clear" w:color="auto" w:fill="2AD2C9"/>
          </w:tcPr>
          <w:p>
            <w:pPr>
              <w:spacing w:after="0"/>
              <w:rPr>
                <w:sz w:val="6"/>
                <w:szCs w:val="6"/>
                <w:color w:val="auto"/>
              </w:rPr>
            </w:pPr>
          </w:p>
        </w:tc>
        <w:tc>
          <w:tcPr>
            <w:tcW w:w="1000" w:type="dxa"/>
            <w:vAlign w:val="bottom"/>
            <w:tcBorders>
              <w:right w:val="single" w:sz="8" w:color="auto"/>
            </w:tcBorders>
            <w:vMerge w:val="continue"/>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780" w:type="dxa"/>
            <w:vAlign w:val="bottom"/>
            <w:tcBorders>
              <w:left w:val="single" w:sz="8" w:color="auto"/>
              <w:bottom w:val="single" w:sz="8" w:color="2AD2C9"/>
              <w:right w:val="single" w:sz="8" w:color="auto"/>
            </w:tcBorders>
            <w:shd w:val="clear" w:color="auto" w:fill="2AD2C9"/>
          </w:tcPr>
          <w:p>
            <w:pPr>
              <w:ind w:left="40"/>
              <w:spacing w:after="0"/>
              <w:rPr>
                <w:sz w:val="20"/>
                <w:szCs w:val="20"/>
                <w:color w:val="auto"/>
              </w:rPr>
            </w:pPr>
            <w:r>
              <w:rPr>
                <w:rFonts w:ascii="Arial" w:cs="Arial" w:eastAsia="Arial" w:hAnsi="Arial"/>
                <w:sz w:val="13"/>
                <w:szCs w:val="13"/>
                <w:color w:val="2AD2C9"/>
              </w:rPr>
              <w:t>Back to index</w:t>
            </w:r>
          </w:p>
        </w:tc>
        <w:tc>
          <w:tcPr>
            <w:tcW w:w="720" w:type="dxa"/>
            <w:vAlign w:val="bottom"/>
            <w:tcBorders>
              <w:bottom w:val="single" w:sz="8" w:color="2AD2C9"/>
            </w:tcBorders>
            <w:shd w:val="clear" w:color="auto" w:fill="2AD2C9"/>
          </w:tcPr>
          <w:p>
            <w:pPr>
              <w:jc w:val="right"/>
              <w:ind w:right="57"/>
              <w:spacing w:after="0"/>
              <w:rPr>
                <w:sz w:val="20"/>
                <w:szCs w:val="20"/>
                <w:color w:val="auto"/>
              </w:rPr>
            </w:pPr>
            <w:r>
              <w:rPr>
                <w:rFonts w:ascii="Arial" w:cs="Arial" w:eastAsia="Arial" w:hAnsi="Arial"/>
                <w:sz w:val="13"/>
                <w:szCs w:val="13"/>
                <w:b w:val="1"/>
                <w:bCs w:val="1"/>
                <w:color w:val="FFFFFF"/>
              </w:rPr>
              <w:t>Mar 23</w:t>
            </w:r>
          </w:p>
        </w:tc>
        <w:tc>
          <w:tcPr>
            <w:tcW w:w="820" w:type="dxa"/>
            <w:vAlign w:val="bottom"/>
            <w:tcBorders>
              <w:bottom w:val="single" w:sz="8" w:color="2AD2C9"/>
            </w:tcBorders>
            <w:shd w:val="clear" w:color="auto" w:fill="2AD2C9"/>
          </w:tcPr>
          <w:p>
            <w:pPr>
              <w:jc w:val="center"/>
              <w:ind w:left="97"/>
              <w:spacing w:after="0"/>
              <w:rPr>
                <w:sz w:val="20"/>
                <w:szCs w:val="20"/>
                <w:color w:val="auto"/>
              </w:rPr>
            </w:pPr>
            <w:r>
              <w:rPr>
                <w:rFonts w:ascii="Arial" w:cs="Arial" w:eastAsia="Arial" w:hAnsi="Arial"/>
                <w:sz w:val="13"/>
                <w:szCs w:val="13"/>
                <w:b w:val="1"/>
                <w:bCs w:val="1"/>
                <w:color w:val="FFFFFF"/>
              </w:rPr>
              <w:t>Dec 23</w:t>
            </w:r>
          </w:p>
        </w:tc>
        <w:tc>
          <w:tcPr>
            <w:tcW w:w="900" w:type="dxa"/>
            <w:vAlign w:val="bottom"/>
            <w:tcBorders>
              <w:bottom w:val="single" w:sz="8" w:color="2AD2C9"/>
              <w:right w:val="single" w:sz="8" w:color="auto"/>
            </w:tcBorders>
            <w:shd w:val="clear" w:color="auto" w:fill="2AD2C9"/>
          </w:tcPr>
          <w:p>
            <w:pPr>
              <w:jc w:val="right"/>
              <w:ind w:right="157"/>
              <w:spacing w:after="0"/>
              <w:rPr>
                <w:sz w:val="20"/>
                <w:szCs w:val="20"/>
                <w:color w:val="auto"/>
              </w:rPr>
            </w:pPr>
            <w:r>
              <w:rPr>
                <w:rFonts w:ascii="Arial" w:cs="Arial" w:eastAsia="Arial" w:hAnsi="Arial"/>
                <w:sz w:val="13"/>
                <w:szCs w:val="13"/>
                <w:b w:val="1"/>
                <w:bCs w:val="1"/>
                <w:color w:val="FFFFFF"/>
              </w:rPr>
              <w:t>Mar 24</w:t>
            </w:r>
          </w:p>
        </w:tc>
        <w:tc>
          <w:tcPr>
            <w:tcW w:w="760" w:type="dxa"/>
            <w:vAlign w:val="bottom"/>
            <w:tcBorders>
              <w:bottom w:val="single" w:sz="8" w:color="2AD2C9"/>
            </w:tcBorders>
            <w:shd w:val="clear" w:color="auto" w:fill="2AD2C9"/>
          </w:tcPr>
          <w:p>
            <w:pPr>
              <w:ind w:left="240"/>
              <w:spacing w:after="0"/>
              <w:rPr>
                <w:sz w:val="20"/>
                <w:szCs w:val="20"/>
                <w:color w:val="auto"/>
              </w:rPr>
            </w:pPr>
            <w:r>
              <w:rPr>
                <w:rFonts w:ascii="Arial" w:cs="Arial" w:eastAsia="Arial" w:hAnsi="Arial"/>
                <w:sz w:val="13"/>
                <w:szCs w:val="13"/>
                <w:b w:val="1"/>
                <w:bCs w:val="1"/>
                <w:color w:val="FFFFFF"/>
              </w:rPr>
              <w:t>QoQ</w:t>
            </w:r>
          </w:p>
        </w:tc>
        <w:tc>
          <w:tcPr>
            <w:tcW w:w="780" w:type="dxa"/>
            <w:vAlign w:val="bottom"/>
            <w:tcBorders>
              <w:bottom w:val="single" w:sz="8" w:color="2AD2C9"/>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YoY</w:t>
            </w:r>
          </w:p>
        </w:tc>
        <w:tc>
          <w:tcPr>
            <w:tcW w:w="780" w:type="dxa"/>
            <w:vAlign w:val="bottom"/>
            <w:tcBorders>
              <w:bottom w:val="single" w:sz="8" w:color="2AD2C9"/>
            </w:tcBorders>
            <w:shd w:val="clear" w:color="auto" w:fill="2AD2C9"/>
          </w:tcPr>
          <w:p>
            <w:pPr>
              <w:ind w:left="180"/>
              <w:spacing w:after="0"/>
              <w:rPr>
                <w:sz w:val="20"/>
                <w:szCs w:val="20"/>
                <w:color w:val="auto"/>
              </w:rPr>
            </w:pPr>
            <w:r>
              <w:rPr>
                <w:rFonts w:ascii="Arial" w:cs="Arial" w:eastAsia="Arial" w:hAnsi="Arial"/>
                <w:sz w:val="13"/>
                <w:szCs w:val="13"/>
                <w:b w:val="1"/>
                <w:bCs w:val="1"/>
                <w:color w:val="FFFFFF"/>
              </w:rPr>
              <w:t>Mar 23</w:t>
            </w:r>
          </w:p>
        </w:tc>
        <w:tc>
          <w:tcPr>
            <w:tcW w:w="78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5"/>
              </w:rPr>
              <w:t>Dec 23</w:t>
            </w:r>
          </w:p>
        </w:tc>
        <w:tc>
          <w:tcPr>
            <w:tcW w:w="800" w:type="dxa"/>
            <w:vAlign w:val="bottom"/>
            <w:tcBorders>
              <w:bottom w:val="single" w:sz="8" w:color="2AD2C9"/>
              <w:right w:val="single" w:sz="8" w:color="auto"/>
            </w:tcBorders>
            <w:shd w:val="clear" w:color="auto" w:fill="2AD2C9"/>
          </w:tcPr>
          <w:p>
            <w:pPr>
              <w:ind w:left="180"/>
              <w:spacing w:after="0"/>
              <w:rPr>
                <w:sz w:val="20"/>
                <w:szCs w:val="20"/>
                <w:color w:val="auto"/>
              </w:rPr>
            </w:pPr>
            <w:r>
              <w:rPr>
                <w:rFonts w:ascii="Arial" w:cs="Arial" w:eastAsia="Arial" w:hAnsi="Arial"/>
                <w:sz w:val="13"/>
                <w:szCs w:val="13"/>
                <w:b w:val="1"/>
                <w:bCs w:val="1"/>
                <w:color w:val="FFFFFF"/>
              </w:rPr>
              <w:t>Mar 24</w:t>
            </w:r>
          </w:p>
        </w:tc>
        <w:tc>
          <w:tcPr>
            <w:tcW w:w="760" w:type="dxa"/>
            <w:vAlign w:val="bottom"/>
            <w:tcBorders>
              <w:bottom w:val="single" w:sz="8" w:color="2AD2C9"/>
            </w:tcBorders>
            <w:shd w:val="clear" w:color="auto" w:fill="2AD2C9"/>
          </w:tcPr>
          <w:p>
            <w:pPr>
              <w:ind w:left="240"/>
              <w:spacing w:after="0"/>
              <w:rPr>
                <w:sz w:val="20"/>
                <w:szCs w:val="20"/>
                <w:color w:val="auto"/>
              </w:rPr>
            </w:pPr>
            <w:r>
              <w:rPr>
                <w:rFonts w:ascii="Arial" w:cs="Arial" w:eastAsia="Arial" w:hAnsi="Arial"/>
                <w:sz w:val="13"/>
                <w:szCs w:val="13"/>
                <w:b w:val="1"/>
                <w:bCs w:val="1"/>
                <w:color w:val="FFFFFF"/>
              </w:rPr>
              <w:t>QoQ</w:t>
            </w:r>
          </w:p>
        </w:tc>
        <w:tc>
          <w:tcPr>
            <w:tcW w:w="800" w:type="dxa"/>
            <w:vAlign w:val="bottom"/>
            <w:tcBorders>
              <w:bottom w:val="single" w:sz="8" w:color="2AD2C9"/>
              <w:right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YoY</w:t>
            </w:r>
          </w:p>
        </w:tc>
        <w:tc>
          <w:tcPr>
            <w:tcW w:w="560" w:type="dxa"/>
            <w:vAlign w:val="bottom"/>
            <w:tcBorders>
              <w:bottom w:val="single" w:sz="8" w:color="2AD2C9"/>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LC</w:t>
            </w:r>
          </w:p>
        </w:tc>
        <w:tc>
          <w:tcPr>
            <w:tcW w:w="1000" w:type="dxa"/>
            <w:vAlign w:val="bottom"/>
            <w:tcBorders>
              <w:bottom w:val="single" w:sz="8" w:color="2AD2C9"/>
              <w:right w:val="single" w:sz="8" w:color="auto"/>
            </w:tcBorders>
            <w:shd w:val="clear" w:color="auto" w:fill="2AD2C9"/>
          </w:tcPr>
          <w:p>
            <w:pPr>
              <w:ind w:left="520"/>
              <w:spacing w:after="0"/>
              <w:rPr>
                <w:sz w:val="20"/>
                <w:szCs w:val="20"/>
                <w:color w:val="auto"/>
              </w:rPr>
            </w:pPr>
            <w:r>
              <w:rPr>
                <w:rFonts w:ascii="Arial" w:cs="Arial" w:eastAsia="Arial" w:hAnsi="Arial"/>
                <w:sz w:val="13"/>
                <w:szCs w:val="13"/>
                <w:b w:val="1"/>
                <w:bCs w:val="1"/>
                <w:color w:val="FFFFFF"/>
              </w:rPr>
              <w:t>FC</w:t>
            </w:r>
          </w:p>
        </w:tc>
        <w:tc>
          <w:tcPr>
            <w:tcW w:w="0" w:type="dxa"/>
            <w:vAlign w:val="bottom"/>
          </w:tcPr>
          <w:p>
            <w:pPr>
              <w:spacing w:after="0"/>
              <w:rPr>
                <w:sz w:val="1"/>
                <w:szCs w:val="1"/>
                <w:color w:val="auto"/>
              </w:rPr>
            </w:pPr>
          </w:p>
        </w:tc>
      </w:tr>
      <w:tr>
        <w:trPr>
          <w:trHeight w:val="151"/>
        </w:trPr>
        <w:tc>
          <w:tcPr>
            <w:tcW w:w="1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BCP Stand-alone</w:t>
            </w:r>
          </w:p>
        </w:tc>
        <w:tc>
          <w:tcPr>
            <w:tcW w:w="72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82,117</w:t>
            </w:r>
          </w:p>
        </w:tc>
        <w:tc>
          <w:tcPr>
            <w:tcW w:w="820" w:type="dxa"/>
            <w:vAlign w:val="bottom"/>
            <w:tcBorders>
              <w:top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79,425</w:t>
            </w:r>
          </w:p>
        </w:tc>
        <w:tc>
          <w:tcPr>
            <w:tcW w:w="900" w:type="dxa"/>
            <w:vAlign w:val="bottom"/>
            <w:tcBorders>
              <w:top w:val="single" w:sz="8" w:color="auto"/>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78,220</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-1.5%</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-4.7%</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9,615</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9,728</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9,598</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-1.3%</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-0.2%</w:t>
            </w:r>
          </w:p>
        </w:tc>
        <w:tc>
          <w:tcPr>
            <w:tcW w:w="560" w:type="dxa"/>
            <w:vAlign w:val="bottom"/>
            <w:tcBorders>
              <w:top w:val="single" w:sz="8" w:color="auto"/>
            </w:tcBorders>
          </w:tcPr>
          <w:p>
            <w:pPr>
              <w:ind w:left="200"/>
              <w:spacing w:after="0"/>
              <w:rPr>
                <w:sz w:val="20"/>
                <w:szCs w:val="20"/>
                <w:color w:val="auto"/>
              </w:rPr>
            </w:pPr>
            <w:r>
              <w:rPr>
                <w:rFonts w:ascii="Arial" w:cs="Arial" w:eastAsia="Arial" w:hAnsi="Arial"/>
                <w:sz w:val="13"/>
                <w:szCs w:val="13"/>
                <w:b w:val="1"/>
                <w:bCs w:val="1"/>
                <w:color w:val="auto"/>
                <w:w w:val="92"/>
              </w:rPr>
              <w:t>68.4%</w:t>
            </w:r>
          </w:p>
        </w:tc>
        <w:tc>
          <w:tcPr>
            <w:tcW w:w="1000" w:type="dxa"/>
            <w:vAlign w:val="bottom"/>
            <w:tcBorders>
              <w:top w:val="single" w:sz="8" w:color="auto"/>
              <w:right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7"/>
              </w:rPr>
              <w:t>31.6%</w:t>
            </w:r>
          </w:p>
        </w:tc>
        <w:tc>
          <w:tcPr>
            <w:tcW w:w="0" w:type="dxa"/>
            <w:vAlign w:val="bottom"/>
          </w:tcPr>
          <w:p>
            <w:pPr>
              <w:spacing w:after="0"/>
              <w:rPr>
                <w:sz w:val="1"/>
                <w:szCs w:val="1"/>
                <w:color w:val="auto"/>
              </w:rPr>
            </w:pPr>
          </w:p>
        </w:tc>
      </w:tr>
      <w:tr>
        <w:trPr>
          <w:trHeight w:val="166"/>
        </w:trPr>
        <w:tc>
          <w:tcPr>
            <w:tcW w:w="17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Wholesale Banking</w:t>
            </w: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25,984</w:t>
            </w: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23,454</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22,587</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-3.7%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-13.1%</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7,662</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7,717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7,611</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-0.7%</w:t>
            </w:r>
          </w:p>
        </w:tc>
        <w:tc>
          <w:tcPr>
            <w:tcW w:w="560" w:type="dxa"/>
            <w:vAlign w:val="bottom"/>
          </w:tcPr>
          <w:p>
            <w:pPr>
              <w:ind w:left="200"/>
              <w:spacing w:after="0"/>
              <w:rPr>
                <w:sz w:val="20"/>
                <w:szCs w:val="20"/>
                <w:color w:val="auto"/>
              </w:rPr>
            </w:pPr>
            <w:r>
              <w:rPr>
                <w:rFonts w:ascii="Arial" w:cs="Arial" w:eastAsia="Arial" w:hAnsi="Arial"/>
                <w:sz w:val="13"/>
                <w:szCs w:val="13"/>
                <w:b w:val="1"/>
                <w:bCs w:val="1"/>
                <w:color w:val="auto"/>
                <w:w w:val="92"/>
              </w:rPr>
              <w:t>44.1%</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7"/>
              </w:rPr>
              <w:t>55.9%</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Corporate</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15,065</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14,017</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13,126</w:t>
            </w:r>
          </w:p>
        </w:tc>
        <w:tc>
          <w:tcPr>
            <w:tcW w:w="760" w:type="dxa"/>
            <w:vAlign w:val="bottom"/>
            <w:shd w:val="clear" w:color="auto" w:fill="E93CAC"/>
          </w:tcPr>
          <w:p>
            <w:pPr>
              <w:jc w:val="center"/>
              <w:spacing w:after="0"/>
              <w:rPr>
                <w:sz w:val="20"/>
                <w:szCs w:val="20"/>
                <w:color w:val="auto"/>
              </w:rPr>
            </w:pPr>
            <w:r>
              <w:rPr>
                <w:rFonts w:ascii="Arial" w:cs="Arial" w:eastAsia="Arial" w:hAnsi="Arial"/>
                <w:sz w:val="13"/>
                <w:szCs w:val="13"/>
                <w:color w:val="auto"/>
                <w:w w:val="94"/>
              </w:rPr>
              <w:t>-6.4%</w:t>
            </w:r>
          </w:p>
        </w:tc>
        <w:tc>
          <w:tcPr>
            <w:tcW w:w="78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color w:val="auto"/>
                <w:w w:val="97"/>
              </w:rPr>
              <w:t>-12.9%</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4,639</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4,398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4,393</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-0.1%</w:t>
            </w:r>
          </w:p>
        </w:tc>
        <w:tc>
          <w:tcPr>
            <w:tcW w:w="80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color w:val="auto"/>
                <w:w w:val="99"/>
              </w:rPr>
              <w:t>-5.3%</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44.3%</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7"/>
              </w:rPr>
              <w:t>55.7%</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Middle-Market</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10,919</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9,436</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9,462</w:t>
            </w:r>
          </w:p>
        </w:tc>
        <w:tc>
          <w:tcPr>
            <w:tcW w:w="760" w:type="dxa"/>
            <w:vAlign w:val="bottom"/>
          </w:tcPr>
          <w:p>
            <w:pPr>
              <w:jc w:val="center"/>
              <w:spacing w:after="0"/>
              <w:rPr>
                <w:sz w:val="20"/>
                <w:szCs w:val="20"/>
                <w:color w:val="auto"/>
              </w:rPr>
            </w:pPr>
            <w:r>
              <w:rPr>
                <w:rFonts w:ascii="Arial" w:cs="Arial" w:eastAsia="Arial" w:hAnsi="Arial"/>
                <w:sz w:val="13"/>
                <w:szCs w:val="13"/>
                <w:color w:val="auto"/>
                <w:w w:val="94"/>
              </w:rPr>
              <w:t>0.3%</w:t>
            </w:r>
          </w:p>
        </w:tc>
        <w:tc>
          <w:tcPr>
            <w:tcW w:w="78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color w:val="auto"/>
                <w:w w:val="97"/>
              </w:rPr>
              <w:t>-13.3%</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3,023</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3,318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3,218</w:t>
            </w:r>
          </w:p>
        </w:tc>
        <w:tc>
          <w:tcPr>
            <w:tcW w:w="760" w:type="dxa"/>
            <w:vAlign w:val="bottom"/>
            <w:shd w:val="clear" w:color="auto" w:fill="E93CAC"/>
          </w:tcPr>
          <w:p>
            <w:pPr>
              <w:jc w:val="center"/>
              <w:spacing w:after="0"/>
              <w:rPr>
                <w:sz w:val="20"/>
                <w:szCs w:val="20"/>
                <w:color w:val="auto"/>
              </w:rPr>
            </w:pPr>
            <w:r>
              <w:rPr>
                <w:rFonts w:ascii="Arial" w:cs="Arial" w:eastAsia="Arial" w:hAnsi="Arial"/>
                <w:sz w:val="13"/>
                <w:szCs w:val="13"/>
                <w:color w:val="auto"/>
                <w:w w:val="99"/>
              </w:rPr>
              <w:t>-3.0%</w:t>
            </w:r>
          </w:p>
        </w:tc>
        <w:tc>
          <w:tcPr>
            <w:tcW w:w="80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3"/>
                <w:szCs w:val="13"/>
                <w:color w:val="auto"/>
              </w:rPr>
              <w:t>6.5%</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43.9%</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7"/>
              </w:rPr>
              <w:t>56.1%</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Retail Banking</w:t>
            </w: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56,133</w:t>
            </w: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55,972</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55,633</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-0.6%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-0.9%</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1,953</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2,011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1,987</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-1.2%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1.7%</w:t>
            </w:r>
          </w:p>
        </w:tc>
        <w:tc>
          <w:tcPr>
            <w:tcW w:w="560" w:type="dxa"/>
            <w:vAlign w:val="bottom"/>
          </w:tcPr>
          <w:p>
            <w:pPr>
              <w:ind w:left="200"/>
              <w:spacing w:after="0"/>
              <w:rPr>
                <w:sz w:val="20"/>
                <w:szCs w:val="20"/>
                <w:color w:val="auto"/>
              </w:rPr>
            </w:pPr>
            <w:r>
              <w:rPr>
                <w:rFonts w:ascii="Arial" w:cs="Arial" w:eastAsia="Arial" w:hAnsi="Arial"/>
                <w:sz w:val="13"/>
                <w:szCs w:val="13"/>
                <w:b w:val="1"/>
                <w:bCs w:val="1"/>
                <w:color w:val="auto"/>
                <w:w w:val="92"/>
              </w:rPr>
              <w:t>88.2%</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7"/>
              </w:rPr>
              <w:t>11.8%</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SME - Business</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4,970</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4,242</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4,051</w:t>
            </w:r>
          </w:p>
        </w:tc>
        <w:tc>
          <w:tcPr>
            <w:tcW w:w="760" w:type="dxa"/>
            <w:vAlign w:val="bottom"/>
            <w:shd w:val="clear" w:color="auto" w:fill="E93CAC"/>
          </w:tcPr>
          <w:p>
            <w:pPr>
              <w:jc w:val="center"/>
              <w:spacing w:after="0"/>
              <w:rPr>
                <w:sz w:val="20"/>
                <w:szCs w:val="20"/>
                <w:color w:val="auto"/>
              </w:rPr>
            </w:pPr>
            <w:r>
              <w:rPr>
                <w:rFonts w:ascii="Arial" w:cs="Arial" w:eastAsia="Arial" w:hAnsi="Arial"/>
                <w:sz w:val="13"/>
                <w:szCs w:val="13"/>
                <w:color w:val="auto"/>
                <w:w w:val="94"/>
              </w:rPr>
              <w:t>-4.5%</w:t>
            </w:r>
          </w:p>
        </w:tc>
        <w:tc>
          <w:tcPr>
            <w:tcW w:w="78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color w:val="auto"/>
                <w:w w:val="97"/>
              </w:rPr>
              <w:t>-18.5%</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766</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778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749</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-3.8%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-2.2%</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59.0%</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7"/>
              </w:rPr>
              <w:t>41.0%</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SME - Pyme</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16,830</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16,589</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16,339</w:t>
            </w:r>
          </w:p>
        </w:tc>
        <w:tc>
          <w:tcPr>
            <w:tcW w:w="760" w:type="dxa"/>
            <w:vAlign w:val="bottom"/>
            <w:shd w:val="clear" w:color="auto" w:fill="E93CAC"/>
          </w:tcPr>
          <w:p>
            <w:pPr>
              <w:jc w:val="center"/>
              <w:spacing w:after="0"/>
              <w:rPr>
                <w:sz w:val="20"/>
                <w:szCs w:val="20"/>
                <w:color w:val="auto"/>
              </w:rPr>
            </w:pPr>
            <w:r>
              <w:rPr>
                <w:rFonts w:ascii="Arial" w:cs="Arial" w:eastAsia="Arial" w:hAnsi="Arial"/>
                <w:sz w:val="13"/>
                <w:szCs w:val="13"/>
                <w:color w:val="auto"/>
                <w:w w:val="94"/>
              </w:rPr>
              <w:t>-1.5%</w:t>
            </w:r>
          </w:p>
        </w:tc>
        <w:tc>
          <w:tcPr>
            <w:tcW w:w="78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color w:val="auto"/>
                <w:w w:val="94"/>
              </w:rPr>
              <w:t>-2.9%</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44</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43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46</w:t>
            </w:r>
          </w:p>
        </w:tc>
        <w:tc>
          <w:tcPr>
            <w:tcW w:w="760" w:type="dxa"/>
            <w:vAlign w:val="bottom"/>
          </w:tcPr>
          <w:p>
            <w:pPr>
              <w:jc w:val="center"/>
              <w:spacing w:after="0"/>
              <w:rPr>
                <w:sz w:val="20"/>
                <w:szCs w:val="20"/>
                <w:color w:val="auto"/>
              </w:rPr>
            </w:pPr>
            <w:r>
              <w:rPr>
                <w:rFonts w:ascii="Arial" w:cs="Arial" w:eastAsia="Arial" w:hAnsi="Arial"/>
                <w:sz w:val="13"/>
                <w:szCs w:val="13"/>
                <w:color w:val="auto"/>
              </w:rPr>
              <w:t>6.0%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5.2%</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99.0%</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Mortgage</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18,264</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19,095</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19,279</w:t>
            </w:r>
          </w:p>
        </w:tc>
        <w:tc>
          <w:tcPr>
            <w:tcW w:w="760" w:type="dxa"/>
            <w:vAlign w:val="bottom"/>
          </w:tcPr>
          <w:p>
            <w:pPr>
              <w:jc w:val="center"/>
              <w:spacing w:after="0"/>
              <w:rPr>
                <w:sz w:val="20"/>
                <w:szCs w:val="20"/>
                <w:color w:val="auto"/>
              </w:rPr>
            </w:pPr>
            <w:r>
              <w:rPr>
                <w:rFonts w:ascii="Arial" w:cs="Arial" w:eastAsia="Arial" w:hAnsi="Arial"/>
                <w:sz w:val="13"/>
                <w:szCs w:val="13"/>
                <w:color w:val="auto"/>
                <w:w w:val="94"/>
              </w:rPr>
              <w:t>1.0%</w:t>
            </w:r>
          </w:p>
        </w:tc>
        <w:tc>
          <w:tcPr>
            <w:tcW w:w="78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3"/>
                <w:szCs w:val="13"/>
                <w:color w:val="auto"/>
                <w:w w:val="94"/>
              </w:rPr>
              <w:t>5.6%</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530</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523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519</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-0.7%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-2.1%</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90.8%</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4"/>
              </w:rPr>
              <w:t>9.2%</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Consumer</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11,514</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11,075</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10,934</w:t>
            </w:r>
          </w:p>
        </w:tc>
        <w:tc>
          <w:tcPr>
            <w:tcW w:w="760" w:type="dxa"/>
            <w:vAlign w:val="bottom"/>
            <w:shd w:val="clear" w:color="auto" w:fill="E93CAC"/>
          </w:tcPr>
          <w:p>
            <w:pPr>
              <w:jc w:val="center"/>
              <w:spacing w:after="0"/>
              <w:rPr>
                <w:sz w:val="20"/>
                <w:szCs w:val="20"/>
                <w:color w:val="auto"/>
              </w:rPr>
            </w:pPr>
            <w:r>
              <w:rPr>
                <w:rFonts w:ascii="Arial" w:cs="Arial" w:eastAsia="Arial" w:hAnsi="Arial"/>
                <w:sz w:val="13"/>
                <w:szCs w:val="13"/>
                <w:color w:val="auto"/>
                <w:w w:val="94"/>
              </w:rPr>
              <w:t>-1.3%</w:t>
            </w:r>
          </w:p>
        </w:tc>
        <w:tc>
          <w:tcPr>
            <w:tcW w:w="78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color w:val="auto"/>
                <w:w w:val="94"/>
              </w:rPr>
              <w:t>-5.0%</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386</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407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415</w:t>
            </w:r>
          </w:p>
        </w:tc>
        <w:tc>
          <w:tcPr>
            <w:tcW w:w="760" w:type="dxa"/>
            <w:vAlign w:val="bottom"/>
          </w:tcPr>
          <w:p>
            <w:pPr>
              <w:jc w:val="center"/>
              <w:spacing w:after="0"/>
              <w:rPr>
                <w:sz w:val="20"/>
                <w:szCs w:val="20"/>
                <w:color w:val="auto"/>
              </w:rPr>
            </w:pPr>
            <w:r>
              <w:rPr>
                <w:rFonts w:ascii="Arial" w:cs="Arial" w:eastAsia="Arial" w:hAnsi="Arial"/>
                <w:sz w:val="13"/>
                <w:szCs w:val="13"/>
                <w:color w:val="auto"/>
              </w:rPr>
              <w:t>2.0%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7.3%</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87.5%</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7"/>
              </w:rPr>
              <w:t>12.5%</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Credit Card</w:t>
            </w: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4,555</w:t>
            </w:r>
          </w:p>
        </w:tc>
        <w:tc>
          <w:tcPr>
            <w:tcW w:w="820" w:type="dxa"/>
            <w:vAlign w:val="bottom"/>
          </w:tcPr>
          <w:p>
            <w:pPr>
              <w:jc w:val="right"/>
              <w:ind w:right="257"/>
              <w:spacing w:after="0"/>
              <w:rPr>
                <w:sz w:val="20"/>
                <w:szCs w:val="20"/>
                <w:color w:val="auto"/>
              </w:rPr>
            </w:pPr>
            <w:r>
              <w:rPr>
                <w:rFonts w:ascii="Arial" w:cs="Arial" w:eastAsia="Arial" w:hAnsi="Arial"/>
                <w:sz w:val="13"/>
                <w:szCs w:val="13"/>
                <w:color w:val="auto"/>
              </w:rPr>
              <w:t>4,971</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color w:val="auto"/>
              </w:rPr>
              <w:t>5,029</w:t>
            </w:r>
          </w:p>
        </w:tc>
        <w:tc>
          <w:tcPr>
            <w:tcW w:w="760" w:type="dxa"/>
            <w:vAlign w:val="bottom"/>
          </w:tcPr>
          <w:p>
            <w:pPr>
              <w:jc w:val="center"/>
              <w:spacing w:after="0"/>
              <w:rPr>
                <w:sz w:val="20"/>
                <w:szCs w:val="20"/>
                <w:color w:val="auto"/>
              </w:rPr>
            </w:pPr>
            <w:r>
              <w:rPr>
                <w:rFonts w:ascii="Arial" w:cs="Arial" w:eastAsia="Arial" w:hAnsi="Arial"/>
                <w:sz w:val="13"/>
                <w:szCs w:val="13"/>
                <w:color w:val="auto"/>
                <w:w w:val="94"/>
              </w:rPr>
              <w:t>1.2%</w:t>
            </w:r>
          </w:p>
        </w:tc>
        <w:tc>
          <w:tcPr>
            <w:tcW w:w="78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3"/>
                <w:szCs w:val="13"/>
                <w:color w:val="auto"/>
                <w:w w:val="97"/>
              </w:rPr>
              <w:t>10.4%</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227</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260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258</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-0.9%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13.5%</w:t>
            </w:r>
          </w:p>
        </w:tc>
        <w:tc>
          <w:tcPr>
            <w:tcW w:w="560" w:type="dxa"/>
            <w:vAlign w:val="bottom"/>
          </w:tcPr>
          <w:p>
            <w:pPr>
              <w:ind w:left="200"/>
              <w:spacing w:after="0"/>
              <w:rPr>
                <w:sz w:val="20"/>
                <w:szCs w:val="20"/>
                <w:color w:val="auto"/>
              </w:rPr>
            </w:pPr>
            <w:r>
              <w:rPr>
                <w:rFonts w:ascii="Arial" w:cs="Arial" w:eastAsia="Arial" w:hAnsi="Arial"/>
                <w:sz w:val="13"/>
                <w:szCs w:val="13"/>
                <w:color w:val="auto"/>
                <w:w w:val="92"/>
              </w:rPr>
              <w:t>83.8%</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7"/>
              </w:rPr>
              <w:t>16.2%</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Mibanco</w:t>
            </w: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13,619</w:t>
            </w: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13,181</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12,922</w:t>
            </w:r>
          </w:p>
        </w:tc>
        <w:tc>
          <w:tcPr>
            <w:tcW w:w="760" w:type="dxa"/>
            <w:vAlign w:val="bottom"/>
            <w:shd w:val="clear" w:color="auto" w:fill="E93CAC"/>
          </w:tcPr>
          <w:p>
            <w:pPr>
              <w:jc w:val="center"/>
              <w:spacing w:after="0"/>
              <w:rPr>
                <w:sz w:val="20"/>
                <w:szCs w:val="20"/>
                <w:color w:val="auto"/>
              </w:rPr>
            </w:pPr>
            <w:r>
              <w:rPr>
                <w:rFonts w:ascii="Arial" w:cs="Arial" w:eastAsia="Arial" w:hAnsi="Arial"/>
                <w:sz w:val="13"/>
                <w:szCs w:val="13"/>
                <w:b w:val="1"/>
                <w:bCs w:val="1"/>
                <w:color w:val="auto"/>
                <w:w w:val="94"/>
              </w:rPr>
              <w:t>-2.0%</w:t>
            </w:r>
          </w:p>
        </w:tc>
        <w:tc>
          <w:tcPr>
            <w:tcW w:w="78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3"/>
                <w:szCs w:val="13"/>
                <w:b w:val="1"/>
                <w:bCs w:val="1"/>
                <w:color w:val="auto"/>
                <w:w w:val="94"/>
              </w:rPr>
              <w:t>-5.1%</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126</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129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85</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-34.1%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-32.7%</w:t>
            </w:r>
          </w:p>
        </w:tc>
        <w:tc>
          <w:tcPr>
            <w:tcW w:w="560" w:type="dxa"/>
            <w:vAlign w:val="bottom"/>
          </w:tcPr>
          <w:p>
            <w:pPr>
              <w:ind w:left="200"/>
              <w:spacing w:after="0"/>
              <w:rPr>
                <w:sz w:val="20"/>
                <w:szCs w:val="20"/>
                <w:color w:val="auto"/>
              </w:rPr>
            </w:pPr>
            <w:r>
              <w:rPr>
                <w:rFonts w:ascii="Arial" w:cs="Arial" w:eastAsia="Arial" w:hAnsi="Arial"/>
                <w:sz w:val="13"/>
                <w:szCs w:val="13"/>
                <w:b w:val="1"/>
                <w:bCs w:val="1"/>
                <w:color w:val="auto"/>
                <w:w w:val="92"/>
              </w:rPr>
              <w:t>97.6%</w:t>
            </w:r>
          </w:p>
        </w:tc>
        <w:tc>
          <w:tcPr>
            <w:tcW w:w="100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4"/>
              </w:rPr>
              <w:t>2.4%</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Mibanco Colombia</w:t>
            </w: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329</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443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459</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3.6%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39.7%</w:t>
            </w:r>
          </w:p>
        </w:tc>
        <w:tc>
          <w:tcPr>
            <w:tcW w:w="56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right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Bolivia</w:t>
            </w:r>
          </w:p>
        </w:tc>
        <w:tc>
          <w:tcPr>
            <w:tcW w:w="72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900" w:type="dxa"/>
            <w:vAlign w:val="bottom"/>
            <w:tcBorders>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2,352</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2,443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2,485</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5.6%</w:t>
            </w:r>
          </w:p>
        </w:tc>
        <w:tc>
          <w:tcPr>
            <w:tcW w:w="56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right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r>
        <w:trPr>
          <w:trHeight w:val="166"/>
        </w:trPr>
        <w:tc>
          <w:tcPr>
            <w:tcW w:w="1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ASB Bank Corp.</w:t>
            </w: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515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465</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454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-11.7%</w:t>
            </w:r>
          </w:p>
        </w:tc>
        <w:tc>
          <w:tcPr>
            <w:tcW w:w="56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r>
        <w:trPr>
          <w:trHeight w:val="155"/>
        </w:trPr>
        <w:tc>
          <w:tcPr>
            <w:tcW w:w="1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loans</w:t>
            </w: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95,735</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92,606</w:t>
            </w:r>
          </w:p>
        </w:tc>
        <w:tc>
          <w:tcPr>
            <w:tcW w:w="90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91,142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12,936</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13,208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13,081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1.1%</w:t>
            </w: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2"/>
              </w:rPr>
              <w:t>64.9%</w:t>
            </w:r>
          </w:p>
        </w:tc>
        <w:tc>
          <w:tcPr>
            <w:tcW w:w="1000" w:type="dxa"/>
            <w:vAlign w:val="bottom"/>
            <w:tcBorders>
              <w:bottom w:val="single" w:sz="8" w:color="auto"/>
              <w:right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7"/>
              </w:rPr>
              <w:t>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-1679575</wp:posOffset>
            </wp:positionV>
            <wp:extent cx="4029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2907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146050</wp:posOffset>
            </wp:positionV>
            <wp:extent cx="114871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8715" cy="18859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ind w:left="180" w:hanging="172"/>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12.3 Loan Portfolio Quality”.</w:t>
      </w:r>
    </w:p>
    <w:p>
      <w:pPr>
        <w:ind w:left="180" w:hanging="172"/>
        <w:spacing w:after="0"/>
        <w:tabs>
          <w:tab w:leader="none" w:pos="1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19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 xml:space="preserve">At the end of March 2024, the dollarization level of total loans rose 14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(35.1% in Mar 24). This evolution was driven by a drop in loans in LC, particularly in Corporate Banking and to a lesser extent in SME-Pyme and Mibanco.</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YoY, the dollarization level of the total portfolio increased 109 bps due to a drop in total loans in LC (-4.8%), which was spurred primarily by amortizations of Government Program Loans and to a lesser extent by growth in total loans in FC (+1.1%).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type w:val="continuous"/>
        </w:sectPr>
      </w:pPr>
    </w:p>
    <w:bookmarkStart w:id="19" w:name="page20"/>
    <w:bookmarkEnd w:id="19"/>
    <w:p>
      <w:pPr>
        <w:jc w:val="right"/>
        <w:ind w:right="240"/>
        <w:spacing w:after="0"/>
        <w:tabs>
          <w:tab w:leader="none" w:pos="8260" w:val="left"/>
          <w:tab w:leader="none" w:pos="388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01. Loan Portfolio</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Dollarization Level of 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8890</wp:posOffset>
            </wp:positionV>
            <wp:extent cx="6000750" cy="2082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FC share of Credicorp’s loan portfolio is calculated including BCP Bolivia and ASB Bank Corp., however the chart shows only the loan books of BCP Stand-alone and Mibanco.</w:t>
      </w:r>
    </w:p>
    <w:p>
      <w:pPr>
        <w:spacing w:after="0" w:line="5" w:lineRule="exact"/>
        <w:rPr>
          <w:rFonts w:ascii="Arial" w:cs="Arial" w:eastAsia="Arial" w:hAnsi="Arial"/>
          <w:sz w:val="11"/>
          <w:szCs w:val="11"/>
          <w:color w:val="auto"/>
        </w:rPr>
      </w:pPr>
    </w:p>
    <w:p>
      <w:pPr>
        <w:ind w:right="2400" w:firstLine="8"/>
        <w:spacing w:after="0"/>
        <w:tabs>
          <w:tab w:leader="none" w:pos="162"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year with the historic maximum level of dollarization for Wholesale Banking was 2012, for Mibanco was 2016, for Credit Card was in 2021 and for the rest of segments was 2009. * For dollarization figures in the quarter-end period, please refer to “12. Annexes – 12.3 Loan Portfolio Quality.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Loans in Quarter-end Balances</w:t>
      </w:r>
    </w:p>
    <w:p>
      <w:pPr>
        <w:spacing w:after="0" w:line="21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Total loans fell 2.9% QoQ and 3.0% YoY in quarter-end balances. This evolution was fueled by the same factors as those discussed in the analysis of average daily balances.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0" w:name="page21"/>
    <w:bookmarkEnd w:id="20"/>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71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71805"/>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02 </w:t>
      </w:r>
      <w:r>
        <w:rPr>
          <w:rFonts w:ascii="Arial" w:cs="Arial" w:eastAsia="Arial" w:hAnsi="Arial"/>
          <w:sz w:val="32"/>
          <w:szCs w:val="32"/>
          <w:color w:val="E93BAB"/>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29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335" w:lineRule="exact"/>
        <w:rPr>
          <w:sz w:val="20"/>
          <w:szCs w:val="20"/>
          <w:color w:val="auto"/>
        </w:rPr>
      </w:pPr>
    </w:p>
    <w:p>
      <w:pPr>
        <w:jc w:val="both"/>
        <w:ind w:left="120" w:right="120"/>
        <w:spacing w:after="0" w:line="271" w:lineRule="auto"/>
        <w:rPr>
          <w:sz w:val="20"/>
          <w:szCs w:val="20"/>
          <w:color w:val="auto"/>
        </w:rPr>
      </w:pPr>
      <w:r>
        <w:rPr>
          <w:rFonts w:ascii="Arial" w:cs="Arial" w:eastAsia="Arial" w:hAnsi="Arial"/>
          <w:sz w:val="18"/>
          <w:szCs w:val="18"/>
          <w:color w:val="FFFFFF"/>
        </w:rPr>
        <w:t>QoQ, the total deposit balance rose 0.1%. This evolution was driven by a 3.0% uptick in Time Deposits, which was partially offset by a drop in the balance for Demand Deposits (-1.8%) and Savings Deposits (-0.3%).</w:t>
      </w:r>
    </w:p>
    <w:p>
      <w:pPr>
        <w:spacing w:after="0" w:line="140"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FFFFFF"/>
        </w:rPr>
        <w:t>YoY, the total deposit balance grew 0.1% (FX neutral). This increase was driven by growth in the balance for Time Deposits (+2.0%, FX neutral) and was offset by a drop in the balances for Savings Deposits (-1.7%, FX neutral) and Severance Indemnity Deposits (-6.8%, FX neutral).</w:t>
      </w:r>
    </w:p>
    <w:p>
      <w:pPr>
        <w:spacing w:after="0" w:line="155" w:lineRule="exact"/>
        <w:rPr>
          <w:sz w:val="20"/>
          <w:szCs w:val="20"/>
          <w:color w:val="auto"/>
        </w:rPr>
      </w:pPr>
    </w:p>
    <w:p>
      <w:pPr>
        <w:jc w:val="both"/>
        <w:ind w:left="120" w:right="120"/>
        <w:spacing w:after="0" w:line="271" w:lineRule="auto"/>
        <w:rPr>
          <w:sz w:val="20"/>
          <w:szCs w:val="20"/>
          <w:color w:val="auto"/>
        </w:rPr>
      </w:pPr>
      <w:r>
        <w:rPr>
          <w:rFonts w:ascii="Arial" w:cs="Arial" w:eastAsia="Arial" w:hAnsi="Arial"/>
          <w:sz w:val="18"/>
          <w:szCs w:val="18"/>
          <w:color w:val="FFFFFF"/>
        </w:rPr>
        <w:t>67.4% of total deposits are low-cost (Demand + Savings). In this scenario, Credicorp continues to lead the market for low-cost deposits, posting a 39.4% market share at the end of February 2024. This represents a competitive advantage in the context of high-interest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14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760" w:type="dxa"/>
            <w:vAlign w:val="bottom"/>
            <w:tcBorders>
              <w:top w:val="single" w:sz="8" w:color="auto"/>
            </w:tcBorders>
            <w:shd w:val="clear" w:color="auto" w:fill="2AD2C9"/>
          </w:tcPr>
          <w:p>
            <w:pPr>
              <w:ind w:left="120"/>
              <w:spacing w:after="0" w:line="131" w:lineRule="exact"/>
              <w:rPr>
                <w:sz w:val="20"/>
                <w:szCs w:val="20"/>
                <w:color w:val="auto"/>
              </w:rPr>
            </w:pPr>
            <w:r>
              <w:rPr>
                <w:rFonts w:ascii="Arial" w:cs="Arial" w:eastAsia="Arial" w:hAnsi="Arial"/>
                <w:sz w:val="13"/>
                <w:szCs w:val="13"/>
                <w:b w:val="1"/>
                <w:bCs w:val="1"/>
                <w:color w:val="FFFFFF"/>
              </w:rPr>
              <w:t>Deposits</w:t>
            </w:r>
          </w:p>
        </w:tc>
        <w:tc>
          <w:tcPr>
            <w:tcW w:w="1860" w:type="dxa"/>
            <w:vAlign w:val="bottom"/>
            <w:tcBorders>
              <w:top w:val="single" w:sz="8" w:color="auto"/>
            </w:tcBorders>
            <w:vMerge w:val="restart"/>
            <w:shd w:val="clear" w:color="auto" w:fill="2AD2C9"/>
          </w:tcPr>
          <w:p>
            <w:pPr>
              <w:jc w:val="right"/>
              <w:ind w:right="418"/>
              <w:spacing w:after="0"/>
              <w:rPr>
                <w:sz w:val="20"/>
                <w:szCs w:val="20"/>
                <w:color w:val="auto"/>
              </w:rPr>
            </w:pPr>
            <w:r>
              <w:rPr>
                <w:rFonts w:ascii="Arial" w:cs="Arial" w:eastAsia="Arial" w:hAnsi="Arial"/>
                <w:sz w:val="13"/>
                <w:szCs w:val="13"/>
                <w:b w:val="1"/>
                <w:bCs w:val="1"/>
                <w:color w:val="FFFFFF"/>
              </w:rPr>
              <w:t>Mar 23</w:t>
            </w:r>
          </w:p>
        </w:tc>
        <w:tc>
          <w:tcPr>
            <w:tcW w:w="1120" w:type="dxa"/>
            <w:vAlign w:val="bottom"/>
            <w:tcBorders>
              <w:top w:val="single" w:sz="8" w:color="auto"/>
            </w:tcBorders>
            <w:shd w:val="clear" w:color="auto" w:fill="2AD2C9"/>
          </w:tcPr>
          <w:p>
            <w:pPr>
              <w:jc w:val="right"/>
              <w:ind w:right="458"/>
              <w:spacing w:after="0" w:line="131" w:lineRule="exact"/>
              <w:rPr>
                <w:sz w:val="20"/>
                <w:szCs w:val="20"/>
                <w:color w:val="auto"/>
              </w:rPr>
            </w:pPr>
            <w:r>
              <w:rPr>
                <w:rFonts w:ascii="Arial" w:cs="Arial" w:eastAsia="Arial" w:hAnsi="Arial"/>
                <w:sz w:val="13"/>
                <w:szCs w:val="13"/>
                <w:b w:val="1"/>
                <w:bCs w:val="1"/>
                <w:color w:val="FFFFFF"/>
              </w:rPr>
              <w:t>As of</w:t>
            </w:r>
          </w:p>
        </w:tc>
        <w:tc>
          <w:tcPr>
            <w:tcW w:w="1160" w:type="dxa"/>
            <w:vAlign w:val="bottom"/>
            <w:tcBorders>
              <w:top w:val="single" w:sz="8" w:color="auto"/>
            </w:tcBorders>
            <w:vMerge w:val="restart"/>
            <w:shd w:val="clear" w:color="auto" w:fill="2AD2C9"/>
          </w:tcPr>
          <w:p>
            <w:pPr>
              <w:jc w:val="right"/>
              <w:ind w:right="458"/>
              <w:spacing w:after="0"/>
              <w:rPr>
                <w:sz w:val="20"/>
                <w:szCs w:val="20"/>
                <w:color w:val="auto"/>
              </w:rPr>
            </w:pPr>
            <w:r>
              <w:rPr>
                <w:rFonts w:ascii="Arial" w:cs="Arial" w:eastAsia="Arial" w:hAnsi="Arial"/>
                <w:sz w:val="13"/>
                <w:szCs w:val="13"/>
                <w:b w:val="1"/>
                <w:bCs w:val="1"/>
                <w:color w:val="FFFFFF"/>
              </w:rPr>
              <w:t>Mar 24</w:t>
            </w:r>
          </w:p>
        </w:tc>
        <w:tc>
          <w:tcPr>
            <w:tcW w:w="620" w:type="dxa"/>
            <w:vAlign w:val="bottom"/>
            <w:tcBorders>
              <w:top w:val="single" w:sz="8" w:color="auto"/>
            </w:tcBorders>
            <w:vMerge w:val="restart"/>
            <w:shd w:val="clear" w:color="auto" w:fill="2AD2C9"/>
          </w:tcPr>
          <w:p>
            <w:pPr>
              <w:ind w:left="280"/>
              <w:spacing w:after="0"/>
              <w:rPr>
                <w:sz w:val="20"/>
                <w:szCs w:val="20"/>
                <w:color w:val="auto"/>
              </w:rPr>
            </w:pPr>
            <w:r>
              <w:rPr>
                <w:rFonts w:ascii="Arial" w:cs="Arial" w:eastAsia="Arial" w:hAnsi="Arial"/>
                <w:sz w:val="13"/>
                <w:szCs w:val="13"/>
                <w:b w:val="1"/>
                <w:bCs w:val="1"/>
                <w:color w:val="FFFFFF"/>
              </w:rPr>
              <w:t>QoQ</w:t>
            </w:r>
          </w:p>
        </w:tc>
        <w:tc>
          <w:tcPr>
            <w:tcW w:w="1460" w:type="dxa"/>
            <w:vAlign w:val="bottom"/>
            <w:tcBorders>
              <w:top w:val="single" w:sz="8" w:color="auto"/>
            </w:tcBorders>
            <w:shd w:val="clear" w:color="auto" w:fill="2AD2C9"/>
          </w:tcPr>
          <w:p>
            <w:pPr>
              <w:ind w:left="60"/>
              <w:spacing w:after="0" w:line="131" w:lineRule="exact"/>
              <w:rPr>
                <w:sz w:val="20"/>
                <w:szCs w:val="20"/>
                <w:color w:val="auto"/>
              </w:rPr>
            </w:pPr>
            <w:r>
              <w:rPr>
                <w:rFonts w:ascii="Arial" w:cs="Arial" w:eastAsia="Arial" w:hAnsi="Arial"/>
                <w:sz w:val="13"/>
                <w:szCs w:val="13"/>
                <w:b w:val="1"/>
                <w:bCs w:val="1"/>
                <w:color w:val="FFFFFF"/>
              </w:rPr>
              <w:t>% change</w:t>
            </w:r>
          </w:p>
        </w:tc>
        <w:tc>
          <w:tcPr>
            <w:tcW w:w="800" w:type="dxa"/>
            <w:vAlign w:val="bottom"/>
            <w:tcBorders>
              <w:top w:val="single" w:sz="8" w:color="auto"/>
            </w:tcBorders>
            <w:vMerge w:val="restart"/>
            <w:shd w:val="clear" w:color="auto" w:fill="2AD2C9"/>
          </w:tcPr>
          <w:p>
            <w:pPr>
              <w:jc w:val="center"/>
              <w:ind w:left="278"/>
              <w:spacing w:after="0"/>
              <w:rPr>
                <w:sz w:val="20"/>
                <w:szCs w:val="20"/>
                <w:color w:val="auto"/>
              </w:rPr>
            </w:pPr>
            <w:r>
              <w:rPr>
                <w:rFonts w:ascii="Arial" w:cs="Arial" w:eastAsia="Arial" w:hAnsi="Arial"/>
                <w:sz w:val="13"/>
                <w:szCs w:val="13"/>
                <w:b w:val="1"/>
                <w:bCs w:val="1"/>
                <w:color w:val="FFFFFF"/>
              </w:rPr>
              <w:t>LC</w:t>
            </w:r>
          </w:p>
        </w:tc>
        <w:tc>
          <w:tcPr>
            <w:tcW w:w="1440" w:type="dxa"/>
            <w:vAlign w:val="bottom"/>
            <w:tcBorders>
              <w:top w:val="single" w:sz="8" w:color="auto"/>
            </w:tcBorders>
            <w:shd w:val="clear" w:color="auto" w:fill="2AD2C9"/>
          </w:tcPr>
          <w:p>
            <w:pPr>
              <w:ind w:left="60"/>
              <w:spacing w:after="0" w:line="131" w:lineRule="exact"/>
              <w:rPr>
                <w:sz w:val="20"/>
                <w:szCs w:val="20"/>
                <w:color w:val="auto"/>
              </w:rPr>
            </w:pPr>
            <w:r>
              <w:rPr>
                <w:rFonts w:ascii="Arial" w:cs="Arial" w:eastAsia="Arial" w:hAnsi="Arial"/>
                <w:sz w:val="13"/>
                <w:szCs w:val="13"/>
                <w:b w:val="1"/>
                <w:bCs w:val="1"/>
                <w:color w:val="FFFFFF"/>
              </w:rPr>
              <w:t>Currency</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6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3"/>
                <w:szCs w:val="13"/>
                <w:b w:val="1"/>
                <w:bCs w:val="1"/>
                <w:color w:val="FFFFFF"/>
              </w:rPr>
              <w:t>S/000</w:t>
            </w:r>
          </w:p>
        </w:tc>
        <w:tc>
          <w:tcPr>
            <w:tcW w:w="1860" w:type="dxa"/>
            <w:vAlign w:val="bottom"/>
            <w:tcBorders>
              <w:bottom w:val="single" w:sz="8" w:color="auto"/>
            </w:tcBorders>
            <w:vMerge w:val="continue"/>
            <w:shd w:val="clear" w:color="auto" w:fill="2AD2C9"/>
          </w:tcPr>
          <w:p>
            <w:pPr>
              <w:spacing w:after="0"/>
              <w:rPr>
                <w:sz w:val="13"/>
                <w:szCs w:val="13"/>
                <w:color w:val="auto"/>
              </w:rPr>
            </w:pPr>
          </w:p>
        </w:tc>
        <w:tc>
          <w:tcPr>
            <w:tcW w:w="1120" w:type="dxa"/>
            <w:vAlign w:val="bottom"/>
            <w:tcBorders>
              <w:bottom w:val="single" w:sz="8" w:color="auto"/>
            </w:tcBorders>
            <w:shd w:val="clear" w:color="auto" w:fill="2AD2C9"/>
          </w:tcPr>
          <w:p>
            <w:pPr>
              <w:jc w:val="right"/>
              <w:ind w:right="418"/>
              <w:spacing w:after="0"/>
              <w:rPr>
                <w:sz w:val="20"/>
                <w:szCs w:val="20"/>
                <w:color w:val="auto"/>
              </w:rPr>
            </w:pPr>
            <w:r>
              <w:rPr>
                <w:rFonts w:ascii="Arial" w:cs="Arial" w:eastAsia="Arial" w:hAnsi="Arial"/>
                <w:sz w:val="13"/>
                <w:szCs w:val="13"/>
                <w:b w:val="1"/>
                <w:bCs w:val="1"/>
                <w:color w:val="FFFFFF"/>
              </w:rPr>
              <w:t>Dec 23</w:t>
            </w:r>
          </w:p>
        </w:tc>
        <w:tc>
          <w:tcPr>
            <w:tcW w:w="1160" w:type="dxa"/>
            <w:vAlign w:val="bottom"/>
            <w:tcBorders>
              <w:bottom w:val="single" w:sz="8" w:color="auto"/>
            </w:tcBorders>
            <w:vMerge w:val="continue"/>
            <w:shd w:val="clear" w:color="auto" w:fill="2AD2C9"/>
          </w:tcPr>
          <w:p>
            <w:pPr>
              <w:spacing w:after="0"/>
              <w:rPr>
                <w:sz w:val="13"/>
                <w:szCs w:val="13"/>
                <w:color w:val="auto"/>
              </w:rPr>
            </w:pPr>
          </w:p>
        </w:tc>
        <w:tc>
          <w:tcPr>
            <w:tcW w:w="620" w:type="dxa"/>
            <w:vAlign w:val="bottom"/>
            <w:tcBorders>
              <w:bottom w:val="single" w:sz="8" w:color="auto"/>
            </w:tcBorders>
            <w:vMerge w:val="continue"/>
            <w:shd w:val="clear" w:color="auto" w:fill="2AD2C9"/>
          </w:tcPr>
          <w:p>
            <w:pPr>
              <w:spacing w:after="0"/>
              <w:rPr>
                <w:sz w:val="13"/>
                <w:szCs w:val="13"/>
                <w:color w:val="auto"/>
              </w:rPr>
            </w:pPr>
          </w:p>
        </w:tc>
        <w:tc>
          <w:tcPr>
            <w:tcW w:w="1460" w:type="dxa"/>
            <w:vAlign w:val="bottom"/>
            <w:tcBorders>
              <w:bottom w:val="single" w:sz="8" w:color="auto"/>
            </w:tcBorders>
            <w:shd w:val="clear" w:color="auto" w:fill="2AD2C9"/>
          </w:tcPr>
          <w:p>
            <w:pPr>
              <w:ind w:left="780"/>
              <w:spacing w:after="0"/>
              <w:rPr>
                <w:sz w:val="20"/>
                <w:szCs w:val="20"/>
                <w:color w:val="auto"/>
              </w:rPr>
            </w:pPr>
            <w:r>
              <w:rPr>
                <w:rFonts w:ascii="Arial" w:cs="Arial" w:eastAsia="Arial" w:hAnsi="Arial"/>
                <w:sz w:val="13"/>
                <w:szCs w:val="13"/>
                <w:b w:val="1"/>
                <w:bCs w:val="1"/>
                <w:color w:val="FFFFFF"/>
              </w:rPr>
              <w:t>YoY</w:t>
            </w:r>
          </w:p>
        </w:tc>
        <w:tc>
          <w:tcPr>
            <w:tcW w:w="800" w:type="dxa"/>
            <w:vAlign w:val="bottom"/>
            <w:tcBorders>
              <w:bottom w:val="single" w:sz="8" w:color="auto"/>
            </w:tcBorders>
            <w:vMerge w:val="continue"/>
            <w:shd w:val="clear" w:color="auto" w:fill="2AD2C9"/>
          </w:tcPr>
          <w:p>
            <w:pPr>
              <w:spacing w:after="0"/>
              <w:rPr>
                <w:sz w:val="13"/>
                <w:szCs w:val="13"/>
                <w:color w:val="auto"/>
              </w:rPr>
            </w:pPr>
          </w:p>
        </w:tc>
        <w:tc>
          <w:tcPr>
            <w:tcW w:w="1440" w:type="dxa"/>
            <w:vAlign w:val="bottom"/>
            <w:tcBorders>
              <w:bottom w:val="single" w:sz="8" w:color="auto"/>
            </w:tcBorders>
            <w:shd w:val="clear" w:color="auto" w:fill="2AD2C9"/>
          </w:tcPr>
          <w:p>
            <w:pPr>
              <w:jc w:val="center"/>
              <w:ind w:left="278"/>
              <w:spacing w:after="0"/>
              <w:rPr>
                <w:sz w:val="20"/>
                <w:szCs w:val="20"/>
                <w:color w:val="auto"/>
              </w:rPr>
            </w:pPr>
            <w:r>
              <w:rPr>
                <w:rFonts w:ascii="Arial" w:cs="Arial" w:eastAsia="Arial" w:hAnsi="Arial"/>
                <w:sz w:val="13"/>
                <w:szCs w:val="13"/>
                <w:b w:val="1"/>
                <w:bCs w:val="1"/>
                <w:color w:val="FFFFFF"/>
              </w:rPr>
              <w:t>FC</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760" w:type="dxa"/>
            <w:vAlign w:val="bottom"/>
          </w:tcPr>
          <w:p>
            <w:pPr>
              <w:ind w:left="120"/>
              <w:spacing w:after="0" w:line="111" w:lineRule="exact"/>
              <w:rPr>
                <w:sz w:val="20"/>
                <w:szCs w:val="20"/>
                <w:color w:val="auto"/>
              </w:rPr>
            </w:pPr>
            <w:r>
              <w:rPr>
                <w:rFonts w:ascii="Arial" w:cs="Arial" w:eastAsia="Arial" w:hAnsi="Arial"/>
                <w:sz w:val="12"/>
                <w:szCs w:val="12"/>
                <w:color w:val="auto"/>
              </w:rPr>
              <w:t>Demand deposits</w:t>
            </w:r>
          </w:p>
        </w:tc>
        <w:tc>
          <w:tcPr>
            <w:tcW w:w="1860" w:type="dxa"/>
            <w:vAlign w:val="bottom"/>
          </w:tcPr>
          <w:p>
            <w:pPr>
              <w:jc w:val="right"/>
              <w:ind w:right="158"/>
              <w:spacing w:after="0" w:line="111" w:lineRule="exact"/>
              <w:rPr>
                <w:sz w:val="20"/>
                <w:szCs w:val="20"/>
                <w:color w:val="auto"/>
              </w:rPr>
            </w:pPr>
            <w:r>
              <w:rPr>
                <w:rFonts w:ascii="Arial" w:cs="Arial" w:eastAsia="Arial" w:hAnsi="Arial"/>
                <w:sz w:val="12"/>
                <w:szCs w:val="12"/>
                <w:color w:val="auto"/>
              </w:rPr>
              <w:t>47,483,662</w:t>
            </w:r>
          </w:p>
        </w:tc>
        <w:tc>
          <w:tcPr>
            <w:tcW w:w="1120" w:type="dxa"/>
            <w:vAlign w:val="bottom"/>
          </w:tcPr>
          <w:p>
            <w:pPr>
              <w:jc w:val="right"/>
              <w:ind w:right="158"/>
              <w:spacing w:after="0" w:line="111" w:lineRule="exact"/>
              <w:rPr>
                <w:sz w:val="20"/>
                <w:szCs w:val="20"/>
                <w:color w:val="auto"/>
              </w:rPr>
            </w:pPr>
            <w:r>
              <w:rPr>
                <w:rFonts w:ascii="Arial" w:cs="Arial" w:eastAsia="Arial" w:hAnsi="Arial"/>
                <w:sz w:val="12"/>
                <w:szCs w:val="12"/>
                <w:color w:val="auto"/>
              </w:rPr>
              <w:t>48,229,322</w:t>
            </w:r>
          </w:p>
        </w:tc>
        <w:tc>
          <w:tcPr>
            <w:tcW w:w="1160" w:type="dxa"/>
            <w:vAlign w:val="bottom"/>
          </w:tcPr>
          <w:p>
            <w:pPr>
              <w:jc w:val="right"/>
              <w:ind w:right="198"/>
              <w:spacing w:after="0" w:line="111" w:lineRule="exact"/>
              <w:rPr>
                <w:sz w:val="20"/>
                <w:szCs w:val="20"/>
                <w:color w:val="auto"/>
              </w:rPr>
            </w:pPr>
            <w:r>
              <w:rPr>
                <w:rFonts w:ascii="Arial" w:cs="Arial" w:eastAsia="Arial" w:hAnsi="Arial"/>
                <w:sz w:val="12"/>
                <w:szCs w:val="12"/>
                <w:color w:val="auto"/>
              </w:rPr>
              <w:t>47,384,819</w:t>
            </w:r>
          </w:p>
        </w:tc>
        <w:tc>
          <w:tcPr>
            <w:tcW w:w="620" w:type="dxa"/>
            <w:vAlign w:val="bottom"/>
          </w:tcPr>
          <w:p>
            <w:pPr>
              <w:jc w:val="center"/>
              <w:ind w:left="138"/>
              <w:spacing w:after="0" w:line="111" w:lineRule="exact"/>
              <w:rPr>
                <w:sz w:val="20"/>
                <w:szCs w:val="20"/>
                <w:color w:val="auto"/>
              </w:rPr>
            </w:pPr>
            <w:r>
              <w:rPr>
                <w:rFonts w:ascii="Arial" w:cs="Arial" w:eastAsia="Arial" w:hAnsi="Arial"/>
                <w:sz w:val="12"/>
                <w:szCs w:val="12"/>
                <w:color w:val="auto"/>
              </w:rPr>
              <w:t>-1.8%</w:t>
            </w:r>
          </w:p>
        </w:tc>
        <w:tc>
          <w:tcPr>
            <w:tcW w:w="1460" w:type="dxa"/>
            <w:vAlign w:val="bottom"/>
          </w:tcPr>
          <w:p>
            <w:pPr>
              <w:jc w:val="center"/>
              <w:ind w:left="278"/>
              <w:spacing w:after="0" w:line="111" w:lineRule="exact"/>
              <w:rPr>
                <w:sz w:val="20"/>
                <w:szCs w:val="20"/>
                <w:color w:val="auto"/>
              </w:rPr>
            </w:pPr>
            <w:r>
              <w:rPr>
                <w:rFonts w:ascii="Arial" w:cs="Arial" w:eastAsia="Arial" w:hAnsi="Arial"/>
                <w:sz w:val="12"/>
                <w:szCs w:val="12"/>
                <w:color w:val="auto"/>
              </w:rPr>
              <w:t>-0.2%</w:t>
            </w:r>
          </w:p>
        </w:tc>
        <w:tc>
          <w:tcPr>
            <w:tcW w:w="800" w:type="dxa"/>
            <w:vAlign w:val="bottom"/>
          </w:tcPr>
          <w:p>
            <w:pPr>
              <w:jc w:val="center"/>
              <w:ind w:left="298"/>
              <w:spacing w:after="0" w:line="111" w:lineRule="exact"/>
              <w:rPr>
                <w:sz w:val="20"/>
                <w:szCs w:val="20"/>
                <w:color w:val="auto"/>
              </w:rPr>
            </w:pPr>
            <w:r>
              <w:rPr>
                <w:rFonts w:ascii="Arial" w:cs="Arial" w:eastAsia="Arial" w:hAnsi="Arial"/>
                <w:sz w:val="12"/>
                <w:szCs w:val="12"/>
                <w:color w:val="auto"/>
              </w:rPr>
              <w:t>46.3%</w:t>
            </w:r>
          </w:p>
        </w:tc>
        <w:tc>
          <w:tcPr>
            <w:tcW w:w="1440" w:type="dxa"/>
            <w:vAlign w:val="bottom"/>
          </w:tcPr>
          <w:p>
            <w:pPr>
              <w:jc w:val="center"/>
              <w:ind w:left="258"/>
              <w:spacing w:after="0" w:line="111" w:lineRule="exact"/>
              <w:rPr>
                <w:sz w:val="20"/>
                <w:szCs w:val="20"/>
                <w:color w:val="auto"/>
              </w:rPr>
            </w:pPr>
            <w:r>
              <w:rPr>
                <w:rFonts w:ascii="Arial" w:cs="Arial" w:eastAsia="Arial" w:hAnsi="Arial"/>
                <w:sz w:val="12"/>
                <w:szCs w:val="12"/>
                <w:color w:val="auto"/>
              </w:rPr>
              <w:t>53.7%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Saving deposits</w:t>
            </w:r>
          </w:p>
        </w:tc>
        <w:tc>
          <w:tcPr>
            <w:tcW w:w="186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53,418,288</w:t>
            </w:r>
          </w:p>
        </w:tc>
        <w:tc>
          <w:tcPr>
            <w:tcW w:w="112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52,375,813</w:t>
            </w:r>
          </w:p>
        </w:tc>
        <w:tc>
          <w:tcPr>
            <w:tcW w:w="116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52,238,357</w:t>
            </w:r>
          </w:p>
        </w:tc>
        <w:tc>
          <w:tcPr>
            <w:tcW w:w="620" w:type="dxa"/>
            <w:vAlign w:val="bottom"/>
          </w:tcPr>
          <w:p>
            <w:pPr>
              <w:jc w:val="center"/>
              <w:ind w:left="138"/>
              <w:spacing w:after="0" w:line="135" w:lineRule="exact"/>
              <w:rPr>
                <w:sz w:val="20"/>
                <w:szCs w:val="20"/>
                <w:color w:val="auto"/>
              </w:rPr>
            </w:pPr>
            <w:r>
              <w:rPr>
                <w:rFonts w:ascii="Arial" w:cs="Arial" w:eastAsia="Arial" w:hAnsi="Arial"/>
                <w:sz w:val="13"/>
                <w:szCs w:val="13"/>
                <w:color w:val="auto"/>
                <w:w w:val="99"/>
              </w:rPr>
              <w:t>-0.3%</w:t>
            </w:r>
          </w:p>
        </w:tc>
        <w:tc>
          <w:tcPr>
            <w:tcW w:w="1460" w:type="dxa"/>
            <w:vAlign w:val="bottom"/>
          </w:tcPr>
          <w:p>
            <w:pPr>
              <w:jc w:val="center"/>
              <w:ind w:left="278"/>
              <w:spacing w:after="0" w:line="135" w:lineRule="exact"/>
              <w:rPr>
                <w:sz w:val="20"/>
                <w:szCs w:val="20"/>
                <w:color w:val="auto"/>
              </w:rPr>
            </w:pPr>
            <w:r>
              <w:rPr>
                <w:rFonts w:ascii="Arial" w:cs="Arial" w:eastAsia="Arial" w:hAnsi="Arial"/>
                <w:sz w:val="13"/>
                <w:szCs w:val="13"/>
                <w:color w:val="auto"/>
                <w:w w:val="94"/>
              </w:rPr>
              <w:t>-2.2%</w:t>
            </w:r>
          </w:p>
        </w:tc>
        <w:tc>
          <w:tcPr>
            <w:tcW w:w="80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7"/>
              </w:rPr>
              <w:t>57.9%</w:t>
            </w:r>
          </w:p>
        </w:tc>
        <w:tc>
          <w:tcPr>
            <w:tcW w:w="1440" w:type="dxa"/>
            <w:vAlign w:val="bottom"/>
          </w:tcPr>
          <w:p>
            <w:pPr>
              <w:jc w:val="center"/>
              <w:ind w:left="258"/>
              <w:spacing w:after="0" w:line="135" w:lineRule="exact"/>
              <w:rPr>
                <w:sz w:val="20"/>
                <w:szCs w:val="20"/>
                <w:color w:val="auto"/>
              </w:rPr>
            </w:pPr>
            <w:r>
              <w:rPr>
                <w:rFonts w:ascii="Arial" w:cs="Arial" w:eastAsia="Arial" w:hAnsi="Arial"/>
                <w:sz w:val="13"/>
                <w:szCs w:val="13"/>
                <w:color w:val="auto"/>
                <w:w w:val="97"/>
              </w:rPr>
              <w:t>42.1%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Time deposits</w:t>
            </w:r>
          </w:p>
        </w:tc>
        <w:tc>
          <w:tcPr>
            <w:tcW w:w="186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43,194,573</w:t>
            </w:r>
          </w:p>
        </w:tc>
        <w:tc>
          <w:tcPr>
            <w:tcW w:w="112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42,484,664</w:t>
            </w:r>
          </w:p>
        </w:tc>
        <w:tc>
          <w:tcPr>
            <w:tcW w:w="116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43,775,526</w:t>
            </w:r>
          </w:p>
        </w:tc>
        <w:tc>
          <w:tcPr>
            <w:tcW w:w="620" w:type="dxa"/>
            <w:vAlign w:val="bottom"/>
          </w:tcPr>
          <w:p>
            <w:pPr>
              <w:jc w:val="center"/>
              <w:ind w:left="138"/>
              <w:spacing w:after="0" w:line="135" w:lineRule="exact"/>
              <w:rPr>
                <w:sz w:val="20"/>
                <w:szCs w:val="20"/>
                <w:color w:val="auto"/>
              </w:rPr>
            </w:pPr>
            <w:r>
              <w:rPr>
                <w:rFonts w:ascii="Arial" w:cs="Arial" w:eastAsia="Arial" w:hAnsi="Arial"/>
                <w:sz w:val="13"/>
                <w:szCs w:val="13"/>
                <w:color w:val="auto"/>
              </w:rPr>
              <w:t>3.0%</w:t>
            </w:r>
          </w:p>
        </w:tc>
        <w:tc>
          <w:tcPr>
            <w:tcW w:w="1460" w:type="dxa"/>
            <w:vAlign w:val="bottom"/>
          </w:tcPr>
          <w:p>
            <w:pPr>
              <w:jc w:val="center"/>
              <w:ind w:left="278"/>
              <w:spacing w:after="0" w:line="135" w:lineRule="exact"/>
              <w:rPr>
                <w:sz w:val="20"/>
                <w:szCs w:val="20"/>
                <w:color w:val="auto"/>
              </w:rPr>
            </w:pPr>
            <w:r>
              <w:rPr>
                <w:rFonts w:ascii="Arial" w:cs="Arial" w:eastAsia="Arial" w:hAnsi="Arial"/>
                <w:sz w:val="13"/>
                <w:szCs w:val="13"/>
                <w:color w:val="auto"/>
                <w:w w:val="94"/>
              </w:rPr>
              <w:t>1.3%</w:t>
            </w:r>
          </w:p>
        </w:tc>
        <w:tc>
          <w:tcPr>
            <w:tcW w:w="80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7"/>
              </w:rPr>
              <w:t>45.2%</w:t>
            </w:r>
          </w:p>
        </w:tc>
        <w:tc>
          <w:tcPr>
            <w:tcW w:w="1440" w:type="dxa"/>
            <w:vAlign w:val="bottom"/>
          </w:tcPr>
          <w:p>
            <w:pPr>
              <w:jc w:val="center"/>
              <w:ind w:left="258"/>
              <w:spacing w:after="0" w:line="135" w:lineRule="exact"/>
              <w:rPr>
                <w:sz w:val="20"/>
                <w:szCs w:val="20"/>
                <w:color w:val="auto"/>
              </w:rPr>
            </w:pPr>
            <w:r>
              <w:rPr>
                <w:rFonts w:ascii="Arial" w:cs="Arial" w:eastAsia="Arial" w:hAnsi="Arial"/>
                <w:sz w:val="13"/>
                <w:szCs w:val="13"/>
                <w:color w:val="auto"/>
                <w:w w:val="97"/>
              </w:rPr>
              <w:t>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Severance indemnity deposits</w:t>
            </w:r>
          </w:p>
        </w:tc>
        <w:tc>
          <w:tcPr>
            <w:tcW w:w="186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3,322,691</w:t>
            </w:r>
          </w:p>
        </w:tc>
        <w:tc>
          <w:tcPr>
            <w:tcW w:w="112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3,185,603</w:t>
            </w:r>
          </w:p>
        </w:tc>
        <w:tc>
          <w:tcPr>
            <w:tcW w:w="116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3,086,767</w:t>
            </w:r>
          </w:p>
        </w:tc>
        <w:tc>
          <w:tcPr>
            <w:tcW w:w="620" w:type="dxa"/>
            <w:vAlign w:val="bottom"/>
          </w:tcPr>
          <w:p>
            <w:pPr>
              <w:jc w:val="center"/>
              <w:ind w:left="138"/>
              <w:spacing w:after="0" w:line="135" w:lineRule="exact"/>
              <w:rPr>
                <w:sz w:val="20"/>
                <w:szCs w:val="20"/>
                <w:color w:val="auto"/>
              </w:rPr>
            </w:pPr>
            <w:r>
              <w:rPr>
                <w:rFonts w:ascii="Arial" w:cs="Arial" w:eastAsia="Arial" w:hAnsi="Arial"/>
                <w:sz w:val="13"/>
                <w:szCs w:val="13"/>
                <w:color w:val="auto"/>
                <w:w w:val="99"/>
              </w:rPr>
              <w:t>-3.1%</w:t>
            </w:r>
          </w:p>
        </w:tc>
        <w:tc>
          <w:tcPr>
            <w:tcW w:w="1460" w:type="dxa"/>
            <w:vAlign w:val="bottom"/>
          </w:tcPr>
          <w:p>
            <w:pPr>
              <w:jc w:val="center"/>
              <w:ind w:left="278"/>
              <w:spacing w:after="0" w:line="135" w:lineRule="exact"/>
              <w:rPr>
                <w:sz w:val="20"/>
                <w:szCs w:val="20"/>
                <w:color w:val="auto"/>
              </w:rPr>
            </w:pPr>
            <w:r>
              <w:rPr>
                <w:rFonts w:ascii="Arial" w:cs="Arial" w:eastAsia="Arial" w:hAnsi="Arial"/>
                <w:sz w:val="13"/>
                <w:szCs w:val="13"/>
                <w:color w:val="auto"/>
                <w:w w:val="94"/>
              </w:rPr>
              <w:t>-7.1%</w:t>
            </w:r>
          </w:p>
        </w:tc>
        <w:tc>
          <w:tcPr>
            <w:tcW w:w="800" w:type="dxa"/>
            <w:vAlign w:val="bottom"/>
          </w:tcPr>
          <w:p>
            <w:pPr>
              <w:jc w:val="center"/>
              <w:ind w:left="298"/>
              <w:spacing w:after="0" w:line="135" w:lineRule="exact"/>
              <w:rPr>
                <w:sz w:val="20"/>
                <w:szCs w:val="20"/>
                <w:color w:val="auto"/>
              </w:rPr>
            </w:pPr>
            <w:r>
              <w:rPr>
                <w:rFonts w:ascii="Arial" w:cs="Arial" w:eastAsia="Arial" w:hAnsi="Arial"/>
                <w:sz w:val="13"/>
                <w:szCs w:val="13"/>
                <w:color w:val="auto"/>
                <w:w w:val="97"/>
              </w:rPr>
              <w:t>72.2%</w:t>
            </w:r>
          </w:p>
        </w:tc>
        <w:tc>
          <w:tcPr>
            <w:tcW w:w="1440" w:type="dxa"/>
            <w:vAlign w:val="bottom"/>
          </w:tcPr>
          <w:p>
            <w:pPr>
              <w:jc w:val="center"/>
              <w:ind w:left="258"/>
              <w:spacing w:after="0" w:line="135" w:lineRule="exact"/>
              <w:rPr>
                <w:sz w:val="20"/>
                <w:szCs w:val="20"/>
                <w:color w:val="auto"/>
              </w:rPr>
            </w:pPr>
            <w:r>
              <w:rPr>
                <w:rFonts w:ascii="Arial" w:cs="Arial" w:eastAsia="Arial" w:hAnsi="Arial"/>
                <w:sz w:val="13"/>
                <w:szCs w:val="13"/>
                <w:color w:val="auto"/>
                <w:w w:val="97"/>
              </w:rPr>
              <w:t>27.8%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Interest payable</w:t>
            </w:r>
          </w:p>
        </w:tc>
        <w:tc>
          <w:tcPr>
            <w:tcW w:w="1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1,204,086</w:t>
            </w:r>
          </w:p>
        </w:tc>
        <w:tc>
          <w:tcPr>
            <w:tcW w:w="11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1,429,592</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color w:val="auto"/>
              </w:rPr>
              <w:t>1,371,658</w:t>
            </w:r>
          </w:p>
        </w:tc>
        <w:tc>
          <w:tcPr>
            <w:tcW w:w="620" w:type="dxa"/>
            <w:vAlign w:val="bottom"/>
            <w:tcBorders>
              <w:bottom w:val="single" w:sz="8" w:color="auto"/>
            </w:tcBorders>
          </w:tcPr>
          <w:p>
            <w:pPr>
              <w:jc w:val="center"/>
              <w:ind w:left="138"/>
              <w:spacing w:after="0"/>
              <w:rPr>
                <w:sz w:val="20"/>
                <w:szCs w:val="20"/>
                <w:color w:val="auto"/>
              </w:rPr>
            </w:pPr>
            <w:r>
              <w:rPr>
                <w:rFonts w:ascii="Arial" w:cs="Arial" w:eastAsia="Arial" w:hAnsi="Arial"/>
                <w:sz w:val="13"/>
                <w:szCs w:val="13"/>
                <w:color w:val="auto"/>
                <w:w w:val="99"/>
              </w:rPr>
              <w:t>-4.1%</w:t>
            </w:r>
          </w:p>
        </w:tc>
        <w:tc>
          <w:tcPr>
            <w:tcW w:w="1460" w:type="dxa"/>
            <w:vAlign w:val="bottom"/>
            <w:tcBorders>
              <w:bottom w:val="single" w:sz="8" w:color="auto"/>
            </w:tcBorders>
          </w:tcPr>
          <w:p>
            <w:pPr>
              <w:jc w:val="center"/>
              <w:ind w:left="278"/>
              <w:spacing w:after="0"/>
              <w:rPr>
                <w:sz w:val="20"/>
                <w:szCs w:val="20"/>
                <w:color w:val="auto"/>
              </w:rPr>
            </w:pPr>
            <w:r>
              <w:rPr>
                <w:rFonts w:ascii="Arial" w:cs="Arial" w:eastAsia="Arial" w:hAnsi="Arial"/>
                <w:sz w:val="13"/>
                <w:szCs w:val="13"/>
                <w:color w:val="auto"/>
                <w:w w:val="97"/>
              </w:rPr>
              <w:t>13.9%</w:t>
            </w:r>
          </w:p>
        </w:tc>
        <w:tc>
          <w:tcPr>
            <w:tcW w:w="800" w:type="dxa"/>
            <w:vAlign w:val="bottom"/>
            <w:tcBorders>
              <w:bottom w:val="single" w:sz="8" w:color="auto"/>
            </w:tcBorders>
          </w:tcPr>
          <w:p>
            <w:pPr>
              <w:jc w:val="center"/>
              <w:ind w:left="298"/>
              <w:spacing w:after="0"/>
              <w:rPr>
                <w:sz w:val="20"/>
                <w:szCs w:val="20"/>
                <w:color w:val="auto"/>
              </w:rPr>
            </w:pPr>
            <w:r>
              <w:rPr>
                <w:rFonts w:ascii="Arial" w:cs="Arial" w:eastAsia="Arial" w:hAnsi="Arial"/>
                <w:sz w:val="13"/>
                <w:szCs w:val="13"/>
                <w:color w:val="auto"/>
                <w:w w:val="97"/>
              </w:rPr>
              <w:t>29.4%</w:t>
            </w:r>
          </w:p>
        </w:tc>
        <w:tc>
          <w:tcPr>
            <w:tcW w:w="1440" w:type="dxa"/>
            <w:vAlign w:val="bottom"/>
            <w:tcBorders>
              <w:bottom w:val="single" w:sz="8" w:color="auto"/>
            </w:tcBorders>
          </w:tcPr>
          <w:p>
            <w:pPr>
              <w:jc w:val="center"/>
              <w:ind w:left="258"/>
              <w:spacing w:after="0"/>
              <w:rPr>
                <w:sz w:val="20"/>
                <w:szCs w:val="20"/>
                <w:color w:val="auto"/>
              </w:rPr>
            </w:pPr>
            <w:r>
              <w:rPr>
                <w:rFonts w:ascii="Arial" w:cs="Arial" w:eastAsia="Arial" w:hAnsi="Arial"/>
                <w:sz w:val="13"/>
                <w:szCs w:val="13"/>
                <w:color w:val="auto"/>
                <w:w w:val="97"/>
              </w:rPr>
              <w:t>70.6%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9"/>
                <w:szCs w:val="9"/>
                <w:b w:val="1"/>
                <w:bCs w:val="1"/>
                <w:color w:val="auto"/>
              </w:rPr>
              <w:t xml:space="preserve">Low-cost deposits </w:t>
            </w:r>
            <w:r>
              <w:rPr>
                <w:rFonts w:ascii="Arial" w:cs="Arial" w:eastAsia="Arial" w:hAnsi="Arial"/>
                <w:sz w:val="14"/>
                <w:szCs w:val="14"/>
                <w:b w:val="1"/>
                <w:bCs w:val="1"/>
                <w:color w:val="auto"/>
                <w:vertAlign w:val="superscript"/>
              </w:rPr>
              <w:t>(1)</w:t>
            </w:r>
          </w:p>
        </w:tc>
        <w:tc>
          <w:tcPr>
            <w:tcW w:w="1860" w:type="dxa"/>
            <w:vAlign w:val="bottom"/>
            <w:tcBorders>
              <w:bottom w:val="single" w:sz="8" w:color="auto"/>
            </w:tcBorders>
          </w:tcPr>
          <w:p>
            <w:pPr>
              <w:jc w:val="right"/>
              <w:ind w:right="158"/>
              <w:spacing w:after="0" w:line="129" w:lineRule="exact"/>
              <w:rPr>
                <w:sz w:val="20"/>
                <w:szCs w:val="20"/>
                <w:color w:val="auto"/>
              </w:rPr>
            </w:pPr>
            <w:r>
              <w:rPr>
                <w:rFonts w:ascii="Arial" w:cs="Arial" w:eastAsia="Arial" w:hAnsi="Arial"/>
                <w:sz w:val="13"/>
                <w:szCs w:val="13"/>
                <w:b w:val="1"/>
                <w:bCs w:val="1"/>
                <w:color w:val="auto"/>
              </w:rPr>
              <w:t>100,901,950</w:t>
            </w:r>
          </w:p>
        </w:tc>
        <w:tc>
          <w:tcPr>
            <w:tcW w:w="1120" w:type="dxa"/>
            <w:vAlign w:val="bottom"/>
            <w:tcBorders>
              <w:bottom w:val="single" w:sz="8" w:color="auto"/>
            </w:tcBorders>
          </w:tcPr>
          <w:p>
            <w:pPr>
              <w:jc w:val="right"/>
              <w:ind w:right="158"/>
              <w:spacing w:after="0" w:line="129" w:lineRule="exact"/>
              <w:rPr>
                <w:sz w:val="20"/>
                <w:szCs w:val="20"/>
                <w:color w:val="auto"/>
              </w:rPr>
            </w:pPr>
            <w:r>
              <w:rPr>
                <w:rFonts w:ascii="Arial" w:cs="Arial" w:eastAsia="Arial" w:hAnsi="Arial"/>
                <w:sz w:val="13"/>
                <w:szCs w:val="13"/>
                <w:b w:val="1"/>
                <w:bCs w:val="1"/>
                <w:color w:val="auto"/>
              </w:rPr>
              <w:t>100,605,135</w:t>
            </w:r>
          </w:p>
        </w:tc>
        <w:tc>
          <w:tcPr>
            <w:tcW w:w="1160" w:type="dxa"/>
            <w:vAlign w:val="bottom"/>
            <w:tcBorders>
              <w:bottom w:val="single" w:sz="8" w:color="auto"/>
            </w:tcBorders>
          </w:tcPr>
          <w:p>
            <w:pPr>
              <w:jc w:val="right"/>
              <w:ind w:right="198"/>
              <w:spacing w:after="0" w:line="129" w:lineRule="exact"/>
              <w:rPr>
                <w:sz w:val="20"/>
                <w:szCs w:val="20"/>
                <w:color w:val="auto"/>
              </w:rPr>
            </w:pPr>
            <w:r>
              <w:rPr>
                <w:rFonts w:ascii="Arial" w:cs="Arial" w:eastAsia="Arial" w:hAnsi="Arial"/>
                <w:sz w:val="13"/>
                <w:szCs w:val="13"/>
                <w:b w:val="1"/>
                <w:bCs w:val="1"/>
                <w:color w:val="auto"/>
              </w:rPr>
              <w:t>99,623,176</w:t>
            </w:r>
          </w:p>
        </w:tc>
        <w:tc>
          <w:tcPr>
            <w:tcW w:w="620" w:type="dxa"/>
            <w:vAlign w:val="bottom"/>
            <w:tcBorders>
              <w:bottom w:val="single" w:sz="8" w:color="auto"/>
            </w:tcBorders>
          </w:tcPr>
          <w:p>
            <w:pPr>
              <w:jc w:val="center"/>
              <w:ind w:left="138"/>
              <w:spacing w:after="0" w:line="129" w:lineRule="exact"/>
              <w:rPr>
                <w:sz w:val="20"/>
                <w:szCs w:val="20"/>
                <w:color w:val="auto"/>
              </w:rPr>
            </w:pPr>
            <w:r>
              <w:rPr>
                <w:rFonts w:ascii="Arial" w:cs="Arial" w:eastAsia="Arial" w:hAnsi="Arial"/>
                <w:sz w:val="13"/>
                <w:szCs w:val="13"/>
                <w:b w:val="1"/>
                <w:bCs w:val="1"/>
                <w:color w:val="auto"/>
                <w:w w:val="99"/>
              </w:rPr>
              <w:t>-1.0%</w:t>
            </w:r>
          </w:p>
        </w:tc>
        <w:tc>
          <w:tcPr>
            <w:tcW w:w="1460" w:type="dxa"/>
            <w:vAlign w:val="bottom"/>
            <w:tcBorders>
              <w:bottom w:val="single" w:sz="8" w:color="auto"/>
            </w:tcBorders>
          </w:tcPr>
          <w:p>
            <w:pPr>
              <w:jc w:val="center"/>
              <w:ind w:left="278"/>
              <w:spacing w:after="0" w:line="129" w:lineRule="exact"/>
              <w:rPr>
                <w:sz w:val="20"/>
                <w:szCs w:val="20"/>
                <w:color w:val="auto"/>
              </w:rPr>
            </w:pPr>
            <w:r>
              <w:rPr>
                <w:rFonts w:ascii="Arial" w:cs="Arial" w:eastAsia="Arial" w:hAnsi="Arial"/>
                <w:sz w:val="13"/>
                <w:szCs w:val="13"/>
                <w:b w:val="1"/>
                <w:bCs w:val="1"/>
                <w:color w:val="auto"/>
                <w:w w:val="94"/>
              </w:rPr>
              <w:t>-1.3%</w:t>
            </w:r>
          </w:p>
        </w:tc>
        <w:tc>
          <w:tcPr>
            <w:tcW w:w="800" w:type="dxa"/>
            <w:vAlign w:val="bottom"/>
            <w:tcBorders>
              <w:bottom w:val="single" w:sz="8" w:color="auto"/>
            </w:tcBorders>
          </w:tcPr>
          <w:p>
            <w:pPr>
              <w:jc w:val="center"/>
              <w:ind w:left="298"/>
              <w:spacing w:after="0" w:line="129" w:lineRule="exact"/>
              <w:rPr>
                <w:sz w:val="20"/>
                <w:szCs w:val="20"/>
                <w:color w:val="auto"/>
              </w:rPr>
            </w:pPr>
            <w:r>
              <w:rPr>
                <w:rFonts w:ascii="Arial" w:cs="Arial" w:eastAsia="Arial" w:hAnsi="Arial"/>
                <w:sz w:val="13"/>
                <w:szCs w:val="13"/>
                <w:b w:val="1"/>
                <w:bCs w:val="1"/>
                <w:color w:val="auto"/>
                <w:w w:val="97"/>
              </w:rPr>
              <w:t>52.4%</w:t>
            </w:r>
          </w:p>
        </w:tc>
        <w:tc>
          <w:tcPr>
            <w:tcW w:w="1440" w:type="dxa"/>
            <w:vAlign w:val="bottom"/>
            <w:tcBorders>
              <w:bottom w:val="single" w:sz="8" w:color="auto"/>
            </w:tcBorders>
          </w:tcPr>
          <w:p>
            <w:pPr>
              <w:jc w:val="center"/>
              <w:ind w:left="258"/>
              <w:spacing w:after="0" w:line="129" w:lineRule="exact"/>
              <w:rPr>
                <w:sz w:val="20"/>
                <w:szCs w:val="20"/>
                <w:color w:val="auto"/>
              </w:rPr>
            </w:pPr>
            <w:r>
              <w:rPr>
                <w:rFonts w:ascii="Arial" w:cs="Arial" w:eastAsia="Arial" w:hAnsi="Arial"/>
                <w:sz w:val="13"/>
                <w:szCs w:val="13"/>
                <w:b w:val="1"/>
                <w:bCs w:val="1"/>
                <w:color w:val="auto"/>
                <w:w w:val="97"/>
              </w:rPr>
              <w:t>47.6%</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760" w:type="dxa"/>
            <w:vAlign w:val="bottom"/>
          </w:tcPr>
          <w:p>
            <w:pPr>
              <w:ind w:left="120"/>
              <w:spacing w:after="0" w:line="139" w:lineRule="exact"/>
              <w:rPr>
                <w:sz w:val="20"/>
                <w:szCs w:val="20"/>
                <w:color w:val="auto"/>
              </w:rPr>
            </w:pPr>
            <w:r>
              <w:rPr>
                <w:rFonts w:ascii="Arial" w:cs="Arial" w:eastAsia="Arial" w:hAnsi="Arial"/>
                <w:sz w:val="13"/>
                <w:szCs w:val="13"/>
                <w:b w:val="1"/>
                <w:bCs w:val="1"/>
                <w:color w:val="auto"/>
              </w:rPr>
              <w:t>Deposits and obligations</w:t>
            </w:r>
          </w:p>
        </w:tc>
        <w:tc>
          <w:tcPr>
            <w:tcW w:w="1860" w:type="dxa"/>
            <w:vAlign w:val="bottom"/>
          </w:tcPr>
          <w:p>
            <w:pPr>
              <w:jc w:val="right"/>
              <w:ind w:right="158"/>
              <w:spacing w:after="0" w:line="139" w:lineRule="exact"/>
              <w:rPr>
                <w:sz w:val="20"/>
                <w:szCs w:val="20"/>
                <w:color w:val="auto"/>
              </w:rPr>
            </w:pPr>
            <w:r>
              <w:rPr>
                <w:rFonts w:ascii="Arial" w:cs="Arial" w:eastAsia="Arial" w:hAnsi="Arial"/>
                <w:sz w:val="13"/>
                <w:szCs w:val="13"/>
                <w:b w:val="1"/>
                <w:bCs w:val="1"/>
                <w:color w:val="auto"/>
              </w:rPr>
              <w:t>148,623,300</w:t>
            </w:r>
          </w:p>
        </w:tc>
        <w:tc>
          <w:tcPr>
            <w:tcW w:w="1120" w:type="dxa"/>
            <w:vAlign w:val="bottom"/>
          </w:tcPr>
          <w:p>
            <w:pPr>
              <w:jc w:val="right"/>
              <w:ind w:right="158"/>
              <w:spacing w:after="0" w:line="139" w:lineRule="exact"/>
              <w:rPr>
                <w:sz w:val="20"/>
                <w:szCs w:val="20"/>
                <w:color w:val="auto"/>
              </w:rPr>
            </w:pPr>
            <w:r>
              <w:rPr>
                <w:rFonts w:ascii="Arial" w:cs="Arial" w:eastAsia="Arial" w:hAnsi="Arial"/>
                <w:sz w:val="13"/>
                <w:szCs w:val="13"/>
                <w:b w:val="1"/>
                <w:bCs w:val="1"/>
                <w:color w:val="auto"/>
              </w:rPr>
              <w:t>147,704,994</w:t>
            </w:r>
          </w:p>
        </w:tc>
        <w:tc>
          <w:tcPr>
            <w:tcW w:w="1160" w:type="dxa"/>
            <w:vAlign w:val="bottom"/>
          </w:tcPr>
          <w:p>
            <w:pPr>
              <w:jc w:val="right"/>
              <w:ind w:right="198"/>
              <w:spacing w:after="0" w:line="139" w:lineRule="exact"/>
              <w:rPr>
                <w:sz w:val="20"/>
                <w:szCs w:val="20"/>
                <w:color w:val="auto"/>
              </w:rPr>
            </w:pPr>
            <w:r>
              <w:rPr>
                <w:rFonts w:ascii="Arial" w:cs="Arial" w:eastAsia="Arial" w:hAnsi="Arial"/>
                <w:sz w:val="13"/>
                <w:szCs w:val="13"/>
                <w:b w:val="1"/>
                <w:bCs w:val="1"/>
                <w:color w:val="auto"/>
              </w:rPr>
              <w:t>147,857,127</w:t>
            </w:r>
          </w:p>
        </w:tc>
        <w:tc>
          <w:tcPr>
            <w:tcW w:w="620" w:type="dxa"/>
            <w:vAlign w:val="bottom"/>
          </w:tcPr>
          <w:p>
            <w:pPr>
              <w:jc w:val="center"/>
              <w:ind w:left="138"/>
              <w:spacing w:after="0" w:line="139" w:lineRule="exact"/>
              <w:rPr>
                <w:sz w:val="20"/>
                <w:szCs w:val="20"/>
                <w:color w:val="auto"/>
              </w:rPr>
            </w:pPr>
            <w:r>
              <w:rPr>
                <w:rFonts w:ascii="Arial" w:cs="Arial" w:eastAsia="Arial" w:hAnsi="Arial"/>
                <w:sz w:val="13"/>
                <w:szCs w:val="13"/>
                <w:b w:val="1"/>
                <w:bCs w:val="1"/>
                <w:color w:val="auto"/>
              </w:rPr>
              <w:t>0.1%</w:t>
            </w:r>
          </w:p>
        </w:tc>
        <w:tc>
          <w:tcPr>
            <w:tcW w:w="1460" w:type="dxa"/>
            <w:vAlign w:val="bottom"/>
          </w:tcPr>
          <w:p>
            <w:pPr>
              <w:jc w:val="center"/>
              <w:ind w:left="278"/>
              <w:spacing w:after="0" w:line="139" w:lineRule="exact"/>
              <w:rPr>
                <w:sz w:val="20"/>
                <w:szCs w:val="20"/>
                <w:color w:val="auto"/>
              </w:rPr>
            </w:pPr>
            <w:r>
              <w:rPr>
                <w:rFonts w:ascii="Arial" w:cs="Arial" w:eastAsia="Arial" w:hAnsi="Arial"/>
                <w:sz w:val="13"/>
                <w:szCs w:val="13"/>
                <w:b w:val="1"/>
                <w:bCs w:val="1"/>
                <w:color w:val="auto"/>
                <w:w w:val="94"/>
              </w:rPr>
              <w:t>-0.5%</w:t>
            </w:r>
          </w:p>
        </w:tc>
        <w:tc>
          <w:tcPr>
            <w:tcW w:w="800" w:type="dxa"/>
            <w:vAlign w:val="bottom"/>
          </w:tcPr>
          <w:p>
            <w:pPr>
              <w:jc w:val="center"/>
              <w:ind w:left="298"/>
              <w:spacing w:after="0" w:line="139" w:lineRule="exact"/>
              <w:rPr>
                <w:sz w:val="20"/>
                <w:szCs w:val="20"/>
                <w:color w:val="auto"/>
              </w:rPr>
            </w:pPr>
            <w:r>
              <w:rPr>
                <w:rFonts w:ascii="Arial" w:cs="Arial" w:eastAsia="Arial" w:hAnsi="Arial"/>
                <w:sz w:val="13"/>
                <w:szCs w:val="13"/>
                <w:b w:val="1"/>
                <w:bCs w:val="1"/>
                <w:color w:val="auto"/>
                <w:w w:val="97"/>
              </w:rPr>
              <w:t>50.4%</w:t>
            </w:r>
          </w:p>
        </w:tc>
        <w:tc>
          <w:tcPr>
            <w:tcW w:w="1440" w:type="dxa"/>
            <w:vAlign w:val="bottom"/>
          </w:tcPr>
          <w:p>
            <w:pPr>
              <w:jc w:val="center"/>
              <w:ind w:left="258"/>
              <w:spacing w:after="0" w:line="139" w:lineRule="exact"/>
              <w:rPr>
                <w:sz w:val="20"/>
                <w:szCs w:val="20"/>
                <w:color w:val="auto"/>
              </w:rPr>
            </w:pPr>
            <w:r>
              <w:rPr>
                <w:rFonts w:ascii="Arial" w:cs="Arial" w:eastAsia="Arial" w:hAnsi="Arial"/>
                <w:sz w:val="13"/>
                <w:szCs w:val="13"/>
                <w:b w:val="1"/>
                <w:bCs w:val="1"/>
                <w:color w:val="auto"/>
                <w:w w:val="97"/>
              </w:rPr>
              <w:t>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(1) Includes Demand Deposits and Saving Deposits.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QoQ our </w:t>
      </w:r>
      <w:r>
        <w:rPr>
          <w:rFonts w:ascii="Arial" w:cs="Arial" w:eastAsia="Arial" w:hAnsi="Arial"/>
          <w:sz w:val="18"/>
          <w:szCs w:val="18"/>
          <w:b w:val="1"/>
          <w:bCs w:val="1"/>
          <w:color w:val="auto"/>
        </w:rPr>
        <w:t>Total Deposit</w:t>
      </w:r>
      <w:r>
        <w:rPr>
          <w:rFonts w:ascii="Arial" w:cs="Arial" w:eastAsia="Arial" w:hAnsi="Arial"/>
          <w:sz w:val="18"/>
          <w:szCs w:val="18"/>
          <w:color w:val="auto"/>
        </w:rPr>
        <w:t xml:space="preserve"> balance rose 0.1%, driven primarily by:</w:t>
      </w:r>
    </w:p>
    <w:p>
      <w:pPr>
        <w:spacing w:after="0" w:line="212" w:lineRule="exact"/>
        <w:rPr>
          <w:sz w:val="20"/>
          <w:szCs w:val="20"/>
          <w:color w:val="auto"/>
        </w:rPr>
      </w:pPr>
    </w:p>
    <w:p>
      <w:pPr>
        <w:jc w:val="both"/>
        <w:ind w:left="660" w:hanging="328"/>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3.0% growth in the balance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which was fueled mainly by corporate clients at BCP and in FC in the context of high-interest rates. It is important to note that BCP reported a more significant increase in its balance QoQ than that registered by the financial system.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w:t>
      </w:r>
    </w:p>
    <w:p>
      <w:pPr>
        <w:spacing w:after="0" w:line="212" w:lineRule="exact"/>
        <w:rPr>
          <w:sz w:val="20"/>
          <w:szCs w:val="20"/>
          <w:color w:val="auto"/>
        </w:rPr>
      </w:pPr>
    </w:p>
    <w:p>
      <w:pPr>
        <w:ind w:left="660" w:hanging="328"/>
        <w:spacing w:after="0" w:line="24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1.8% reduction in </w:t>
      </w:r>
      <w:r>
        <w:rPr>
          <w:rFonts w:ascii="Arial" w:cs="Arial" w:eastAsia="Arial" w:hAnsi="Arial"/>
          <w:sz w:val="18"/>
          <w:szCs w:val="18"/>
          <w:b w:val="1"/>
          <w:bCs w:val="1"/>
          <w:color w:val="auto"/>
        </w:rPr>
        <w:t>Demand Deposits</w:t>
      </w:r>
      <w:r>
        <w:rPr>
          <w:rFonts w:ascii="Arial" w:cs="Arial" w:eastAsia="Arial" w:hAnsi="Arial"/>
          <w:sz w:val="18"/>
          <w:szCs w:val="18"/>
          <w:color w:val="auto"/>
        </w:rPr>
        <w:t>. This decrease was driven by a drop in deposits in FC and LC by corporate and institutional clients at BCP, which sought to increase their interest rate yields via shifts to remunerated accounts.</w:t>
      </w:r>
    </w:p>
    <w:p>
      <w:pPr>
        <w:ind w:left="660" w:right="5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0.3% reduction in the balance for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given that in 4Q23; the level was elevated in comparative terms due to statutory bonus payments in the month of December.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YoY, </w:t>
      </w:r>
      <w:r>
        <w:rPr>
          <w:rFonts w:ascii="Arial" w:cs="Arial" w:eastAsia="Arial" w:hAnsi="Arial"/>
          <w:sz w:val="18"/>
          <w:szCs w:val="18"/>
          <w:b w:val="1"/>
          <w:bCs w:val="1"/>
          <w:color w:val="auto"/>
        </w:rPr>
        <w:t>Total Deposits</w:t>
      </w:r>
      <w:r>
        <w:rPr>
          <w:rFonts w:ascii="Arial" w:cs="Arial" w:eastAsia="Arial" w:hAnsi="Arial"/>
          <w:sz w:val="18"/>
          <w:szCs w:val="18"/>
          <w:color w:val="auto"/>
        </w:rPr>
        <w:t xml:space="preserve"> fell 0.5% (+0.1%, FX neutral). The following dynamics stood out:</w:t>
      </w:r>
    </w:p>
    <w:p>
      <w:pPr>
        <w:spacing w:after="0" w:line="212" w:lineRule="exact"/>
        <w:rPr>
          <w:sz w:val="20"/>
          <w:szCs w:val="20"/>
          <w:color w:val="auto"/>
        </w:rPr>
      </w:pPr>
    </w:p>
    <w:p>
      <w:pPr>
        <w:ind w:left="660" w:right="20" w:hanging="328"/>
        <w:spacing w:after="0" w:line="24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Growth of 1.3% (+2.0%, FX neutral) in the balance for </w:t>
      </w:r>
      <w:r>
        <w:rPr>
          <w:rFonts w:ascii="Arial" w:cs="Arial" w:eastAsia="Arial" w:hAnsi="Arial"/>
          <w:sz w:val="18"/>
          <w:szCs w:val="18"/>
          <w:b w:val="1"/>
          <w:bCs w:val="1"/>
          <w:color w:val="auto"/>
        </w:rPr>
        <w:t>Time Deposits</w:t>
      </w:r>
      <w:r>
        <w:rPr>
          <w:rFonts w:ascii="Arial" w:cs="Arial" w:eastAsia="Arial" w:hAnsi="Arial"/>
          <w:sz w:val="18"/>
          <w:szCs w:val="18"/>
          <w:color w:val="auto"/>
        </w:rPr>
        <w:t>, which was driven primarily by wholesale clients at BCP, which shifted funds to higher-yield deposits in FC. This dynamic was also seen, albeit to a lesser degree, among Mibanco’s clients.</w:t>
      </w:r>
    </w:p>
    <w:p>
      <w:pPr>
        <w:ind w:left="660" w:right="2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0.2% drop (+0.4%, FX neutral) in the balance for </w:t>
      </w:r>
      <w:r>
        <w:rPr>
          <w:rFonts w:ascii="Arial" w:cs="Arial" w:eastAsia="Arial" w:hAnsi="Arial"/>
          <w:sz w:val="18"/>
          <w:szCs w:val="18"/>
          <w:b w:val="1"/>
          <w:bCs w:val="1"/>
          <w:color w:val="auto"/>
        </w:rPr>
        <w:t>Demand Deposits</w:t>
      </w:r>
      <w:r>
        <w:rPr>
          <w:rFonts w:ascii="Arial" w:cs="Arial" w:eastAsia="Arial" w:hAnsi="Arial"/>
          <w:sz w:val="18"/>
          <w:szCs w:val="18"/>
          <w:color w:val="auto"/>
        </w:rPr>
        <w:t>, which was fueled mainly by an uptick in the FC balance at BCP via corporate and institutional clients.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w:t>
      </w:r>
    </w:p>
    <w:p>
      <w:pPr>
        <w:spacing w:after="0" w:line="212" w:lineRule="exact"/>
        <w:rPr>
          <w:sz w:val="20"/>
          <w:szCs w:val="20"/>
          <w:color w:val="auto"/>
        </w:rPr>
      </w:pPr>
    </w:p>
    <w:p>
      <w:pPr>
        <w:ind w:left="660" w:right="8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2.2% reduction in the balance for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(-1.7%, FX neutral), which was driven primarily by a drop in deposits in FC at BCP and, to a lesser extent, at Mibanco. This decrease was mainly driven by internal fund migration to higher-yield deposits.</w:t>
      </w:r>
    </w:p>
    <w:p>
      <w:pPr>
        <w:spacing w:after="0" w:line="153"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7.1% reduction in the balance for </w:t>
      </w:r>
      <w:r>
        <w:rPr>
          <w:rFonts w:ascii="Arial" w:cs="Arial" w:eastAsia="Arial" w:hAnsi="Arial"/>
          <w:sz w:val="18"/>
          <w:szCs w:val="18"/>
          <w:b w:val="1"/>
          <w:bCs w:val="1"/>
          <w:color w:val="auto"/>
        </w:rPr>
        <w:t>Severance Indemnity Deposits</w:t>
      </w:r>
      <w:r>
        <w:rPr>
          <w:rFonts w:ascii="Arial" w:cs="Arial" w:eastAsia="Arial" w:hAnsi="Arial"/>
          <w:sz w:val="18"/>
          <w:szCs w:val="18"/>
          <w:color w:val="auto"/>
        </w:rPr>
        <w:t xml:space="preserve"> (-6.8%, FX neutral), after a government mandate to provide full access to funds kicked in and clients drew down accounts in LC and FC to cover liquidity needs.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1" w:name="page22"/>
    <w:bookmarkEnd w:id="21"/>
    <w:p>
      <w:pPr>
        <w:jc w:val="right"/>
        <w:ind w:right="240"/>
        <w:spacing w:after="0"/>
        <w:tabs>
          <w:tab w:leader="none" w:pos="8020" w:val="left"/>
          <w:tab w:leader="none" w:pos="36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02. Deposits</w:t>
      </w:r>
    </w:p>
    <w:p>
      <w:pPr>
        <w:spacing w:after="0" w:line="31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Volumes for low-cost deposits dropped 1.0% QoQ and 1.3% YoY. Notwithstanding, these deposits continued to account for a significant portion our total deposits with a 67.4% share at quarter-end (-70 bps QoQ and -50 bps YoY).</w:t>
      </w:r>
    </w:p>
    <w:p>
      <w:pPr>
        <w:sectPr>
          <w:pgSz w:w="11900" w:h="16838" w:orient="portrait"/>
          <w:cols w:equalWidth="0" w:num="1">
            <w:col w:w="11240"/>
          </w:cols>
          <w:pgMar w:left="320" w:top="561" w:right="339" w:bottom="693"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Dollarization Level of Deposits</w:t>
      </w:r>
    </w:p>
    <w:p>
      <w:pPr>
        <w:spacing w:after="0" w:line="216"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Deposits by Currency</w:t>
      </w:r>
    </w:p>
    <w:p>
      <w:pPr>
        <w:spacing w:after="0" w:line="13" w:lineRule="exact"/>
        <w:rPr>
          <w:sz w:val="20"/>
          <w:szCs w:val="20"/>
          <w:color w:val="auto"/>
        </w:rPr>
      </w:pPr>
    </w:p>
    <w:p>
      <w:pPr>
        <w:jc w:val="right"/>
        <w:ind w:right="860"/>
        <w:spacing w:after="0"/>
        <w:rPr>
          <w:sz w:val="20"/>
          <w:szCs w:val="20"/>
          <w:color w:val="auto"/>
        </w:rPr>
      </w:pPr>
      <w:r>
        <w:rPr>
          <w:rFonts w:ascii="Arial" w:cs="Arial" w:eastAsia="Arial" w:hAnsi="Arial"/>
          <w:sz w:val="13"/>
          <w:szCs w:val="13"/>
          <w:color w:val="auto"/>
        </w:rPr>
        <w:t>(measured at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2537460" cy="1449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746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At the end of March 2023, the dollarization level of Total Deposits rose 50 bps QoQ to stand at 49.6%, which was below the average for the last 2 years (50.2%). This growth was primarily attributable to </w:t>
      </w:r>
      <w:r>
        <w:rPr>
          <w:rFonts w:ascii="Arial" w:cs="Arial" w:eastAsia="Arial" w:hAnsi="Arial"/>
          <w:sz w:val="18"/>
          <w:szCs w:val="18"/>
          <w:b w:val="1"/>
          <w:bCs w:val="1"/>
          <w:color w:val="auto"/>
        </w:rPr>
        <w:t>Time Deposits</w:t>
      </w:r>
      <w:r>
        <w:rPr>
          <w:rFonts w:ascii="Arial" w:cs="Arial" w:eastAsia="Arial" w:hAnsi="Arial"/>
          <w:sz w:val="18"/>
          <w:szCs w:val="18"/>
          <w:color w:val="auto"/>
        </w:rPr>
        <w:t>, which registered higher growth in FC balances than in LC balances after corporate and institutional clients sought out higher-yield alternatives for available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YoY, the dollarization level fell 10 bps, driven primarily by a drop in balances for:</w:t>
      </w:r>
    </w:p>
    <w:p>
      <w:pPr>
        <w:spacing w:after="0" w:line="14" w:lineRule="exact"/>
        <w:rPr>
          <w:sz w:val="20"/>
          <w:szCs w:val="20"/>
          <w:color w:val="auto"/>
        </w:rPr>
      </w:pPr>
    </w:p>
    <w:p>
      <w:pPr>
        <w:jc w:val="both"/>
        <w:ind w:firstLine="6"/>
        <w:spacing w:after="0" w:line="242"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in FC (-6.7%), after funds migrated to higher-yield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(ii) </w:t>
      </w:r>
      <w:r>
        <w:rPr>
          <w:rFonts w:ascii="Arial" w:cs="Arial" w:eastAsia="Arial" w:hAnsi="Arial"/>
          <w:sz w:val="18"/>
          <w:szCs w:val="18"/>
          <w:b w:val="1"/>
          <w:bCs w:val="1"/>
          <w:color w:val="auto"/>
        </w:rPr>
        <w:t>Severance Indemnity Deposits (</w:t>
      </w:r>
      <w:r>
        <w:rPr>
          <w:rFonts w:ascii="Arial" w:cs="Arial" w:eastAsia="Arial" w:hAnsi="Arial"/>
          <w:sz w:val="18"/>
          <w:szCs w:val="18"/>
          <w:color w:val="auto"/>
        </w:rPr>
        <w:t>-13.3%) in FC, after clients drew down their funds to cover liquidity needs.</w:t>
      </w:r>
    </w:p>
    <w:p>
      <w:pPr>
        <w:spacing w:after="0" w:line="200" w:lineRule="exact"/>
        <w:rPr>
          <w:sz w:val="20"/>
          <w:szCs w:val="20"/>
          <w:color w:val="auto"/>
        </w:rPr>
      </w:pPr>
    </w:p>
    <w:p>
      <w:pPr>
        <w:sectPr>
          <w:pgSz w:w="11900" w:h="16838" w:orient="portrait"/>
          <w:cols w:equalWidth="0" w:num="2">
            <w:col w:w="4000" w:space="720"/>
            <w:col w:w="6520"/>
          </w:cols>
          <w:pgMar w:left="320" w:top="561" w:right="339" w:bottom="6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Deposits by Currency and Type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(measured at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131445</wp:posOffset>
            </wp:positionV>
            <wp:extent cx="6000750" cy="1440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0075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 Deposit Ratio (L/D ratio)</w:t>
      </w:r>
    </w:p>
    <w:p>
      <w:pPr>
        <w:spacing w:after="0" w:line="207" w:lineRule="exact"/>
        <w:rPr>
          <w:sz w:val="20"/>
          <w:szCs w:val="20"/>
          <w:color w:val="auto"/>
        </w:rPr>
      </w:pPr>
    </w:p>
    <w:p>
      <w:pPr>
        <w:ind w:left="4720" w:right="20"/>
        <w:spacing w:after="0" w:line="247" w:lineRule="auto"/>
        <w:rPr>
          <w:sz w:val="20"/>
          <w:szCs w:val="20"/>
          <w:color w:val="auto"/>
        </w:rPr>
      </w:pPr>
      <w:r>
        <w:rPr>
          <w:rFonts w:ascii="Arial" w:cs="Arial" w:eastAsia="Arial" w:hAnsi="Arial"/>
          <w:sz w:val="18"/>
          <w:szCs w:val="18"/>
          <w:color w:val="auto"/>
        </w:rPr>
        <w:t>QoQ, the L/D ratio dropped 370 bps and 340 bps at BCP and Mibanco, respectively. These reductions were driven by a decrease in the volume of total loans after credit guidelines were tightened. In this context, BAP’s L/D stood at 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2846070" cy="128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tabs>
          <w:tab w:leader="none" w:pos="7240" w:val="left"/>
        </w:tabs>
        <w:rPr>
          <w:sz w:val="20"/>
          <w:szCs w:val="20"/>
          <w:color w:val="auto"/>
        </w:rPr>
      </w:pPr>
      <w:r>
        <w:rPr>
          <w:rFonts w:ascii="Arial" w:cs="Arial" w:eastAsia="Arial" w:hAnsi="Arial"/>
          <w:sz w:val="18"/>
          <w:szCs w:val="18"/>
          <w:b w:val="1"/>
          <w:bCs w:val="1"/>
          <w:color w:val="auto"/>
        </w:rPr>
        <w:t>L/D Ratio Local Currency</w:t>
      </w:r>
      <w:r>
        <w:rPr>
          <w:sz w:val="20"/>
          <w:szCs w:val="20"/>
          <w:color w:val="auto"/>
        </w:rPr>
        <w:tab/>
      </w:r>
      <w:r>
        <w:rPr>
          <w:rFonts w:ascii="Arial" w:cs="Arial" w:eastAsia="Arial" w:hAnsi="Arial"/>
          <w:sz w:val="17"/>
          <w:szCs w:val="17"/>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146050</wp:posOffset>
            </wp:positionV>
            <wp:extent cx="6711950" cy="1654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119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240" w:type="dxa"/>
        <w:tblCellMar>
          <w:top w:w="0" w:type="dxa"/>
          <w:left w:w="0" w:type="dxa"/>
          <w:bottom w:w="0" w:type="dxa"/>
          <w:right w:w="0" w:type="dxa"/>
        </w:tblCellMar>
      </w:tblPr>
      <w:tr>
        <w:trPr>
          <w:trHeight w:val="261"/>
        </w:trPr>
        <w:tc>
          <w:tcPr>
            <w:tcW w:w="4780" w:type="dxa"/>
            <w:vAlign w:val="bottom"/>
          </w:tcPr>
          <w:p>
            <w:pPr>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1" w:right="339" w:bottom="693" w:gutter="0" w:footer="0" w:header="0"/>
          <w:type w:val="continuous"/>
        </w:sectPr>
      </w:pPr>
    </w:p>
    <w:bookmarkStart w:id="22" w:name="page23"/>
    <w:bookmarkEnd w:id="22"/>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02. Deposits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Share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6000750" cy="2288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07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At the end of March 2024, the MS of </w:t>
      </w:r>
      <w:r>
        <w:rPr>
          <w:rFonts w:ascii="Arial" w:cs="Arial" w:eastAsia="Arial" w:hAnsi="Arial"/>
          <w:sz w:val="18"/>
          <w:szCs w:val="18"/>
          <w:b w:val="1"/>
          <w:bCs w:val="1"/>
          <w:color w:val="auto"/>
        </w:rPr>
        <w:t>Total Deposits</w:t>
      </w:r>
      <w:r>
        <w:rPr>
          <w:rFonts w:ascii="Arial" w:cs="Arial" w:eastAsia="Arial" w:hAnsi="Arial"/>
          <w:sz w:val="18"/>
          <w:szCs w:val="18"/>
          <w:color w:val="auto"/>
        </w:rPr>
        <w:t xml:space="preserve"> at BCP and Mibanco in Peru stood at 31.1% and 2.5% (-132 bps and +0 pbs vs March 2023) respectively. With this figure, BCP continued to lead the market.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balance reported by the financial system for low-cost deposits rose in YoY terms. BCP reported a reduction of 1.0%. This decline was primarily driven by a drop in balances for Savings Accounts, which was partially offset by growth in the balance for Demand Deposits. In this context, BCP continued to lead the low-cost deposit market with an MS of 38.8% at the end of March 2024 (-172 bps vs March 2023).</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financial system reported an +8.1% increase in its balance for Time Deposits vs March 2023; BCP, also registered growth, albeit more moderate, of +6.5% vs March 23. In this context, BCP’s market share fell 28 bps to stand at 18.8% at the end of March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3" w:name="page24"/>
    <w:bookmarkEnd w:id="23"/>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71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71805"/>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03 </w:t>
      </w:r>
      <w:r>
        <w:rPr>
          <w:rFonts w:ascii="Arial" w:cs="Arial" w:eastAsia="Arial" w:hAnsi="Arial"/>
          <w:sz w:val="32"/>
          <w:szCs w:val="32"/>
          <w:color w:val="E93BAB"/>
        </w:rPr>
        <w:t>Interest-Earning Assets (IEAs)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165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335"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color w:val="FFFFFF"/>
        </w:rPr>
        <w:t>In 1Q24, IEAs grew 0.6%. This evolution was mainly fueled by Cash and due from banks, which registered an uptick after liquidity levels in both FC and LC rose in a less active lending context. Higher balances of liquid funds were capitalized mainly through BCRP overnight deposits, and to a lesser extent, via BCRP Certificates of deposit (BCRP CDs). Funding rose 0.4% QoQ, mainly due to an increase in Bonds and notes issued.</w:t>
      </w:r>
    </w:p>
    <w:p>
      <w:pPr>
        <w:spacing w:after="0" w:line="160"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FFFFFF"/>
        </w:rPr>
        <w:t>YoY, the investment balance rose, driven by a strategy to capitalize on surpluses and extend asset durations through sovereign bonds and by an increase in the balance of BCRP CDs. Funding increased slightly (+0.4% YoY), fueled primarily by an increase in the balance of Bonds and notes issued, and despite a drop in balances for Deposits and BCRP Instruments.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IEAs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640" w:type="dxa"/>
            <w:vAlign w:val="bottom"/>
            <w:tcBorders>
              <w:top w:val="single" w:sz="8" w:color="auto"/>
              <w:left w:val="single" w:sz="8" w:color="auto"/>
              <w:right w:val="single" w:sz="8" w:color="auto"/>
            </w:tcBorders>
            <w:shd w:val="clear" w:color="auto" w:fill="2AD2C9"/>
          </w:tcPr>
          <w:p>
            <w:pPr>
              <w:ind w:left="60"/>
              <w:spacing w:after="0" w:line="168" w:lineRule="exact"/>
              <w:rPr>
                <w:sz w:val="20"/>
                <w:szCs w:val="20"/>
                <w:color w:val="auto"/>
              </w:rPr>
            </w:pPr>
            <w:r>
              <w:rPr>
                <w:rFonts w:ascii="Arial" w:cs="Arial" w:eastAsia="Arial" w:hAnsi="Arial"/>
                <w:sz w:val="16"/>
                <w:szCs w:val="16"/>
                <w:b w:val="1"/>
                <w:bCs w:val="1"/>
                <w:color w:val="FFFFFF"/>
              </w:rPr>
              <w:t>Interest Earning Assets</w:t>
            </w:r>
          </w:p>
        </w:tc>
        <w:tc>
          <w:tcPr>
            <w:tcW w:w="1180" w:type="dxa"/>
            <w:vAlign w:val="bottom"/>
            <w:tcBorders>
              <w:top w:val="single" w:sz="8" w:color="auto"/>
            </w:tcBorders>
            <w:shd w:val="clear" w:color="auto" w:fill="2AD2C9"/>
          </w:tcPr>
          <w:p>
            <w:pPr>
              <w:spacing w:after="0"/>
              <w:rPr>
                <w:sz w:val="14"/>
                <w:szCs w:val="14"/>
                <w:color w:val="auto"/>
              </w:rPr>
            </w:pPr>
          </w:p>
        </w:tc>
        <w:tc>
          <w:tcPr>
            <w:tcW w:w="1120" w:type="dxa"/>
            <w:vAlign w:val="bottom"/>
            <w:tcBorders>
              <w:top w:val="single" w:sz="8" w:color="auto"/>
            </w:tcBorders>
            <w:shd w:val="clear" w:color="auto" w:fill="2AD2C9"/>
          </w:tcPr>
          <w:p>
            <w:pPr>
              <w:jc w:val="right"/>
              <w:ind w:right="339"/>
              <w:spacing w:after="0" w:line="168" w:lineRule="exact"/>
              <w:rPr>
                <w:sz w:val="20"/>
                <w:szCs w:val="20"/>
                <w:color w:val="auto"/>
              </w:rPr>
            </w:pPr>
            <w:r>
              <w:rPr>
                <w:rFonts w:ascii="Arial" w:cs="Arial" w:eastAsia="Arial" w:hAnsi="Arial"/>
                <w:sz w:val="16"/>
                <w:szCs w:val="16"/>
                <w:b w:val="1"/>
                <w:bCs w:val="1"/>
                <w:color w:val="FFFFFF"/>
              </w:rPr>
              <w:t>As of</w:t>
            </w:r>
          </w:p>
        </w:tc>
        <w:tc>
          <w:tcPr>
            <w:tcW w:w="1060" w:type="dxa"/>
            <w:vAlign w:val="bottom"/>
            <w:tcBorders>
              <w:top w:val="single" w:sz="8" w:color="auto"/>
              <w:right w:val="single" w:sz="8" w:color="auto"/>
            </w:tcBorders>
            <w:shd w:val="clear" w:color="auto" w:fill="2AD2C9"/>
          </w:tcPr>
          <w:p>
            <w:pPr>
              <w:spacing w:after="0"/>
              <w:rPr>
                <w:sz w:val="14"/>
                <w:szCs w:val="14"/>
                <w:color w:val="auto"/>
              </w:rPr>
            </w:pPr>
          </w:p>
        </w:tc>
        <w:tc>
          <w:tcPr>
            <w:tcW w:w="1500" w:type="dxa"/>
            <w:vAlign w:val="bottom"/>
            <w:tcBorders>
              <w:top w:val="single" w:sz="8" w:color="auto"/>
            </w:tcBorders>
            <w:shd w:val="clear" w:color="auto" w:fill="2AD2C9"/>
          </w:tcPr>
          <w:p>
            <w:pPr>
              <w:jc w:val="right"/>
              <w:spacing w:after="0" w:line="168" w:lineRule="exact"/>
              <w:rPr>
                <w:sz w:val="20"/>
                <w:szCs w:val="20"/>
                <w:color w:val="auto"/>
              </w:rPr>
            </w:pPr>
            <w:r>
              <w:rPr>
                <w:rFonts w:ascii="Arial" w:cs="Arial" w:eastAsia="Arial" w:hAnsi="Arial"/>
                <w:sz w:val="16"/>
                <w:szCs w:val="16"/>
                <w:b w:val="1"/>
                <w:bCs w:val="1"/>
                <w:color w:val="FFFFFF"/>
              </w:rPr>
              <w:t>% change</w:t>
            </w:r>
          </w:p>
        </w:tc>
        <w:tc>
          <w:tcPr>
            <w:tcW w:w="740" w:type="dxa"/>
            <w:vAlign w:val="bottom"/>
            <w:tcBorders>
              <w:top w:val="single" w:sz="8" w:color="auto"/>
              <w:right w:val="single" w:sz="8" w:color="auto"/>
            </w:tcBorders>
            <w:shd w:val="clear" w:color="auto" w:fill="2AD2C9"/>
          </w:tcPr>
          <w:p>
            <w:pPr>
              <w:spacing w:after="0"/>
              <w:rPr>
                <w:sz w:val="14"/>
                <w:szCs w:val="14"/>
                <w:color w:val="auto"/>
              </w:rPr>
            </w:pPr>
          </w:p>
        </w:tc>
      </w:tr>
      <w:tr>
        <w:trPr>
          <w:trHeight w:val="203"/>
        </w:trPr>
        <w:tc>
          <w:tcPr>
            <w:tcW w:w="56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6"/>
                <w:szCs w:val="16"/>
                <w:b w:val="1"/>
                <w:bCs w:val="1"/>
                <w:color w:val="FFFFFF"/>
              </w:rPr>
              <w:t>S/000</w:t>
            </w:r>
          </w:p>
        </w:tc>
        <w:tc>
          <w:tcPr>
            <w:tcW w:w="1180" w:type="dxa"/>
            <w:vAlign w:val="bottom"/>
            <w:tcBorders>
              <w:bottom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Mar 23</w:t>
            </w:r>
          </w:p>
        </w:tc>
        <w:tc>
          <w:tcPr>
            <w:tcW w:w="1120" w:type="dxa"/>
            <w:vAlign w:val="bottom"/>
            <w:tcBorders>
              <w:bottom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Dec 23</w:t>
            </w:r>
          </w:p>
        </w:tc>
        <w:tc>
          <w:tcPr>
            <w:tcW w:w="1060" w:type="dxa"/>
            <w:vAlign w:val="bottom"/>
            <w:tcBorders>
              <w:bottom w:val="single" w:sz="8" w:color="auto"/>
              <w:right w:val="single" w:sz="8" w:color="auto"/>
            </w:tcBorders>
            <w:shd w:val="clear" w:color="auto" w:fill="2AD2C9"/>
          </w:tcPr>
          <w:p>
            <w:pPr>
              <w:jc w:val="right"/>
              <w:ind w:right="239"/>
              <w:spacing w:after="0"/>
              <w:rPr>
                <w:sz w:val="20"/>
                <w:szCs w:val="20"/>
                <w:color w:val="auto"/>
              </w:rPr>
            </w:pPr>
            <w:r>
              <w:rPr>
                <w:rFonts w:ascii="Arial" w:cs="Arial" w:eastAsia="Arial" w:hAnsi="Arial"/>
                <w:sz w:val="16"/>
                <w:szCs w:val="16"/>
                <w:b w:val="1"/>
                <w:bCs w:val="1"/>
                <w:color w:val="FFFFFF"/>
              </w:rPr>
              <w:t>Mar 24</w:t>
            </w:r>
          </w:p>
        </w:tc>
        <w:tc>
          <w:tcPr>
            <w:tcW w:w="1500" w:type="dxa"/>
            <w:vAlign w:val="bottom"/>
            <w:tcBorders>
              <w:bottom w:val="single" w:sz="8" w:color="auto"/>
            </w:tcBorders>
            <w:shd w:val="clear" w:color="auto" w:fill="2AD2C9"/>
          </w:tcPr>
          <w:p>
            <w:pPr>
              <w:jc w:val="right"/>
              <w:ind w:right="699"/>
              <w:spacing w:after="0"/>
              <w:rPr>
                <w:sz w:val="20"/>
                <w:szCs w:val="20"/>
                <w:color w:val="auto"/>
              </w:rPr>
            </w:pPr>
            <w:r>
              <w:rPr>
                <w:rFonts w:ascii="Arial" w:cs="Arial" w:eastAsia="Arial" w:hAnsi="Arial"/>
                <w:sz w:val="16"/>
                <w:szCs w:val="16"/>
                <w:b w:val="1"/>
                <w:bCs w:val="1"/>
                <w:color w:val="FFFFFF"/>
              </w:rPr>
              <w:t>QoQ</w:t>
            </w:r>
          </w:p>
        </w:tc>
        <w:tc>
          <w:tcPr>
            <w:tcW w:w="740" w:type="dxa"/>
            <w:vAlign w:val="bottom"/>
            <w:tcBorders>
              <w:bottom w:val="single" w:sz="8" w:color="auto"/>
              <w:right w:val="single" w:sz="8" w:color="auto"/>
            </w:tcBorders>
            <w:shd w:val="clear" w:color="auto" w:fill="2AD2C9"/>
          </w:tcPr>
          <w:p>
            <w:pPr>
              <w:jc w:val="right"/>
              <w:ind w:right="339"/>
              <w:spacing w:after="0"/>
              <w:rPr>
                <w:sz w:val="20"/>
                <w:szCs w:val="20"/>
                <w:color w:val="auto"/>
              </w:rPr>
            </w:pPr>
            <w:r>
              <w:rPr>
                <w:rFonts w:ascii="Arial" w:cs="Arial" w:eastAsia="Arial" w:hAnsi="Arial"/>
                <w:sz w:val="16"/>
                <w:szCs w:val="16"/>
                <w:b w:val="1"/>
                <w:bCs w:val="1"/>
                <w:color w:val="FFFFFF"/>
                <w:w w:val="96"/>
              </w:rPr>
              <w:t>YoY</w:t>
            </w:r>
          </w:p>
        </w:tc>
      </w:tr>
      <w:tr>
        <w:trPr>
          <w:trHeight w:val="168"/>
        </w:trPr>
        <w:tc>
          <w:tcPr>
            <w:tcW w:w="5640" w:type="dxa"/>
            <w:vAlign w:val="bottom"/>
            <w:tcBorders>
              <w:left w:val="single" w:sz="8" w:color="auto"/>
              <w:right w:val="single" w:sz="8" w:color="auto"/>
            </w:tcBorders>
          </w:tcPr>
          <w:p>
            <w:pPr>
              <w:ind w:left="60"/>
              <w:spacing w:after="0" w:line="168" w:lineRule="exact"/>
              <w:rPr>
                <w:sz w:val="20"/>
                <w:szCs w:val="20"/>
                <w:color w:val="auto"/>
              </w:rPr>
            </w:pPr>
            <w:r>
              <w:rPr>
                <w:rFonts w:ascii="Arial" w:cs="Arial" w:eastAsia="Arial" w:hAnsi="Arial"/>
                <w:sz w:val="16"/>
                <w:szCs w:val="16"/>
                <w:color w:val="auto"/>
              </w:rPr>
              <w:t>Cash and due from banks</w:t>
            </w:r>
          </w:p>
        </w:tc>
        <w:tc>
          <w:tcPr>
            <w:tcW w:w="118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28,158,941</w:t>
            </w:r>
          </w:p>
        </w:tc>
        <w:tc>
          <w:tcPr>
            <w:tcW w:w="112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25,978,577</w:t>
            </w:r>
          </w:p>
        </w:tc>
        <w:tc>
          <w:tcPr>
            <w:tcW w:w="106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31,134,572</w:t>
            </w:r>
          </w:p>
        </w:tc>
        <w:tc>
          <w:tcPr>
            <w:tcW w:w="1500" w:type="dxa"/>
            <w:vAlign w:val="bottom"/>
          </w:tcPr>
          <w:p>
            <w:pPr>
              <w:jc w:val="right"/>
              <w:ind w:right="339"/>
              <w:spacing w:after="0" w:line="168" w:lineRule="exact"/>
              <w:rPr>
                <w:sz w:val="20"/>
                <w:szCs w:val="20"/>
                <w:color w:val="auto"/>
              </w:rPr>
            </w:pPr>
            <w:r>
              <w:rPr>
                <w:rFonts w:ascii="Arial" w:cs="Arial" w:eastAsia="Arial" w:hAnsi="Arial"/>
                <w:sz w:val="16"/>
                <w:szCs w:val="16"/>
                <w:color w:val="auto"/>
              </w:rPr>
              <w:t>19.8%</w:t>
            </w:r>
          </w:p>
        </w:tc>
        <w:tc>
          <w:tcPr>
            <w:tcW w:w="740" w:type="dxa"/>
            <w:vAlign w:val="bottom"/>
            <w:tcBorders>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10.6%</w:t>
            </w:r>
          </w:p>
        </w:tc>
      </w:tr>
      <w:tr>
        <w:trPr>
          <w:trHeight w:val="189"/>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investments</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47,729,504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52,215,528</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52,555,386</w:t>
            </w: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0.7%</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189"/>
        </w:trPr>
        <w:tc>
          <w:tcPr>
            <w:tcW w:w="5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1,468,180</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1,410,647</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1,526,232</w:t>
            </w: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8.2%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loans</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145,165,713</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144,976,051</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140,798,083</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-2.9%</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83"/>
        </w:trPr>
        <w:tc>
          <w:tcPr>
            <w:tcW w:w="564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Total interest earning assets</w:t>
            </w: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222,522,338</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224,580,803</w:t>
            </w:r>
          </w:p>
        </w:tc>
        <w:tc>
          <w:tcPr>
            <w:tcW w:w="106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226,014,273</w:t>
            </w:r>
          </w:p>
        </w:tc>
        <w:tc>
          <w:tcPr>
            <w:tcW w:w="15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0.6%</w:t>
            </w:r>
          </w:p>
        </w:tc>
        <w:tc>
          <w:tcPr>
            <w:tcW w:w="740" w:type="dxa"/>
            <w:vAlign w:val="bottom"/>
            <w:tcBorders>
              <w:bottom w:val="single" w:sz="8" w:color="auto"/>
              <w:right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w:t>
            </w:r>
          </w:p>
        </w:tc>
      </w:tr>
    </w:tbl>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QoQ, IEAs rose 0.6%. Growth was driven primarily by an uptick in Cash and due from banks, which was partially offset by a drop in the loan balance. The increase registered in Cash and due from banks was spurred by an increase in liquidity at BCP, but also reflected the impact of a drop in loan disbursements over the period. Liquidity maintained in the balance sheet was capitalized primarily through BCRP deposits, registered in the Cash and due from banks account. The investment balance rose 0.7% over the period, driven by an increase in the position of BCRP Certificates of Deposits (BCRP CDs); the position in sovereign bonds, which increased significantly in previous quarters, reported no major shifts this quarter.</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YoY, IEAs increased 1.6% due to a strategy implemented last year to increase investments via government bonds to take advantage of favorable interest rates and increase the duration of IEAs. As in the case of the QoQ analysis, the recent rise in the balance for Available funds also contributed to growth in IEA YoY, albeit to a lesser extent, while loans contracted.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Funding</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9944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2AD2C9"/>
          </w:tcPr>
          <w:p>
            <w:pPr>
              <w:ind w:left="60"/>
              <w:spacing w:after="0"/>
              <w:rPr>
                <w:sz w:val="20"/>
                <w:szCs w:val="20"/>
                <w:color w:val="auto"/>
              </w:rPr>
            </w:pPr>
            <w:r>
              <w:rPr>
                <w:rFonts w:ascii="Arial" w:cs="Arial" w:eastAsia="Arial" w:hAnsi="Arial"/>
                <w:sz w:val="16"/>
                <w:szCs w:val="16"/>
                <w:b w:val="1"/>
                <w:bCs w:val="1"/>
                <w:color w:val="FFFFFF"/>
              </w:rPr>
              <w:t>Funding</w:t>
            </w:r>
          </w:p>
        </w:tc>
        <w:tc>
          <w:tcPr>
            <w:tcW w:w="1200" w:type="dxa"/>
            <w:vAlign w:val="bottom"/>
            <w:shd w:val="clear" w:color="auto" w:fill="2AD2C9"/>
          </w:tcPr>
          <w:p>
            <w:pPr>
              <w:spacing w:after="0"/>
              <w:rPr>
                <w:sz w:val="17"/>
                <w:szCs w:val="17"/>
                <w:color w:val="auto"/>
              </w:rPr>
            </w:pPr>
          </w:p>
        </w:tc>
        <w:tc>
          <w:tcPr>
            <w:tcW w:w="1120" w:type="dxa"/>
            <w:vAlign w:val="bottom"/>
            <w:shd w:val="clear" w:color="auto" w:fill="2AD2C9"/>
          </w:tcPr>
          <w:p>
            <w:pPr>
              <w:jc w:val="right"/>
              <w:ind w:right="339"/>
              <w:spacing w:after="0"/>
              <w:rPr>
                <w:sz w:val="20"/>
                <w:szCs w:val="20"/>
                <w:color w:val="auto"/>
              </w:rPr>
            </w:pPr>
            <w:r>
              <w:rPr>
                <w:rFonts w:ascii="Arial" w:cs="Arial" w:eastAsia="Arial" w:hAnsi="Arial"/>
                <w:sz w:val="16"/>
                <w:szCs w:val="16"/>
                <w:b w:val="1"/>
                <w:bCs w:val="1"/>
                <w:color w:val="FFFFFF"/>
              </w:rPr>
              <w:t>As of</w:t>
            </w:r>
          </w:p>
        </w:tc>
        <w:tc>
          <w:tcPr>
            <w:tcW w:w="1220" w:type="dxa"/>
            <w:vAlign w:val="bottom"/>
            <w:shd w:val="clear" w:color="auto" w:fill="2AD2C9"/>
          </w:tcPr>
          <w:p>
            <w:pPr>
              <w:spacing w:after="0"/>
              <w:rPr>
                <w:sz w:val="17"/>
                <w:szCs w:val="17"/>
                <w:color w:val="auto"/>
              </w:rPr>
            </w:pPr>
          </w:p>
        </w:tc>
        <w:tc>
          <w:tcPr>
            <w:tcW w:w="1340" w:type="dxa"/>
            <w:vAlign w:val="bottom"/>
            <w:shd w:val="clear" w:color="auto" w:fill="2AD2C9"/>
          </w:tcPr>
          <w:p>
            <w:pPr>
              <w:jc w:val="right"/>
              <w:spacing w:after="0"/>
              <w:rPr>
                <w:sz w:val="20"/>
                <w:szCs w:val="20"/>
                <w:color w:val="auto"/>
              </w:rPr>
            </w:pPr>
            <w:r>
              <w:rPr>
                <w:rFonts w:ascii="Arial" w:cs="Arial" w:eastAsia="Arial" w:hAnsi="Arial"/>
                <w:sz w:val="16"/>
                <w:szCs w:val="16"/>
                <w:b w:val="1"/>
                <w:bCs w:val="1"/>
                <w:color w:val="FFFFFF"/>
              </w:rPr>
              <w:t>% change</w:t>
            </w:r>
          </w:p>
        </w:tc>
        <w:tc>
          <w:tcPr>
            <w:tcW w:w="720" w:type="dxa"/>
            <w:vAlign w:val="bottom"/>
            <w:shd w:val="clear" w:color="auto" w:fill="2AD2C9"/>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562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6"/>
                <w:szCs w:val="16"/>
                <w:b w:val="1"/>
                <w:bCs w:val="1"/>
                <w:color w:val="FFFFFF"/>
              </w:rPr>
              <w:t>S/000</w:t>
            </w:r>
          </w:p>
        </w:tc>
        <w:tc>
          <w:tcPr>
            <w:tcW w:w="1200" w:type="dxa"/>
            <w:vAlign w:val="bottom"/>
            <w:tcBorders>
              <w:bottom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Mar 23</w:t>
            </w:r>
          </w:p>
        </w:tc>
        <w:tc>
          <w:tcPr>
            <w:tcW w:w="1120" w:type="dxa"/>
            <w:vAlign w:val="bottom"/>
            <w:tcBorders>
              <w:bottom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Dec 23</w:t>
            </w:r>
          </w:p>
        </w:tc>
        <w:tc>
          <w:tcPr>
            <w:tcW w:w="1220" w:type="dxa"/>
            <w:vAlign w:val="bottom"/>
            <w:tcBorders>
              <w:bottom w:val="single" w:sz="8" w:color="auto"/>
            </w:tcBorders>
            <w:shd w:val="clear" w:color="auto" w:fill="2AD2C9"/>
          </w:tcPr>
          <w:p>
            <w:pPr>
              <w:jc w:val="right"/>
              <w:ind w:right="399"/>
              <w:spacing w:after="0"/>
              <w:rPr>
                <w:sz w:val="20"/>
                <w:szCs w:val="20"/>
                <w:color w:val="auto"/>
              </w:rPr>
            </w:pPr>
            <w:r>
              <w:rPr>
                <w:rFonts w:ascii="Arial" w:cs="Arial" w:eastAsia="Arial" w:hAnsi="Arial"/>
                <w:sz w:val="16"/>
                <w:szCs w:val="16"/>
                <w:b w:val="1"/>
                <w:bCs w:val="1"/>
                <w:color w:val="FFFFFF"/>
              </w:rPr>
              <w:t>Mar 24</w:t>
            </w:r>
          </w:p>
        </w:tc>
        <w:tc>
          <w:tcPr>
            <w:tcW w:w="1340" w:type="dxa"/>
            <w:vAlign w:val="bottom"/>
            <w:tcBorders>
              <w:bottom w:val="single" w:sz="8" w:color="auto"/>
            </w:tcBorders>
            <w:shd w:val="clear" w:color="auto" w:fill="2AD2C9"/>
          </w:tcPr>
          <w:p>
            <w:pPr>
              <w:jc w:val="right"/>
              <w:ind w:right="699"/>
              <w:spacing w:after="0"/>
              <w:rPr>
                <w:sz w:val="20"/>
                <w:szCs w:val="20"/>
                <w:color w:val="auto"/>
              </w:rPr>
            </w:pPr>
            <w:r>
              <w:rPr>
                <w:rFonts w:ascii="Arial" w:cs="Arial" w:eastAsia="Arial" w:hAnsi="Arial"/>
                <w:sz w:val="16"/>
                <w:szCs w:val="16"/>
                <w:b w:val="1"/>
                <w:bCs w:val="1"/>
                <w:color w:val="FFFFFF"/>
              </w:rPr>
              <w:t>QoQ</w:t>
            </w:r>
          </w:p>
        </w:tc>
        <w:tc>
          <w:tcPr>
            <w:tcW w:w="720" w:type="dxa"/>
            <w:vAlign w:val="bottom"/>
            <w:tcBorders>
              <w:bottom w:val="single" w:sz="8" w:color="auto"/>
            </w:tcBorders>
            <w:shd w:val="clear" w:color="auto" w:fill="2AD2C9"/>
          </w:tcPr>
          <w:p>
            <w:pPr>
              <w:jc w:val="right"/>
              <w:ind w:right="319"/>
              <w:spacing w:after="0"/>
              <w:rPr>
                <w:sz w:val="20"/>
                <w:szCs w:val="20"/>
                <w:color w:val="auto"/>
              </w:rPr>
            </w:pPr>
            <w:r>
              <w:rPr>
                <w:rFonts w:ascii="Arial" w:cs="Arial" w:eastAsia="Arial" w:hAnsi="Arial"/>
                <w:sz w:val="16"/>
                <w:szCs w:val="16"/>
                <w:b w:val="1"/>
                <w:bCs w:val="1"/>
                <w:color w:val="FFFFFF"/>
                <w:w w:val="96"/>
              </w:rPr>
              <w:t>YoY</w:t>
            </w:r>
          </w:p>
        </w:tc>
        <w:tc>
          <w:tcPr>
            <w:tcW w:w="20" w:type="dxa"/>
            <w:vAlign w:val="bottom"/>
            <w:tcBorders>
              <w:bottom w:val="single" w:sz="8" w:color="auto"/>
            </w:tcBorders>
          </w:tcPr>
          <w:p>
            <w:pPr>
              <w:spacing w:after="0"/>
              <w:rPr>
                <w:sz w:val="16"/>
                <w:szCs w:val="16"/>
                <w:color w:val="auto"/>
              </w:rPr>
            </w:pPr>
          </w:p>
        </w:tc>
      </w:tr>
      <w:tr>
        <w:trPr>
          <w:trHeight w:val="168"/>
        </w:trPr>
        <w:tc>
          <w:tcPr>
            <w:tcW w:w="5620" w:type="dxa"/>
            <w:vAlign w:val="bottom"/>
          </w:tcPr>
          <w:p>
            <w:pPr>
              <w:ind w:left="60"/>
              <w:spacing w:after="0" w:line="168" w:lineRule="exact"/>
              <w:rPr>
                <w:sz w:val="20"/>
                <w:szCs w:val="20"/>
                <w:color w:val="auto"/>
              </w:rPr>
            </w:pPr>
            <w:r>
              <w:rPr>
                <w:rFonts w:ascii="Arial" w:cs="Arial" w:eastAsia="Arial" w:hAnsi="Arial"/>
                <w:sz w:val="16"/>
                <w:szCs w:val="16"/>
                <w:color w:val="auto"/>
              </w:rPr>
              <w:t>Deposits and obligations</w:t>
            </w:r>
          </w:p>
        </w:tc>
        <w:tc>
          <w:tcPr>
            <w:tcW w:w="120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148,623,300</w:t>
            </w:r>
          </w:p>
        </w:tc>
        <w:tc>
          <w:tcPr>
            <w:tcW w:w="112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147,704,994</w:t>
            </w:r>
          </w:p>
        </w:tc>
        <w:tc>
          <w:tcPr>
            <w:tcW w:w="1220" w:type="dxa"/>
            <w:vAlign w:val="bottom"/>
          </w:tcPr>
          <w:p>
            <w:pPr>
              <w:jc w:val="right"/>
              <w:ind w:right="139"/>
              <w:spacing w:after="0" w:line="168" w:lineRule="exact"/>
              <w:rPr>
                <w:sz w:val="20"/>
                <w:szCs w:val="20"/>
                <w:color w:val="auto"/>
              </w:rPr>
            </w:pPr>
            <w:r>
              <w:rPr>
                <w:rFonts w:ascii="Arial" w:cs="Arial" w:eastAsia="Arial" w:hAnsi="Arial"/>
                <w:sz w:val="16"/>
                <w:szCs w:val="16"/>
                <w:color w:val="auto"/>
              </w:rPr>
              <w:t>147,857,127</w:t>
            </w:r>
          </w:p>
        </w:tc>
        <w:tc>
          <w:tcPr>
            <w:tcW w:w="1340" w:type="dxa"/>
            <w:vAlign w:val="bottom"/>
          </w:tcPr>
          <w:p>
            <w:pPr>
              <w:jc w:val="right"/>
              <w:ind w:right="339"/>
              <w:spacing w:after="0" w:line="168" w:lineRule="exact"/>
              <w:rPr>
                <w:sz w:val="20"/>
                <w:szCs w:val="20"/>
                <w:color w:val="auto"/>
              </w:rPr>
            </w:pPr>
            <w:r>
              <w:rPr>
                <w:rFonts w:ascii="Arial" w:cs="Arial" w:eastAsia="Arial" w:hAnsi="Arial"/>
                <w:sz w:val="16"/>
                <w:szCs w:val="16"/>
                <w:color w:val="auto"/>
              </w:rPr>
              <w:t>0.1%</w:t>
            </w:r>
          </w:p>
        </w:tc>
        <w:tc>
          <w:tcPr>
            <w:tcW w:w="720" w:type="dxa"/>
            <w:vAlign w:val="bottom"/>
          </w:tcPr>
          <w:p>
            <w:pPr>
              <w:jc w:val="right"/>
              <w:spacing w:after="0" w:line="168" w:lineRule="exact"/>
              <w:rPr>
                <w:sz w:val="20"/>
                <w:szCs w:val="20"/>
                <w:color w:val="auto"/>
              </w:rPr>
            </w:pPr>
            <w:r>
              <w:rPr>
                <w:rFonts w:ascii="Arial" w:cs="Arial" w:eastAsia="Arial" w:hAnsi="Arial"/>
                <w:sz w:val="16"/>
                <w:szCs w:val="16"/>
                <w:color w:val="auto"/>
              </w:rPr>
              <w:t>-0.5%</w:t>
            </w:r>
          </w:p>
        </w:tc>
        <w:tc>
          <w:tcPr>
            <w:tcW w:w="20" w:type="dxa"/>
            <w:vAlign w:val="bottom"/>
          </w:tcPr>
          <w:p>
            <w:pPr>
              <w:spacing w:after="0"/>
              <w:rPr>
                <w:sz w:val="14"/>
                <w:szCs w:val="14"/>
                <w:color w:val="auto"/>
              </w:rPr>
            </w:pPr>
          </w:p>
        </w:tc>
      </w:tr>
      <w:tr>
        <w:trPr>
          <w:trHeight w:val="189"/>
        </w:trPr>
        <w:tc>
          <w:tcPr>
            <w:tcW w:w="5620" w:type="dxa"/>
            <w:vAlign w:val="bottom"/>
          </w:tcPr>
          <w:p>
            <w:pPr>
              <w:ind w:left="60"/>
              <w:spacing w:after="0"/>
              <w:rPr>
                <w:sz w:val="20"/>
                <w:szCs w:val="20"/>
                <w:color w:val="auto"/>
              </w:rPr>
            </w:pPr>
            <w:r>
              <w:rPr>
                <w:rFonts w:ascii="Arial" w:cs="Arial" w:eastAsia="Arial" w:hAnsi="Arial"/>
                <w:sz w:val="16"/>
                <w:szCs w:val="16"/>
                <w:color w:val="auto"/>
              </w:rPr>
              <w:t>Due to banks and correspondents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10,199,650</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12,278,681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10,684,673</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-13.0%</w:t>
            </w: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r>
      <w:tr>
        <w:trPr>
          <w:trHeight w:val="189"/>
        </w:trPr>
        <w:tc>
          <w:tcPr>
            <w:tcW w:w="5620" w:type="dxa"/>
            <w:vAlign w:val="bottom"/>
          </w:tcPr>
          <w:p>
            <w:pPr>
              <w:ind w:left="60"/>
              <w:spacing w:after="0"/>
              <w:rPr>
                <w:sz w:val="20"/>
                <w:szCs w:val="20"/>
                <w:color w:val="auto"/>
              </w:rPr>
            </w:pPr>
            <w:r>
              <w:rPr>
                <w:rFonts w:ascii="Arial" w:cs="Arial" w:eastAsia="Arial" w:hAnsi="Arial"/>
                <w:sz w:val="16"/>
                <w:szCs w:val="16"/>
                <w:color w:val="auto"/>
              </w:rPr>
              <w:t>BCRP instruments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9,780,540</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7,461,674</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6,854,368</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-8.1%</w:t>
            </w:r>
          </w:p>
        </w:tc>
        <w:tc>
          <w:tcPr>
            <w:tcW w:w="720" w:type="dxa"/>
            <w:vAlign w:val="bottom"/>
          </w:tcPr>
          <w:p>
            <w:pPr>
              <w:jc w:val="right"/>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6"/>
                <w:szCs w:val="16"/>
                <w:color w:val="auto"/>
              </w:rPr>
            </w:pPr>
          </w:p>
        </w:tc>
      </w:tr>
      <w:tr>
        <w:trPr>
          <w:trHeight w:val="189"/>
        </w:trPr>
        <w:tc>
          <w:tcPr>
            <w:tcW w:w="5620" w:type="dxa"/>
            <w:vAlign w:val="bottom"/>
          </w:tcPr>
          <w:p>
            <w:pPr>
              <w:ind w:left="60"/>
              <w:spacing w:after="0"/>
              <w:rPr>
                <w:sz w:val="20"/>
                <w:szCs w:val="20"/>
                <w:color w:val="auto"/>
              </w:rPr>
            </w:pPr>
            <w:r>
              <w:rPr>
                <w:rFonts w:ascii="Arial" w:cs="Arial" w:eastAsia="Arial" w:hAnsi="Arial"/>
                <w:sz w:val="16"/>
                <w:szCs w:val="16"/>
                <w:color w:val="auto"/>
              </w:rPr>
              <w:t>Repurchase agreements with clients and third parties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1,905,955</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2,706,753</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2,636,908</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-2.6%</w:t>
            </w:r>
          </w:p>
        </w:tc>
        <w:tc>
          <w:tcPr>
            <w:tcW w:w="720" w:type="dxa"/>
            <w:vAlign w:val="bottom"/>
          </w:tcPr>
          <w:p>
            <w:pPr>
              <w:jc w:val="right"/>
              <w:spacing w:after="0"/>
              <w:rPr>
                <w:sz w:val="20"/>
                <w:szCs w:val="20"/>
                <w:color w:val="auto"/>
              </w:rPr>
            </w:pPr>
            <w:r>
              <w:rPr>
                <w:rFonts w:ascii="Arial" w:cs="Arial" w:eastAsia="Arial" w:hAnsi="Arial"/>
                <w:sz w:val="16"/>
                <w:szCs w:val="16"/>
                <w:color w:val="auto"/>
              </w:rPr>
              <w:t>38.4%</w:t>
            </w:r>
          </w:p>
        </w:tc>
        <w:tc>
          <w:tcPr>
            <w:tcW w:w="20" w:type="dxa"/>
            <w:vAlign w:val="bottom"/>
          </w:tcPr>
          <w:p>
            <w:pPr>
              <w:spacing w:after="0"/>
              <w:rPr>
                <w:sz w:val="16"/>
                <w:szCs w:val="16"/>
                <w:color w:val="auto"/>
              </w:rPr>
            </w:pPr>
          </w:p>
        </w:tc>
      </w:tr>
      <w:tr>
        <w:trPr>
          <w:trHeight w:val="203"/>
        </w:trPr>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Bonds and notes issued</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14,326,930</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14,594,785</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17,541,121</w:t>
            </w: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0" w:type="dxa"/>
            <w:vAlign w:val="bottom"/>
            <w:tcBorders>
              <w:bottom w:val="single" w:sz="8" w:color="auto"/>
            </w:tcBorders>
          </w:tcPr>
          <w:p>
            <w:pPr>
              <w:spacing w:after="0"/>
              <w:rPr>
                <w:sz w:val="17"/>
                <w:szCs w:val="17"/>
                <w:color w:val="auto"/>
              </w:rPr>
            </w:pPr>
          </w:p>
        </w:tc>
      </w:tr>
      <w:tr>
        <w:trPr>
          <w:trHeight w:val="193"/>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Total funding</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184,836,375</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184,746,887</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185,574,197</w:t>
            </w: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0.4%</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2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1"/>
          <w:szCs w:val="11"/>
          <w:color w:val="auto"/>
        </w:rPr>
        <w:t>(1) Effective 1Q23, Funding includes Repurchase agreements with clients.</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QoQ, funding balance increased 0.4%. This growth was driven mainly by an increase in the balance of Bonds and Issued Notes, which was fueled by a corporate bond issuance at BCP for US$ 800 million in the month of January. The aforementioned was partially offset by a drop in the balance of Due to Banks and Correspondents, which had registered growth in 4Q23 to obtain short-term financing prior to the bond issuance, and to a lesser extent by a decline in BCRP instruments.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YoY, the funding balance rose 0.4%, driven upward by growth in the balance of Bonds and Issued Notes. This increase, which was spurred by the same factors as those seen QoQ, was partially offset by a drop in the balance of BCRP Instruments. This decrease was spurred mainly by a drop in demand for BCRP repurchase agreements, as they are currently offered at relatively high rates, and secondarily by the expiration of the balance of BCRP repurchase agreements associated to government program loans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4" w:name="page25"/>
    <w:bookmarkEnd w:id="24"/>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71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71805"/>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04 </w:t>
      </w:r>
      <w:r>
        <w:rPr>
          <w:rFonts w:ascii="Arial" w:cs="Arial" w:eastAsia="Arial" w:hAnsi="Arial"/>
          <w:sz w:val="32"/>
          <w:szCs w:val="32"/>
          <w:color w:val="E93BAB"/>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51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335"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FFFFFF"/>
        </w:rPr>
        <w:t>In 1Q24, Net Interest Income (NII) increased 2.3% QoQ. This evolution was driven mainly by an uptick in Interest and similar income, which rose, to a large extent, on the back of income from deposits in other banks, despite a drop in loan volumes. Interest and similar expenses fell, mainly fueled by a decrease in interest expenses for deposits after term deposits were renewed at lower rates and secondarily, by a drop in interest expenses for due to banks and correspondents. The aforementioned reductions were partially offset by an increase in interest expense for bonds and issued notes, following an issuance at BCP. YoY, NII rose, fueled by an increase in Interest and similar income income (via growth in interest on loans) and despite an uptick in Interest and similar expenses. The loan mix shifted given an increase in retail loans and a reduction in wholesale loans. On the funding side, term deposits, which imply higher rates, rose YoY, leading to an increase in Interest and similar expenses.</w:t>
      </w:r>
    </w:p>
    <w:p>
      <w:pPr>
        <w:spacing w:after="0" w:line="167" w:lineRule="exact"/>
        <w:rPr>
          <w:sz w:val="20"/>
          <w:szCs w:val="20"/>
          <w:color w:val="auto"/>
        </w:rPr>
      </w:pPr>
    </w:p>
    <w:p>
      <w:pPr>
        <w:jc w:val="both"/>
        <w:ind w:left="120" w:right="120"/>
        <w:spacing w:after="0" w:line="271" w:lineRule="auto"/>
        <w:rPr>
          <w:sz w:val="20"/>
          <w:szCs w:val="20"/>
          <w:color w:val="auto"/>
        </w:rPr>
      </w:pPr>
      <w:r>
        <w:rPr>
          <w:rFonts w:ascii="Arial" w:cs="Arial" w:eastAsia="Arial" w:hAnsi="Arial"/>
          <w:sz w:val="18"/>
          <w:szCs w:val="18"/>
          <w:color w:val="FFFFFF"/>
        </w:rPr>
        <w:t>NIM increased 10 bps QoQ and 46 bps YoY. Risk-adjusted NIM rose 75 bps QoQ and 31 bps YoY. If we exclude the effect of “El Niño” provisions that were constituted in the 4Q23 and reversed in the 1Q24, risk-adjusted NIM fell 16 bps QoQ.</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820" w:type="dxa"/>
            <w:vAlign w:val="bottom"/>
            <w:tcBorders>
              <w:top w:val="single" w:sz="8" w:color="auto"/>
              <w:left w:val="single" w:sz="8" w:color="auto"/>
              <w:right w:val="single" w:sz="8" w:color="auto"/>
            </w:tcBorders>
            <w:shd w:val="clear" w:color="auto" w:fill="2AD2C9"/>
          </w:tcPr>
          <w:p>
            <w:pPr>
              <w:ind w:left="120"/>
              <w:spacing w:after="0" w:line="197" w:lineRule="exact"/>
              <w:rPr>
                <w:sz w:val="20"/>
                <w:szCs w:val="20"/>
                <w:color w:val="auto"/>
              </w:rPr>
            </w:pPr>
            <w:r>
              <w:rPr>
                <w:rFonts w:ascii="Arial" w:cs="Arial" w:eastAsia="Arial" w:hAnsi="Arial"/>
                <w:sz w:val="18"/>
                <w:szCs w:val="18"/>
                <w:b w:val="1"/>
                <w:bCs w:val="1"/>
                <w:color w:val="FFFFFF"/>
              </w:rPr>
              <w:t>Net interest income</w:t>
            </w:r>
          </w:p>
        </w:tc>
        <w:tc>
          <w:tcPr>
            <w:tcW w:w="1440" w:type="dxa"/>
            <w:vAlign w:val="bottom"/>
            <w:tcBorders>
              <w:top w:val="single" w:sz="8" w:color="auto"/>
            </w:tcBorders>
            <w:shd w:val="clear" w:color="auto" w:fill="2AD2C9"/>
          </w:tcPr>
          <w:p>
            <w:pPr>
              <w:spacing w:after="0"/>
              <w:rPr>
                <w:sz w:val="17"/>
                <w:szCs w:val="17"/>
                <w:color w:val="auto"/>
              </w:rPr>
            </w:pPr>
          </w:p>
        </w:tc>
        <w:tc>
          <w:tcPr>
            <w:tcW w:w="1360" w:type="dxa"/>
            <w:vAlign w:val="bottom"/>
            <w:tcBorders>
              <w:top w:val="single" w:sz="8" w:color="auto"/>
            </w:tcBorders>
            <w:shd w:val="clear" w:color="auto" w:fill="2AD2C9"/>
          </w:tcPr>
          <w:p>
            <w:pPr>
              <w:jc w:val="right"/>
              <w:ind w:right="370"/>
              <w:spacing w:after="0" w:line="197" w:lineRule="exact"/>
              <w:rPr>
                <w:sz w:val="20"/>
                <w:szCs w:val="20"/>
                <w:color w:val="auto"/>
              </w:rPr>
            </w:pPr>
            <w:r>
              <w:rPr>
                <w:rFonts w:ascii="Arial" w:cs="Arial" w:eastAsia="Arial" w:hAnsi="Arial"/>
                <w:sz w:val="18"/>
                <w:szCs w:val="18"/>
                <w:b w:val="1"/>
                <w:bCs w:val="1"/>
                <w:color w:val="FFFFFF"/>
              </w:rPr>
              <w:t>Quarter</w:t>
            </w:r>
          </w:p>
        </w:tc>
        <w:tc>
          <w:tcPr>
            <w:tcW w:w="1260" w:type="dxa"/>
            <w:vAlign w:val="bottom"/>
            <w:tcBorders>
              <w:top w:val="single" w:sz="8" w:color="auto"/>
              <w:right w:val="single" w:sz="8" w:color="auto"/>
            </w:tcBorders>
            <w:shd w:val="clear" w:color="auto" w:fill="2AD2C9"/>
          </w:tcPr>
          <w:p>
            <w:pPr>
              <w:spacing w:after="0"/>
              <w:rPr>
                <w:sz w:val="17"/>
                <w:szCs w:val="17"/>
                <w:color w:val="auto"/>
              </w:rPr>
            </w:pPr>
          </w:p>
        </w:tc>
        <w:tc>
          <w:tcPr>
            <w:tcW w:w="2360" w:type="dxa"/>
            <w:vAlign w:val="bottom"/>
            <w:tcBorders>
              <w:top w:val="single" w:sz="8" w:color="auto"/>
              <w:right w:val="single" w:sz="8" w:color="auto"/>
            </w:tcBorders>
            <w:gridSpan w:val="2"/>
            <w:shd w:val="clear" w:color="auto" w:fill="2AD2C9"/>
          </w:tcPr>
          <w:p>
            <w:pPr>
              <w:ind w:left="760"/>
              <w:spacing w:after="0" w:line="197" w:lineRule="exact"/>
              <w:rPr>
                <w:sz w:val="20"/>
                <w:szCs w:val="20"/>
                <w:color w:val="auto"/>
              </w:rPr>
            </w:pPr>
            <w:r>
              <w:rPr>
                <w:rFonts w:ascii="Arial" w:cs="Arial" w:eastAsia="Arial" w:hAnsi="Arial"/>
                <w:sz w:val="18"/>
                <w:szCs w:val="18"/>
                <w:b w:val="1"/>
                <w:bCs w:val="1"/>
                <w:color w:val="FFFFFF"/>
              </w:rPr>
              <w:t>% change</w:t>
            </w:r>
          </w:p>
        </w:tc>
      </w:tr>
      <w:tr>
        <w:trPr>
          <w:trHeight w:val="221"/>
        </w:trPr>
        <w:tc>
          <w:tcPr>
            <w:tcW w:w="4820" w:type="dxa"/>
            <w:vAlign w:val="bottom"/>
            <w:tcBorders>
              <w:left w:val="single" w:sz="8" w:color="auto"/>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8"/>
                <w:szCs w:val="18"/>
                <w:b w:val="1"/>
                <w:bCs w:val="1"/>
                <w:color w:val="FFFFFF"/>
              </w:rPr>
              <w:t>S/ 000</w:t>
            </w:r>
          </w:p>
        </w:tc>
        <w:tc>
          <w:tcPr>
            <w:tcW w:w="1440" w:type="dxa"/>
            <w:vAlign w:val="bottom"/>
            <w:tcBorders>
              <w:bottom w:val="single" w:sz="8" w:color="auto"/>
            </w:tcBorders>
            <w:shd w:val="clear" w:color="auto" w:fill="2AD2C9"/>
          </w:tcPr>
          <w:p>
            <w:pPr>
              <w:jc w:val="right"/>
              <w:ind w:right="470"/>
              <w:spacing w:after="0"/>
              <w:rPr>
                <w:sz w:val="20"/>
                <w:szCs w:val="20"/>
                <w:color w:val="auto"/>
              </w:rPr>
            </w:pPr>
            <w:r>
              <w:rPr>
                <w:rFonts w:ascii="Arial" w:cs="Arial" w:eastAsia="Arial" w:hAnsi="Arial"/>
                <w:sz w:val="18"/>
                <w:szCs w:val="18"/>
                <w:b w:val="1"/>
                <w:bCs w:val="1"/>
                <w:color w:val="FFFFFF"/>
              </w:rPr>
              <w:t>1Q23</w:t>
            </w:r>
          </w:p>
        </w:tc>
        <w:tc>
          <w:tcPr>
            <w:tcW w:w="1360" w:type="dxa"/>
            <w:vAlign w:val="bottom"/>
            <w:tcBorders>
              <w:bottom w:val="single" w:sz="8" w:color="auto"/>
            </w:tcBorders>
            <w:shd w:val="clear" w:color="auto" w:fill="2AD2C9"/>
          </w:tcPr>
          <w:p>
            <w:pPr>
              <w:jc w:val="right"/>
              <w:ind w:right="470"/>
              <w:spacing w:after="0"/>
              <w:rPr>
                <w:sz w:val="20"/>
                <w:szCs w:val="20"/>
                <w:color w:val="auto"/>
              </w:rPr>
            </w:pPr>
            <w:r>
              <w:rPr>
                <w:rFonts w:ascii="Arial" w:cs="Arial" w:eastAsia="Arial" w:hAnsi="Arial"/>
                <w:sz w:val="18"/>
                <w:szCs w:val="18"/>
                <w:b w:val="1"/>
                <w:bCs w:val="1"/>
                <w:color w:val="FFFFFF"/>
              </w:rPr>
              <w:t>4Q23</w:t>
            </w:r>
          </w:p>
        </w:tc>
        <w:tc>
          <w:tcPr>
            <w:tcW w:w="1260" w:type="dxa"/>
            <w:vAlign w:val="bottom"/>
            <w:tcBorders>
              <w:bottom w:val="single" w:sz="8" w:color="auto"/>
              <w:right w:val="single" w:sz="8" w:color="auto"/>
            </w:tcBorders>
            <w:shd w:val="clear" w:color="auto" w:fill="2AD2C9"/>
          </w:tcPr>
          <w:p>
            <w:pPr>
              <w:jc w:val="right"/>
              <w:ind w:right="390"/>
              <w:spacing w:after="0"/>
              <w:rPr>
                <w:sz w:val="20"/>
                <w:szCs w:val="20"/>
                <w:color w:val="auto"/>
              </w:rPr>
            </w:pPr>
            <w:r>
              <w:rPr>
                <w:rFonts w:ascii="Arial" w:cs="Arial" w:eastAsia="Arial" w:hAnsi="Arial"/>
                <w:sz w:val="18"/>
                <w:szCs w:val="18"/>
                <w:b w:val="1"/>
                <w:bCs w:val="1"/>
                <w:color w:val="FFFFFF"/>
              </w:rPr>
              <w:t>1Q24</w:t>
            </w:r>
          </w:p>
        </w:tc>
        <w:tc>
          <w:tcPr>
            <w:tcW w:w="1140" w:type="dxa"/>
            <w:vAlign w:val="bottom"/>
            <w:tcBorders>
              <w:bottom w:val="single" w:sz="8" w:color="auto"/>
            </w:tcBorders>
            <w:shd w:val="clear" w:color="auto" w:fill="2AD2C9"/>
          </w:tcPr>
          <w:p>
            <w:pPr>
              <w:ind w:left="380"/>
              <w:spacing w:after="0"/>
              <w:rPr>
                <w:sz w:val="20"/>
                <w:szCs w:val="20"/>
                <w:color w:val="auto"/>
              </w:rPr>
            </w:pPr>
            <w:r>
              <w:rPr>
                <w:rFonts w:ascii="Arial" w:cs="Arial" w:eastAsia="Arial" w:hAnsi="Arial"/>
                <w:sz w:val="18"/>
                <w:szCs w:val="18"/>
                <w:b w:val="1"/>
                <w:bCs w:val="1"/>
                <w:color w:val="FFFFFF"/>
              </w:rPr>
              <w:t>QoQ</w:t>
            </w:r>
          </w:p>
        </w:tc>
        <w:tc>
          <w:tcPr>
            <w:tcW w:w="122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Arial" w:cs="Arial" w:eastAsia="Arial" w:hAnsi="Arial"/>
                <w:sz w:val="18"/>
                <w:szCs w:val="18"/>
                <w:b w:val="1"/>
                <w:bCs w:val="1"/>
                <w:color w:val="FFFFFF"/>
              </w:rPr>
              <w:t>YoY</w:t>
            </w:r>
          </w:p>
        </w:tc>
      </w:tr>
      <w:tr>
        <w:trPr>
          <w:trHeight w:val="177"/>
        </w:trPr>
        <w:tc>
          <w:tcPr>
            <w:tcW w:w="482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Interest Income</w:t>
            </w:r>
          </w:p>
        </w:tc>
        <w:tc>
          <w:tcPr>
            <w:tcW w:w="144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rPr>
              <w:t>4,456,106</w:t>
            </w:r>
          </w:p>
        </w:tc>
        <w:tc>
          <w:tcPr>
            <w:tcW w:w="136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rPr>
              <w:t>4,870,042</w:t>
            </w:r>
          </w:p>
        </w:tc>
        <w:tc>
          <w:tcPr>
            <w:tcW w:w="1260" w:type="dxa"/>
            <w:vAlign w:val="bottom"/>
            <w:tcBorders>
              <w:right w:val="single" w:sz="8" w:color="auto"/>
            </w:tcBorders>
          </w:tcPr>
          <w:p>
            <w:pPr>
              <w:jc w:val="right"/>
              <w:ind w:right="30"/>
              <w:spacing w:after="0" w:line="177" w:lineRule="exact"/>
              <w:rPr>
                <w:sz w:val="20"/>
                <w:szCs w:val="20"/>
                <w:color w:val="auto"/>
              </w:rPr>
            </w:pPr>
            <w:r>
              <w:rPr>
                <w:rFonts w:ascii="Arial" w:cs="Arial" w:eastAsia="Arial" w:hAnsi="Arial"/>
                <w:sz w:val="18"/>
                <w:szCs w:val="18"/>
                <w:b w:val="1"/>
                <w:bCs w:val="1"/>
                <w:color w:val="auto"/>
              </w:rPr>
              <w:t>4,925,926</w:t>
            </w:r>
          </w:p>
        </w:tc>
        <w:tc>
          <w:tcPr>
            <w:tcW w:w="1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1.1%</w:t>
            </w:r>
          </w:p>
        </w:tc>
        <w:tc>
          <w:tcPr>
            <w:tcW w:w="12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10.5%</w:t>
            </w:r>
          </w:p>
        </w:tc>
      </w:tr>
      <w:tr>
        <w:trPr>
          <w:trHeight w:val="203"/>
        </w:trPr>
        <w:tc>
          <w:tcPr>
            <w:tcW w:w="48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(1,324,017)</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(1,522,358)</w:t>
            </w:r>
          </w:p>
        </w:tc>
        <w:tc>
          <w:tcPr>
            <w:tcW w:w="12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(1,499,803)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-1.5%</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13.3%</w:t>
            </w:r>
          </w:p>
        </w:tc>
      </w:tr>
      <w:tr>
        <w:trPr>
          <w:trHeight w:val="203"/>
        </w:trPr>
        <w:tc>
          <w:tcPr>
            <w:tcW w:w="48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Interest Expense (excluding Net Insurance Financial</w:t>
            </w:r>
          </w:p>
        </w:tc>
        <w:tc>
          <w:tcPr>
            <w:tcW w:w="1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03"/>
        </w:trPr>
        <w:tc>
          <w:tcPr>
            <w:tcW w:w="482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Expenses)</w:t>
            </w: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(1,208,267)</w:t>
            </w: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(1,402,925)</w:t>
            </w:r>
          </w:p>
        </w:tc>
        <w:tc>
          <w:tcPr>
            <w:tcW w:w="12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(1,377,799)</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-1.8%</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14.0%</w:t>
            </w:r>
          </w:p>
        </w:tc>
      </w:tr>
      <w:tr>
        <w:trPr>
          <w:trHeight w:val="221"/>
        </w:trPr>
        <w:tc>
          <w:tcPr>
            <w:tcW w:w="48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Net Insurance Financial Expenses</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(115,750)</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(119,433)</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(122,004)</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5.4%</w:t>
            </w:r>
          </w:p>
        </w:tc>
      </w:tr>
      <w:tr>
        <w:trPr>
          <w:trHeight w:val="196"/>
        </w:trPr>
        <w:tc>
          <w:tcPr>
            <w:tcW w:w="48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Net Interest Income</w:t>
            </w:r>
          </w:p>
        </w:tc>
        <w:tc>
          <w:tcPr>
            <w:tcW w:w="1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3,132,089</w:t>
            </w:r>
          </w:p>
        </w:tc>
        <w:tc>
          <w:tcPr>
            <w:tcW w:w="13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3,347,684</w:t>
            </w:r>
          </w:p>
        </w:tc>
        <w:tc>
          <w:tcPr>
            <w:tcW w:w="12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3,426,123</w:t>
            </w:r>
          </w:p>
        </w:tc>
        <w:tc>
          <w:tcPr>
            <w:tcW w:w="1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2.3%</w:t>
            </w:r>
          </w:p>
        </w:tc>
        <w:tc>
          <w:tcPr>
            <w:tcW w:w="12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9.4%</w:t>
            </w:r>
          </w:p>
        </w:tc>
      </w:tr>
      <w:tr>
        <w:trPr>
          <w:trHeight w:val="177"/>
        </w:trPr>
        <w:tc>
          <w:tcPr>
            <w:tcW w:w="482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8"/>
                <w:szCs w:val="18"/>
                <w:b w:val="1"/>
                <w:bCs w:val="1"/>
                <w:color w:val="auto"/>
              </w:rPr>
              <w:t>Balances</w:t>
            </w: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3"/>
        </w:trPr>
        <w:tc>
          <w:tcPr>
            <w:tcW w:w="48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Average Interest Earning Assets (IEA)</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222,289,504</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223,624,217</w:t>
            </w:r>
          </w:p>
        </w:tc>
        <w:tc>
          <w:tcPr>
            <w:tcW w:w="12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225,297,538</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7"/>
              </w:rPr>
              <w:t>0.7%</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1.4%</w:t>
            </w:r>
          </w:p>
        </w:tc>
      </w:tr>
      <w:tr>
        <w:trPr>
          <w:trHeight w:val="239"/>
        </w:trPr>
        <w:tc>
          <w:tcPr>
            <w:tcW w:w="4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Average Funding</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185,377,296</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185,182,243</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185,160,542</w:t>
            </w: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0.0%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-0.1%</w:t>
            </w:r>
          </w:p>
        </w:tc>
      </w:tr>
      <w:tr>
        <w:trPr>
          <w:trHeight w:val="369"/>
        </w:trPr>
        <w:tc>
          <w:tcPr>
            <w:tcW w:w="4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Yields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203"/>
        </w:trPr>
        <w:tc>
          <w:tcPr>
            <w:tcW w:w="48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Yield on IEAs</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8.02%</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8.71%</w:t>
            </w:r>
          </w:p>
        </w:tc>
        <w:tc>
          <w:tcPr>
            <w:tcW w:w="12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8.75%</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rPr>
              <w:t>4bps</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73bps</w:t>
            </w:r>
          </w:p>
        </w:tc>
      </w:tr>
      <w:tr>
        <w:trPr>
          <w:trHeight w:val="193"/>
        </w:trPr>
        <w:tc>
          <w:tcPr>
            <w:tcW w:w="482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Cost of Funds</w:t>
            </w:r>
          </w:p>
        </w:tc>
        <w:tc>
          <w:tcPr>
            <w:tcW w:w="1440" w:type="dxa"/>
            <w:vAlign w:val="bottom"/>
          </w:tcPr>
          <w:p>
            <w:pPr>
              <w:jc w:val="right"/>
              <w:ind w:right="110"/>
              <w:spacing w:after="0" w:line="193" w:lineRule="exact"/>
              <w:rPr>
                <w:sz w:val="20"/>
                <w:szCs w:val="20"/>
                <w:color w:val="auto"/>
              </w:rPr>
            </w:pPr>
            <w:r>
              <w:rPr>
                <w:rFonts w:ascii="Arial" w:cs="Arial" w:eastAsia="Arial" w:hAnsi="Arial"/>
                <w:sz w:val="18"/>
                <w:szCs w:val="18"/>
                <w:color w:val="auto"/>
              </w:rPr>
              <w:t>2.61%</w:t>
            </w:r>
          </w:p>
        </w:tc>
        <w:tc>
          <w:tcPr>
            <w:tcW w:w="1360" w:type="dxa"/>
            <w:vAlign w:val="bottom"/>
          </w:tcPr>
          <w:p>
            <w:pPr>
              <w:jc w:val="right"/>
              <w:ind w:right="110"/>
              <w:spacing w:after="0" w:line="193" w:lineRule="exact"/>
              <w:rPr>
                <w:sz w:val="20"/>
                <w:szCs w:val="20"/>
                <w:color w:val="auto"/>
              </w:rPr>
            </w:pPr>
            <w:r>
              <w:rPr>
                <w:rFonts w:ascii="Arial" w:cs="Arial" w:eastAsia="Arial" w:hAnsi="Arial"/>
                <w:sz w:val="18"/>
                <w:szCs w:val="18"/>
                <w:color w:val="auto"/>
              </w:rPr>
              <w:t>3.03%</w:t>
            </w:r>
          </w:p>
        </w:tc>
        <w:tc>
          <w:tcPr>
            <w:tcW w:w="1260" w:type="dxa"/>
            <w:vAlign w:val="bottom"/>
            <w:tcBorders>
              <w:right w:val="single" w:sz="8" w:color="auto"/>
            </w:tcBorders>
          </w:tcPr>
          <w:p>
            <w:pPr>
              <w:jc w:val="right"/>
              <w:ind w:right="30"/>
              <w:spacing w:after="0" w:line="193" w:lineRule="exact"/>
              <w:rPr>
                <w:sz w:val="20"/>
                <w:szCs w:val="20"/>
                <w:color w:val="auto"/>
              </w:rPr>
            </w:pPr>
            <w:r>
              <w:rPr>
                <w:rFonts w:ascii="Arial" w:cs="Arial" w:eastAsia="Arial" w:hAnsi="Arial"/>
                <w:sz w:val="18"/>
                <w:szCs w:val="18"/>
                <w:color w:val="auto"/>
              </w:rPr>
              <w:t>2.98%</w:t>
            </w:r>
          </w:p>
        </w:tc>
        <w:tc>
          <w:tcPr>
            <w:tcW w:w="1140" w:type="dxa"/>
            <w:vAlign w:val="bottom"/>
          </w:tcPr>
          <w:p>
            <w:pPr>
              <w:jc w:val="center"/>
              <w:spacing w:after="0" w:line="193" w:lineRule="exact"/>
              <w:rPr>
                <w:sz w:val="20"/>
                <w:szCs w:val="20"/>
                <w:color w:val="auto"/>
              </w:rPr>
            </w:pPr>
            <w:r>
              <w:rPr>
                <w:rFonts w:ascii="Arial" w:cs="Arial" w:eastAsia="Arial" w:hAnsi="Arial"/>
                <w:sz w:val="18"/>
                <w:szCs w:val="18"/>
                <w:color w:val="auto"/>
                <w:w w:val="97"/>
              </w:rPr>
              <w:t>-5bps</w:t>
            </w:r>
          </w:p>
        </w:tc>
        <w:tc>
          <w:tcPr>
            <w:tcW w:w="12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rPr>
              <w:t>37bps</w:t>
            </w:r>
          </w:p>
        </w:tc>
      </w:tr>
      <w:tr>
        <w:trPr>
          <w:trHeight w:val="212"/>
        </w:trPr>
        <w:tc>
          <w:tcPr>
            <w:tcW w:w="4820" w:type="dxa"/>
            <w:vAlign w:val="bottom"/>
            <w:tcBorders>
              <w:left w:val="single" w:sz="8" w:color="auto"/>
              <w:right w:val="single" w:sz="8" w:color="auto"/>
            </w:tcBorders>
          </w:tcPr>
          <w:p>
            <w:pPr>
              <w:ind w:left="120"/>
              <w:spacing w:after="0" w:line="212" w:lineRule="exact"/>
              <w:rPr>
                <w:sz w:val="20"/>
                <w:szCs w:val="20"/>
                <w:color w:val="auto"/>
              </w:rPr>
            </w:pPr>
            <w:r>
              <w:rPr>
                <w:rFonts w:ascii="Arial" w:cs="Arial" w:eastAsia="Arial" w:hAnsi="Arial"/>
                <w:sz w:val="15"/>
                <w:szCs w:val="15"/>
                <w:b w:val="1"/>
                <w:bCs w:val="1"/>
                <w:color w:val="auto"/>
              </w:rPr>
              <w:t>Net Interest Margin (NIM)</w:t>
            </w:r>
            <w:r>
              <w:rPr>
                <w:rFonts w:ascii="Arial" w:cs="Arial" w:eastAsia="Arial" w:hAnsi="Arial"/>
                <w:sz w:val="24"/>
                <w:szCs w:val="24"/>
                <w:b w:val="1"/>
                <w:bCs w:val="1"/>
                <w:color w:val="auto"/>
                <w:vertAlign w:val="superscript"/>
              </w:rPr>
              <w:t>(1)</w:t>
            </w: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5.84%</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6.20%</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10bps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46bps</w:t>
            </w:r>
          </w:p>
        </w:tc>
      </w:tr>
      <w:tr>
        <w:trPr>
          <w:trHeight w:val="221"/>
        </w:trPr>
        <w:tc>
          <w:tcPr>
            <w:tcW w:w="4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Risk-Adjusted Net Interest Margin</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4.54%</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4.10%</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75bps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31bps</w:t>
            </w:r>
          </w:p>
        </w:tc>
      </w:tr>
      <w:tr>
        <w:trPr>
          <w:trHeight w:val="177"/>
        </w:trPr>
        <w:tc>
          <w:tcPr>
            <w:tcW w:w="482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b w:val="1"/>
                <w:bCs w:val="1"/>
                <w:color w:val="auto"/>
              </w:rPr>
              <w:t>Peru's Reference Rate</w:t>
            </w:r>
          </w:p>
        </w:tc>
        <w:tc>
          <w:tcPr>
            <w:tcW w:w="144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rPr>
              <w:t>7.75%</w:t>
            </w:r>
          </w:p>
        </w:tc>
        <w:tc>
          <w:tcPr>
            <w:tcW w:w="136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rPr>
              <w:t>6.75%</w:t>
            </w:r>
          </w:p>
        </w:tc>
        <w:tc>
          <w:tcPr>
            <w:tcW w:w="1260" w:type="dxa"/>
            <w:vAlign w:val="bottom"/>
            <w:tcBorders>
              <w:right w:val="single" w:sz="8" w:color="auto"/>
            </w:tcBorders>
          </w:tcPr>
          <w:p>
            <w:pPr>
              <w:jc w:val="right"/>
              <w:ind w:right="30"/>
              <w:spacing w:after="0" w:line="177" w:lineRule="exact"/>
              <w:rPr>
                <w:sz w:val="20"/>
                <w:szCs w:val="20"/>
                <w:color w:val="auto"/>
              </w:rPr>
            </w:pPr>
            <w:r>
              <w:rPr>
                <w:rFonts w:ascii="Arial" w:cs="Arial" w:eastAsia="Arial" w:hAnsi="Arial"/>
                <w:sz w:val="18"/>
                <w:szCs w:val="18"/>
                <w:b w:val="1"/>
                <w:bCs w:val="1"/>
                <w:color w:val="auto"/>
              </w:rPr>
              <w:t>6.25%</w:t>
            </w:r>
          </w:p>
        </w:tc>
        <w:tc>
          <w:tcPr>
            <w:tcW w:w="1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-50bps</w:t>
            </w:r>
          </w:p>
        </w:tc>
        <w:tc>
          <w:tcPr>
            <w:tcW w:w="12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-150bps</w:t>
            </w:r>
          </w:p>
        </w:tc>
      </w:tr>
      <w:tr>
        <w:trPr>
          <w:trHeight w:val="221"/>
        </w:trPr>
        <w:tc>
          <w:tcPr>
            <w:tcW w:w="4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FED funds rate</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5.00%</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5.50%</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0bps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50bps</w:t>
            </w:r>
          </w:p>
        </w:tc>
      </w:tr>
      <w:tr>
        <w:trPr>
          <w:trHeight w:val="135"/>
        </w:trPr>
        <w:tc>
          <w:tcPr>
            <w:tcW w:w="4820" w:type="dxa"/>
            <w:vAlign w:val="bottom"/>
          </w:tcPr>
          <w:p>
            <w:pPr>
              <w:spacing w:after="0"/>
              <w:rPr>
                <w:sz w:val="20"/>
                <w:szCs w:val="20"/>
                <w:color w:val="auto"/>
              </w:rPr>
            </w:pPr>
            <w:r>
              <w:rPr>
                <w:rFonts w:ascii="Arial" w:cs="Arial" w:eastAsia="Arial" w:hAnsi="Arial"/>
                <w:sz w:val="11"/>
                <w:szCs w:val="11"/>
                <w:color w:val="auto"/>
              </w:rPr>
              <w:t>(1) For further detail on the NIM and Cost of Funds calculation, please refer to Annex 12.7</w:t>
            </w: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1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QoQ, Net interest income (NII) rose 2.3%. This evolution was driven primarily by growth in Interest and similar income, which rose on the back of an increase in deposits in other banks after BCP moved to capitalize on surplus liquidity, mainly through FC overnight deposits in BCRP, in a context of slower lending activity. An uptick in income from securities, buoyed by growth in BCRP Certificates of Deposit (BCRP CDs), also bolstered financial income over the quarter, albeit to a lesser extent. Interest and similar expenses, had a positive impact on NII, driven mainly by the balance of term deposits. It is important to note that term deposits, which have been trending upward since 2023, have been renewed at lower rates. The expiration of Due to Banks and correspondents, which constituted short-term positions, also led interest expenses to drop. It is important to note the reductions in expenses for deposits and due to banks and correspondents were partially offset by an uptick in expenses for interest on bonds, which were impacted by the bond issuance that BCP made in January.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YoY, NII rose 9.4% due to an increase in Interest and similar income. This evolution was primarily driven by growth in income from loans, which reflects the positive impact of a shift in the portfolio mix toward a higher share of retail loans and a reduction in wholesale loans. Higher income from securities also contributed, albeit to a lesser extent, to the uptick in income, via an increase in positions in sovereign bonds under a strategy rolled out in 2023 to capitalize on liquidity surpluses. The uptick in Interest and similar expenses partially offset growth in income over the period. These expenses rose given that the share term deposits in the mix rose while the share of low-cost deposits fell, leading to an uptick in the cost of funding.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5" w:name="page26"/>
    <w:bookmarkEnd w:id="25"/>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04. Net Interest Income (NII)</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w:t>
      </w:r>
    </w:p>
    <w:p>
      <w:pPr>
        <w:spacing w:after="0" w:line="212" w:lineRule="exact"/>
        <w:rPr>
          <w:sz w:val="20"/>
          <w:szCs w:val="20"/>
          <w:color w:val="auto"/>
        </w:rPr>
      </w:pPr>
    </w:p>
    <w:p>
      <w:pPr>
        <w:jc w:val="both"/>
        <w:ind w:right="5840"/>
        <w:spacing w:after="0" w:line="238" w:lineRule="auto"/>
        <w:rPr>
          <w:sz w:val="20"/>
          <w:szCs w:val="20"/>
          <w:color w:val="auto"/>
        </w:rPr>
      </w:pPr>
      <w:r>
        <w:rPr>
          <w:rFonts w:ascii="Arial" w:cs="Arial" w:eastAsia="Arial" w:hAnsi="Arial"/>
          <w:sz w:val="18"/>
          <w:szCs w:val="18"/>
          <w:color w:val="auto"/>
        </w:rPr>
        <w:t>NIM rose 10 bps QoQ and stood at 6.30%. This evolution was driven primarily by a reduction in interest expenses after terms deposits were renewed at lower rates, and secondarily by an uptick in interest income. YoY, NIM rose 46 bps on the back of an increase in interest income, which was mainly attributable to growth in the share of retail loans within the loan mix and to a renewal of FC loans at higher rates. Risk-adjusted NIM increased 75 bps QoQ. Isolating the effect of provisions for anticipated losses due to “El Niño” in 4Q23 and 1Q24, risk-adjusted NIM fell 16 bps QoQ. YoY, risk-adjusted NIM rose 31 bps (-14 bps isolating “El Niño”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-1421130</wp:posOffset>
            </wp:positionV>
            <wp:extent cx="3171825" cy="1748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182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dynamics by currency</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0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6"/>
                <w:szCs w:val="16"/>
                <w:b w:val="1"/>
                <w:bCs w:val="1"/>
                <w:color w:val="FFFFFF"/>
              </w:rPr>
              <w:t>Interest Income / IEA</w:t>
            </w:r>
          </w:p>
        </w:tc>
        <w:tc>
          <w:tcPr>
            <w:tcW w:w="980" w:type="dxa"/>
            <w:vAlign w:val="bottom"/>
            <w:tcBorders>
              <w:top w:val="single" w:sz="8" w:color="auto"/>
            </w:tcBorders>
            <w:shd w:val="clear" w:color="auto" w:fill="2AD2C9"/>
          </w:tcPr>
          <w:p>
            <w:pPr>
              <w:spacing w:after="0"/>
              <w:rPr>
                <w:sz w:val="17"/>
                <w:szCs w:val="17"/>
                <w:color w:val="auto"/>
              </w:rPr>
            </w:pPr>
          </w:p>
        </w:tc>
        <w:tc>
          <w:tcPr>
            <w:tcW w:w="1060" w:type="dxa"/>
            <w:vAlign w:val="bottom"/>
            <w:tcBorders>
              <w:top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1Q23</w:t>
            </w:r>
          </w:p>
        </w:tc>
        <w:tc>
          <w:tcPr>
            <w:tcW w:w="1000" w:type="dxa"/>
            <w:vAlign w:val="bottom"/>
            <w:tcBorders>
              <w:top w:val="single" w:sz="8" w:color="auto"/>
              <w:right w:val="single" w:sz="8" w:color="auto"/>
            </w:tcBorders>
            <w:shd w:val="clear" w:color="auto" w:fill="2AD2C9"/>
          </w:tcPr>
          <w:p>
            <w:pPr>
              <w:spacing w:after="0"/>
              <w:rPr>
                <w:sz w:val="17"/>
                <w:szCs w:val="17"/>
                <w:color w:val="auto"/>
              </w:rPr>
            </w:pPr>
          </w:p>
        </w:tc>
        <w:tc>
          <w:tcPr>
            <w:tcW w:w="980" w:type="dxa"/>
            <w:vAlign w:val="bottom"/>
            <w:tcBorders>
              <w:top w:val="single" w:sz="8" w:color="auto"/>
            </w:tcBorders>
            <w:shd w:val="clear" w:color="auto" w:fill="2AD2C9"/>
          </w:tcPr>
          <w:p>
            <w:pPr>
              <w:spacing w:after="0"/>
              <w:rPr>
                <w:sz w:val="17"/>
                <w:szCs w:val="17"/>
                <w:color w:val="auto"/>
              </w:rPr>
            </w:pPr>
          </w:p>
        </w:tc>
        <w:tc>
          <w:tcPr>
            <w:tcW w:w="1040" w:type="dxa"/>
            <w:vAlign w:val="bottom"/>
            <w:tcBorders>
              <w:top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1000" w:type="dxa"/>
            <w:vAlign w:val="bottom"/>
            <w:tcBorders>
              <w:top w:val="single" w:sz="8" w:color="auto"/>
              <w:right w:val="single" w:sz="8" w:color="auto"/>
            </w:tcBorders>
            <w:shd w:val="clear" w:color="auto" w:fill="2AD2C9"/>
          </w:tcPr>
          <w:p>
            <w:pPr>
              <w:spacing w:after="0"/>
              <w:rPr>
                <w:sz w:val="17"/>
                <w:szCs w:val="17"/>
                <w:color w:val="auto"/>
              </w:rPr>
            </w:pPr>
          </w:p>
        </w:tc>
        <w:tc>
          <w:tcPr>
            <w:tcW w:w="960" w:type="dxa"/>
            <w:vAlign w:val="bottom"/>
            <w:tcBorders>
              <w:top w:val="single" w:sz="8" w:color="auto"/>
            </w:tcBorders>
            <w:shd w:val="clear" w:color="auto" w:fill="2AD2C9"/>
          </w:tcPr>
          <w:p>
            <w:pPr>
              <w:spacing w:after="0"/>
              <w:rPr>
                <w:sz w:val="17"/>
                <w:szCs w:val="17"/>
                <w:color w:val="auto"/>
              </w:rPr>
            </w:pPr>
          </w:p>
        </w:tc>
        <w:tc>
          <w:tcPr>
            <w:tcW w:w="106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1Q24</w:t>
            </w:r>
          </w:p>
        </w:tc>
        <w:tc>
          <w:tcPr>
            <w:tcW w:w="960" w:type="dxa"/>
            <w:vAlign w:val="bottom"/>
            <w:tcBorders>
              <w:top w:val="single" w:sz="8" w:color="auto"/>
              <w:right w:val="single" w:sz="8" w:color="auto"/>
            </w:tcBorders>
            <w:shd w:val="clear" w:color="auto" w:fill="2AD2C9"/>
          </w:tcPr>
          <w:p>
            <w:pPr>
              <w:spacing w:after="0"/>
              <w:rPr>
                <w:sz w:val="17"/>
                <w:szCs w:val="17"/>
                <w:color w:val="auto"/>
              </w:rPr>
            </w:pPr>
          </w:p>
        </w:tc>
      </w:tr>
      <w:tr>
        <w:trPr>
          <w:trHeight w:val="175"/>
        </w:trPr>
        <w:tc>
          <w:tcPr>
            <w:tcW w:w="2200" w:type="dxa"/>
            <w:vAlign w:val="bottom"/>
            <w:tcBorders>
              <w:left w:val="single" w:sz="8" w:color="auto"/>
              <w:right w:val="single" w:sz="8" w:color="auto"/>
            </w:tcBorders>
            <w:shd w:val="clear" w:color="auto" w:fill="2AD2C9"/>
          </w:tcPr>
          <w:p>
            <w:pPr>
              <w:ind w:left="60"/>
              <w:spacing w:after="0" w:line="175" w:lineRule="exact"/>
              <w:rPr>
                <w:sz w:val="20"/>
                <w:szCs w:val="20"/>
                <w:color w:val="auto"/>
              </w:rPr>
            </w:pPr>
            <w:r>
              <w:rPr>
                <w:rFonts w:ascii="Arial" w:cs="Arial" w:eastAsia="Arial" w:hAnsi="Arial"/>
                <w:sz w:val="16"/>
                <w:szCs w:val="16"/>
                <w:b w:val="1"/>
                <w:bCs w:val="1"/>
                <w:color w:val="FFFFFF"/>
              </w:rPr>
              <w:t>S/ millions</w:t>
            </w:r>
          </w:p>
        </w:tc>
        <w:tc>
          <w:tcPr>
            <w:tcW w:w="980" w:type="dxa"/>
            <w:vAlign w:val="bottom"/>
            <w:shd w:val="clear" w:color="auto" w:fill="2AD2C9"/>
          </w:tcPr>
          <w:p>
            <w:pPr>
              <w:ind w:left="140"/>
              <w:spacing w:after="0" w:line="175" w:lineRule="exact"/>
              <w:rPr>
                <w:sz w:val="20"/>
                <w:szCs w:val="20"/>
                <w:color w:val="auto"/>
              </w:rPr>
            </w:pPr>
            <w:r>
              <w:rPr>
                <w:rFonts w:ascii="Arial" w:cs="Arial" w:eastAsia="Arial" w:hAnsi="Arial"/>
                <w:sz w:val="16"/>
                <w:szCs w:val="16"/>
                <w:b w:val="1"/>
                <w:bCs w:val="1"/>
                <w:color w:val="FFFFFF"/>
              </w:rPr>
              <w:t>Average</w:t>
            </w:r>
          </w:p>
        </w:tc>
        <w:tc>
          <w:tcPr>
            <w:tcW w:w="1060" w:type="dxa"/>
            <w:vAlign w:val="bottom"/>
            <w:shd w:val="clear" w:color="auto" w:fill="2AD2C9"/>
          </w:tcPr>
          <w:p>
            <w:pPr>
              <w:spacing w:after="0"/>
              <w:rPr>
                <w:sz w:val="15"/>
                <w:szCs w:val="15"/>
                <w:color w:val="auto"/>
              </w:rPr>
            </w:pPr>
          </w:p>
        </w:tc>
        <w:tc>
          <w:tcPr>
            <w:tcW w:w="1000" w:type="dxa"/>
            <w:vAlign w:val="bottom"/>
            <w:tcBorders>
              <w:right w:val="single" w:sz="8" w:color="auto"/>
            </w:tcBorders>
            <w:shd w:val="clear" w:color="auto" w:fill="2AD2C9"/>
          </w:tcPr>
          <w:p>
            <w:pPr>
              <w:spacing w:after="0"/>
              <w:rPr>
                <w:sz w:val="15"/>
                <w:szCs w:val="15"/>
                <w:color w:val="auto"/>
              </w:rPr>
            </w:pPr>
          </w:p>
        </w:tc>
        <w:tc>
          <w:tcPr>
            <w:tcW w:w="980" w:type="dxa"/>
            <w:vAlign w:val="bottom"/>
            <w:shd w:val="clear" w:color="auto" w:fill="2AD2C9"/>
          </w:tcPr>
          <w:p>
            <w:pPr>
              <w:ind w:left="140"/>
              <w:spacing w:after="0" w:line="175" w:lineRule="exact"/>
              <w:rPr>
                <w:sz w:val="20"/>
                <w:szCs w:val="20"/>
                <w:color w:val="auto"/>
              </w:rPr>
            </w:pPr>
            <w:r>
              <w:rPr>
                <w:rFonts w:ascii="Arial" w:cs="Arial" w:eastAsia="Arial" w:hAnsi="Arial"/>
                <w:sz w:val="16"/>
                <w:szCs w:val="16"/>
                <w:b w:val="1"/>
                <w:bCs w:val="1"/>
                <w:color w:val="FFFFFF"/>
              </w:rPr>
              <w:t>Average</w:t>
            </w:r>
          </w:p>
        </w:tc>
        <w:tc>
          <w:tcPr>
            <w:tcW w:w="1040" w:type="dxa"/>
            <w:vAlign w:val="bottom"/>
            <w:shd w:val="clear" w:color="auto" w:fill="2AD2C9"/>
          </w:tcPr>
          <w:p>
            <w:pPr>
              <w:spacing w:after="0"/>
              <w:rPr>
                <w:sz w:val="15"/>
                <w:szCs w:val="15"/>
                <w:color w:val="auto"/>
              </w:rPr>
            </w:pPr>
          </w:p>
        </w:tc>
        <w:tc>
          <w:tcPr>
            <w:tcW w:w="1000" w:type="dxa"/>
            <w:vAlign w:val="bottom"/>
            <w:tcBorders>
              <w:right w:val="single" w:sz="8" w:color="auto"/>
            </w:tcBorders>
            <w:shd w:val="clear" w:color="auto" w:fill="2AD2C9"/>
          </w:tcPr>
          <w:p>
            <w:pPr>
              <w:spacing w:after="0"/>
              <w:rPr>
                <w:sz w:val="15"/>
                <w:szCs w:val="15"/>
                <w:color w:val="auto"/>
              </w:rPr>
            </w:pPr>
          </w:p>
        </w:tc>
        <w:tc>
          <w:tcPr>
            <w:tcW w:w="960" w:type="dxa"/>
            <w:vAlign w:val="bottom"/>
            <w:shd w:val="clear" w:color="auto" w:fill="2AD2C9"/>
          </w:tcPr>
          <w:p>
            <w:pPr>
              <w:ind w:left="160"/>
              <w:spacing w:after="0" w:line="175" w:lineRule="exact"/>
              <w:rPr>
                <w:sz w:val="20"/>
                <w:szCs w:val="20"/>
                <w:color w:val="auto"/>
              </w:rPr>
            </w:pPr>
            <w:r>
              <w:rPr>
                <w:rFonts w:ascii="Arial" w:cs="Arial" w:eastAsia="Arial" w:hAnsi="Arial"/>
                <w:sz w:val="16"/>
                <w:szCs w:val="16"/>
                <w:b w:val="1"/>
                <w:bCs w:val="1"/>
                <w:color w:val="FFFFFF"/>
              </w:rPr>
              <w:t>Average</w:t>
            </w:r>
          </w:p>
        </w:tc>
        <w:tc>
          <w:tcPr>
            <w:tcW w:w="1060" w:type="dxa"/>
            <w:vAlign w:val="bottom"/>
            <w:shd w:val="clear" w:color="auto" w:fill="2AD2C9"/>
          </w:tcPr>
          <w:p>
            <w:pPr>
              <w:spacing w:after="0"/>
              <w:rPr>
                <w:sz w:val="15"/>
                <w:szCs w:val="15"/>
                <w:color w:val="auto"/>
              </w:rPr>
            </w:pPr>
          </w:p>
        </w:tc>
        <w:tc>
          <w:tcPr>
            <w:tcW w:w="960" w:type="dxa"/>
            <w:vAlign w:val="bottom"/>
            <w:tcBorders>
              <w:right w:val="single" w:sz="8" w:color="auto"/>
            </w:tcBorders>
            <w:shd w:val="clear" w:color="auto" w:fill="2AD2C9"/>
          </w:tcPr>
          <w:p>
            <w:pPr>
              <w:spacing w:after="0"/>
              <w:rPr>
                <w:sz w:val="15"/>
                <w:szCs w:val="15"/>
                <w:color w:val="auto"/>
              </w:rPr>
            </w:pPr>
          </w:p>
        </w:tc>
      </w:tr>
      <w:tr>
        <w:trPr>
          <w:trHeight w:val="203"/>
        </w:trPr>
        <w:tc>
          <w:tcPr>
            <w:tcW w:w="2200" w:type="dxa"/>
            <w:vAlign w:val="bottom"/>
            <w:tcBorders>
              <w:left w:val="single" w:sz="8" w:color="auto"/>
              <w:right w:val="single" w:sz="8" w:color="auto"/>
            </w:tcBorders>
            <w:shd w:val="clear" w:color="auto" w:fill="2AD2C9"/>
          </w:tcPr>
          <w:p>
            <w:pPr>
              <w:spacing w:after="0"/>
              <w:rPr>
                <w:sz w:val="17"/>
                <w:szCs w:val="17"/>
                <w:color w:val="auto"/>
              </w:rPr>
            </w:pPr>
          </w:p>
        </w:tc>
        <w:tc>
          <w:tcPr>
            <w:tcW w:w="980" w:type="dxa"/>
            <w:vAlign w:val="bottom"/>
            <w:shd w:val="clear" w:color="auto" w:fill="2AD2C9"/>
          </w:tcPr>
          <w:p>
            <w:pPr>
              <w:ind w:left="140"/>
              <w:spacing w:after="0"/>
              <w:rPr>
                <w:sz w:val="20"/>
                <w:szCs w:val="20"/>
                <w:color w:val="auto"/>
              </w:rPr>
            </w:pPr>
            <w:r>
              <w:rPr>
                <w:rFonts w:ascii="Arial" w:cs="Arial" w:eastAsia="Arial" w:hAnsi="Arial"/>
                <w:sz w:val="16"/>
                <w:szCs w:val="16"/>
                <w:b w:val="1"/>
                <w:bCs w:val="1"/>
                <w:color w:val="FFFFFF"/>
              </w:rPr>
              <w:t>Balance</w:t>
            </w:r>
          </w:p>
        </w:tc>
        <w:tc>
          <w:tcPr>
            <w:tcW w:w="1060" w:type="dxa"/>
            <w:vAlign w:val="bottom"/>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Income</w:t>
            </w:r>
          </w:p>
        </w:tc>
        <w:tc>
          <w:tcPr>
            <w:tcW w:w="1000" w:type="dxa"/>
            <w:vAlign w:val="bottom"/>
            <w:tcBorders>
              <w:right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Yields</w:t>
            </w:r>
          </w:p>
        </w:tc>
        <w:tc>
          <w:tcPr>
            <w:tcW w:w="980" w:type="dxa"/>
            <w:vAlign w:val="bottom"/>
            <w:shd w:val="clear" w:color="auto" w:fill="2AD2C9"/>
          </w:tcPr>
          <w:p>
            <w:pPr>
              <w:ind w:left="140"/>
              <w:spacing w:after="0"/>
              <w:rPr>
                <w:sz w:val="20"/>
                <w:szCs w:val="20"/>
                <w:color w:val="auto"/>
              </w:rPr>
            </w:pPr>
            <w:r>
              <w:rPr>
                <w:rFonts w:ascii="Arial" w:cs="Arial" w:eastAsia="Arial" w:hAnsi="Arial"/>
                <w:sz w:val="16"/>
                <w:szCs w:val="16"/>
                <w:b w:val="1"/>
                <w:bCs w:val="1"/>
                <w:color w:val="FFFFFF"/>
              </w:rPr>
              <w:t>Balance</w:t>
            </w:r>
          </w:p>
        </w:tc>
        <w:tc>
          <w:tcPr>
            <w:tcW w:w="1040" w:type="dxa"/>
            <w:vAlign w:val="bottom"/>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Income</w:t>
            </w:r>
          </w:p>
        </w:tc>
        <w:tc>
          <w:tcPr>
            <w:tcW w:w="1000" w:type="dxa"/>
            <w:vAlign w:val="bottom"/>
            <w:tcBorders>
              <w:right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Yields</w:t>
            </w:r>
          </w:p>
        </w:tc>
        <w:tc>
          <w:tcPr>
            <w:tcW w:w="960" w:type="dxa"/>
            <w:vAlign w:val="bottom"/>
            <w:shd w:val="clear" w:color="auto" w:fill="2AD2C9"/>
          </w:tcPr>
          <w:p>
            <w:pPr>
              <w:ind w:left="160"/>
              <w:spacing w:after="0"/>
              <w:rPr>
                <w:sz w:val="20"/>
                <w:szCs w:val="20"/>
                <w:color w:val="auto"/>
              </w:rPr>
            </w:pPr>
            <w:r>
              <w:rPr>
                <w:rFonts w:ascii="Arial" w:cs="Arial" w:eastAsia="Arial" w:hAnsi="Arial"/>
                <w:sz w:val="16"/>
                <w:szCs w:val="16"/>
                <w:b w:val="1"/>
                <w:bCs w:val="1"/>
                <w:color w:val="FFFFFF"/>
              </w:rPr>
              <w:t>Balance</w:t>
            </w:r>
          </w:p>
        </w:tc>
        <w:tc>
          <w:tcPr>
            <w:tcW w:w="1060" w:type="dxa"/>
            <w:vAlign w:val="bottom"/>
            <w:shd w:val="clear" w:color="auto" w:fill="2AD2C9"/>
          </w:tcPr>
          <w:p>
            <w:pPr>
              <w:jc w:val="center"/>
              <w:spacing w:after="0"/>
              <w:rPr>
                <w:sz w:val="20"/>
                <w:szCs w:val="20"/>
                <w:color w:val="auto"/>
              </w:rPr>
            </w:pPr>
            <w:r>
              <w:rPr>
                <w:rFonts w:ascii="Arial" w:cs="Arial" w:eastAsia="Arial" w:hAnsi="Arial"/>
                <w:sz w:val="16"/>
                <w:szCs w:val="16"/>
                <w:b w:val="1"/>
                <w:bCs w:val="1"/>
                <w:color w:val="FFFFFF"/>
              </w:rPr>
              <w:t>Income</w:t>
            </w:r>
          </w:p>
        </w:tc>
        <w:tc>
          <w:tcPr>
            <w:tcW w:w="960" w:type="dxa"/>
            <w:vAlign w:val="bottom"/>
            <w:tcBorders>
              <w:right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Yields</w:t>
            </w:r>
          </w:p>
        </w:tc>
      </w:tr>
      <w:tr>
        <w:trPr>
          <w:trHeight w:val="175"/>
        </w:trPr>
        <w:tc>
          <w:tcPr>
            <w:tcW w:w="2200" w:type="dxa"/>
            <w:vAlign w:val="bottom"/>
            <w:tcBorders>
              <w:left w:val="single" w:sz="8" w:color="auto"/>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Cash and equivalents</w:t>
            </w:r>
          </w:p>
        </w:tc>
        <w:tc>
          <w:tcPr>
            <w:tcW w:w="980" w:type="dxa"/>
            <w:vAlign w:val="bottom"/>
          </w:tcPr>
          <w:p>
            <w:pPr>
              <w:ind w:left="220"/>
              <w:spacing w:after="0" w:line="175" w:lineRule="exact"/>
              <w:rPr>
                <w:sz w:val="20"/>
                <w:szCs w:val="20"/>
                <w:color w:val="auto"/>
              </w:rPr>
            </w:pPr>
            <w:r>
              <w:rPr>
                <w:rFonts w:ascii="Arial" w:cs="Arial" w:eastAsia="Arial" w:hAnsi="Arial"/>
                <w:sz w:val="16"/>
                <w:szCs w:val="16"/>
                <w:color w:val="auto"/>
              </w:rPr>
              <w:t>27,528</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rPr>
              <w:t>277</w:t>
            </w:r>
          </w:p>
        </w:tc>
        <w:tc>
          <w:tcPr>
            <w:tcW w:w="1000" w:type="dxa"/>
            <w:vAlign w:val="bottom"/>
            <w:tcBorders>
              <w:right w:val="single" w:sz="8" w:color="auto"/>
            </w:tcBorders>
          </w:tcPr>
          <w:p>
            <w:pPr>
              <w:ind w:left="240"/>
              <w:spacing w:after="0" w:line="175" w:lineRule="exact"/>
              <w:rPr>
                <w:sz w:val="20"/>
                <w:szCs w:val="20"/>
                <w:color w:val="auto"/>
              </w:rPr>
            </w:pPr>
            <w:r>
              <w:rPr>
                <w:rFonts w:ascii="Arial" w:cs="Arial" w:eastAsia="Arial" w:hAnsi="Arial"/>
                <w:sz w:val="16"/>
                <w:szCs w:val="16"/>
                <w:color w:val="auto"/>
              </w:rPr>
              <w:t>4.0%</w:t>
            </w:r>
          </w:p>
        </w:tc>
        <w:tc>
          <w:tcPr>
            <w:tcW w:w="980" w:type="dxa"/>
            <w:vAlign w:val="bottom"/>
          </w:tcPr>
          <w:p>
            <w:pPr>
              <w:ind w:left="220"/>
              <w:spacing w:after="0" w:line="175" w:lineRule="exact"/>
              <w:rPr>
                <w:sz w:val="20"/>
                <w:szCs w:val="20"/>
                <w:color w:val="auto"/>
              </w:rPr>
            </w:pPr>
            <w:r>
              <w:rPr>
                <w:rFonts w:ascii="Arial" w:cs="Arial" w:eastAsia="Arial" w:hAnsi="Arial"/>
                <w:sz w:val="16"/>
                <w:szCs w:val="16"/>
                <w:color w:val="auto"/>
              </w:rPr>
              <w:t>25,443</w:t>
            </w:r>
          </w:p>
        </w:tc>
        <w:tc>
          <w:tcPr>
            <w:tcW w:w="1040" w:type="dxa"/>
            <w:vAlign w:val="bottom"/>
          </w:tcPr>
          <w:p>
            <w:pPr>
              <w:jc w:val="center"/>
              <w:spacing w:after="0" w:line="175" w:lineRule="exact"/>
              <w:rPr>
                <w:sz w:val="20"/>
                <w:szCs w:val="20"/>
                <w:color w:val="auto"/>
              </w:rPr>
            </w:pPr>
            <w:r>
              <w:rPr>
                <w:rFonts w:ascii="Arial" w:cs="Arial" w:eastAsia="Arial" w:hAnsi="Arial"/>
                <w:sz w:val="16"/>
                <w:szCs w:val="16"/>
                <w:color w:val="auto"/>
              </w:rPr>
              <w:t>279</w:t>
            </w:r>
          </w:p>
        </w:tc>
        <w:tc>
          <w:tcPr>
            <w:tcW w:w="1000" w:type="dxa"/>
            <w:vAlign w:val="bottom"/>
            <w:tcBorders>
              <w:right w:val="single" w:sz="8" w:color="auto"/>
            </w:tcBorders>
          </w:tcPr>
          <w:p>
            <w:pPr>
              <w:jc w:val="center"/>
              <w:ind w:right="19"/>
              <w:spacing w:after="0" w:line="175" w:lineRule="exact"/>
              <w:rPr>
                <w:sz w:val="20"/>
                <w:szCs w:val="20"/>
                <w:color w:val="auto"/>
              </w:rPr>
            </w:pPr>
            <w:r>
              <w:rPr>
                <w:rFonts w:ascii="Arial" w:cs="Arial" w:eastAsia="Arial" w:hAnsi="Arial"/>
                <w:sz w:val="16"/>
                <w:szCs w:val="16"/>
                <w:color w:val="auto"/>
              </w:rPr>
              <w:t>4.4%</w:t>
            </w:r>
          </w:p>
        </w:tc>
        <w:tc>
          <w:tcPr>
            <w:tcW w:w="960" w:type="dxa"/>
            <w:vAlign w:val="bottom"/>
          </w:tcPr>
          <w:p>
            <w:pPr>
              <w:ind w:left="240"/>
              <w:spacing w:after="0" w:line="175" w:lineRule="exact"/>
              <w:rPr>
                <w:sz w:val="20"/>
                <w:szCs w:val="20"/>
                <w:color w:val="auto"/>
              </w:rPr>
            </w:pPr>
            <w:r>
              <w:rPr>
                <w:rFonts w:ascii="Arial" w:cs="Arial" w:eastAsia="Arial" w:hAnsi="Arial"/>
                <w:sz w:val="16"/>
                <w:szCs w:val="16"/>
                <w:color w:val="auto"/>
              </w:rPr>
              <w:t>28,557</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7"/>
              </w:rPr>
              <w:t>334</w:t>
            </w:r>
          </w:p>
        </w:tc>
        <w:tc>
          <w:tcPr>
            <w:tcW w:w="9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4.7%</w:t>
            </w:r>
          </w:p>
        </w:tc>
      </w:tr>
      <w:tr>
        <w:trPr>
          <w:trHeight w:val="189"/>
        </w:trPr>
        <w:tc>
          <w:tcPr>
            <w:tcW w:w="22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 IEA</w:t>
            </w:r>
          </w:p>
        </w:tc>
        <w:tc>
          <w:tcPr>
            <w:tcW w:w="980" w:type="dxa"/>
            <w:vAlign w:val="bottom"/>
          </w:tcPr>
          <w:p>
            <w:pPr>
              <w:ind w:left="280"/>
              <w:spacing w:after="0"/>
              <w:rPr>
                <w:sz w:val="20"/>
                <w:szCs w:val="20"/>
                <w:color w:val="auto"/>
              </w:rPr>
            </w:pPr>
            <w:r>
              <w:rPr>
                <w:rFonts w:ascii="Arial" w:cs="Arial" w:eastAsia="Arial" w:hAnsi="Arial"/>
                <w:sz w:val="16"/>
                <w:szCs w:val="16"/>
                <w:color w:val="auto"/>
              </w:rPr>
              <w:t>1,285</w:t>
            </w:r>
          </w:p>
        </w:tc>
        <w:tc>
          <w:tcPr>
            <w:tcW w:w="1060" w:type="dxa"/>
            <w:vAlign w:val="bottom"/>
          </w:tcPr>
          <w:p>
            <w:pPr>
              <w:jc w:val="center"/>
              <w:spacing w:after="0"/>
              <w:rPr>
                <w:sz w:val="20"/>
                <w:szCs w:val="20"/>
                <w:color w:val="auto"/>
              </w:rPr>
            </w:pPr>
            <w:r>
              <w:rPr>
                <w:rFonts w:ascii="Arial" w:cs="Arial" w:eastAsia="Arial" w:hAnsi="Arial"/>
                <w:sz w:val="16"/>
                <w:szCs w:val="16"/>
                <w:color w:val="auto"/>
              </w:rPr>
              <w:t>16</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5.0%</w:t>
            </w:r>
          </w:p>
        </w:tc>
        <w:tc>
          <w:tcPr>
            <w:tcW w:w="980" w:type="dxa"/>
            <w:vAlign w:val="bottom"/>
          </w:tcPr>
          <w:p>
            <w:pPr>
              <w:ind w:left="280"/>
              <w:spacing w:after="0"/>
              <w:rPr>
                <w:sz w:val="20"/>
                <w:szCs w:val="20"/>
                <w:color w:val="auto"/>
              </w:rPr>
            </w:pPr>
            <w:r>
              <w:rPr>
                <w:rFonts w:ascii="Arial" w:cs="Arial" w:eastAsia="Arial" w:hAnsi="Arial"/>
                <w:sz w:val="16"/>
                <w:szCs w:val="16"/>
                <w:color w:val="auto"/>
              </w:rPr>
              <w:t>1,462</w:t>
            </w:r>
          </w:p>
        </w:tc>
        <w:tc>
          <w:tcPr>
            <w:tcW w:w="1040" w:type="dxa"/>
            <w:vAlign w:val="bottom"/>
          </w:tcPr>
          <w:p>
            <w:pPr>
              <w:jc w:val="center"/>
              <w:spacing w:after="0"/>
              <w:rPr>
                <w:sz w:val="20"/>
                <w:szCs w:val="20"/>
                <w:color w:val="auto"/>
              </w:rPr>
            </w:pPr>
            <w:r>
              <w:rPr>
                <w:rFonts w:ascii="Arial" w:cs="Arial" w:eastAsia="Arial" w:hAnsi="Arial"/>
                <w:sz w:val="16"/>
                <w:szCs w:val="16"/>
                <w:color w:val="auto"/>
              </w:rPr>
              <w:t>28</w:t>
            </w:r>
          </w:p>
        </w:tc>
        <w:tc>
          <w:tcPr>
            <w:tcW w:w="10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7.5%</w:t>
            </w:r>
          </w:p>
        </w:tc>
        <w:tc>
          <w:tcPr>
            <w:tcW w:w="960" w:type="dxa"/>
            <w:vAlign w:val="bottom"/>
          </w:tcPr>
          <w:p>
            <w:pPr>
              <w:jc w:val="center"/>
              <w:spacing w:after="0"/>
              <w:rPr>
                <w:sz w:val="20"/>
                <w:szCs w:val="20"/>
                <w:color w:val="auto"/>
              </w:rPr>
            </w:pPr>
            <w:r>
              <w:rPr>
                <w:rFonts w:ascii="Arial" w:cs="Arial" w:eastAsia="Arial" w:hAnsi="Arial"/>
                <w:sz w:val="16"/>
                <w:szCs w:val="16"/>
                <w:color w:val="auto"/>
              </w:rPr>
              <w:t>1,468</w:t>
            </w:r>
          </w:p>
        </w:tc>
        <w:tc>
          <w:tcPr>
            <w:tcW w:w="1060" w:type="dxa"/>
            <w:vAlign w:val="bottom"/>
          </w:tcPr>
          <w:p>
            <w:pPr>
              <w:jc w:val="center"/>
              <w:spacing w:after="0"/>
              <w:rPr>
                <w:sz w:val="20"/>
                <w:szCs w:val="20"/>
                <w:color w:val="auto"/>
              </w:rPr>
            </w:pPr>
            <w:r>
              <w:rPr>
                <w:rFonts w:ascii="Arial" w:cs="Arial" w:eastAsia="Arial" w:hAnsi="Arial"/>
                <w:sz w:val="16"/>
                <w:szCs w:val="16"/>
                <w:color w:val="auto"/>
              </w:rPr>
              <w:t>29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7.8%</w:t>
            </w:r>
          </w:p>
        </w:tc>
      </w:tr>
      <w:tr>
        <w:trPr>
          <w:trHeight w:val="189"/>
        </w:trPr>
        <w:tc>
          <w:tcPr>
            <w:tcW w:w="22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Investments</w:t>
            </w:r>
          </w:p>
        </w:tc>
        <w:tc>
          <w:tcPr>
            <w:tcW w:w="980" w:type="dxa"/>
            <w:vAlign w:val="bottom"/>
          </w:tcPr>
          <w:p>
            <w:pPr>
              <w:ind w:left="220"/>
              <w:spacing w:after="0"/>
              <w:rPr>
                <w:sz w:val="20"/>
                <w:szCs w:val="20"/>
                <w:color w:val="auto"/>
              </w:rPr>
            </w:pPr>
            <w:r>
              <w:rPr>
                <w:rFonts w:ascii="Arial" w:cs="Arial" w:eastAsia="Arial" w:hAnsi="Arial"/>
                <w:sz w:val="16"/>
                <w:szCs w:val="16"/>
                <w:color w:val="auto"/>
              </w:rPr>
              <w:t>46,580</w:t>
            </w:r>
          </w:p>
        </w:tc>
        <w:tc>
          <w:tcPr>
            <w:tcW w:w="1060" w:type="dxa"/>
            <w:vAlign w:val="bottom"/>
          </w:tcPr>
          <w:p>
            <w:pPr>
              <w:jc w:val="center"/>
              <w:spacing w:after="0"/>
              <w:rPr>
                <w:sz w:val="20"/>
                <w:szCs w:val="20"/>
                <w:color w:val="auto"/>
              </w:rPr>
            </w:pPr>
            <w:r>
              <w:rPr>
                <w:rFonts w:ascii="Arial" w:cs="Arial" w:eastAsia="Arial" w:hAnsi="Arial"/>
                <w:sz w:val="16"/>
                <w:szCs w:val="16"/>
                <w:color w:val="auto"/>
              </w:rPr>
              <w:t>592</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5.1%</w:t>
            </w:r>
          </w:p>
        </w:tc>
        <w:tc>
          <w:tcPr>
            <w:tcW w:w="980" w:type="dxa"/>
            <w:vAlign w:val="bottom"/>
          </w:tcPr>
          <w:p>
            <w:pPr>
              <w:ind w:left="220"/>
              <w:spacing w:after="0"/>
              <w:rPr>
                <w:sz w:val="20"/>
                <w:szCs w:val="20"/>
                <w:color w:val="auto"/>
              </w:rPr>
            </w:pPr>
            <w:r>
              <w:rPr>
                <w:rFonts w:ascii="Arial" w:cs="Arial" w:eastAsia="Arial" w:hAnsi="Arial"/>
                <w:sz w:val="16"/>
                <w:szCs w:val="16"/>
                <w:color w:val="auto"/>
              </w:rPr>
              <w:t>51,666</w:t>
            </w:r>
          </w:p>
        </w:tc>
        <w:tc>
          <w:tcPr>
            <w:tcW w:w="1040" w:type="dxa"/>
            <w:vAlign w:val="bottom"/>
          </w:tcPr>
          <w:p>
            <w:pPr>
              <w:jc w:val="center"/>
              <w:spacing w:after="0"/>
              <w:rPr>
                <w:sz w:val="20"/>
                <w:szCs w:val="20"/>
                <w:color w:val="auto"/>
              </w:rPr>
            </w:pPr>
            <w:r>
              <w:rPr>
                <w:rFonts w:ascii="Arial" w:cs="Arial" w:eastAsia="Arial" w:hAnsi="Arial"/>
                <w:sz w:val="16"/>
                <w:szCs w:val="16"/>
                <w:color w:val="auto"/>
              </w:rPr>
              <w:t>655</w:t>
            </w:r>
          </w:p>
        </w:tc>
        <w:tc>
          <w:tcPr>
            <w:tcW w:w="10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5.1%</w:t>
            </w:r>
          </w:p>
        </w:tc>
        <w:tc>
          <w:tcPr>
            <w:tcW w:w="960" w:type="dxa"/>
            <w:vAlign w:val="bottom"/>
          </w:tcPr>
          <w:p>
            <w:pPr>
              <w:ind w:left="240"/>
              <w:spacing w:after="0"/>
              <w:rPr>
                <w:sz w:val="20"/>
                <w:szCs w:val="20"/>
                <w:color w:val="auto"/>
              </w:rPr>
            </w:pPr>
            <w:r>
              <w:rPr>
                <w:rFonts w:ascii="Arial" w:cs="Arial" w:eastAsia="Arial" w:hAnsi="Arial"/>
                <w:sz w:val="16"/>
                <w:szCs w:val="16"/>
                <w:color w:val="auto"/>
              </w:rPr>
              <w:t>52,385</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694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5.3%</w:t>
            </w:r>
          </w:p>
        </w:tc>
      </w:tr>
      <w:tr>
        <w:trPr>
          <w:trHeight w:val="189"/>
        </w:trPr>
        <w:tc>
          <w:tcPr>
            <w:tcW w:w="22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Loans</w:t>
            </w:r>
          </w:p>
        </w:tc>
        <w:tc>
          <w:tcPr>
            <w:tcW w:w="980" w:type="dxa"/>
            <w:vAlign w:val="bottom"/>
          </w:tcPr>
          <w:p>
            <w:pPr>
              <w:ind w:left="180"/>
              <w:spacing w:after="0"/>
              <w:rPr>
                <w:sz w:val="20"/>
                <w:szCs w:val="20"/>
                <w:color w:val="auto"/>
              </w:rPr>
            </w:pPr>
            <w:r>
              <w:rPr>
                <w:rFonts w:ascii="Arial" w:cs="Arial" w:eastAsia="Arial" w:hAnsi="Arial"/>
                <w:sz w:val="16"/>
                <w:szCs w:val="16"/>
                <w:color w:val="auto"/>
              </w:rPr>
              <w:t>146,896</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3,571</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9.7%</w:t>
            </w:r>
          </w:p>
        </w:tc>
        <w:tc>
          <w:tcPr>
            <w:tcW w:w="980" w:type="dxa"/>
            <w:vAlign w:val="bottom"/>
          </w:tcPr>
          <w:p>
            <w:pPr>
              <w:ind w:left="180"/>
              <w:spacing w:after="0"/>
              <w:rPr>
                <w:sz w:val="20"/>
                <w:szCs w:val="20"/>
                <w:color w:val="auto"/>
              </w:rPr>
            </w:pPr>
            <w:r>
              <w:rPr>
                <w:rFonts w:ascii="Arial" w:cs="Arial" w:eastAsia="Arial" w:hAnsi="Arial"/>
                <w:sz w:val="16"/>
                <w:szCs w:val="16"/>
                <w:color w:val="auto"/>
              </w:rPr>
              <w:t>145,053</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3,908</w:t>
            </w:r>
          </w:p>
        </w:tc>
        <w:tc>
          <w:tcPr>
            <w:tcW w:w="10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10.8%</w:t>
            </w:r>
          </w:p>
        </w:tc>
        <w:tc>
          <w:tcPr>
            <w:tcW w:w="960" w:type="dxa"/>
            <w:vAlign w:val="bottom"/>
          </w:tcPr>
          <w:p>
            <w:pPr>
              <w:jc w:val="center"/>
              <w:spacing w:after="0"/>
              <w:rPr>
                <w:sz w:val="20"/>
                <w:szCs w:val="20"/>
                <w:color w:val="auto"/>
              </w:rPr>
            </w:pPr>
            <w:r>
              <w:rPr>
                <w:rFonts w:ascii="Arial" w:cs="Arial" w:eastAsia="Arial" w:hAnsi="Arial"/>
                <w:sz w:val="16"/>
                <w:szCs w:val="16"/>
                <w:color w:val="auto"/>
              </w:rPr>
              <w:t>142,887</w:t>
            </w:r>
          </w:p>
        </w:tc>
        <w:tc>
          <w:tcPr>
            <w:tcW w:w="1060" w:type="dxa"/>
            <w:vAlign w:val="bottom"/>
          </w:tcPr>
          <w:p>
            <w:pPr>
              <w:jc w:val="center"/>
              <w:spacing w:after="0"/>
              <w:rPr>
                <w:sz w:val="20"/>
                <w:szCs w:val="20"/>
                <w:color w:val="auto"/>
              </w:rPr>
            </w:pPr>
            <w:r>
              <w:rPr>
                <w:rFonts w:ascii="Arial" w:cs="Arial" w:eastAsia="Arial" w:hAnsi="Arial"/>
                <w:sz w:val="16"/>
                <w:szCs w:val="16"/>
                <w:color w:val="auto"/>
              </w:rPr>
              <w:t>3,869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10.8%</w:t>
            </w:r>
          </w:p>
        </w:tc>
      </w:tr>
      <w:tr>
        <w:trPr>
          <w:trHeight w:val="189"/>
        </w:trPr>
        <w:tc>
          <w:tcPr>
            <w:tcW w:w="22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Structural</w:t>
            </w:r>
          </w:p>
        </w:tc>
        <w:tc>
          <w:tcPr>
            <w:tcW w:w="980" w:type="dxa"/>
            <w:vAlign w:val="bottom"/>
          </w:tcPr>
          <w:p>
            <w:pPr>
              <w:ind w:left="180"/>
              <w:spacing w:after="0"/>
              <w:rPr>
                <w:sz w:val="20"/>
                <w:szCs w:val="20"/>
                <w:color w:val="auto"/>
              </w:rPr>
            </w:pPr>
            <w:r>
              <w:rPr>
                <w:rFonts w:ascii="Arial" w:cs="Arial" w:eastAsia="Arial" w:hAnsi="Arial"/>
                <w:sz w:val="16"/>
                <w:szCs w:val="16"/>
                <w:color w:val="auto"/>
              </w:rPr>
              <w:t>138,866</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3,528</w:t>
            </w:r>
          </w:p>
        </w:tc>
        <w:tc>
          <w:tcPr>
            <w:tcW w:w="10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10.2%</w:t>
            </w:r>
          </w:p>
        </w:tc>
        <w:tc>
          <w:tcPr>
            <w:tcW w:w="980" w:type="dxa"/>
            <w:vAlign w:val="bottom"/>
          </w:tcPr>
          <w:p>
            <w:pPr>
              <w:ind w:left="180"/>
              <w:spacing w:after="0"/>
              <w:rPr>
                <w:sz w:val="20"/>
                <w:szCs w:val="20"/>
                <w:color w:val="auto"/>
              </w:rPr>
            </w:pPr>
            <w:r>
              <w:rPr>
                <w:rFonts w:ascii="Arial" w:cs="Arial" w:eastAsia="Arial" w:hAnsi="Arial"/>
                <w:sz w:val="16"/>
                <w:szCs w:val="16"/>
                <w:color w:val="auto"/>
              </w:rPr>
              <w:t>141,165</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3,862</w:t>
            </w:r>
          </w:p>
        </w:tc>
        <w:tc>
          <w:tcPr>
            <w:tcW w:w="10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10.9%</w:t>
            </w:r>
          </w:p>
        </w:tc>
        <w:tc>
          <w:tcPr>
            <w:tcW w:w="960" w:type="dxa"/>
            <w:vAlign w:val="bottom"/>
          </w:tcPr>
          <w:p>
            <w:pPr>
              <w:jc w:val="center"/>
              <w:spacing w:after="0"/>
              <w:rPr>
                <w:sz w:val="20"/>
                <w:szCs w:val="20"/>
                <w:color w:val="auto"/>
              </w:rPr>
            </w:pPr>
            <w:r>
              <w:rPr>
                <w:rFonts w:ascii="Arial" w:cs="Arial" w:eastAsia="Arial" w:hAnsi="Arial"/>
                <w:sz w:val="16"/>
                <w:szCs w:val="16"/>
                <w:color w:val="auto"/>
              </w:rPr>
              <w:t>139,585</w:t>
            </w:r>
          </w:p>
        </w:tc>
        <w:tc>
          <w:tcPr>
            <w:tcW w:w="1060" w:type="dxa"/>
            <w:vAlign w:val="bottom"/>
          </w:tcPr>
          <w:p>
            <w:pPr>
              <w:jc w:val="center"/>
              <w:spacing w:after="0"/>
              <w:rPr>
                <w:sz w:val="20"/>
                <w:szCs w:val="20"/>
                <w:color w:val="auto"/>
              </w:rPr>
            </w:pPr>
            <w:r>
              <w:rPr>
                <w:rFonts w:ascii="Arial" w:cs="Arial" w:eastAsia="Arial" w:hAnsi="Arial"/>
                <w:sz w:val="16"/>
                <w:szCs w:val="16"/>
                <w:color w:val="auto"/>
              </w:rPr>
              <w:t>3,830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11.0%</w:t>
            </w:r>
          </w:p>
        </w:tc>
      </w:tr>
      <w:tr>
        <w:trPr>
          <w:trHeight w:val="203"/>
        </w:trPr>
        <w:tc>
          <w:tcPr>
            <w:tcW w:w="22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Government Programs</w:t>
            </w: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8,031</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43</w:t>
            </w:r>
          </w:p>
        </w:tc>
        <w:tc>
          <w:tcPr>
            <w:tcW w:w="10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2.1%</w:t>
            </w: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3,888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45</w:t>
            </w:r>
          </w:p>
        </w:tc>
        <w:tc>
          <w:tcPr>
            <w:tcW w:w="100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rPr>
              <w:t>4.7%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3,302</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4.7%</w:t>
            </w:r>
          </w:p>
        </w:tc>
      </w:tr>
      <w:tr>
        <w:trPr>
          <w:trHeight w:val="183"/>
        </w:trPr>
        <w:tc>
          <w:tcPr>
            <w:tcW w:w="220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Total IEA</w:t>
            </w:r>
          </w:p>
        </w:tc>
        <w:tc>
          <w:tcPr>
            <w:tcW w:w="9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222,290</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4,456</w:t>
            </w:r>
          </w:p>
        </w:tc>
        <w:tc>
          <w:tcPr>
            <w:tcW w:w="1000" w:type="dxa"/>
            <w:vAlign w:val="bottom"/>
            <w:tcBorders>
              <w:bottom w:val="single" w:sz="8" w:color="auto"/>
              <w:right w:val="single" w:sz="8" w:color="auto"/>
            </w:tcBorders>
          </w:tcPr>
          <w:p>
            <w:pPr>
              <w:ind w:left="240"/>
              <w:spacing w:after="0" w:line="183" w:lineRule="exact"/>
              <w:rPr>
                <w:sz w:val="20"/>
                <w:szCs w:val="20"/>
                <w:color w:val="auto"/>
              </w:rPr>
            </w:pPr>
            <w:r>
              <w:rPr>
                <w:rFonts w:ascii="Arial" w:cs="Arial" w:eastAsia="Arial" w:hAnsi="Arial"/>
                <w:sz w:val="16"/>
                <w:szCs w:val="16"/>
                <w:b w:val="1"/>
                <w:bCs w:val="1"/>
                <w:color w:val="auto"/>
              </w:rPr>
              <w:t>8.0%</w:t>
            </w:r>
          </w:p>
        </w:tc>
        <w:tc>
          <w:tcPr>
            <w:tcW w:w="9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223,624</w:t>
            </w:r>
          </w:p>
        </w:tc>
        <w:tc>
          <w:tcPr>
            <w:tcW w:w="1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4,870</w:t>
            </w:r>
          </w:p>
        </w:tc>
        <w:tc>
          <w:tcPr>
            <w:tcW w:w="1000" w:type="dxa"/>
            <w:vAlign w:val="bottom"/>
            <w:tcBorders>
              <w:bottom w:val="single" w:sz="8" w:color="auto"/>
              <w:right w:val="single" w:sz="8" w:color="auto"/>
            </w:tcBorders>
          </w:tcPr>
          <w:p>
            <w:pPr>
              <w:jc w:val="center"/>
              <w:ind w:right="19"/>
              <w:spacing w:after="0" w:line="183" w:lineRule="exact"/>
              <w:rPr>
                <w:sz w:val="20"/>
                <w:szCs w:val="20"/>
                <w:color w:val="auto"/>
              </w:rPr>
            </w:pPr>
            <w:r>
              <w:rPr>
                <w:rFonts w:ascii="Arial" w:cs="Arial" w:eastAsia="Arial" w:hAnsi="Arial"/>
                <w:sz w:val="16"/>
                <w:szCs w:val="16"/>
                <w:b w:val="1"/>
                <w:bCs w:val="1"/>
                <w:color w:val="auto"/>
              </w:rPr>
              <w:t>8.7%</w:t>
            </w:r>
          </w:p>
        </w:tc>
        <w:tc>
          <w:tcPr>
            <w:tcW w:w="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225,298</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4,926</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8.7%</w:t>
            </w:r>
          </w:p>
        </w:tc>
      </w:tr>
      <w:tr>
        <w:trPr>
          <w:trHeight w:val="183"/>
        </w:trPr>
        <w:tc>
          <w:tcPr>
            <w:tcW w:w="220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IEA (LC)</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56.9%</w:t>
            </w:r>
          </w:p>
        </w:tc>
        <w:tc>
          <w:tcPr>
            <w:tcW w:w="10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71.2%</w:t>
            </w:r>
          </w:p>
        </w:tc>
        <w:tc>
          <w:tcPr>
            <w:tcW w:w="100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10.0%</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57.6%</w:t>
            </w:r>
          </w:p>
        </w:tc>
        <w:tc>
          <w:tcPr>
            <w:tcW w:w="10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70.5%</w:t>
            </w:r>
          </w:p>
        </w:tc>
        <w:tc>
          <w:tcPr>
            <w:tcW w:w="1000" w:type="dxa"/>
            <w:vAlign w:val="bottom"/>
            <w:tcBorders>
              <w:bottom w:val="single" w:sz="8" w:color="auto"/>
              <w:right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10.7%</w:t>
            </w:r>
          </w:p>
        </w:tc>
        <w:tc>
          <w:tcPr>
            <w:tcW w:w="9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58.0%</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69.9%</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10.5%</w:t>
            </w:r>
          </w:p>
        </w:tc>
      </w:tr>
      <w:tr>
        <w:trPr>
          <w:trHeight w:val="183"/>
        </w:trPr>
        <w:tc>
          <w:tcPr>
            <w:tcW w:w="220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IEA (FC)</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43.1%</w:t>
            </w:r>
          </w:p>
        </w:tc>
        <w:tc>
          <w:tcPr>
            <w:tcW w:w="10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28.8%</w:t>
            </w:r>
          </w:p>
        </w:tc>
        <w:tc>
          <w:tcPr>
            <w:tcW w:w="1000" w:type="dxa"/>
            <w:vAlign w:val="bottom"/>
            <w:tcBorders>
              <w:bottom w:val="single" w:sz="8" w:color="auto"/>
              <w:right w:val="single" w:sz="8" w:color="auto"/>
            </w:tcBorders>
          </w:tcPr>
          <w:p>
            <w:pPr>
              <w:ind w:left="240"/>
              <w:spacing w:after="0" w:line="183" w:lineRule="exact"/>
              <w:rPr>
                <w:sz w:val="20"/>
                <w:szCs w:val="20"/>
                <w:color w:val="auto"/>
              </w:rPr>
            </w:pPr>
            <w:r>
              <w:rPr>
                <w:rFonts w:ascii="Arial" w:cs="Arial" w:eastAsia="Arial" w:hAnsi="Arial"/>
                <w:sz w:val="16"/>
                <w:szCs w:val="16"/>
                <w:color w:val="auto"/>
              </w:rPr>
              <w:t>5.3%</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42.4%</w:t>
            </w:r>
          </w:p>
        </w:tc>
        <w:tc>
          <w:tcPr>
            <w:tcW w:w="10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29.5%</w:t>
            </w:r>
          </w:p>
        </w:tc>
        <w:tc>
          <w:tcPr>
            <w:tcW w:w="1000" w:type="dxa"/>
            <w:vAlign w:val="bottom"/>
            <w:tcBorders>
              <w:bottom w:val="single" w:sz="8" w:color="auto"/>
              <w:right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6.1%</w:t>
            </w:r>
          </w:p>
        </w:tc>
        <w:tc>
          <w:tcPr>
            <w:tcW w:w="9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42.0%</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30.1%</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6.3%</w:t>
            </w:r>
          </w:p>
        </w:tc>
      </w:tr>
      <w:tr>
        <w:trPr>
          <w:trHeight w:val="210"/>
        </w:trPr>
        <w:tc>
          <w:tcPr>
            <w:tcW w:w="2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83"/>
        </w:trPr>
        <w:tc>
          <w:tcPr>
            <w:tcW w:w="2200" w:type="dxa"/>
            <w:vAlign w:val="bottom"/>
            <w:tcBorders>
              <w:left w:val="single" w:sz="8" w:color="auto"/>
              <w:right w:val="single" w:sz="8" w:color="auto"/>
            </w:tcBorders>
            <w:shd w:val="clear" w:color="auto" w:fill="2AD2C9"/>
          </w:tcPr>
          <w:p>
            <w:pPr>
              <w:ind w:left="60"/>
              <w:spacing w:after="0" w:line="183" w:lineRule="exact"/>
              <w:rPr>
                <w:sz w:val="20"/>
                <w:szCs w:val="20"/>
                <w:color w:val="auto"/>
              </w:rPr>
            </w:pPr>
            <w:r>
              <w:rPr>
                <w:rFonts w:ascii="Arial" w:cs="Arial" w:eastAsia="Arial" w:hAnsi="Arial"/>
                <w:sz w:val="16"/>
                <w:szCs w:val="16"/>
                <w:b w:val="1"/>
                <w:bCs w:val="1"/>
                <w:color w:val="FFFFFF"/>
              </w:rPr>
              <w:t>Interest Expense / Funding</w:t>
            </w:r>
          </w:p>
        </w:tc>
        <w:tc>
          <w:tcPr>
            <w:tcW w:w="980" w:type="dxa"/>
            <w:vAlign w:val="bottom"/>
            <w:shd w:val="clear" w:color="auto" w:fill="2AD2C9"/>
          </w:tcPr>
          <w:p>
            <w:pPr>
              <w:spacing w:after="0"/>
              <w:rPr>
                <w:sz w:val="15"/>
                <w:szCs w:val="15"/>
                <w:color w:val="auto"/>
              </w:rPr>
            </w:pPr>
          </w:p>
        </w:tc>
        <w:tc>
          <w:tcPr>
            <w:tcW w:w="1060" w:type="dxa"/>
            <w:vAlign w:val="bottom"/>
            <w:shd w:val="clear" w:color="auto" w:fill="2AD2C9"/>
          </w:tcPr>
          <w:p>
            <w:pPr>
              <w:jc w:val="right"/>
              <w:ind w:right="259"/>
              <w:spacing w:after="0" w:line="183" w:lineRule="exact"/>
              <w:rPr>
                <w:sz w:val="20"/>
                <w:szCs w:val="20"/>
                <w:color w:val="auto"/>
              </w:rPr>
            </w:pPr>
            <w:r>
              <w:rPr>
                <w:rFonts w:ascii="Arial" w:cs="Arial" w:eastAsia="Arial" w:hAnsi="Arial"/>
                <w:sz w:val="16"/>
                <w:szCs w:val="16"/>
                <w:b w:val="1"/>
                <w:bCs w:val="1"/>
                <w:color w:val="FFFFFF"/>
              </w:rPr>
              <w:t>1Q23</w:t>
            </w:r>
          </w:p>
        </w:tc>
        <w:tc>
          <w:tcPr>
            <w:tcW w:w="1000" w:type="dxa"/>
            <w:vAlign w:val="bottom"/>
            <w:tcBorders>
              <w:right w:val="single" w:sz="8" w:color="auto"/>
            </w:tcBorders>
            <w:shd w:val="clear" w:color="auto" w:fill="2AD2C9"/>
          </w:tcPr>
          <w:p>
            <w:pPr>
              <w:spacing w:after="0"/>
              <w:rPr>
                <w:sz w:val="15"/>
                <w:szCs w:val="15"/>
                <w:color w:val="auto"/>
              </w:rPr>
            </w:pPr>
          </w:p>
        </w:tc>
        <w:tc>
          <w:tcPr>
            <w:tcW w:w="980" w:type="dxa"/>
            <w:vAlign w:val="bottom"/>
            <w:shd w:val="clear" w:color="auto" w:fill="2AD2C9"/>
          </w:tcPr>
          <w:p>
            <w:pPr>
              <w:spacing w:after="0"/>
              <w:rPr>
                <w:sz w:val="15"/>
                <w:szCs w:val="15"/>
                <w:color w:val="auto"/>
              </w:rPr>
            </w:pPr>
          </w:p>
        </w:tc>
        <w:tc>
          <w:tcPr>
            <w:tcW w:w="1040" w:type="dxa"/>
            <w:vAlign w:val="bottom"/>
            <w:shd w:val="clear" w:color="auto" w:fill="2AD2C9"/>
          </w:tcPr>
          <w:p>
            <w:pPr>
              <w:jc w:val="right"/>
              <w:ind w:right="259"/>
              <w:spacing w:after="0" w:line="183" w:lineRule="exact"/>
              <w:rPr>
                <w:sz w:val="20"/>
                <w:szCs w:val="20"/>
                <w:color w:val="auto"/>
              </w:rPr>
            </w:pPr>
            <w:r>
              <w:rPr>
                <w:rFonts w:ascii="Arial" w:cs="Arial" w:eastAsia="Arial" w:hAnsi="Arial"/>
                <w:sz w:val="16"/>
                <w:szCs w:val="16"/>
                <w:b w:val="1"/>
                <w:bCs w:val="1"/>
                <w:color w:val="FFFFFF"/>
              </w:rPr>
              <w:t>4Q23</w:t>
            </w:r>
          </w:p>
        </w:tc>
        <w:tc>
          <w:tcPr>
            <w:tcW w:w="1000" w:type="dxa"/>
            <w:vAlign w:val="bottom"/>
            <w:tcBorders>
              <w:right w:val="single" w:sz="8" w:color="auto"/>
            </w:tcBorders>
            <w:shd w:val="clear" w:color="auto" w:fill="2AD2C9"/>
          </w:tcPr>
          <w:p>
            <w:pPr>
              <w:spacing w:after="0"/>
              <w:rPr>
                <w:sz w:val="15"/>
                <w:szCs w:val="15"/>
                <w:color w:val="auto"/>
              </w:rPr>
            </w:pPr>
          </w:p>
        </w:tc>
        <w:tc>
          <w:tcPr>
            <w:tcW w:w="960" w:type="dxa"/>
            <w:vAlign w:val="bottom"/>
            <w:shd w:val="clear" w:color="auto" w:fill="2AD2C9"/>
          </w:tcPr>
          <w:p>
            <w:pPr>
              <w:spacing w:after="0"/>
              <w:rPr>
                <w:sz w:val="15"/>
                <w:szCs w:val="15"/>
                <w:color w:val="auto"/>
              </w:rPr>
            </w:pPr>
          </w:p>
        </w:tc>
        <w:tc>
          <w:tcPr>
            <w:tcW w:w="1060" w:type="dxa"/>
            <w:vAlign w:val="bottom"/>
            <w:shd w:val="clear" w:color="auto" w:fill="2AD2C9"/>
          </w:tcPr>
          <w:p>
            <w:pPr>
              <w:jc w:val="center"/>
              <w:spacing w:after="0" w:line="183" w:lineRule="exact"/>
              <w:rPr>
                <w:sz w:val="20"/>
                <w:szCs w:val="20"/>
                <w:color w:val="auto"/>
              </w:rPr>
            </w:pPr>
            <w:r>
              <w:rPr>
                <w:rFonts w:ascii="Arial" w:cs="Arial" w:eastAsia="Arial" w:hAnsi="Arial"/>
                <w:sz w:val="16"/>
                <w:szCs w:val="16"/>
                <w:b w:val="1"/>
                <w:bCs w:val="1"/>
                <w:color w:val="FFFFFF"/>
              </w:rPr>
              <w:t>1Q24</w:t>
            </w:r>
          </w:p>
        </w:tc>
        <w:tc>
          <w:tcPr>
            <w:tcW w:w="960" w:type="dxa"/>
            <w:vAlign w:val="bottom"/>
            <w:tcBorders>
              <w:right w:val="single" w:sz="8" w:color="auto"/>
            </w:tcBorders>
            <w:shd w:val="clear" w:color="auto" w:fill="2AD2C9"/>
          </w:tcPr>
          <w:p>
            <w:pPr>
              <w:spacing w:after="0"/>
              <w:rPr>
                <w:sz w:val="15"/>
                <w:szCs w:val="15"/>
                <w:color w:val="auto"/>
              </w:rPr>
            </w:pPr>
          </w:p>
        </w:tc>
      </w:tr>
      <w:tr>
        <w:trPr>
          <w:trHeight w:val="175"/>
        </w:trPr>
        <w:tc>
          <w:tcPr>
            <w:tcW w:w="2200" w:type="dxa"/>
            <w:vAlign w:val="bottom"/>
            <w:tcBorders>
              <w:left w:val="single" w:sz="8" w:color="auto"/>
              <w:right w:val="single" w:sz="8" w:color="auto"/>
            </w:tcBorders>
            <w:shd w:val="clear" w:color="auto" w:fill="2AD2C9"/>
          </w:tcPr>
          <w:p>
            <w:pPr>
              <w:ind w:left="60"/>
              <w:spacing w:after="0" w:line="175" w:lineRule="exact"/>
              <w:rPr>
                <w:sz w:val="20"/>
                <w:szCs w:val="20"/>
                <w:color w:val="auto"/>
              </w:rPr>
            </w:pPr>
            <w:r>
              <w:rPr>
                <w:rFonts w:ascii="Arial" w:cs="Arial" w:eastAsia="Arial" w:hAnsi="Arial"/>
                <w:sz w:val="16"/>
                <w:szCs w:val="16"/>
                <w:b w:val="1"/>
                <w:bCs w:val="1"/>
                <w:color w:val="FFFFFF"/>
              </w:rPr>
              <w:t>S/ millions</w:t>
            </w:r>
          </w:p>
        </w:tc>
        <w:tc>
          <w:tcPr>
            <w:tcW w:w="980" w:type="dxa"/>
            <w:vAlign w:val="bottom"/>
            <w:shd w:val="clear" w:color="auto" w:fill="2AD2C9"/>
          </w:tcPr>
          <w:p>
            <w:pPr>
              <w:ind w:left="180"/>
              <w:spacing w:after="0" w:line="175" w:lineRule="exact"/>
              <w:rPr>
                <w:sz w:val="20"/>
                <w:szCs w:val="20"/>
                <w:color w:val="auto"/>
              </w:rPr>
            </w:pPr>
            <w:r>
              <w:rPr>
                <w:rFonts w:ascii="Arial" w:cs="Arial" w:eastAsia="Arial" w:hAnsi="Arial"/>
                <w:sz w:val="16"/>
                <w:szCs w:val="16"/>
                <w:b w:val="1"/>
                <w:bCs w:val="1"/>
                <w:color w:val="FFFFFF"/>
              </w:rPr>
              <w:t>Average</w:t>
            </w:r>
          </w:p>
        </w:tc>
        <w:tc>
          <w:tcPr>
            <w:tcW w:w="1060" w:type="dxa"/>
            <w:vAlign w:val="bottom"/>
            <w:shd w:val="clear" w:color="auto" w:fill="2AD2C9"/>
          </w:tcPr>
          <w:p>
            <w:pPr>
              <w:spacing w:after="0"/>
              <w:rPr>
                <w:sz w:val="15"/>
                <w:szCs w:val="15"/>
                <w:color w:val="auto"/>
              </w:rPr>
            </w:pPr>
          </w:p>
        </w:tc>
        <w:tc>
          <w:tcPr>
            <w:tcW w:w="1000" w:type="dxa"/>
            <w:vAlign w:val="bottom"/>
            <w:tcBorders>
              <w:right w:val="single" w:sz="8" w:color="auto"/>
            </w:tcBorders>
            <w:shd w:val="clear" w:color="auto" w:fill="2AD2C9"/>
          </w:tcPr>
          <w:p>
            <w:pPr>
              <w:spacing w:after="0"/>
              <w:rPr>
                <w:sz w:val="15"/>
                <w:szCs w:val="15"/>
                <w:color w:val="auto"/>
              </w:rPr>
            </w:pPr>
          </w:p>
        </w:tc>
        <w:tc>
          <w:tcPr>
            <w:tcW w:w="980" w:type="dxa"/>
            <w:vAlign w:val="bottom"/>
            <w:shd w:val="clear" w:color="auto" w:fill="2AD2C9"/>
          </w:tcPr>
          <w:p>
            <w:pPr>
              <w:ind w:left="180"/>
              <w:spacing w:after="0" w:line="175" w:lineRule="exact"/>
              <w:rPr>
                <w:sz w:val="20"/>
                <w:szCs w:val="20"/>
                <w:color w:val="auto"/>
              </w:rPr>
            </w:pPr>
            <w:r>
              <w:rPr>
                <w:rFonts w:ascii="Arial" w:cs="Arial" w:eastAsia="Arial" w:hAnsi="Arial"/>
                <w:sz w:val="16"/>
                <w:szCs w:val="16"/>
                <w:b w:val="1"/>
                <w:bCs w:val="1"/>
                <w:color w:val="FFFFFF"/>
              </w:rPr>
              <w:t>Average</w:t>
            </w:r>
          </w:p>
        </w:tc>
        <w:tc>
          <w:tcPr>
            <w:tcW w:w="1040" w:type="dxa"/>
            <w:vAlign w:val="bottom"/>
            <w:shd w:val="clear" w:color="auto" w:fill="2AD2C9"/>
          </w:tcPr>
          <w:p>
            <w:pPr>
              <w:spacing w:after="0"/>
              <w:rPr>
                <w:sz w:val="15"/>
                <w:szCs w:val="15"/>
                <w:color w:val="auto"/>
              </w:rPr>
            </w:pPr>
          </w:p>
        </w:tc>
        <w:tc>
          <w:tcPr>
            <w:tcW w:w="1000" w:type="dxa"/>
            <w:vAlign w:val="bottom"/>
            <w:tcBorders>
              <w:right w:val="single" w:sz="8" w:color="auto"/>
            </w:tcBorders>
            <w:shd w:val="clear" w:color="auto" w:fill="2AD2C9"/>
          </w:tcPr>
          <w:p>
            <w:pPr>
              <w:spacing w:after="0"/>
              <w:rPr>
                <w:sz w:val="15"/>
                <w:szCs w:val="15"/>
                <w:color w:val="auto"/>
              </w:rPr>
            </w:pPr>
          </w:p>
        </w:tc>
        <w:tc>
          <w:tcPr>
            <w:tcW w:w="960" w:type="dxa"/>
            <w:vAlign w:val="bottom"/>
            <w:shd w:val="clear" w:color="auto" w:fill="2AD2C9"/>
          </w:tcPr>
          <w:p>
            <w:pPr>
              <w:ind w:left="160"/>
              <w:spacing w:after="0" w:line="175" w:lineRule="exact"/>
              <w:rPr>
                <w:sz w:val="20"/>
                <w:szCs w:val="20"/>
                <w:color w:val="auto"/>
              </w:rPr>
            </w:pPr>
            <w:r>
              <w:rPr>
                <w:rFonts w:ascii="Arial" w:cs="Arial" w:eastAsia="Arial" w:hAnsi="Arial"/>
                <w:sz w:val="16"/>
                <w:szCs w:val="16"/>
                <w:b w:val="1"/>
                <w:bCs w:val="1"/>
                <w:color w:val="FFFFFF"/>
              </w:rPr>
              <w:t>Average</w:t>
            </w:r>
          </w:p>
        </w:tc>
        <w:tc>
          <w:tcPr>
            <w:tcW w:w="1060" w:type="dxa"/>
            <w:vAlign w:val="bottom"/>
            <w:shd w:val="clear" w:color="auto" w:fill="2AD2C9"/>
          </w:tcPr>
          <w:p>
            <w:pPr>
              <w:spacing w:after="0"/>
              <w:rPr>
                <w:sz w:val="15"/>
                <w:szCs w:val="15"/>
                <w:color w:val="auto"/>
              </w:rPr>
            </w:pPr>
          </w:p>
        </w:tc>
        <w:tc>
          <w:tcPr>
            <w:tcW w:w="960" w:type="dxa"/>
            <w:vAlign w:val="bottom"/>
            <w:tcBorders>
              <w:right w:val="single" w:sz="8" w:color="auto"/>
            </w:tcBorders>
            <w:shd w:val="clear" w:color="auto" w:fill="2AD2C9"/>
          </w:tcPr>
          <w:p>
            <w:pPr>
              <w:spacing w:after="0"/>
              <w:rPr>
                <w:sz w:val="15"/>
                <w:szCs w:val="15"/>
                <w:color w:val="auto"/>
              </w:rPr>
            </w:pPr>
          </w:p>
        </w:tc>
      </w:tr>
      <w:tr>
        <w:trPr>
          <w:trHeight w:val="203"/>
        </w:trPr>
        <w:tc>
          <w:tcPr>
            <w:tcW w:w="2200" w:type="dxa"/>
            <w:vAlign w:val="bottom"/>
            <w:tcBorders>
              <w:left w:val="single" w:sz="8" w:color="auto"/>
              <w:bottom w:val="single" w:sz="8" w:color="auto"/>
              <w:right w:val="single" w:sz="8" w:color="auto"/>
            </w:tcBorders>
            <w:shd w:val="clear" w:color="auto" w:fill="2AD2C9"/>
          </w:tcPr>
          <w:p>
            <w:pPr>
              <w:spacing w:after="0"/>
              <w:rPr>
                <w:sz w:val="17"/>
                <w:szCs w:val="17"/>
                <w:color w:val="auto"/>
              </w:rPr>
            </w:pPr>
          </w:p>
        </w:tc>
        <w:tc>
          <w:tcPr>
            <w:tcW w:w="98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6"/>
                <w:szCs w:val="16"/>
                <w:b w:val="1"/>
                <w:bCs w:val="1"/>
                <w:color w:val="FFFFFF"/>
              </w:rPr>
              <w:t>Balance</w:t>
            </w:r>
          </w:p>
        </w:tc>
        <w:tc>
          <w:tcPr>
            <w:tcW w:w="1060" w:type="dxa"/>
            <w:vAlign w:val="bottom"/>
            <w:tcBorders>
              <w:bottom w:val="single" w:sz="8" w:color="auto"/>
            </w:tcBorders>
            <w:shd w:val="clear" w:color="auto" w:fill="2AD2C9"/>
          </w:tcPr>
          <w:p>
            <w:pPr>
              <w:jc w:val="right"/>
              <w:ind w:right="119"/>
              <w:spacing w:after="0"/>
              <w:rPr>
                <w:sz w:val="20"/>
                <w:szCs w:val="20"/>
                <w:color w:val="auto"/>
              </w:rPr>
            </w:pPr>
            <w:r>
              <w:rPr>
                <w:rFonts w:ascii="Arial" w:cs="Arial" w:eastAsia="Arial" w:hAnsi="Arial"/>
                <w:sz w:val="16"/>
                <w:szCs w:val="16"/>
                <w:b w:val="1"/>
                <w:bCs w:val="1"/>
                <w:color w:val="FFFFFF"/>
              </w:rPr>
              <w:t>Expense</w:t>
            </w:r>
          </w:p>
        </w:tc>
        <w:tc>
          <w:tcPr>
            <w:tcW w:w="1000" w:type="dxa"/>
            <w:vAlign w:val="bottom"/>
            <w:tcBorders>
              <w:bottom w:val="single" w:sz="8" w:color="auto"/>
              <w:right w:val="single" w:sz="8" w:color="auto"/>
            </w:tcBorders>
            <w:shd w:val="clear" w:color="auto" w:fill="2AD2C9"/>
          </w:tcPr>
          <w:p>
            <w:pPr>
              <w:jc w:val="right"/>
              <w:ind w:right="219"/>
              <w:spacing w:after="0"/>
              <w:rPr>
                <w:sz w:val="20"/>
                <w:szCs w:val="20"/>
                <w:color w:val="auto"/>
              </w:rPr>
            </w:pPr>
            <w:r>
              <w:rPr>
                <w:rFonts w:ascii="Arial" w:cs="Arial" w:eastAsia="Arial" w:hAnsi="Arial"/>
                <w:sz w:val="16"/>
                <w:szCs w:val="16"/>
                <w:b w:val="1"/>
                <w:bCs w:val="1"/>
                <w:color w:val="FFFFFF"/>
              </w:rPr>
              <w:t>Yields</w:t>
            </w:r>
          </w:p>
        </w:tc>
        <w:tc>
          <w:tcPr>
            <w:tcW w:w="98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6"/>
                <w:szCs w:val="16"/>
                <w:b w:val="1"/>
                <w:bCs w:val="1"/>
                <w:color w:val="FFFFFF"/>
              </w:rPr>
              <w:t>Balance</w:t>
            </w:r>
          </w:p>
        </w:tc>
        <w:tc>
          <w:tcPr>
            <w:tcW w:w="1040" w:type="dxa"/>
            <w:vAlign w:val="bottom"/>
            <w:tcBorders>
              <w:bottom w:val="single" w:sz="8" w:color="auto"/>
            </w:tcBorders>
            <w:shd w:val="clear" w:color="auto" w:fill="2AD2C9"/>
          </w:tcPr>
          <w:p>
            <w:pPr>
              <w:jc w:val="right"/>
              <w:ind w:right="119"/>
              <w:spacing w:after="0"/>
              <w:rPr>
                <w:sz w:val="20"/>
                <w:szCs w:val="20"/>
                <w:color w:val="auto"/>
              </w:rPr>
            </w:pPr>
            <w:r>
              <w:rPr>
                <w:rFonts w:ascii="Arial" w:cs="Arial" w:eastAsia="Arial" w:hAnsi="Arial"/>
                <w:sz w:val="16"/>
                <w:szCs w:val="16"/>
                <w:b w:val="1"/>
                <w:bCs w:val="1"/>
                <w:color w:val="FFFFFF"/>
              </w:rPr>
              <w:t>Expense</w:t>
            </w:r>
          </w:p>
        </w:tc>
        <w:tc>
          <w:tcPr>
            <w:tcW w:w="100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6"/>
                <w:szCs w:val="16"/>
                <w:b w:val="1"/>
                <w:bCs w:val="1"/>
                <w:color w:val="FFFFFF"/>
              </w:rPr>
              <w:t>Yields</w:t>
            </w:r>
          </w:p>
        </w:tc>
        <w:tc>
          <w:tcPr>
            <w:tcW w:w="96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6"/>
                <w:szCs w:val="16"/>
                <w:b w:val="1"/>
                <w:bCs w:val="1"/>
                <w:color w:val="FFFFFF"/>
              </w:rPr>
              <w:t>Balance</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Expense</w:t>
            </w:r>
          </w:p>
        </w:tc>
        <w:tc>
          <w:tcPr>
            <w:tcW w:w="96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Yields</w:t>
            </w:r>
          </w:p>
        </w:tc>
      </w:tr>
      <w:tr>
        <w:trPr>
          <w:trHeight w:val="168"/>
        </w:trPr>
        <w:tc>
          <w:tcPr>
            <w:tcW w:w="2200" w:type="dxa"/>
            <w:vAlign w:val="bottom"/>
            <w:tcBorders>
              <w:left w:val="single" w:sz="8" w:color="auto"/>
              <w:right w:val="single" w:sz="8" w:color="auto"/>
            </w:tcBorders>
          </w:tcPr>
          <w:p>
            <w:pPr>
              <w:ind w:left="60"/>
              <w:spacing w:after="0" w:line="168" w:lineRule="exact"/>
              <w:rPr>
                <w:sz w:val="20"/>
                <w:szCs w:val="20"/>
                <w:color w:val="auto"/>
              </w:rPr>
            </w:pPr>
            <w:r>
              <w:rPr>
                <w:rFonts w:ascii="Arial" w:cs="Arial" w:eastAsia="Arial" w:hAnsi="Arial"/>
                <w:sz w:val="16"/>
                <w:szCs w:val="16"/>
                <w:color w:val="auto"/>
              </w:rPr>
              <w:t>Deposits</w:t>
            </w:r>
          </w:p>
        </w:tc>
        <w:tc>
          <w:tcPr>
            <w:tcW w:w="980" w:type="dxa"/>
            <w:vAlign w:val="bottom"/>
          </w:tcPr>
          <w:p>
            <w:pPr>
              <w:ind w:left="220"/>
              <w:spacing w:after="0" w:line="168" w:lineRule="exact"/>
              <w:rPr>
                <w:sz w:val="20"/>
                <w:szCs w:val="20"/>
                <w:color w:val="auto"/>
              </w:rPr>
            </w:pPr>
            <w:r>
              <w:rPr>
                <w:rFonts w:ascii="Arial" w:cs="Arial" w:eastAsia="Arial" w:hAnsi="Arial"/>
                <w:sz w:val="16"/>
                <w:szCs w:val="16"/>
                <w:color w:val="auto"/>
              </w:rPr>
              <w:t>147,822</w:t>
            </w:r>
          </w:p>
        </w:tc>
        <w:tc>
          <w:tcPr>
            <w:tcW w:w="1060" w:type="dxa"/>
            <w:vAlign w:val="bottom"/>
          </w:tcPr>
          <w:p>
            <w:pPr>
              <w:jc w:val="right"/>
              <w:ind w:right="299"/>
              <w:spacing w:after="0" w:line="168" w:lineRule="exact"/>
              <w:rPr>
                <w:sz w:val="20"/>
                <w:szCs w:val="20"/>
                <w:color w:val="auto"/>
              </w:rPr>
            </w:pPr>
            <w:r>
              <w:rPr>
                <w:rFonts w:ascii="Arial" w:cs="Arial" w:eastAsia="Arial" w:hAnsi="Arial"/>
                <w:sz w:val="16"/>
                <w:szCs w:val="16"/>
                <w:color w:val="auto"/>
              </w:rPr>
              <w:t>677</w:t>
            </w:r>
          </w:p>
        </w:tc>
        <w:tc>
          <w:tcPr>
            <w:tcW w:w="1000" w:type="dxa"/>
            <w:vAlign w:val="bottom"/>
            <w:tcBorders>
              <w:right w:val="single" w:sz="8" w:color="auto"/>
            </w:tcBorders>
          </w:tcPr>
          <w:p>
            <w:pPr>
              <w:jc w:val="right"/>
              <w:ind w:right="259"/>
              <w:spacing w:after="0" w:line="168" w:lineRule="exact"/>
              <w:rPr>
                <w:sz w:val="20"/>
                <w:szCs w:val="20"/>
                <w:color w:val="auto"/>
              </w:rPr>
            </w:pPr>
            <w:r>
              <w:rPr>
                <w:rFonts w:ascii="Arial" w:cs="Arial" w:eastAsia="Arial" w:hAnsi="Arial"/>
                <w:sz w:val="16"/>
                <w:szCs w:val="16"/>
                <w:color w:val="auto"/>
              </w:rPr>
              <w:t>1.8%</w:t>
            </w:r>
          </w:p>
        </w:tc>
        <w:tc>
          <w:tcPr>
            <w:tcW w:w="980" w:type="dxa"/>
            <w:vAlign w:val="bottom"/>
          </w:tcPr>
          <w:p>
            <w:pPr>
              <w:ind w:left="220"/>
              <w:spacing w:after="0" w:line="168" w:lineRule="exact"/>
              <w:rPr>
                <w:sz w:val="20"/>
                <w:szCs w:val="20"/>
                <w:color w:val="auto"/>
              </w:rPr>
            </w:pPr>
            <w:r>
              <w:rPr>
                <w:rFonts w:ascii="Arial" w:cs="Arial" w:eastAsia="Arial" w:hAnsi="Arial"/>
                <w:sz w:val="16"/>
                <w:szCs w:val="16"/>
                <w:color w:val="auto"/>
              </w:rPr>
              <w:t>148,088</w:t>
            </w:r>
          </w:p>
        </w:tc>
        <w:tc>
          <w:tcPr>
            <w:tcW w:w="1040" w:type="dxa"/>
            <w:vAlign w:val="bottom"/>
          </w:tcPr>
          <w:p>
            <w:pPr>
              <w:jc w:val="right"/>
              <w:ind w:right="299"/>
              <w:spacing w:after="0" w:line="168" w:lineRule="exact"/>
              <w:rPr>
                <w:sz w:val="20"/>
                <w:szCs w:val="20"/>
                <w:color w:val="auto"/>
              </w:rPr>
            </w:pPr>
            <w:r>
              <w:rPr>
                <w:rFonts w:ascii="Arial" w:cs="Arial" w:eastAsia="Arial" w:hAnsi="Arial"/>
                <w:sz w:val="16"/>
                <w:szCs w:val="16"/>
                <w:color w:val="auto"/>
              </w:rPr>
              <w:t>827</w:t>
            </w:r>
          </w:p>
        </w:tc>
        <w:tc>
          <w:tcPr>
            <w:tcW w:w="10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2.2%</w:t>
            </w:r>
          </w:p>
        </w:tc>
        <w:tc>
          <w:tcPr>
            <w:tcW w:w="960" w:type="dxa"/>
            <w:vAlign w:val="bottom"/>
          </w:tcPr>
          <w:p>
            <w:pPr>
              <w:jc w:val="center"/>
              <w:spacing w:after="0" w:line="168" w:lineRule="exact"/>
              <w:rPr>
                <w:sz w:val="20"/>
                <w:szCs w:val="20"/>
                <w:color w:val="auto"/>
              </w:rPr>
            </w:pPr>
            <w:r>
              <w:rPr>
                <w:rFonts w:ascii="Arial" w:cs="Arial" w:eastAsia="Arial" w:hAnsi="Arial"/>
                <w:sz w:val="16"/>
                <w:szCs w:val="16"/>
                <w:color w:val="auto"/>
              </w:rPr>
              <w:t>147,781</w:t>
            </w:r>
          </w:p>
        </w:tc>
        <w:tc>
          <w:tcPr>
            <w:tcW w:w="1060" w:type="dxa"/>
            <w:vAlign w:val="bottom"/>
          </w:tcPr>
          <w:p>
            <w:pPr>
              <w:jc w:val="center"/>
              <w:spacing w:after="0" w:line="168" w:lineRule="exact"/>
              <w:rPr>
                <w:sz w:val="20"/>
                <w:szCs w:val="20"/>
                <w:color w:val="auto"/>
              </w:rPr>
            </w:pPr>
            <w:r>
              <w:rPr>
                <w:rFonts w:ascii="Arial" w:cs="Arial" w:eastAsia="Arial" w:hAnsi="Arial"/>
                <w:sz w:val="16"/>
                <w:szCs w:val="16"/>
                <w:color w:val="auto"/>
                <w:w w:val="97"/>
              </w:rPr>
              <w:t>780</w:t>
            </w:r>
          </w:p>
        </w:tc>
        <w:tc>
          <w:tcPr>
            <w:tcW w:w="9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2.1%</w:t>
            </w:r>
          </w:p>
        </w:tc>
      </w:tr>
      <w:tr>
        <w:trPr>
          <w:trHeight w:val="189"/>
        </w:trPr>
        <w:tc>
          <w:tcPr>
            <w:tcW w:w="22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BCRP + Due to Banks</w:t>
            </w:r>
          </w:p>
        </w:tc>
        <w:tc>
          <w:tcPr>
            <w:tcW w:w="980" w:type="dxa"/>
            <w:vAlign w:val="bottom"/>
          </w:tcPr>
          <w:p>
            <w:pPr>
              <w:ind w:left="260"/>
              <w:spacing w:after="0"/>
              <w:rPr>
                <w:sz w:val="20"/>
                <w:szCs w:val="20"/>
                <w:color w:val="auto"/>
              </w:rPr>
            </w:pPr>
            <w:r>
              <w:rPr>
                <w:rFonts w:ascii="Arial" w:cs="Arial" w:eastAsia="Arial" w:hAnsi="Arial"/>
                <w:sz w:val="16"/>
                <w:szCs w:val="16"/>
                <w:color w:val="auto"/>
              </w:rPr>
              <w:t>20,108</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239</w:t>
            </w:r>
          </w:p>
        </w:tc>
        <w:tc>
          <w:tcPr>
            <w:tcW w:w="10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4.8%</w:t>
            </w:r>
          </w:p>
        </w:tc>
        <w:tc>
          <w:tcPr>
            <w:tcW w:w="980" w:type="dxa"/>
            <w:vAlign w:val="bottom"/>
          </w:tcPr>
          <w:p>
            <w:pPr>
              <w:ind w:left="260"/>
              <w:spacing w:after="0"/>
              <w:rPr>
                <w:sz w:val="20"/>
                <w:szCs w:val="20"/>
                <w:color w:val="auto"/>
              </w:rPr>
            </w:pPr>
            <w:r>
              <w:rPr>
                <w:rFonts w:ascii="Arial" w:cs="Arial" w:eastAsia="Arial" w:hAnsi="Arial"/>
                <w:sz w:val="16"/>
                <w:szCs w:val="16"/>
                <w:color w:val="auto"/>
              </w:rPr>
              <w:t>19,925</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297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960" w:type="dxa"/>
            <w:vAlign w:val="bottom"/>
          </w:tcPr>
          <w:p>
            <w:pPr>
              <w:ind w:left="260"/>
              <w:spacing w:after="0"/>
              <w:rPr>
                <w:sz w:val="20"/>
                <w:szCs w:val="20"/>
                <w:color w:val="auto"/>
              </w:rPr>
            </w:pPr>
            <w:r>
              <w:rPr>
                <w:rFonts w:ascii="Arial" w:cs="Arial" w:eastAsia="Arial" w:hAnsi="Arial"/>
                <w:sz w:val="16"/>
                <w:szCs w:val="16"/>
                <w:color w:val="auto"/>
              </w:rPr>
              <w:t>18,640</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265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5.7%</w:t>
            </w:r>
          </w:p>
        </w:tc>
      </w:tr>
      <w:tr>
        <w:trPr>
          <w:trHeight w:val="189"/>
        </w:trPr>
        <w:tc>
          <w:tcPr>
            <w:tcW w:w="22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Bonds and Notes</w:t>
            </w:r>
          </w:p>
        </w:tc>
        <w:tc>
          <w:tcPr>
            <w:tcW w:w="980" w:type="dxa"/>
            <w:vAlign w:val="bottom"/>
          </w:tcPr>
          <w:p>
            <w:pPr>
              <w:ind w:left="260"/>
              <w:spacing w:after="0"/>
              <w:rPr>
                <w:sz w:val="20"/>
                <w:szCs w:val="20"/>
                <w:color w:val="auto"/>
              </w:rPr>
            </w:pPr>
            <w:r>
              <w:rPr>
                <w:rFonts w:ascii="Arial" w:cs="Arial" w:eastAsia="Arial" w:hAnsi="Arial"/>
                <w:sz w:val="16"/>
                <w:szCs w:val="16"/>
                <w:color w:val="auto"/>
              </w:rPr>
              <w:t>15,660</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183</w:t>
            </w:r>
          </w:p>
        </w:tc>
        <w:tc>
          <w:tcPr>
            <w:tcW w:w="10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4.7%</w:t>
            </w:r>
          </w:p>
        </w:tc>
        <w:tc>
          <w:tcPr>
            <w:tcW w:w="980" w:type="dxa"/>
            <w:vAlign w:val="bottom"/>
          </w:tcPr>
          <w:p>
            <w:pPr>
              <w:ind w:left="260"/>
              <w:spacing w:after="0"/>
              <w:rPr>
                <w:sz w:val="20"/>
                <w:szCs w:val="20"/>
                <w:color w:val="auto"/>
              </w:rPr>
            </w:pPr>
            <w:r>
              <w:rPr>
                <w:rFonts w:ascii="Arial" w:cs="Arial" w:eastAsia="Arial" w:hAnsi="Arial"/>
                <w:sz w:val="16"/>
                <w:szCs w:val="16"/>
                <w:color w:val="auto"/>
              </w:rPr>
              <w:t>14,755</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153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w:t>
            </w:r>
          </w:p>
        </w:tc>
        <w:tc>
          <w:tcPr>
            <w:tcW w:w="960" w:type="dxa"/>
            <w:vAlign w:val="bottom"/>
          </w:tcPr>
          <w:p>
            <w:pPr>
              <w:ind w:left="260"/>
              <w:spacing w:after="0"/>
              <w:rPr>
                <w:sz w:val="20"/>
                <w:szCs w:val="20"/>
                <w:color w:val="auto"/>
              </w:rPr>
            </w:pPr>
            <w:r>
              <w:rPr>
                <w:rFonts w:ascii="Arial" w:cs="Arial" w:eastAsia="Arial" w:hAnsi="Arial"/>
                <w:sz w:val="16"/>
                <w:szCs w:val="16"/>
                <w:color w:val="auto"/>
              </w:rPr>
              <w:t>16,068</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197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4.9%</w:t>
            </w:r>
          </w:p>
        </w:tc>
      </w:tr>
      <w:tr>
        <w:trPr>
          <w:trHeight w:val="203"/>
        </w:trPr>
        <w:tc>
          <w:tcPr>
            <w:tcW w:w="22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Others</w:t>
            </w: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1,091</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225</w:t>
            </w:r>
          </w:p>
        </w:tc>
        <w:tc>
          <w:tcPr>
            <w:tcW w:w="10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40.1%</w:t>
            </w: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1,201</w:t>
            </w: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245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41.8%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1,113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259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49.1%</w:t>
            </w:r>
          </w:p>
        </w:tc>
      </w:tr>
      <w:tr>
        <w:trPr>
          <w:trHeight w:val="183"/>
        </w:trPr>
        <w:tc>
          <w:tcPr>
            <w:tcW w:w="220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Total Funding</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185,377</w:t>
            </w:r>
          </w:p>
        </w:tc>
        <w:tc>
          <w:tcPr>
            <w:tcW w:w="10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1,324</w:t>
            </w:r>
          </w:p>
        </w:tc>
        <w:tc>
          <w:tcPr>
            <w:tcW w:w="100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2.6%</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185,182</w:t>
            </w:r>
          </w:p>
        </w:tc>
        <w:tc>
          <w:tcPr>
            <w:tcW w:w="10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1,522</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3.0%</w:t>
            </w:r>
          </w:p>
        </w:tc>
        <w:tc>
          <w:tcPr>
            <w:tcW w:w="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185,161</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1,500</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3.0%</w:t>
            </w:r>
          </w:p>
        </w:tc>
      </w:tr>
      <w:tr>
        <w:trPr>
          <w:trHeight w:val="183"/>
        </w:trPr>
        <w:tc>
          <w:tcPr>
            <w:tcW w:w="220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Funding (LC)</w:t>
            </w:r>
          </w:p>
        </w:tc>
        <w:tc>
          <w:tcPr>
            <w:tcW w:w="98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50.5%</w:t>
            </w:r>
          </w:p>
        </w:tc>
        <w:tc>
          <w:tcPr>
            <w:tcW w:w="10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56.6%</w:t>
            </w:r>
          </w:p>
        </w:tc>
        <w:tc>
          <w:tcPr>
            <w:tcW w:w="100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2.9%</w:t>
            </w:r>
          </w:p>
        </w:tc>
        <w:tc>
          <w:tcPr>
            <w:tcW w:w="98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50.2%</w:t>
            </w:r>
          </w:p>
        </w:tc>
        <w:tc>
          <w:tcPr>
            <w:tcW w:w="10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55.9%</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3.3%</w:t>
            </w:r>
          </w:p>
        </w:tc>
        <w:tc>
          <w:tcPr>
            <w:tcW w:w="9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49.5%</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51.9%</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w:t>
            </w:r>
          </w:p>
        </w:tc>
      </w:tr>
      <w:tr>
        <w:trPr>
          <w:trHeight w:val="182"/>
        </w:trPr>
        <w:tc>
          <w:tcPr>
            <w:tcW w:w="220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Funding (FC)</w:t>
            </w:r>
          </w:p>
        </w:tc>
        <w:tc>
          <w:tcPr>
            <w:tcW w:w="98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49.5%</w:t>
            </w:r>
          </w:p>
        </w:tc>
        <w:tc>
          <w:tcPr>
            <w:tcW w:w="10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43.4%</w:t>
            </w:r>
          </w:p>
        </w:tc>
        <w:tc>
          <w:tcPr>
            <w:tcW w:w="1000" w:type="dxa"/>
            <w:vAlign w:val="bottom"/>
            <w:tcBorders>
              <w:bottom w:val="single" w:sz="8" w:color="auto"/>
              <w:right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2.3%</w:t>
            </w:r>
          </w:p>
        </w:tc>
        <w:tc>
          <w:tcPr>
            <w:tcW w:w="98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49.8%</w:t>
            </w:r>
          </w:p>
        </w:tc>
        <w:tc>
          <w:tcPr>
            <w:tcW w:w="10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44.1%</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w:t>
            </w:r>
          </w:p>
        </w:tc>
        <w:tc>
          <w:tcPr>
            <w:tcW w:w="9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50.5%</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48.1%</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w:t>
            </w:r>
          </w:p>
        </w:tc>
      </w:tr>
      <w:tr>
        <w:trPr>
          <w:trHeight w:val="183"/>
        </w:trPr>
        <w:tc>
          <w:tcPr>
            <w:tcW w:w="2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22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NIM</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222,290</w:t>
            </w:r>
          </w:p>
        </w:tc>
        <w:tc>
          <w:tcPr>
            <w:tcW w:w="10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3,132</w:t>
            </w:r>
          </w:p>
        </w:tc>
        <w:tc>
          <w:tcPr>
            <w:tcW w:w="10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5.6%</w:t>
            </w:r>
          </w:p>
        </w:tc>
        <w:tc>
          <w:tcPr>
            <w:tcW w:w="9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223,624</w:t>
            </w:r>
          </w:p>
        </w:tc>
        <w:tc>
          <w:tcPr>
            <w:tcW w:w="10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3,348</w:t>
            </w:r>
          </w:p>
        </w:tc>
        <w:tc>
          <w:tcPr>
            <w:tcW w:w="10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6.0%</w:t>
            </w:r>
          </w:p>
        </w:tc>
        <w:tc>
          <w:tcPr>
            <w:tcW w:w="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225,298</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3,426</w:t>
            </w:r>
          </w:p>
        </w:tc>
        <w:tc>
          <w:tcPr>
            <w:tcW w:w="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6.1%</w:t>
            </w:r>
          </w:p>
        </w:tc>
      </w:tr>
      <w:tr>
        <w:trPr>
          <w:trHeight w:val="183"/>
        </w:trPr>
        <w:tc>
          <w:tcPr>
            <w:tcW w:w="22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NIM (LC)</w:t>
            </w:r>
          </w:p>
        </w:tc>
        <w:tc>
          <w:tcPr>
            <w:tcW w:w="98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56.9%</w:t>
            </w:r>
          </w:p>
        </w:tc>
        <w:tc>
          <w:tcPr>
            <w:tcW w:w="106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77.4%</w:t>
            </w:r>
          </w:p>
        </w:tc>
        <w:tc>
          <w:tcPr>
            <w:tcW w:w="10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7.7%</w:t>
            </w:r>
          </w:p>
        </w:tc>
        <w:tc>
          <w:tcPr>
            <w:tcW w:w="98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57.6%</w:t>
            </w:r>
          </w:p>
        </w:tc>
        <w:tc>
          <w:tcPr>
            <w:tcW w:w="10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77.2%</w:t>
            </w:r>
          </w:p>
        </w:tc>
        <w:tc>
          <w:tcPr>
            <w:tcW w:w="10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8.0%</w:t>
            </w:r>
          </w:p>
        </w:tc>
        <w:tc>
          <w:tcPr>
            <w:tcW w:w="96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58.0%</w:t>
            </w:r>
          </w:p>
        </w:tc>
        <w:tc>
          <w:tcPr>
            <w:tcW w:w="10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77.8%</w:t>
            </w:r>
          </w:p>
        </w:tc>
        <w:tc>
          <w:tcPr>
            <w:tcW w:w="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8.2%</w:t>
            </w:r>
          </w:p>
        </w:tc>
      </w:tr>
      <w:tr>
        <w:trPr>
          <w:trHeight w:val="193"/>
        </w:trPr>
        <w:tc>
          <w:tcPr>
            <w:tcW w:w="2200" w:type="dxa"/>
            <w:vAlign w:val="bottom"/>
          </w:tcPr>
          <w:p>
            <w:pPr>
              <w:ind w:left="60"/>
              <w:spacing w:after="0"/>
              <w:rPr>
                <w:sz w:val="20"/>
                <w:szCs w:val="20"/>
                <w:color w:val="auto"/>
              </w:rPr>
            </w:pPr>
            <w:r>
              <w:rPr>
                <w:rFonts w:ascii="Arial" w:cs="Arial" w:eastAsia="Arial" w:hAnsi="Arial"/>
                <w:sz w:val="16"/>
                <w:szCs w:val="16"/>
                <w:color w:val="auto"/>
              </w:rPr>
              <w:t>NIM (FC)</w:t>
            </w:r>
          </w:p>
        </w:tc>
        <w:tc>
          <w:tcPr>
            <w:tcW w:w="980" w:type="dxa"/>
            <w:vAlign w:val="bottom"/>
          </w:tcPr>
          <w:p>
            <w:pPr>
              <w:ind w:left="260"/>
              <w:spacing w:after="0"/>
              <w:rPr>
                <w:sz w:val="20"/>
                <w:szCs w:val="20"/>
                <w:color w:val="auto"/>
              </w:rPr>
            </w:pPr>
            <w:r>
              <w:rPr>
                <w:rFonts w:ascii="Arial" w:cs="Arial" w:eastAsia="Arial" w:hAnsi="Arial"/>
                <w:sz w:val="16"/>
                <w:szCs w:val="16"/>
                <w:color w:val="auto"/>
              </w:rPr>
              <w:t>43.1%</w:t>
            </w: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22.6%</w:t>
            </w: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2.9%</w:t>
            </w:r>
          </w:p>
        </w:tc>
        <w:tc>
          <w:tcPr>
            <w:tcW w:w="980" w:type="dxa"/>
            <w:vAlign w:val="bottom"/>
          </w:tcPr>
          <w:p>
            <w:pPr>
              <w:ind w:left="260"/>
              <w:spacing w:after="0"/>
              <w:rPr>
                <w:sz w:val="20"/>
                <w:szCs w:val="20"/>
                <w:color w:val="auto"/>
              </w:rPr>
            </w:pPr>
            <w:r>
              <w:rPr>
                <w:rFonts w:ascii="Arial" w:cs="Arial" w:eastAsia="Arial" w:hAnsi="Arial"/>
                <w:sz w:val="16"/>
                <w:szCs w:val="16"/>
                <w:color w:val="auto"/>
              </w:rPr>
              <w:t>42.4%</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22.8%</w:t>
            </w:r>
          </w:p>
        </w:tc>
        <w:tc>
          <w:tcPr>
            <w:tcW w:w="1000" w:type="dxa"/>
            <w:vAlign w:val="bottom"/>
          </w:tcPr>
          <w:p>
            <w:pPr>
              <w:jc w:val="center"/>
              <w:spacing w:after="0"/>
              <w:rPr>
                <w:sz w:val="20"/>
                <w:szCs w:val="20"/>
                <w:color w:val="auto"/>
              </w:rPr>
            </w:pPr>
            <w:r>
              <w:rPr>
                <w:rFonts w:ascii="Arial" w:cs="Arial" w:eastAsia="Arial" w:hAnsi="Arial"/>
                <w:sz w:val="16"/>
                <w:szCs w:val="16"/>
                <w:color w:val="auto"/>
              </w:rPr>
              <w:t>3.2%</w:t>
            </w:r>
          </w:p>
        </w:tc>
        <w:tc>
          <w:tcPr>
            <w:tcW w:w="960" w:type="dxa"/>
            <w:vAlign w:val="bottom"/>
          </w:tcPr>
          <w:p>
            <w:pPr>
              <w:ind w:left="240"/>
              <w:spacing w:after="0"/>
              <w:rPr>
                <w:sz w:val="20"/>
                <w:szCs w:val="20"/>
                <w:color w:val="auto"/>
              </w:rPr>
            </w:pPr>
            <w:r>
              <w:rPr>
                <w:rFonts w:ascii="Arial" w:cs="Arial" w:eastAsia="Arial" w:hAnsi="Arial"/>
                <w:sz w:val="16"/>
                <w:szCs w:val="16"/>
                <w:color w:val="auto"/>
              </w:rPr>
              <w:t>42.0%</w:t>
            </w:r>
          </w:p>
        </w:tc>
        <w:tc>
          <w:tcPr>
            <w:tcW w:w="1060" w:type="dxa"/>
            <w:vAlign w:val="bottom"/>
          </w:tcPr>
          <w:p>
            <w:pPr>
              <w:jc w:val="center"/>
              <w:spacing w:after="0"/>
              <w:rPr>
                <w:sz w:val="20"/>
                <w:szCs w:val="20"/>
                <w:color w:val="auto"/>
              </w:rPr>
            </w:pPr>
            <w:r>
              <w:rPr>
                <w:rFonts w:ascii="Arial" w:cs="Arial" w:eastAsia="Arial" w:hAnsi="Arial"/>
                <w:sz w:val="16"/>
                <w:szCs w:val="16"/>
                <w:color w:val="auto"/>
              </w:rPr>
              <w:t>22.2%</w:t>
            </w:r>
          </w:p>
        </w:tc>
        <w:tc>
          <w:tcPr>
            <w:tcW w:w="960" w:type="dxa"/>
            <w:vAlign w:val="bottom"/>
          </w:tcPr>
          <w:p>
            <w:pPr>
              <w:jc w:val="center"/>
              <w:spacing w:after="0"/>
              <w:rPr>
                <w:sz w:val="20"/>
                <w:szCs w:val="20"/>
                <w:color w:val="auto"/>
              </w:rPr>
            </w:pPr>
            <w:r>
              <w:rPr>
                <w:rFonts w:ascii="Arial" w:cs="Arial" w:eastAsia="Arial" w:hAnsi="Arial"/>
                <w:sz w:val="16"/>
                <w:szCs w:val="16"/>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(1) The yield calculation includes “Financial Expense associated with the insurance and reinsurance activity, net”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QoQ Analysis</w:t>
      </w:r>
    </w:p>
    <w:p>
      <w:pPr>
        <w:spacing w:after="0" w:line="212"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 xml:space="preserve">QoQ, </w:t>
      </w:r>
      <w:r>
        <w:rPr>
          <w:rFonts w:ascii="Arial" w:cs="Arial" w:eastAsia="Arial" w:hAnsi="Arial"/>
          <w:sz w:val="18"/>
          <w:szCs w:val="18"/>
          <w:b w:val="1"/>
          <w:bCs w:val="1"/>
          <w:color w:val="auto"/>
        </w:rPr>
        <w:t>Net Interest Income</w:t>
      </w:r>
      <w:r>
        <w:rPr>
          <w:rFonts w:ascii="Arial" w:cs="Arial" w:eastAsia="Arial" w:hAnsi="Arial"/>
          <w:sz w:val="18"/>
          <w:szCs w:val="18"/>
          <w:color w:val="auto"/>
        </w:rPr>
        <w:t xml:space="preserve"> (NII) increased 2.3%. This evolution was driven by growth in NII in LC while growth in FC dropped over the period. IEAs in LC represented 58% of total IEAs and accounted for 77.8% of Net Interest Income in 1Q24.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6" w:name="page27"/>
    <w:bookmarkEnd w:id="26"/>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04. Net Interest Income (NII)</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Local Currency (LC)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LC </w:t>
      </w:r>
      <w:r>
        <w:rPr>
          <w:rFonts w:ascii="Arial" w:cs="Arial" w:eastAsia="Arial" w:hAnsi="Arial"/>
          <w:sz w:val="18"/>
          <w:szCs w:val="18"/>
          <w:color w:val="auto"/>
        </w:rPr>
        <w:t>rose 3.2% due to the following dynamics: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Average IEA in LC rose 1.5%, driven primarily by Cash and equivalents, followed by Investments, while loan volumes dropped. At the income level, the highest contributor was investments, which were buoyed by attractive yields on BCRP CDs. In contrast, interest income on loans fell due to the negative volume effect generated by a drop in loan volumes at both BCP and Mibanco. In this context, the yield on IEAs in LC fell 10.7% to 10.5%.</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funding side, the LC balance dropped 1.5% QoQ due to a reduction in average balances for deposits and for BCRP and due to banks. This reduction in the funding cost was driven by a more favorable mix, following the expiration of term deposits and debt obligations that had been assumed at relatively high rates. In this context, the funding cost in LC fell from 3.3% to 3.0%.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Foreign Currency (FC)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FC </w:t>
      </w:r>
      <w:r>
        <w:rPr>
          <w:rFonts w:ascii="Arial" w:cs="Arial" w:eastAsia="Arial" w:hAnsi="Arial"/>
          <w:sz w:val="18"/>
          <w:szCs w:val="18"/>
          <w:color w:val="auto"/>
        </w:rPr>
        <w:t>dropped 0.5% QoQ due to the following dynamics: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Average IEA in FC dropped 0.3% QoQ due to a reduction in loan volumes (-2.3%), which was driven primarily by a decrease in the balances of loans in Wholesale Banking and Mibanco. This was partially offset by an increase in Cash and equivalents after BCP moved to capitalize on liquidity surpluses in a context marked by a decrease in lending. Accordingly, despite the drop in the average balance of IEAs in FC, interest income rose 3.2% QoQ and the IEA yield increased from 6.1% to 6.3%.</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Average funding in FC rose 1.4% QoQ, which was driven primarily by growth in the average balances for bonds and issued notes and to a lesser degree, in deposits. The increase in the balance of bonds and notes, which was fueled by a bond issuance at BCP, led to a more expensive funding mix, which was reflected in the increase in interest expenses (+7.5%). This translated into a higher cost of funding in FC, which rose from 2.7% to 2.9%.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YoY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YoY, </w:t>
      </w:r>
      <w:r>
        <w:rPr>
          <w:rFonts w:ascii="Arial" w:cs="Arial" w:eastAsia="Arial" w:hAnsi="Arial"/>
          <w:sz w:val="18"/>
          <w:szCs w:val="18"/>
          <w:b w:val="1"/>
          <w:bCs w:val="1"/>
          <w:color w:val="auto"/>
        </w:rPr>
        <w:t>NII</w:t>
      </w:r>
      <w:r>
        <w:rPr>
          <w:rFonts w:ascii="Arial" w:cs="Arial" w:eastAsia="Arial" w:hAnsi="Arial"/>
          <w:sz w:val="18"/>
          <w:szCs w:val="18"/>
          <w:color w:val="auto"/>
        </w:rPr>
        <w:t xml:space="preserve"> increased 6.6%, driven by upticks in NII in LC and FC: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local currency (LC)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in LC </w:t>
      </w:r>
      <w:r>
        <w:rPr>
          <w:rFonts w:ascii="Arial" w:cs="Arial" w:eastAsia="Arial" w:hAnsi="Arial"/>
          <w:sz w:val="18"/>
          <w:szCs w:val="18"/>
          <w:color w:val="auto"/>
        </w:rPr>
        <w:t>rose 4.5% YoY due to the following dynamics: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Average IEA in LC increased 3.4%. This evolution was driven primarily by investments and secondarily by Cash and equivalents, while loans dropped. Despite volume dynamics, loans were the highest contributor to growth in interest in LC due to a positive mix effect, where retail loans registered a higher share of total loans while the share of wholesale loans fell. Investments also contributed to growth in interest income, albeit to a lesser extent, through an increase in the position in government bonds in 2023. In this scenario, IEA in LC increased 49 bps YoY to 10.5%.</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Average funding in LC dropped 2.1% YoY, fueled by a reduction in debt balances in BCRP and due to banks and correspondents. This evolution was driven by a reduction in the BCRP repurchase agreements balance after i) positions in these instruments were not renewed in a context marked by an upswing in demand and higher rates, and ii) the remaining balance associated to GP loans expired. The aforementioned was partially offset by an increase in the average balances for issuance, after BCP’s bond issuance, and deposits; both increases were similar in magnitude. These dynamics led interest expenses to rise 3.9%, driven by an uptick in the cost of the funding mix following the BCP issuance and by the fact that growth in deposits was concentrated in term deposits over the last 12 months. In this context, the funding cost rose 17 bps.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Dynamics (FC)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FE </w:t>
      </w:r>
      <w:r>
        <w:rPr>
          <w:rFonts w:ascii="Arial" w:cs="Arial" w:eastAsia="Arial" w:hAnsi="Arial"/>
          <w:sz w:val="18"/>
          <w:szCs w:val="18"/>
          <w:color w:val="auto"/>
        </w:rPr>
        <w:t>increased 7.6% YoY due to the following dynamics: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Average IEA in FC dropped 1.4% YoY, which was driven primarily by a contraction in Cash and equivalents funds and secondarily, by a decrease in loans. Notwithstanding, growth in rates in dollars over the period made it possible to renew part of the loan portfolio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7" w:name="page28"/>
    <w:bookmarkEnd w:id="27"/>
    <w:p>
      <w:pPr>
        <w:ind w:left="2720"/>
        <w:spacing w:after="0"/>
        <w:tabs>
          <w:tab w:leader="none" w:pos="2940" w:val="left"/>
          <w:tab w:leader="none" w:pos="7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54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745490"/>
                    </a:xfrm>
                    <a:prstGeom prst="rect">
                      <a:avLst/>
                    </a:prstGeom>
                    <a:noFill/>
                  </pic:spPr>
                </pic:pic>
              </a:graphicData>
            </a:graphic>
          </wp:anchor>
        </w:drawing>
        <w:t>|</w:t>
      </w:r>
      <w:r>
        <w:rPr>
          <w:sz w:val="20"/>
          <w:szCs w:val="20"/>
          <w:color w:val="auto"/>
        </w:rPr>
        <w:tab/>
      </w:r>
      <w:r>
        <w:rPr>
          <w:rFonts w:ascii="Arial" w:cs="Arial" w:eastAsia="Arial" w:hAnsi="Arial"/>
          <w:sz w:val="20"/>
          <w:szCs w:val="20"/>
          <w:b w:val="1"/>
          <w:bCs w:val="1"/>
          <w:color w:val="A6A6A6"/>
        </w:rPr>
        <w:t>Earnings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04. Net Interest Income (NII)</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at higher rates. Income from Cash and equivalents was also bolstered by higher rates over the year, which offset the negative volume effect.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yield on IEAs in FC rose from 5.3% to 6.3%.</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Average funding in FC increased 1.9% YoY, driven primarily by an uptick in the balance of obligations with BCRP and due to banks and correspondents. Notwithstanding, interest expenses rose 25.5%, fueled mainly by more expensive deposits, which reflected an increase in the share of term deposits within the mix. In this scenario, the funding cost increased 58 bps YoY.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645"/>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28" w:name="page29"/>
    <w:bookmarkEnd w:id="28"/>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0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52" w:lineRule="exact"/>
        <w:rPr>
          <w:sz w:val="20"/>
          <w:szCs w:val="20"/>
          <w:color w:val="auto"/>
        </w:rPr>
      </w:pPr>
    </w:p>
    <w:p>
      <w:pPr>
        <w:spacing w:after="0"/>
        <w:rPr>
          <w:sz w:val="20"/>
          <w:szCs w:val="20"/>
          <w:color w:val="auto"/>
        </w:rPr>
      </w:pPr>
      <w:r>
        <w:rPr>
          <w:rFonts w:ascii="Arial" w:cs="Arial" w:eastAsia="Arial" w:hAnsi="Arial"/>
          <w:sz w:val="52"/>
          <w:szCs w:val="52"/>
          <w:b w:val="1"/>
          <w:bCs w:val="1"/>
          <w:color w:val="E93BAB"/>
        </w:rPr>
        <w:t xml:space="preserve">05 </w:t>
      </w:r>
      <w:r>
        <w:rPr>
          <w:rFonts w:ascii="Arial" w:cs="Arial" w:eastAsia="Arial" w:hAnsi="Arial"/>
          <w:sz w:val="32"/>
          <w:szCs w:val="32"/>
          <w:color w:val="E93BAB"/>
        </w:rPr>
        <w:t>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3633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pacing w:after="0" w:line="348" w:lineRule="exact"/>
        <w:rPr>
          <w:sz w:val="20"/>
          <w:szCs w:val="20"/>
          <w:color w:val="auto"/>
        </w:rPr>
      </w:pPr>
    </w:p>
    <w:p>
      <w:pPr>
        <w:jc w:val="both"/>
        <w:ind w:left="140" w:right="140"/>
        <w:spacing w:after="0" w:line="241" w:lineRule="auto"/>
        <w:rPr>
          <w:sz w:val="20"/>
          <w:szCs w:val="20"/>
          <w:color w:val="auto"/>
        </w:rPr>
      </w:pPr>
      <w:r>
        <w:rPr>
          <w:rFonts w:ascii="Arial" w:cs="Arial" w:eastAsia="Arial" w:hAnsi="Arial"/>
          <w:sz w:val="18"/>
          <w:szCs w:val="18"/>
          <w:color w:val="FFFFFF"/>
        </w:rPr>
        <w:t>QoQ, growth in NPLs was driven primarily by Individuals and Wholesale Banking at BCP Stand-alone, and secondarily by Mibanco; this was partially offset by a drop in SME-Pyme at BCP Stand-Alone. Provisions fell QoQ after provisions set aside for the impact of the “El Niño” Phenomenon in 4Q23 were reversed. If we isolate this effect, provisions rose, driven mainly by (i) Mortgage, due to a base effect;</w:t>
      </w:r>
    </w:p>
    <w:p>
      <w:pPr>
        <w:spacing w:after="0" w:line="2" w:lineRule="exact"/>
        <w:rPr>
          <w:sz w:val="20"/>
          <w:szCs w:val="20"/>
          <w:color w:val="auto"/>
        </w:rPr>
      </w:pPr>
    </w:p>
    <w:p>
      <w:pPr>
        <w:ind w:left="140" w:right="140" w:hanging="6"/>
        <w:spacing w:after="0" w:line="250" w:lineRule="auto"/>
        <w:tabs>
          <w:tab w:leader="none" w:pos="412" w:val="left"/>
        </w:tabs>
        <w:numPr>
          <w:ilvl w:val="0"/>
          <w:numId w:val="25"/>
        </w:numPr>
        <w:rPr>
          <w:rFonts w:ascii="Arial" w:cs="Arial" w:eastAsia="Arial" w:hAnsi="Arial"/>
          <w:sz w:val="18"/>
          <w:szCs w:val="18"/>
          <w:color w:val="FFFFFF"/>
        </w:rPr>
      </w:pPr>
      <w:r>
        <w:rPr>
          <w:rFonts w:ascii="Arial" w:cs="Arial" w:eastAsia="Arial" w:hAnsi="Arial"/>
          <w:sz w:val="18"/>
          <w:szCs w:val="18"/>
          <w:color w:val="FFFFFF"/>
        </w:rPr>
        <w:t>SME-Pyme, due to an increase in write-offs and a deterioration in the payment capacity of clients in a context marked by gradual economic recovery; and (iii) Mibanco, due to a further deterioration of old vintages. The NPL ratio stood at 6.2% at quarter-end.</w:t>
      </w:r>
    </w:p>
    <w:p>
      <w:pPr>
        <w:spacing w:after="0" w:line="158" w:lineRule="exact"/>
        <w:rPr>
          <w:sz w:val="20"/>
          <w:szCs w:val="20"/>
          <w:color w:val="auto"/>
        </w:rPr>
      </w:pPr>
    </w:p>
    <w:p>
      <w:pPr>
        <w:jc w:val="both"/>
        <w:ind w:left="140" w:right="140"/>
        <w:spacing w:after="0" w:line="253" w:lineRule="auto"/>
        <w:rPr>
          <w:sz w:val="20"/>
          <w:szCs w:val="20"/>
          <w:color w:val="auto"/>
        </w:rPr>
      </w:pPr>
      <w:r>
        <w:rPr>
          <w:rFonts w:ascii="Arial" w:cs="Arial" w:eastAsia="Arial" w:hAnsi="Arial"/>
          <w:sz w:val="18"/>
          <w:szCs w:val="18"/>
          <w:color w:val="FFFFFF"/>
        </w:rPr>
        <w:t>YoY, the uptick in NPLs was fueled mainly by Individuals and SME-Pyme at BCP Stand-Alone, followed by Mibanco. YoY, if we isolate the “El Niño” effect, provisions rose, fueled primarily by (i) SME-Pyme and Credit Cards due to further deterioration in payment capacities and (ii) Consumer, due to an uptick in deterioration in the payment performance of vulnerable clients.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Portfolio Quality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Portfolio Quality (in Quarter-end balances)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4520" w:type="dxa"/>
            <w:vAlign w:val="bottom"/>
            <w:tcBorders>
              <w:top w:val="single" w:sz="8" w:color="auto"/>
              <w:left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4"/>
                <w:szCs w:val="14"/>
                <w:b w:val="1"/>
                <w:bCs w:val="1"/>
                <w:color w:val="FFFFFF"/>
              </w:rPr>
              <w:t>Loan Portfolio quality and Delinquency ratios</w:t>
            </w:r>
          </w:p>
        </w:tc>
        <w:tc>
          <w:tcPr>
            <w:tcW w:w="1340" w:type="dxa"/>
            <w:vAlign w:val="bottom"/>
            <w:tcBorders>
              <w:top w:val="single" w:sz="8" w:color="auto"/>
            </w:tcBorders>
            <w:shd w:val="clear" w:color="auto" w:fill="2AD2C8"/>
          </w:tcPr>
          <w:p>
            <w:pPr>
              <w:spacing w:after="0"/>
              <w:rPr>
                <w:sz w:val="15"/>
                <w:szCs w:val="15"/>
                <w:color w:val="auto"/>
              </w:rPr>
            </w:pPr>
          </w:p>
        </w:tc>
        <w:tc>
          <w:tcPr>
            <w:tcW w:w="1340" w:type="dxa"/>
            <w:vAlign w:val="bottom"/>
            <w:tcBorders>
              <w:top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As of</w:t>
            </w:r>
          </w:p>
        </w:tc>
        <w:tc>
          <w:tcPr>
            <w:tcW w:w="1380" w:type="dxa"/>
            <w:vAlign w:val="bottom"/>
            <w:tcBorders>
              <w:top w:val="single" w:sz="8" w:color="auto"/>
              <w:right w:val="single" w:sz="8" w:color="auto"/>
            </w:tcBorders>
            <w:shd w:val="clear" w:color="auto" w:fill="2AD2C8"/>
          </w:tcPr>
          <w:p>
            <w:pPr>
              <w:spacing w:after="0"/>
              <w:rPr>
                <w:sz w:val="15"/>
                <w:szCs w:val="15"/>
                <w:color w:val="auto"/>
              </w:rPr>
            </w:pPr>
          </w:p>
        </w:tc>
        <w:tc>
          <w:tcPr>
            <w:tcW w:w="940" w:type="dxa"/>
            <w:vAlign w:val="bottom"/>
            <w:tcBorders>
              <w:top w:val="single" w:sz="8" w:color="auto"/>
            </w:tcBorders>
            <w:shd w:val="clear" w:color="auto" w:fill="2AD2C8"/>
          </w:tcPr>
          <w:p>
            <w:pPr>
              <w:spacing w:after="0"/>
              <w:rPr>
                <w:sz w:val="15"/>
                <w:szCs w:val="15"/>
                <w:color w:val="auto"/>
              </w:rPr>
            </w:pPr>
          </w:p>
        </w:tc>
        <w:tc>
          <w:tcPr>
            <w:tcW w:w="1720" w:type="dxa"/>
            <w:vAlign w:val="bottom"/>
            <w:tcBorders>
              <w:top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4"/>
                <w:szCs w:val="14"/>
                <w:color w:val="FFFFFF"/>
              </w:rPr>
              <w:t>% change</w:t>
            </w:r>
          </w:p>
        </w:tc>
      </w:tr>
      <w:tr>
        <w:trPr>
          <w:trHeight w:val="162"/>
        </w:trPr>
        <w:tc>
          <w:tcPr>
            <w:tcW w:w="4520" w:type="dxa"/>
            <w:vAlign w:val="bottom"/>
            <w:tcBorders>
              <w:left w:val="single" w:sz="8" w:color="auto"/>
              <w:bottom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4"/>
                <w:szCs w:val="14"/>
                <w:b w:val="1"/>
                <w:bCs w:val="1"/>
                <w:color w:val="FFFFFF"/>
              </w:rPr>
              <w:t>'S/000</w:t>
            </w:r>
          </w:p>
        </w:tc>
        <w:tc>
          <w:tcPr>
            <w:tcW w:w="1340" w:type="dxa"/>
            <w:vAlign w:val="bottom"/>
            <w:tcBorders>
              <w:bottom w:val="single" w:sz="8" w:color="auto"/>
            </w:tcBorders>
            <w:shd w:val="clear" w:color="auto" w:fill="2AD2C8"/>
          </w:tcPr>
          <w:p>
            <w:pPr>
              <w:ind w:left="440"/>
              <w:spacing w:after="0"/>
              <w:rPr>
                <w:sz w:val="20"/>
                <w:szCs w:val="20"/>
                <w:color w:val="auto"/>
              </w:rPr>
            </w:pPr>
            <w:r>
              <w:rPr>
                <w:rFonts w:ascii="Arial" w:cs="Arial" w:eastAsia="Arial" w:hAnsi="Arial"/>
                <w:sz w:val="14"/>
                <w:szCs w:val="14"/>
                <w:b w:val="1"/>
                <w:bCs w:val="1"/>
                <w:color w:val="FFFFFF"/>
              </w:rPr>
              <w:t>Mar 23</w:t>
            </w:r>
          </w:p>
        </w:tc>
        <w:tc>
          <w:tcPr>
            <w:tcW w:w="13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Dec 23</w:t>
            </w:r>
          </w:p>
        </w:tc>
        <w:tc>
          <w:tcPr>
            <w:tcW w:w="1380" w:type="dxa"/>
            <w:vAlign w:val="bottom"/>
            <w:tcBorders>
              <w:bottom w:val="single" w:sz="8" w:color="auto"/>
              <w:right w:val="single" w:sz="8" w:color="auto"/>
            </w:tcBorders>
            <w:shd w:val="clear" w:color="auto" w:fill="2AD2C8"/>
          </w:tcPr>
          <w:p>
            <w:pPr>
              <w:ind w:left="460"/>
              <w:spacing w:after="0"/>
              <w:rPr>
                <w:sz w:val="20"/>
                <w:szCs w:val="20"/>
                <w:color w:val="auto"/>
              </w:rPr>
            </w:pPr>
            <w:r>
              <w:rPr>
                <w:rFonts w:ascii="Arial" w:cs="Arial" w:eastAsia="Arial" w:hAnsi="Arial"/>
                <w:sz w:val="14"/>
                <w:szCs w:val="14"/>
                <w:b w:val="1"/>
                <w:bCs w:val="1"/>
                <w:color w:val="FFFFFF"/>
              </w:rPr>
              <w:t>Mar 24</w:t>
            </w:r>
          </w:p>
        </w:tc>
        <w:tc>
          <w:tcPr>
            <w:tcW w:w="940" w:type="dxa"/>
            <w:vAlign w:val="bottom"/>
            <w:tcBorders>
              <w:bottom w:val="single" w:sz="8" w:color="auto"/>
            </w:tcBorders>
            <w:shd w:val="clear" w:color="auto" w:fill="2AD2C8"/>
          </w:tcPr>
          <w:p>
            <w:pPr>
              <w:jc w:val="center"/>
              <w:ind w:left="288"/>
              <w:spacing w:after="0"/>
              <w:rPr>
                <w:sz w:val="20"/>
                <w:szCs w:val="20"/>
                <w:color w:val="auto"/>
              </w:rPr>
            </w:pPr>
            <w:r>
              <w:rPr>
                <w:rFonts w:ascii="Arial" w:cs="Arial" w:eastAsia="Arial" w:hAnsi="Arial"/>
                <w:sz w:val="14"/>
                <w:szCs w:val="14"/>
                <w:b w:val="1"/>
                <w:bCs w:val="1"/>
                <w:color w:val="FFFFFF"/>
                <w:w w:val="98"/>
              </w:rPr>
              <w:t>QoQ</w:t>
            </w:r>
          </w:p>
        </w:tc>
        <w:tc>
          <w:tcPr>
            <w:tcW w:w="1720" w:type="dxa"/>
            <w:vAlign w:val="bottom"/>
            <w:tcBorders>
              <w:bottom w:val="single" w:sz="8" w:color="auto"/>
              <w:right w:val="single" w:sz="8" w:color="auto"/>
            </w:tcBorders>
            <w:shd w:val="clear" w:color="auto" w:fill="2AD2C8"/>
          </w:tcPr>
          <w:p>
            <w:pPr>
              <w:jc w:val="center"/>
              <w:ind w:left="248"/>
              <w:spacing w:after="0"/>
              <w:rPr>
                <w:sz w:val="20"/>
                <w:szCs w:val="20"/>
                <w:color w:val="auto"/>
              </w:rPr>
            </w:pPr>
            <w:r>
              <w:rPr>
                <w:rFonts w:ascii="Arial" w:cs="Arial" w:eastAsia="Arial" w:hAnsi="Arial"/>
                <w:sz w:val="14"/>
                <w:szCs w:val="14"/>
                <w:b w:val="1"/>
                <w:bCs w:val="1"/>
                <w:color w:val="FFFFFF"/>
              </w:rPr>
              <w:t>YoY</w:t>
            </w:r>
          </w:p>
        </w:tc>
      </w:tr>
      <w:tr>
        <w:trPr>
          <w:trHeight w:val="155"/>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Total loans (Quarter-end balance)</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145,165,713</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144,976,051</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140,798,083</w:t>
            </w:r>
          </w:p>
        </w:tc>
        <w:tc>
          <w:tcPr>
            <w:tcW w:w="94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rPr>
              <w:t>-2.9%</w:t>
            </w:r>
          </w:p>
        </w:tc>
        <w:tc>
          <w:tcPr>
            <w:tcW w:w="172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b w:val="1"/>
                <w:bCs w:val="1"/>
                <w:color w:val="auto"/>
                <w:w w:val="98"/>
              </w:rPr>
              <w:t>-3.0%</w:t>
            </w:r>
          </w:p>
        </w:tc>
      </w:tr>
      <w:tr>
        <w:trPr>
          <w:trHeight w:val="156"/>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Write-offs</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677,148</w:t>
            </w: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879,401</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950,433</w:t>
            </w:r>
          </w:p>
        </w:tc>
        <w:tc>
          <w:tcPr>
            <w:tcW w:w="940" w:type="dxa"/>
            <w:vAlign w:val="bottom"/>
            <w:tcBorders>
              <w:bottom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rPr>
              <w:t>8.1%</w:t>
            </w:r>
          </w:p>
        </w:tc>
        <w:tc>
          <w:tcPr>
            <w:tcW w:w="1720" w:type="dxa"/>
            <w:vAlign w:val="bottom"/>
            <w:tcBorders>
              <w:bottom w:val="single" w:sz="8" w:color="auto"/>
              <w:right w:val="single" w:sz="8" w:color="auto"/>
            </w:tcBorders>
          </w:tcPr>
          <w:p>
            <w:pPr>
              <w:jc w:val="center"/>
              <w:ind w:left="288"/>
              <w:spacing w:after="0" w:line="155" w:lineRule="exact"/>
              <w:rPr>
                <w:sz w:val="20"/>
                <w:szCs w:val="20"/>
                <w:color w:val="auto"/>
              </w:rPr>
            </w:pPr>
            <w:r>
              <w:rPr>
                <w:rFonts w:ascii="Arial" w:cs="Arial" w:eastAsia="Arial" w:hAnsi="Arial"/>
                <w:sz w:val="14"/>
                <w:szCs w:val="14"/>
                <w:color w:val="auto"/>
              </w:rPr>
              <w:t>40.4%</w:t>
            </w:r>
          </w:p>
        </w:tc>
      </w:tr>
      <w:tr>
        <w:trPr>
          <w:trHeight w:val="146"/>
        </w:trPr>
        <w:tc>
          <w:tcPr>
            <w:tcW w:w="4520" w:type="dxa"/>
            <w:vAlign w:val="bottom"/>
            <w:tcBorders>
              <w:left w:val="single" w:sz="8" w:color="auto"/>
              <w:right w:val="single" w:sz="8" w:color="auto"/>
            </w:tcBorders>
          </w:tcPr>
          <w:p>
            <w:pPr>
              <w:ind w:left="60"/>
              <w:spacing w:after="0" w:line="147" w:lineRule="exact"/>
              <w:rPr>
                <w:sz w:val="20"/>
                <w:szCs w:val="20"/>
                <w:color w:val="auto"/>
              </w:rPr>
            </w:pPr>
            <w:r>
              <w:rPr>
                <w:rFonts w:ascii="Arial" w:cs="Arial" w:eastAsia="Arial" w:hAnsi="Arial"/>
                <w:sz w:val="14"/>
                <w:szCs w:val="14"/>
                <w:color w:val="auto"/>
              </w:rPr>
              <w:t>Internal overdue loans (IOLs)</w:t>
            </w:r>
          </w:p>
        </w:tc>
        <w:tc>
          <w:tcPr>
            <w:tcW w:w="1340" w:type="dxa"/>
            <w:vAlign w:val="bottom"/>
          </w:tcPr>
          <w:p>
            <w:pPr>
              <w:jc w:val="center"/>
              <w:spacing w:after="0" w:line="147" w:lineRule="exact"/>
              <w:rPr>
                <w:sz w:val="20"/>
                <w:szCs w:val="20"/>
                <w:color w:val="auto"/>
              </w:rPr>
            </w:pPr>
            <w:r>
              <w:rPr>
                <w:rFonts w:ascii="Arial" w:cs="Arial" w:eastAsia="Arial" w:hAnsi="Arial"/>
                <w:sz w:val="14"/>
                <w:szCs w:val="14"/>
                <w:color w:val="auto"/>
              </w:rPr>
              <w:t>5,789,497</w:t>
            </w:r>
          </w:p>
        </w:tc>
        <w:tc>
          <w:tcPr>
            <w:tcW w:w="1340" w:type="dxa"/>
            <w:vAlign w:val="bottom"/>
          </w:tcPr>
          <w:p>
            <w:pPr>
              <w:jc w:val="center"/>
              <w:spacing w:after="0" w:line="147" w:lineRule="exact"/>
              <w:rPr>
                <w:sz w:val="20"/>
                <w:szCs w:val="20"/>
                <w:color w:val="auto"/>
              </w:rPr>
            </w:pPr>
            <w:r>
              <w:rPr>
                <w:rFonts w:ascii="Arial" w:cs="Arial" w:eastAsia="Arial" w:hAnsi="Arial"/>
                <w:sz w:val="14"/>
                <w:szCs w:val="14"/>
                <w:color w:val="auto"/>
              </w:rPr>
              <w:t>6,126,487</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6,205,024</w:t>
            </w:r>
          </w:p>
        </w:tc>
        <w:tc>
          <w:tcPr>
            <w:tcW w:w="940" w:type="dxa"/>
            <w:vAlign w:val="bottom"/>
          </w:tcPr>
          <w:p>
            <w:pPr>
              <w:jc w:val="center"/>
              <w:ind w:left="288"/>
              <w:spacing w:after="0" w:line="147" w:lineRule="exact"/>
              <w:rPr>
                <w:sz w:val="20"/>
                <w:szCs w:val="20"/>
                <w:color w:val="auto"/>
              </w:rPr>
            </w:pPr>
            <w:r>
              <w:rPr>
                <w:rFonts w:ascii="Arial" w:cs="Arial" w:eastAsia="Arial" w:hAnsi="Arial"/>
                <w:sz w:val="14"/>
                <w:szCs w:val="14"/>
                <w:color w:val="auto"/>
              </w:rPr>
              <w:t>1.3%</w:t>
            </w:r>
          </w:p>
        </w:tc>
        <w:tc>
          <w:tcPr>
            <w:tcW w:w="1720" w:type="dxa"/>
            <w:vAlign w:val="bottom"/>
            <w:tcBorders>
              <w:right w:val="single" w:sz="8" w:color="auto"/>
            </w:tcBorders>
          </w:tcPr>
          <w:p>
            <w:pPr>
              <w:jc w:val="center"/>
              <w:ind w:left="288"/>
              <w:spacing w:after="0" w:line="147" w:lineRule="exact"/>
              <w:rPr>
                <w:sz w:val="20"/>
                <w:szCs w:val="20"/>
                <w:color w:val="auto"/>
              </w:rPr>
            </w:pPr>
            <w:r>
              <w:rPr>
                <w:rFonts w:ascii="Arial" w:cs="Arial" w:eastAsia="Arial" w:hAnsi="Arial"/>
                <w:sz w:val="14"/>
                <w:szCs w:val="14"/>
                <w:color w:val="auto"/>
              </w:rPr>
              <w:t>7.2%</w:t>
            </w:r>
          </w:p>
        </w:tc>
      </w:tr>
      <w:tr>
        <w:trPr>
          <w:trHeight w:val="162"/>
        </w:trPr>
        <w:tc>
          <w:tcPr>
            <w:tcW w:w="4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Internal overdue loans over 90-days</w:t>
            </w:r>
          </w:p>
        </w:tc>
        <w:tc>
          <w:tcPr>
            <w:tcW w:w="1340" w:type="dxa"/>
            <w:vAlign w:val="bottom"/>
          </w:tcPr>
          <w:p>
            <w:pPr>
              <w:jc w:val="center"/>
              <w:spacing w:after="0"/>
              <w:rPr>
                <w:sz w:val="20"/>
                <w:szCs w:val="20"/>
                <w:color w:val="auto"/>
              </w:rPr>
            </w:pPr>
            <w:r>
              <w:rPr>
                <w:rFonts w:ascii="Arial" w:cs="Arial" w:eastAsia="Arial" w:hAnsi="Arial"/>
                <w:sz w:val="14"/>
                <w:szCs w:val="14"/>
                <w:color w:val="auto"/>
              </w:rPr>
              <w:t>4,270,131</w:t>
            </w:r>
          </w:p>
        </w:tc>
        <w:tc>
          <w:tcPr>
            <w:tcW w:w="1340" w:type="dxa"/>
            <w:vAlign w:val="bottom"/>
          </w:tcPr>
          <w:p>
            <w:pPr>
              <w:jc w:val="center"/>
              <w:spacing w:after="0"/>
              <w:rPr>
                <w:sz w:val="20"/>
                <w:szCs w:val="20"/>
                <w:color w:val="auto"/>
              </w:rPr>
            </w:pPr>
            <w:r>
              <w:rPr>
                <w:rFonts w:ascii="Arial" w:cs="Arial" w:eastAsia="Arial" w:hAnsi="Arial"/>
                <w:sz w:val="14"/>
                <w:szCs w:val="14"/>
                <w:color w:val="auto"/>
              </w:rPr>
              <w:t>4,681,343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4,702,733</w:t>
            </w:r>
          </w:p>
        </w:tc>
        <w:tc>
          <w:tcPr>
            <w:tcW w:w="940" w:type="dxa"/>
            <w:vAlign w:val="bottom"/>
          </w:tcPr>
          <w:p>
            <w:pPr>
              <w:jc w:val="center"/>
              <w:ind w:left="288"/>
              <w:spacing w:after="0"/>
              <w:rPr>
                <w:sz w:val="20"/>
                <w:szCs w:val="20"/>
                <w:color w:val="auto"/>
              </w:rPr>
            </w:pPr>
            <w:r>
              <w:rPr>
                <w:rFonts w:ascii="Arial" w:cs="Arial" w:eastAsia="Arial" w:hAnsi="Arial"/>
                <w:sz w:val="14"/>
                <w:szCs w:val="14"/>
                <w:color w:val="auto"/>
              </w:rPr>
              <w:t>0.5%</w:t>
            </w:r>
          </w:p>
        </w:tc>
        <w:tc>
          <w:tcPr>
            <w:tcW w:w="172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rPr>
              <w:t>10.1%</w:t>
            </w:r>
          </w:p>
        </w:tc>
      </w:tr>
      <w:tr>
        <w:trPr>
          <w:trHeight w:val="162"/>
        </w:trPr>
        <w:tc>
          <w:tcPr>
            <w:tcW w:w="4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Refinanced Loans</w:t>
            </w:r>
          </w:p>
        </w:tc>
        <w:tc>
          <w:tcPr>
            <w:tcW w:w="1340" w:type="dxa"/>
            <w:vAlign w:val="bottom"/>
          </w:tcPr>
          <w:p>
            <w:pPr>
              <w:jc w:val="center"/>
              <w:spacing w:after="0"/>
              <w:rPr>
                <w:sz w:val="20"/>
                <w:szCs w:val="20"/>
                <w:color w:val="auto"/>
              </w:rPr>
            </w:pPr>
            <w:r>
              <w:rPr>
                <w:rFonts w:ascii="Arial" w:cs="Arial" w:eastAsia="Arial" w:hAnsi="Arial"/>
                <w:sz w:val="14"/>
                <w:szCs w:val="14"/>
                <w:color w:val="auto"/>
              </w:rPr>
              <w:t>2,121,068</w:t>
            </w:r>
          </w:p>
        </w:tc>
        <w:tc>
          <w:tcPr>
            <w:tcW w:w="1340" w:type="dxa"/>
            <w:vAlign w:val="bottom"/>
          </w:tcPr>
          <w:p>
            <w:pPr>
              <w:jc w:val="center"/>
              <w:spacing w:after="0"/>
              <w:rPr>
                <w:sz w:val="20"/>
                <w:szCs w:val="20"/>
                <w:color w:val="auto"/>
              </w:rPr>
            </w:pPr>
            <w:r>
              <w:rPr>
                <w:rFonts w:ascii="Arial" w:cs="Arial" w:eastAsia="Arial" w:hAnsi="Arial"/>
                <w:sz w:val="14"/>
                <w:szCs w:val="14"/>
                <w:color w:val="auto"/>
              </w:rPr>
              <w:t>2,406,058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2,557,749</w:t>
            </w:r>
          </w:p>
        </w:tc>
        <w:tc>
          <w:tcPr>
            <w:tcW w:w="940" w:type="dxa"/>
            <w:vAlign w:val="bottom"/>
          </w:tcPr>
          <w:p>
            <w:pPr>
              <w:jc w:val="center"/>
              <w:ind w:left="288"/>
              <w:spacing w:after="0"/>
              <w:rPr>
                <w:sz w:val="20"/>
                <w:szCs w:val="20"/>
                <w:color w:val="auto"/>
              </w:rPr>
            </w:pPr>
            <w:r>
              <w:rPr>
                <w:rFonts w:ascii="Arial" w:cs="Arial" w:eastAsia="Arial" w:hAnsi="Arial"/>
                <w:sz w:val="14"/>
                <w:szCs w:val="14"/>
                <w:color w:val="auto"/>
              </w:rPr>
              <w:t>6.3%</w:t>
            </w:r>
          </w:p>
        </w:tc>
        <w:tc>
          <w:tcPr>
            <w:tcW w:w="172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rPr>
              <w:t>20.6%</w:t>
            </w:r>
          </w:p>
        </w:tc>
      </w:tr>
      <w:tr>
        <w:trPr>
          <w:trHeight w:val="171"/>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Non-performing loans (NPLs)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7,910,565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8,532,545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8,762,773</w:t>
            </w:r>
          </w:p>
        </w:tc>
        <w:tc>
          <w:tcPr>
            <w:tcW w:w="9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2.7%</w:t>
            </w:r>
          </w:p>
        </w:tc>
        <w:tc>
          <w:tcPr>
            <w:tcW w:w="17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color w:val="auto"/>
              </w:rPr>
              <w:t>10.8%</w:t>
            </w:r>
          </w:p>
        </w:tc>
      </w:tr>
      <w:tr>
        <w:trPr>
          <w:trHeight w:val="146"/>
        </w:trPr>
        <w:tc>
          <w:tcPr>
            <w:tcW w:w="4520" w:type="dxa"/>
            <w:vAlign w:val="bottom"/>
            <w:tcBorders>
              <w:left w:val="single" w:sz="8" w:color="auto"/>
              <w:right w:val="single" w:sz="8" w:color="auto"/>
            </w:tcBorders>
          </w:tcPr>
          <w:p>
            <w:pPr>
              <w:ind w:left="60"/>
              <w:spacing w:after="0" w:line="147" w:lineRule="exact"/>
              <w:rPr>
                <w:sz w:val="20"/>
                <w:szCs w:val="20"/>
                <w:color w:val="auto"/>
              </w:rPr>
            </w:pPr>
            <w:r>
              <w:rPr>
                <w:rFonts w:ascii="Arial" w:cs="Arial" w:eastAsia="Arial" w:hAnsi="Arial"/>
                <w:sz w:val="14"/>
                <w:szCs w:val="14"/>
                <w:b w:val="1"/>
                <w:bCs w:val="1"/>
                <w:color w:val="auto"/>
              </w:rPr>
              <w:t>IOL ratio</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4.0%</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4.2%</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4.4%</w:t>
            </w:r>
          </w:p>
        </w:tc>
        <w:tc>
          <w:tcPr>
            <w:tcW w:w="94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rPr>
              <w:t>18 bps</w:t>
            </w:r>
          </w:p>
        </w:tc>
        <w:tc>
          <w:tcPr>
            <w:tcW w:w="1720" w:type="dxa"/>
            <w:vAlign w:val="bottom"/>
            <w:tcBorders>
              <w:right w:val="single" w:sz="8" w:color="auto"/>
            </w:tcBorders>
          </w:tcPr>
          <w:p>
            <w:pPr>
              <w:jc w:val="center"/>
              <w:ind w:left="288"/>
              <w:spacing w:after="0" w:line="147" w:lineRule="exact"/>
              <w:rPr>
                <w:sz w:val="20"/>
                <w:szCs w:val="20"/>
                <w:color w:val="auto"/>
              </w:rPr>
            </w:pPr>
            <w:r>
              <w:rPr>
                <w:rFonts w:ascii="Arial" w:cs="Arial" w:eastAsia="Arial" w:hAnsi="Arial"/>
                <w:sz w:val="14"/>
                <w:szCs w:val="14"/>
                <w:b w:val="1"/>
                <w:bCs w:val="1"/>
                <w:color w:val="auto"/>
                <w:w w:val="99"/>
              </w:rPr>
              <w:t>42 bps</w:t>
            </w:r>
          </w:p>
        </w:tc>
      </w:tr>
      <w:tr>
        <w:trPr>
          <w:trHeight w:val="162"/>
        </w:trPr>
        <w:tc>
          <w:tcPr>
            <w:tcW w:w="4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IOL over 90-days ratio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2.9%</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3.2%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3.3%</w:t>
            </w:r>
          </w:p>
        </w:tc>
        <w:tc>
          <w:tcPr>
            <w:tcW w:w="940" w:type="dxa"/>
            <w:vAlign w:val="bottom"/>
          </w:tcPr>
          <w:p>
            <w:pPr>
              <w:jc w:val="center"/>
              <w:ind w:left="288"/>
              <w:spacing w:after="0"/>
              <w:rPr>
                <w:sz w:val="20"/>
                <w:szCs w:val="20"/>
                <w:color w:val="auto"/>
              </w:rPr>
            </w:pPr>
            <w:r>
              <w:rPr>
                <w:rFonts w:ascii="Arial" w:cs="Arial" w:eastAsia="Arial" w:hAnsi="Arial"/>
                <w:sz w:val="14"/>
                <w:szCs w:val="14"/>
                <w:b w:val="1"/>
                <w:bCs w:val="1"/>
                <w:color w:val="auto"/>
              </w:rPr>
              <w:t>11 bps</w:t>
            </w:r>
          </w:p>
        </w:tc>
        <w:tc>
          <w:tcPr>
            <w:tcW w:w="172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9"/>
              </w:rPr>
              <w:t>40 bps</w:t>
            </w:r>
          </w:p>
        </w:tc>
      </w:tr>
      <w:tr>
        <w:trPr>
          <w:trHeight w:val="171"/>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NPL ratio</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5.9%</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6.2%</w:t>
            </w:r>
          </w:p>
        </w:tc>
        <w:tc>
          <w:tcPr>
            <w:tcW w:w="9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34 bps</w:t>
            </w:r>
          </w:p>
        </w:tc>
        <w:tc>
          <w:tcPr>
            <w:tcW w:w="17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9"/>
              </w:rPr>
              <w:t>77 bps</w:t>
            </w: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the NPL portfolio increased 2.7%. This growth was led by</w:t>
      </w:r>
      <w:r>
        <w:rPr>
          <w:rFonts w:ascii="Arial" w:cs="Arial" w:eastAsia="Arial" w:hAnsi="Arial"/>
          <w:sz w:val="18"/>
          <w:szCs w:val="18"/>
          <w:b w:val="1"/>
          <w:bCs w:val="1"/>
          <w:color w:val="auto"/>
        </w:rPr>
        <w:t xml:space="preserve"> Individuals and Wholesale Banking </w:t>
      </w:r>
      <w:r>
        <w:rPr>
          <w:rFonts w:ascii="Arial" w:cs="Arial" w:eastAsia="Arial" w:hAnsi="Arial"/>
          <w:sz w:val="18"/>
          <w:szCs w:val="18"/>
          <w:color w:val="auto"/>
        </w:rPr>
        <w:t>and partially offset by a contraction in</w:t>
      </w:r>
      <w:r>
        <w:rPr>
          <w:rFonts w:ascii="Arial" w:cs="Arial" w:eastAsia="Arial" w:hAnsi="Arial"/>
          <w:sz w:val="18"/>
          <w:szCs w:val="18"/>
          <w:b w:val="1"/>
          <w:bCs w:val="1"/>
          <w:color w:val="auto"/>
        </w:rPr>
        <w:t xml:space="preserve"> SME-Pyme </w:t>
      </w:r>
      <w:r>
        <w:rPr>
          <w:rFonts w:ascii="Arial" w:cs="Arial" w:eastAsia="Arial" w:hAnsi="Arial"/>
          <w:sz w:val="18"/>
          <w:szCs w:val="18"/>
          <w:color w:val="auto"/>
        </w:rPr>
        <w:t>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followed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Write-offs remained high, registering an increase of 8.1%, and were concentrated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primarily in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w:t>
      </w:r>
      <w:r>
        <w:rPr>
          <w:rFonts w:ascii="Arial" w:cs="Arial" w:eastAsia="Arial" w:hAnsi="Arial"/>
          <w:sz w:val="18"/>
          <w:szCs w:val="18"/>
          <w:b w:val="1"/>
          <w:bCs w:val="1"/>
          <w:color w:val="auto"/>
        </w:rPr>
        <w:t>Consumer and Credit Cards</w:t>
      </w:r>
      <w:r>
        <w:rPr>
          <w:rFonts w:ascii="Arial" w:cs="Arial" w:eastAsia="Arial" w:hAnsi="Arial"/>
          <w:sz w:val="18"/>
          <w:szCs w:val="18"/>
          <w:color w:val="auto"/>
        </w:rPr>
        <w:t>, which continue to write off overdue loans in higher risk segments.</w:t>
      </w:r>
    </w:p>
    <w:p>
      <w:pPr>
        <w:spacing w:after="0" w:line="14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QoQ, at BCP Stand-Alone, </w:t>
      </w:r>
      <w:r>
        <w:rPr>
          <w:rFonts w:ascii="Arial" w:cs="Arial" w:eastAsia="Arial" w:hAnsi="Arial"/>
          <w:sz w:val="18"/>
          <w:szCs w:val="18"/>
          <w:color w:val="auto"/>
        </w:rPr>
        <w:t>growth in NPLs occurs particularly through: (i)</w:t>
      </w:r>
      <w:r>
        <w:rPr>
          <w:rFonts w:ascii="Arial" w:cs="Arial" w:eastAsia="Arial" w:hAnsi="Arial"/>
          <w:sz w:val="18"/>
          <w:szCs w:val="18"/>
          <w:b w:val="1"/>
          <w:bCs w:val="1"/>
          <w:color w:val="auto"/>
        </w:rPr>
        <w:t xml:space="preserve"> Consumer</w:t>
      </w:r>
      <w:r>
        <w:rPr>
          <w:rFonts w:ascii="Arial" w:cs="Arial" w:eastAsia="Arial" w:hAnsi="Arial"/>
          <w:sz w:val="18"/>
          <w:szCs w:val="18"/>
          <w:color w:val="auto"/>
        </w:rPr>
        <w:t>, due to an uptick in refinancing to assist clients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most vulnerable segments, who are highly leveraged and lack stable employment; this was partially offset by an increase in write-offs; (ii) </w:t>
      </w:r>
      <w:r>
        <w:rPr>
          <w:rFonts w:ascii="Arial" w:cs="Arial" w:eastAsia="Arial" w:hAnsi="Arial"/>
          <w:sz w:val="18"/>
          <w:szCs w:val="18"/>
          <w:b w:val="1"/>
          <w:bCs w:val="1"/>
          <w:color w:val="auto"/>
        </w:rPr>
        <w:t xml:space="preserve">Mortgage, </w:t>
      </w:r>
      <w:r>
        <w:rPr>
          <w:rFonts w:ascii="Arial" w:cs="Arial" w:eastAsia="Arial" w:hAnsi="Arial"/>
          <w:sz w:val="18"/>
          <w:szCs w:val="18"/>
          <w:color w:val="auto"/>
        </w:rPr>
        <w:t>due to an increase in overdue loans held by clients that registered delinquency for consumer products; (iii)</w:t>
      </w:r>
      <w:r>
        <w:rPr>
          <w:rFonts w:ascii="Arial" w:cs="Arial" w:eastAsia="Arial" w:hAnsi="Arial"/>
          <w:sz w:val="18"/>
          <w:szCs w:val="18"/>
          <w:b w:val="1"/>
          <w:bCs w:val="1"/>
          <w:color w:val="auto"/>
        </w:rPr>
        <w:t xml:space="preserve"> Wholesale</w:t>
      </w:r>
      <w:r>
        <w:rPr>
          <w:rFonts w:ascii="Arial" w:cs="Arial" w:eastAsia="Arial" w:hAnsi="Arial"/>
          <w:sz w:val="18"/>
          <w:szCs w:val="18"/>
          <w:color w:val="auto"/>
        </w:rPr>
        <w: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refinancing for a corporate client. The aforementioned was partially offset by (iv)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which was impacted by a contraction in loan volumes via an increase in honoring processes for Government loans. If we exclude this effect, the NPL portfolio increases due to growth in refinancing to contain rising delinquency (for clients with good long-term payment potential) and to an increase in overdue loans, which was concentrated in older vintages. At </w:t>
      </w:r>
      <w:r>
        <w:rPr>
          <w:rFonts w:ascii="Arial" w:cs="Arial" w:eastAsia="Arial" w:hAnsi="Arial"/>
          <w:sz w:val="18"/>
          <w:szCs w:val="18"/>
          <w:b w:val="1"/>
          <w:bCs w:val="1"/>
          <w:color w:val="auto"/>
        </w:rPr>
        <w:t>Mibanco</w:t>
      </w:r>
      <w:r>
        <w:rPr>
          <w:rFonts w:ascii="Arial" w:cs="Arial" w:eastAsia="Arial" w:hAnsi="Arial"/>
          <w:sz w:val="18"/>
          <w:szCs w:val="18"/>
          <w:color w:val="auto"/>
        </w:rPr>
        <w:t>, the increase in NPLs was driven by an uptick in delinquency in old vintages related to clients affected by macroeconomic, social and environmental impacts in 2023.</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NPL portfolio increased 10.8%, led by</w:t>
      </w:r>
      <w:r>
        <w:rPr>
          <w:rFonts w:ascii="Arial" w:cs="Arial" w:eastAsia="Arial" w:hAnsi="Arial"/>
          <w:sz w:val="18"/>
          <w:szCs w:val="18"/>
          <w:b w:val="1"/>
          <w:bCs w:val="1"/>
          <w:color w:val="auto"/>
        </w:rPr>
        <w:t xml:space="preserve"> Individuals </w:t>
      </w:r>
      <w:r>
        <w:rPr>
          <w:rFonts w:ascii="Arial" w:cs="Arial" w:eastAsia="Arial" w:hAnsi="Arial"/>
          <w:sz w:val="18"/>
          <w:szCs w:val="18"/>
          <w:color w:val="auto"/>
        </w:rPr>
        <w:t>and</w:t>
      </w:r>
      <w:r>
        <w:rPr>
          <w:rFonts w:ascii="Arial" w:cs="Arial" w:eastAsia="Arial" w:hAnsi="Arial"/>
          <w:sz w:val="18"/>
          <w:szCs w:val="18"/>
          <w:b w:val="1"/>
          <w:bCs w:val="1"/>
          <w:color w:val="auto"/>
        </w:rPr>
        <w:t xml:space="preserve"> SME-Pyme </w:t>
      </w:r>
      <w:r>
        <w:rPr>
          <w:rFonts w:ascii="Arial" w:cs="Arial" w:eastAsia="Arial" w:hAnsi="Arial"/>
          <w:sz w:val="18"/>
          <w:szCs w:val="18"/>
          <w:color w:val="auto"/>
        </w:rPr>
        <w:t>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followed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xml:space="preserve">. Growth in write-offs (+40.4%) was driven by </w:t>
      </w:r>
      <w:r>
        <w:rPr>
          <w:rFonts w:ascii="Arial" w:cs="Arial" w:eastAsia="Arial" w:hAnsi="Arial"/>
          <w:sz w:val="18"/>
          <w:szCs w:val="18"/>
          <w:b w:val="1"/>
          <w:bCs w:val="1"/>
          <w:color w:val="auto"/>
        </w:rPr>
        <w:t>Credit Cards, Consumer and SME-Pyme</w:t>
      </w:r>
      <w:r>
        <w:rPr>
          <w:rFonts w:ascii="Arial" w:cs="Arial" w:eastAsia="Arial" w:hAnsi="Arial"/>
          <w:sz w:val="18"/>
          <w:szCs w:val="18"/>
          <w:color w:val="auto"/>
        </w:rPr>
        <w:t>, which were impacted by an increase in write-offs of overdue loans in the highest risk segment.</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w:t>
      </w:r>
      <w:r>
        <w:rPr>
          <w:rFonts w:ascii="Arial" w:cs="Arial" w:eastAsia="Arial" w:hAnsi="Arial"/>
          <w:sz w:val="18"/>
          <w:szCs w:val="18"/>
          <w:b w:val="1"/>
          <w:bCs w:val="1"/>
          <w:color w:val="auto"/>
        </w:rPr>
        <w:t xml:space="preserve"> at BCP Stand-Alone, </w:t>
      </w:r>
      <w:r>
        <w:rPr>
          <w:rFonts w:ascii="Arial" w:cs="Arial" w:eastAsia="Arial" w:hAnsi="Arial"/>
          <w:sz w:val="18"/>
          <w:szCs w:val="18"/>
          <w:color w:val="auto"/>
        </w:rPr>
        <w:t>growth in NPLs occurs particularly through (i)</w:t>
      </w:r>
      <w:r>
        <w:rPr>
          <w:rFonts w:ascii="Arial" w:cs="Arial" w:eastAsia="Arial" w:hAnsi="Arial"/>
          <w:sz w:val="18"/>
          <w:szCs w:val="18"/>
          <w:b w:val="1"/>
          <w:bCs w:val="1"/>
          <w:color w:val="auto"/>
        </w:rPr>
        <w:t xml:space="preserve"> Consumer, </w:t>
      </w:r>
      <w:r>
        <w:rPr>
          <w:rFonts w:ascii="Arial" w:cs="Arial" w:eastAsia="Arial" w:hAnsi="Arial"/>
          <w:sz w:val="18"/>
          <w:szCs w:val="18"/>
          <w:color w:val="auto"/>
        </w:rPr>
        <w:t>due to the dynamics described for the</w:t>
      </w:r>
      <w:r>
        <w:rPr>
          <w:rFonts w:ascii="Arial" w:cs="Arial" w:eastAsia="Arial" w:hAnsi="Arial"/>
          <w:sz w:val="18"/>
          <w:szCs w:val="18"/>
          <w:b w:val="1"/>
          <w:bCs w:val="1"/>
          <w:color w:val="auto"/>
        </w:rPr>
        <w:t xml:space="preserve"> QoQ </w:t>
      </w:r>
      <w:r>
        <w:rPr>
          <w:rFonts w:ascii="Arial" w:cs="Arial" w:eastAsia="Arial" w:hAnsi="Arial"/>
          <w:sz w:val="18"/>
          <w:szCs w:val="18"/>
          <w:color w:val="auto"/>
        </w:rPr>
        <w:t>evolution,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coupled with an uptick in overdue loans in old vintages; (ii)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due to the dynamics described for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 and among clients that had received refinancing in 2023; (iii)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due to an uptick in overdue loans, which was concentrated in older vintages, partially offset by an increase in honoring programs for Government Loans.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growth in NPLs was driven by the same dynamics described for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5" w:right="339" w:bottom="1440" w:gutter="0" w:footer="0" w:header="0"/>
        </w:sectPr>
      </w:pPr>
    </w:p>
    <w:bookmarkStart w:id="29" w:name="page30"/>
    <w:bookmarkEnd w:id="29"/>
    <w:p>
      <w:pPr>
        <w:jc w:val="right"/>
        <w:spacing w:after="0"/>
        <w:tabs>
          <w:tab w:leader="none" w:pos="2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 Release 1Q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05. Provisions</w:t>
      </w:r>
    </w:p>
    <w:p>
      <w:pPr>
        <w:spacing w:after="0" w:line="32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NPL Ratio of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3429000" cy="1791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 xml:space="preserve">NPL Ratio of Total Loans at BCP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63500</wp:posOffset>
            </wp:positionV>
            <wp:extent cx="2974340" cy="1731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74340" cy="1731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E93BAC"/>
        </w:rPr>
        <w:t>Analysis of 1Q24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the NPL ratio rose 34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stood at 6.2%. This evolution was due primarily to a contraction in loans and secondarily to the NPLs dynamics in the same period discussed above.</w:t>
      </w:r>
    </w:p>
    <w:p>
      <w:pPr>
        <w:spacing w:after="0" w:line="160"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color w:val="auto"/>
        </w:rPr>
        <w:t>If we analyze QoQ evolution of NPL ratio by subsidiary, we have:</w:t>
      </w:r>
    </w:p>
    <w:p>
      <w:pPr>
        <w:spacing w:after="0" w:line="123" w:lineRule="exact"/>
        <w:rPr>
          <w:sz w:val="20"/>
          <w:szCs w:val="20"/>
          <w:color w:val="auto"/>
        </w:rPr>
      </w:pPr>
    </w:p>
    <w:p>
      <w:pPr>
        <w:jc w:val="both"/>
        <w:ind w:right="20" w:firstLine="9"/>
        <w:spacing w:after="0"/>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BCP Stand-Alone, </w:t>
      </w:r>
      <w:r>
        <w:rPr>
          <w:rFonts w:ascii="Arial" w:cs="Arial" w:eastAsia="Arial" w:hAnsi="Arial"/>
          <w:sz w:val="18"/>
          <w:szCs w:val="18"/>
          <w:color w:val="auto"/>
        </w:rPr>
        <w:t>where the NPL ratio rose 35 bps.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case of </w:t>
      </w:r>
      <w:r>
        <w:rPr>
          <w:rFonts w:ascii="Arial" w:cs="Arial" w:eastAsia="Arial" w:hAnsi="Arial"/>
          <w:sz w:val="18"/>
          <w:szCs w:val="18"/>
          <w:b w:val="1"/>
          <w:bCs w:val="1"/>
          <w:color w:val="auto"/>
        </w:rPr>
        <w:t>Business Clients,</w:t>
      </w:r>
      <w:r>
        <w:rPr>
          <w:rFonts w:ascii="Arial" w:cs="Arial" w:eastAsia="Arial" w:hAnsi="Arial"/>
          <w:sz w:val="18"/>
          <w:szCs w:val="18"/>
          <w:color w:val="auto"/>
        </w:rPr>
        <w:t xml:space="preserve"> growth in the NPL ratio was primarily driven by a contraction in loans; while in </w:t>
      </w:r>
      <w:r>
        <w:rPr>
          <w:rFonts w:ascii="Arial" w:cs="Arial" w:eastAsia="Arial" w:hAnsi="Arial"/>
          <w:sz w:val="18"/>
          <w:szCs w:val="18"/>
          <w:b w:val="1"/>
          <w:bCs w:val="1"/>
          <w:color w:val="auto"/>
        </w:rPr>
        <w:t>Individuals,</w:t>
      </w:r>
      <w:r>
        <w:rPr>
          <w:rFonts w:ascii="Arial" w:cs="Arial" w:eastAsia="Arial" w:hAnsi="Arial"/>
          <w:sz w:val="18"/>
          <w:szCs w:val="18"/>
          <w:color w:val="auto"/>
        </w:rPr>
        <w:t xml:space="preserve"> growth in the NPL was fueled mainly by an increase in NPLs.</w:t>
      </w:r>
    </w:p>
    <w:p>
      <w:pPr>
        <w:ind w:right="380" w:firstLine="9"/>
        <w:spacing w:after="0" w:line="242" w:lineRule="auto"/>
        <w:tabs>
          <w:tab w:leader="none" w:pos="459"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where the NPL ratio increased 39 bps, driven</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by growth in NPLs and secondarily by a contraction in loans.</w:t>
      </w:r>
    </w:p>
    <w:p>
      <w:pPr>
        <w:spacing w:after="0" w:line="200" w:lineRule="exact"/>
        <w:rPr>
          <w:sz w:val="20"/>
          <w:szCs w:val="20"/>
          <w:color w:val="auto"/>
        </w:rPr>
      </w:pP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the NPL ratio rose 77 bps </w:t>
      </w:r>
      <w:r>
        <w:rPr>
          <w:rFonts w:ascii="Arial" w:cs="Arial" w:eastAsia="Arial" w:hAnsi="Arial"/>
          <w:sz w:val="18"/>
          <w:szCs w:val="18"/>
          <w:b w:val="1"/>
          <w:bCs w:val="1"/>
          <w:color w:val="auto"/>
        </w:rPr>
        <w:t>YoY</w:t>
      </w:r>
      <w:r>
        <w:rPr>
          <w:rFonts w:ascii="Arial" w:cs="Arial" w:eastAsia="Arial" w:hAnsi="Arial"/>
          <w:sz w:val="18"/>
          <w:szCs w:val="18"/>
          <w:color w:val="auto"/>
        </w:rPr>
        <w:t xml:space="preserve"> and stood at 6.2%. This evolution was driven mainly by NPL volume dynamics in the same period, and secondarily by a contraction in loans.</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analyze YoY evolution of NPL ratio by subsidiary, we have:</w:t>
      </w:r>
    </w:p>
    <w:p>
      <w:pPr>
        <w:spacing w:after="0" w:line="123" w:lineRule="exact"/>
        <w:rPr>
          <w:sz w:val="20"/>
          <w:szCs w:val="20"/>
          <w:color w:val="auto"/>
        </w:rPr>
      </w:pPr>
    </w:p>
    <w:p>
      <w:pPr>
        <w:jc w:val="both"/>
        <w:ind w:firstLine="9"/>
        <w:spacing w:after="0"/>
        <w:tabs>
          <w:tab w:leader="none" w:pos="68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BCP Stand-Alone, </w:t>
      </w:r>
      <w:r>
        <w:rPr>
          <w:rFonts w:ascii="Arial" w:cs="Arial" w:eastAsia="Arial" w:hAnsi="Arial"/>
          <w:sz w:val="18"/>
          <w:szCs w:val="18"/>
          <w:color w:val="auto"/>
        </w:rPr>
        <w:t>where the NPL ratio rose 77 bps. In</w:t>
      </w:r>
      <w:r>
        <w:rPr>
          <w:rFonts w:ascii="Arial" w:cs="Arial" w:eastAsia="Arial" w:hAnsi="Arial"/>
          <w:sz w:val="18"/>
          <w:szCs w:val="18"/>
          <w:b w:val="1"/>
          <w:bCs w:val="1"/>
          <w:color w:val="auto"/>
        </w:rPr>
        <w:t xml:space="preserve"> Individuals </w:t>
      </w:r>
      <w:r>
        <w:rPr>
          <w:rFonts w:ascii="Arial" w:cs="Arial" w:eastAsia="Arial" w:hAnsi="Arial"/>
          <w:sz w:val="18"/>
          <w:szCs w:val="18"/>
          <w:color w:val="auto"/>
        </w:rPr>
        <w:t>and</w:t>
      </w:r>
      <w:r>
        <w:rPr>
          <w:rFonts w:ascii="Arial" w:cs="Arial" w:eastAsia="Arial" w:hAnsi="Arial"/>
          <w:sz w:val="18"/>
          <w:szCs w:val="18"/>
          <w:b w:val="1"/>
          <w:bCs w:val="1"/>
          <w:color w:val="auto"/>
        </w:rPr>
        <w:t xml:space="preserve"> SME-Pyme, </w:t>
      </w:r>
      <w:r>
        <w:rPr>
          <w:rFonts w:ascii="Arial" w:cs="Arial" w:eastAsia="Arial" w:hAnsi="Arial"/>
          <w:sz w:val="18"/>
          <w:szCs w:val="18"/>
          <w:color w:val="auto"/>
        </w:rPr>
        <w:t>growth in NPL ratio is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increase in NPLs; while in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growth in NPL ratio was due primarily to a contraction in loans.</w:t>
      </w:r>
    </w:p>
    <w:p>
      <w:pPr>
        <w:ind w:firstLine="9"/>
        <w:spacing w:after="0" w:line="260" w:lineRule="auto"/>
        <w:tabs>
          <w:tab w:leader="none" w:pos="52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where the NPL ratio increased 172 bps,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dynamics described for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w:t>
      </w:r>
    </w:p>
    <w:p>
      <w:pPr>
        <w:spacing w:after="0" w:line="200" w:lineRule="exact"/>
        <w:rPr>
          <w:sz w:val="20"/>
          <w:szCs w:val="20"/>
          <w:color w:val="auto"/>
        </w:rPr>
      </w:pPr>
    </w:p>
    <w:p>
      <w:pPr>
        <w:sectPr>
          <w:pgSz w:w="11900" w:h="16838" w:orient="portrait"/>
          <w:cols w:equalWidth="0" w:num="2">
            <w:col w:w="5420" w:space="420"/>
            <w:col w:w="5400"/>
          </w:cols>
          <w:pgMar w:left="320" w:top="561"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Provisions and Cost of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and Cost of Risk in the Total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651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shd w:val="clear" w:color="auto" w:fill="2AD2C8"/>
          </w:tcPr>
          <w:p>
            <w:pPr>
              <w:ind w:left="60"/>
              <w:spacing w:after="0"/>
              <w:rPr>
                <w:sz w:val="20"/>
                <w:szCs w:val="20"/>
                <w:color w:val="auto"/>
              </w:rPr>
            </w:pPr>
            <w:r>
              <w:rPr>
                <w:rFonts w:ascii="Arial" w:cs="Arial" w:eastAsia="Arial" w:hAnsi="Arial"/>
                <w:sz w:val="14"/>
                <w:szCs w:val="14"/>
                <w:b w:val="1"/>
                <w:bCs w:val="1"/>
                <w:color w:val="FFFFFF"/>
              </w:rPr>
              <w:t>Loan Portfolio Provisions</w:t>
            </w:r>
          </w:p>
        </w:tc>
        <w:tc>
          <w:tcPr>
            <w:tcW w:w="1320" w:type="dxa"/>
            <w:vAlign w:val="bottom"/>
            <w:shd w:val="clear" w:color="auto" w:fill="2AD2C8"/>
          </w:tcPr>
          <w:p>
            <w:pPr>
              <w:spacing w:after="0"/>
              <w:rPr>
                <w:sz w:val="15"/>
                <w:szCs w:val="15"/>
                <w:color w:val="auto"/>
              </w:rPr>
            </w:pPr>
          </w:p>
        </w:tc>
        <w:tc>
          <w:tcPr>
            <w:tcW w:w="1420" w:type="dxa"/>
            <w:vAlign w:val="bottom"/>
            <w:shd w:val="clear" w:color="auto" w:fill="2AD2C8"/>
          </w:tcPr>
          <w:p>
            <w:pPr>
              <w:ind w:left="440"/>
              <w:spacing w:after="0"/>
              <w:rPr>
                <w:sz w:val="20"/>
                <w:szCs w:val="20"/>
                <w:color w:val="auto"/>
              </w:rPr>
            </w:pPr>
            <w:r>
              <w:rPr>
                <w:rFonts w:ascii="Arial" w:cs="Arial" w:eastAsia="Arial" w:hAnsi="Arial"/>
                <w:sz w:val="14"/>
                <w:szCs w:val="14"/>
                <w:b w:val="1"/>
                <w:bCs w:val="1"/>
                <w:color w:val="FFFFFF"/>
              </w:rPr>
              <w:t>Quarter</w:t>
            </w:r>
          </w:p>
        </w:tc>
        <w:tc>
          <w:tcPr>
            <w:tcW w:w="1340" w:type="dxa"/>
            <w:vAlign w:val="bottom"/>
            <w:shd w:val="clear" w:color="auto" w:fill="2AD2C8"/>
          </w:tcPr>
          <w:p>
            <w:pPr>
              <w:spacing w:after="0"/>
              <w:rPr>
                <w:sz w:val="15"/>
                <w:szCs w:val="15"/>
                <w:color w:val="auto"/>
              </w:rPr>
            </w:pPr>
          </w:p>
        </w:tc>
        <w:tc>
          <w:tcPr>
            <w:tcW w:w="940" w:type="dxa"/>
            <w:vAlign w:val="bottom"/>
            <w:shd w:val="clear" w:color="auto" w:fill="2AD2C8"/>
          </w:tcPr>
          <w:p>
            <w:pPr>
              <w:spacing w:after="0"/>
              <w:rPr>
                <w:sz w:val="15"/>
                <w:szCs w:val="15"/>
                <w:color w:val="auto"/>
              </w:rPr>
            </w:pPr>
          </w:p>
        </w:tc>
        <w:tc>
          <w:tcPr>
            <w:tcW w:w="1700" w:type="dxa"/>
            <w:vAlign w:val="bottom"/>
            <w:shd w:val="clear" w:color="auto" w:fill="2AD2C8"/>
          </w:tcPr>
          <w:p>
            <w:pPr>
              <w:ind w:left="40"/>
              <w:spacing w:after="0"/>
              <w:rPr>
                <w:sz w:val="20"/>
                <w:szCs w:val="20"/>
                <w:color w:val="auto"/>
              </w:rPr>
            </w:pPr>
            <w:r>
              <w:rPr>
                <w:rFonts w:ascii="Arial" w:cs="Arial" w:eastAsia="Arial" w:hAnsi="Arial"/>
                <w:sz w:val="14"/>
                <w:szCs w:val="14"/>
                <w:b w:val="1"/>
                <w:bCs w:val="1"/>
                <w:color w:val="FFFFFF"/>
              </w:rPr>
              <w:t>% change</w:t>
            </w:r>
          </w:p>
        </w:tc>
        <w:tc>
          <w:tcPr>
            <w:tcW w:w="20" w:type="dxa"/>
            <w:vAlign w:val="bottom"/>
          </w:tcPr>
          <w:p>
            <w:pPr>
              <w:spacing w:after="0"/>
              <w:rPr>
                <w:sz w:val="15"/>
                <w:szCs w:val="15"/>
                <w:color w:val="auto"/>
              </w:rPr>
            </w:pPr>
          </w:p>
        </w:tc>
      </w:tr>
      <w:tr>
        <w:trPr>
          <w:trHeight w:val="162"/>
        </w:trPr>
        <w:tc>
          <w:tcPr>
            <w:tcW w:w="4500" w:type="dxa"/>
            <w:vAlign w:val="bottom"/>
            <w:tcBorders>
              <w:bottom w:val="single" w:sz="8" w:color="auto"/>
            </w:tcBorders>
            <w:shd w:val="clear" w:color="auto" w:fill="2AD2C8"/>
          </w:tcPr>
          <w:p>
            <w:pPr>
              <w:ind w:left="60"/>
              <w:spacing w:after="0"/>
              <w:rPr>
                <w:sz w:val="20"/>
                <w:szCs w:val="20"/>
                <w:color w:val="auto"/>
              </w:rPr>
            </w:pPr>
            <w:r>
              <w:rPr>
                <w:rFonts w:ascii="Arial" w:cs="Arial" w:eastAsia="Arial" w:hAnsi="Arial"/>
                <w:sz w:val="14"/>
                <w:szCs w:val="14"/>
                <w:b w:val="1"/>
                <w:bCs w:val="1"/>
                <w:color w:val="FFFFFF"/>
              </w:rPr>
              <w:t>S/ 000</w:t>
            </w:r>
          </w:p>
        </w:tc>
        <w:tc>
          <w:tcPr>
            <w:tcW w:w="13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1Q23</w:t>
            </w:r>
          </w:p>
        </w:tc>
        <w:tc>
          <w:tcPr>
            <w:tcW w:w="14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w w:val="99"/>
              </w:rPr>
              <w:t>4Q23</w:t>
            </w:r>
          </w:p>
        </w:tc>
        <w:tc>
          <w:tcPr>
            <w:tcW w:w="13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4"/>
                <w:szCs w:val="14"/>
                <w:b w:val="1"/>
                <w:bCs w:val="1"/>
                <w:color w:val="FFFFFF"/>
              </w:rPr>
              <w:t>1Q24</w:t>
            </w:r>
          </w:p>
        </w:tc>
        <w:tc>
          <w:tcPr>
            <w:tcW w:w="940" w:type="dxa"/>
            <w:vAlign w:val="bottom"/>
            <w:tcBorders>
              <w:bottom w:val="single" w:sz="8" w:color="auto"/>
            </w:tcBorders>
            <w:shd w:val="clear" w:color="auto" w:fill="2AD2C8"/>
          </w:tcPr>
          <w:p>
            <w:pPr>
              <w:jc w:val="center"/>
              <w:ind w:left="288"/>
              <w:spacing w:after="0"/>
              <w:rPr>
                <w:sz w:val="20"/>
                <w:szCs w:val="20"/>
                <w:color w:val="auto"/>
              </w:rPr>
            </w:pPr>
            <w:r>
              <w:rPr>
                <w:rFonts w:ascii="Arial" w:cs="Arial" w:eastAsia="Arial" w:hAnsi="Arial"/>
                <w:sz w:val="14"/>
                <w:szCs w:val="14"/>
                <w:b w:val="1"/>
                <w:bCs w:val="1"/>
                <w:color w:val="FFFFFF"/>
                <w:w w:val="98"/>
              </w:rPr>
              <w:t>QoQ</w:t>
            </w:r>
          </w:p>
        </w:tc>
        <w:tc>
          <w:tcPr>
            <w:tcW w:w="1700" w:type="dxa"/>
            <w:vAlign w:val="bottom"/>
            <w:tcBorders>
              <w:bottom w:val="single" w:sz="8" w:color="auto"/>
            </w:tcBorders>
            <w:shd w:val="clear" w:color="auto" w:fill="2AD2C8"/>
          </w:tcPr>
          <w:p>
            <w:pPr>
              <w:jc w:val="center"/>
              <w:ind w:left="308"/>
              <w:spacing w:after="0"/>
              <w:rPr>
                <w:sz w:val="20"/>
                <w:szCs w:val="20"/>
                <w:color w:val="auto"/>
              </w:rPr>
            </w:pPr>
            <w:r>
              <w:rPr>
                <w:rFonts w:ascii="Arial" w:cs="Arial" w:eastAsia="Arial" w:hAnsi="Arial"/>
                <w:sz w:val="14"/>
                <w:szCs w:val="14"/>
                <w:b w:val="1"/>
                <w:bCs w:val="1"/>
                <w:color w:val="FFFFFF"/>
              </w:rPr>
              <w:t>YoY</w:t>
            </w:r>
          </w:p>
        </w:tc>
        <w:tc>
          <w:tcPr>
            <w:tcW w:w="20" w:type="dxa"/>
            <w:vAlign w:val="bottom"/>
            <w:tcBorders>
              <w:bottom w:val="single" w:sz="8" w:color="auto"/>
            </w:tcBorders>
          </w:tcPr>
          <w:p>
            <w:pPr>
              <w:spacing w:after="0"/>
              <w:rPr>
                <w:sz w:val="14"/>
                <w:szCs w:val="14"/>
                <w:color w:val="auto"/>
              </w:rPr>
            </w:pPr>
          </w:p>
        </w:tc>
      </w:tr>
      <w:tr>
        <w:trPr>
          <w:trHeight w:val="146"/>
        </w:trPr>
        <w:tc>
          <w:tcPr>
            <w:tcW w:w="4500" w:type="dxa"/>
            <w:vAlign w:val="bottom"/>
          </w:tcPr>
          <w:p>
            <w:pPr>
              <w:ind w:left="60"/>
              <w:spacing w:after="0" w:line="147" w:lineRule="exact"/>
              <w:rPr>
                <w:sz w:val="20"/>
                <w:szCs w:val="20"/>
                <w:color w:val="auto"/>
              </w:rPr>
            </w:pPr>
            <w:r>
              <w:rPr>
                <w:rFonts w:ascii="Arial" w:cs="Arial" w:eastAsia="Arial" w:hAnsi="Arial"/>
                <w:sz w:val="14"/>
                <w:szCs w:val="14"/>
                <w:color w:val="auto"/>
              </w:rPr>
              <w:t>Gross provision for credit losses on loan portfolio</w:t>
            </w:r>
          </w:p>
        </w:tc>
        <w:tc>
          <w:tcPr>
            <w:tcW w:w="1320" w:type="dxa"/>
            <w:vAlign w:val="bottom"/>
          </w:tcPr>
          <w:p>
            <w:pPr>
              <w:jc w:val="center"/>
              <w:spacing w:after="0" w:line="147" w:lineRule="exact"/>
              <w:rPr>
                <w:sz w:val="20"/>
                <w:szCs w:val="20"/>
                <w:color w:val="auto"/>
              </w:rPr>
            </w:pPr>
            <w:r>
              <w:rPr>
                <w:rFonts w:ascii="Arial" w:cs="Arial" w:eastAsia="Arial" w:hAnsi="Arial"/>
                <w:sz w:val="14"/>
                <w:szCs w:val="14"/>
                <w:color w:val="auto"/>
              </w:rPr>
              <w:t>(802,107)</w:t>
            </w:r>
          </w:p>
        </w:tc>
        <w:tc>
          <w:tcPr>
            <w:tcW w:w="1420" w:type="dxa"/>
            <w:vAlign w:val="bottom"/>
          </w:tcPr>
          <w:p>
            <w:pPr>
              <w:jc w:val="center"/>
              <w:spacing w:after="0" w:line="147" w:lineRule="exact"/>
              <w:rPr>
                <w:sz w:val="20"/>
                <w:szCs w:val="20"/>
                <w:color w:val="auto"/>
              </w:rPr>
            </w:pPr>
            <w:r>
              <w:rPr>
                <w:rFonts w:ascii="Arial" w:cs="Arial" w:eastAsia="Arial" w:hAnsi="Arial"/>
                <w:sz w:val="14"/>
                <w:szCs w:val="14"/>
                <w:color w:val="auto"/>
              </w:rPr>
              <w:t>(1,260,163)</w:t>
            </w:r>
          </w:p>
        </w:tc>
        <w:tc>
          <w:tcPr>
            <w:tcW w:w="1340" w:type="dxa"/>
            <w:vAlign w:val="bottom"/>
          </w:tcPr>
          <w:p>
            <w:pPr>
              <w:jc w:val="center"/>
              <w:spacing w:after="0" w:line="147" w:lineRule="exact"/>
              <w:rPr>
                <w:sz w:val="20"/>
                <w:szCs w:val="20"/>
                <w:color w:val="auto"/>
              </w:rPr>
            </w:pPr>
            <w:r>
              <w:rPr>
                <w:rFonts w:ascii="Arial" w:cs="Arial" w:eastAsia="Arial" w:hAnsi="Arial"/>
                <w:sz w:val="14"/>
                <w:szCs w:val="14"/>
                <w:color w:val="auto"/>
              </w:rPr>
              <w:t>(910,189)</w:t>
            </w:r>
          </w:p>
        </w:tc>
        <w:tc>
          <w:tcPr>
            <w:tcW w:w="940" w:type="dxa"/>
            <w:vAlign w:val="bottom"/>
          </w:tcPr>
          <w:p>
            <w:pPr>
              <w:jc w:val="center"/>
              <w:ind w:left="288"/>
              <w:spacing w:after="0" w:line="147" w:lineRule="exact"/>
              <w:rPr>
                <w:sz w:val="20"/>
                <w:szCs w:val="20"/>
                <w:color w:val="auto"/>
              </w:rPr>
            </w:pPr>
            <w:r>
              <w:rPr>
                <w:rFonts w:ascii="Arial" w:cs="Arial" w:eastAsia="Arial" w:hAnsi="Arial"/>
                <w:sz w:val="14"/>
                <w:szCs w:val="14"/>
                <w:color w:val="auto"/>
              </w:rPr>
              <w:t>-27.8%</w:t>
            </w:r>
          </w:p>
        </w:tc>
        <w:tc>
          <w:tcPr>
            <w:tcW w:w="1700" w:type="dxa"/>
            <w:vAlign w:val="bottom"/>
          </w:tcPr>
          <w:p>
            <w:pPr>
              <w:jc w:val="center"/>
              <w:ind w:left="308"/>
              <w:spacing w:after="0" w:line="147" w:lineRule="exact"/>
              <w:rPr>
                <w:sz w:val="20"/>
                <w:szCs w:val="20"/>
                <w:color w:val="auto"/>
              </w:rPr>
            </w:pPr>
            <w:r>
              <w:rPr>
                <w:rFonts w:ascii="Arial" w:cs="Arial" w:eastAsia="Arial" w:hAnsi="Arial"/>
                <w:sz w:val="14"/>
                <w:szCs w:val="14"/>
                <w:color w:val="auto"/>
              </w:rPr>
              <w:t>13.5%</w:t>
            </w:r>
          </w:p>
        </w:tc>
        <w:tc>
          <w:tcPr>
            <w:tcW w:w="20" w:type="dxa"/>
            <w:vAlign w:val="bottom"/>
          </w:tcPr>
          <w:p>
            <w:pPr>
              <w:spacing w:after="0"/>
              <w:rPr>
                <w:sz w:val="12"/>
                <w:szCs w:val="12"/>
                <w:color w:val="auto"/>
              </w:rPr>
            </w:pPr>
          </w:p>
        </w:tc>
      </w:tr>
      <w:tr>
        <w:trPr>
          <w:trHeight w:val="162"/>
        </w:trPr>
        <w:tc>
          <w:tcPr>
            <w:tcW w:w="4500" w:type="dxa"/>
            <w:vAlign w:val="bottom"/>
          </w:tcPr>
          <w:p>
            <w:pPr>
              <w:ind w:left="60"/>
              <w:spacing w:after="0"/>
              <w:rPr>
                <w:sz w:val="20"/>
                <w:szCs w:val="20"/>
                <w:color w:val="auto"/>
              </w:rPr>
            </w:pPr>
            <w:r>
              <w:rPr>
                <w:rFonts w:ascii="Arial" w:cs="Arial" w:eastAsia="Arial" w:hAnsi="Arial"/>
                <w:sz w:val="14"/>
                <w:szCs w:val="14"/>
                <w:color w:val="auto"/>
              </w:rPr>
              <w:t>Recoveries of written-off loans</w:t>
            </w:r>
          </w:p>
        </w:tc>
        <w:tc>
          <w:tcPr>
            <w:tcW w:w="1320" w:type="dxa"/>
            <w:vAlign w:val="bottom"/>
          </w:tcPr>
          <w:p>
            <w:pPr>
              <w:jc w:val="center"/>
              <w:spacing w:after="0"/>
              <w:rPr>
                <w:sz w:val="20"/>
                <w:szCs w:val="20"/>
                <w:color w:val="auto"/>
              </w:rPr>
            </w:pPr>
            <w:r>
              <w:rPr>
                <w:rFonts w:ascii="Arial" w:cs="Arial" w:eastAsia="Arial" w:hAnsi="Arial"/>
                <w:sz w:val="14"/>
                <w:szCs w:val="14"/>
                <w:color w:val="auto"/>
              </w:rPr>
              <w:t>75,109</w:t>
            </w:r>
          </w:p>
        </w:tc>
        <w:tc>
          <w:tcPr>
            <w:tcW w:w="1420" w:type="dxa"/>
            <w:vAlign w:val="bottom"/>
          </w:tcPr>
          <w:p>
            <w:pPr>
              <w:jc w:val="center"/>
              <w:spacing w:after="0"/>
              <w:rPr>
                <w:sz w:val="20"/>
                <w:szCs w:val="20"/>
                <w:color w:val="auto"/>
              </w:rPr>
            </w:pPr>
            <w:r>
              <w:rPr>
                <w:rFonts w:ascii="Arial" w:cs="Arial" w:eastAsia="Arial" w:hAnsi="Arial"/>
                <w:sz w:val="14"/>
                <w:szCs w:val="14"/>
                <w:color w:val="auto"/>
              </w:rPr>
              <w:t>86,709</w:t>
            </w:r>
          </w:p>
        </w:tc>
        <w:tc>
          <w:tcPr>
            <w:tcW w:w="1340" w:type="dxa"/>
            <w:vAlign w:val="bottom"/>
          </w:tcPr>
          <w:p>
            <w:pPr>
              <w:jc w:val="center"/>
              <w:spacing w:after="0"/>
              <w:rPr>
                <w:sz w:val="20"/>
                <w:szCs w:val="20"/>
                <w:color w:val="auto"/>
              </w:rPr>
            </w:pPr>
            <w:r>
              <w:rPr>
                <w:rFonts w:ascii="Arial" w:cs="Arial" w:eastAsia="Arial" w:hAnsi="Arial"/>
                <w:sz w:val="14"/>
                <w:szCs w:val="14"/>
                <w:color w:val="auto"/>
              </w:rPr>
              <w:t>95,490</w:t>
            </w:r>
          </w:p>
        </w:tc>
        <w:tc>
          <w:tcPr>
            <w:tcW w:w="940" w:type="dxa"/>
            <w:vAlign w:val="bottom"/>
          </w:tcPr>
          <w:p>
            <w:pPr>
              <w:jc w:val="center"/>
              <w:ind w:left="288"/>
              <w:spacing w:after="0"/>
              <w:rPr>
                <w:sz w:val="20"/>
                <w:szCs w:val="20"/>
                <w:color w:val="auto"/>
              </w:rPr>
            </w:pPr>
            <w:r>
              <w:rPr>
                <w:rFonts w:ascii="Arial" w:cs="Arial" w:eastAsia="Arial" w:hAnsi="Arial"/>
                <w:sz w:val="14"/>
                <w:szCs w:val="14"/>
                <w:color w:val="auto"/>
              </w:rPr>
              <w:t>10.1%</w:t>
            </w:r>
          </w:p>
        </w:tc>
        <w:tc>
          <w:tcPr>
            <w:tcW w:w="1700" w:type="dxa"/>
            <w:vAlign w:val="bottom"/>
          </w:tcPr>
          <w:p>
            <w:pPr>
              <w:jc w:val="center"/>
              <w:ind w:left="308"/>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14"/>
                <w:szCs w:val="14"/>
                <w:color w:val="auto"/>
              </w:rPr>
            </w:pPr>
          </w:p>
        </w:tc>
      </w:tr>
      <w:tr>
        <w:trPr>
          <w:trHeight w:val="171"/>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Provision for credit losses on loan portfolio, net of recoveries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(726,998)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(1,173,454)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(814,699)</w:t>
            </w:r>
          </w:p>
        </w:tc>
        <w:tc>
          <w:tcPr>
            <w:tcW w:w="9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-30.6%</w:t>
            </w:r>
          </w:p>
        </w:tc>
        <w:tc>
          <w:tcPr>
            <w:tcW w:w="17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12.1%</w:t>
            </w:r>
          </w:p>
        </w:tc>
        <w:tc>
          <w:tcPr>
            <w:tcW w:w="20" w:type="dxa"/>
            <w:vAlign w:val="bottom"/>
            <w:tcBorders>
              <w:bottom w:val="single" w:sz="8" w:color="auto"/>
            </w:tcBorders>
          </w:tcPr>
          <w:p>
            <w:pPr>
              <w:spacing w:after="0"/>
              <w:rPr>
                <w:sz w:val="14"/>
                <w:szCs w:val="14"/>
                <w:color w:val="auto"/>
              </w:rPr>
            </w:pPr>
          </w:p>
        </w:tc>
      </w:tr>
      <w:tr>
        <w:trPr>
          <w:trHeight w:val="166"/>
        </w:trPr>
        <w:tc>
          <w:tcPr>
            <w:tcW w:w="4500" w:type="dxa"/>
            <w:vAlign w:val="bottom"/>
          </w:tcPr>
          <w:p>
            <w:pPr>
              <w:ind w:left="60"/>
              <w:spacing w:after="0" w:line="166"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19"/>
                <w:szCs w:val="19"/>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2.0%</w:t>
            </w:r>
          </w:p>
        </w:tc>
        <w:tc>
          <w:tcPr>
            <w:tcW w:w="1420" w:type="dxa"/>
            <w:vAlign w:val="bottom"/>
          </w:tcPr>
          <w:p>
            <w:pPr>
              <w:jc w:val="center"/>
              <w:spacing w:after="0"/>
              <w:rPr>
                <w:sz w:val="20"/>
                <w:szCs w:val="20"/>
                <w:color w:val="auto"/>
              </w:rPr>
            </w:pPr>
            <w:r>
              <w:rPr>
                <w:rFonts w:ascii="Arial" w:cs="Arial" w:eastAsia="Arial" w:hAnsi="Arial"/>
                <w:sz w:val="14"/>
                <w:szCs w:val="14"/>
                <w:color w:val="auto"/>
              </w:rPr>
              <w:t>3.2%</w:t>
            </w:r>
          </w:p>
        </w:tc>
        <w:tc>
          <w:tcPr>
            <w:tcW w:w="1340" w:type="dxa"/>
            <w:vAlign w:val="bottom"/>
          </w:tcPr>
          <w:p>
            <w:pPr>
              <w:jc w:val="center"/>
              <w:spacing w:after="0"/>
              <w:rPr>
                <w:sz w:val="20"/>
                <w:szCs w:val="20"/>
                <w:color w:val="auto"/>
              </w:rPr>
            </w:pPr>
            <w:r>
              <w:rPr>
                <w:rFonts w:ascii="Arial" w:cs="Arial" w:eastAsia="Arial" w:hAnsi="Arial"/>
                <w:sz w:val="14"/>
                <w:szCs w:val="14"/>
                <w:color w:val="auto"/>
              </w:rPr>
              <w:t>2.3%</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-96 bps</w:t>
            </w:r>
          </w:p>
        </w:tc>
        <w:tc>
          <w:tcPr>
            <w:tcW w:w="1700" w:type="dxa"/>
            <w:vAlign w:val="bottom"/>
          </w:tcPr>
          <w:p>
            <w:pPr>
              <w:jc w:val="center"/>
              <w:ind w:left="308"/>
              <w:spacing w:after="0"/>
              <w:rPr>
                <w:sz w:val="20"/>
                <w:szCs w:val="20"/>
                <w:color w:val="auto"/>
              </w:rPr>
            </w:pPr>
            <w:r>
              <w:rPr>
                <w:rFonts w:ascii="Arial" w:cs="Arial" w:eastAsia="Arial" w:hAnsi="Arial"/>
                <w:sz w:val="14"/>
                <w:szCs w:val="14"/>
                <w:color w:val="auto"/>
              </w:rPr>
              <w:t>30 bps</w:t>
            </w:r>
          </w:p>
        </w:tc>
        <w:tc>
          <w:tcPr>
            <w:tcW w:w="20" w:type="dxa"/>
            <w:vAlign w:val="bottom"/>
          </w:tcPr>
          <w:p>
            <w:pPr>
              <w:spacing w:after="0"/>
              <w:rPr>
                <w:sz w:val="14"/>
                <w:szCs w:val="14"/>
                <w:color w:val="auto"/>
              </w:rPr>
            </w:pPr>
          </w:p>
        </w:tc>
      </w:tr>
    </w:tbl>
    <w:p>
      <w:pPr>
        <w:spacing w:after="0"/>
        <w:rPr>
          <w:sz w:val="20"/>
          <w:szCs w:val="20"/>
          <w:color w:val="auto"/>
        </w:rPr>
      </w:pPr>
      <w:r>
        <w:rPr>
          <w:rFonts w:ascii="Arial" w:cs="Arial" w:eastAsia="Arial" w:hAnsi="Arial"/>
          <w:sz w:val="11"/>
          <w:szCs w:val="11"/>
          <w:color w:val="auto"/>
        </w:rPr>
        <w:t>(1) Provisions for credit losses on loan portfolio, net of annualized recoveries / Average Total Loans. Provisions include the impact of the “El Niño” Phenomenon.</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quarter, provisions include a reversal of provisions set aside in 4Q23 for anticipated impacts for the “El Niño” Phenomenon for approximately S/ 250 million. In this context, the Cost of Risk (CoR) stood at 2.3%. Next, we will explain the quarterly and yearly dynamics for provisions by isolating this impact.</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provisions rose 16.0%, driven primarily by (i)</w:t>
      </w:r>
      <w:r>
        <w:rPr>
          <w:rFonts w:ascii="Arial" w:cs="Arial" w:eastAsia="Arial" w:hAnsi="Arial"/>
          <w:sz w:val="18"/>
          <w:szCs w:val="18"/>
          <w:b w:val="1"/>
          <w:bCs w:val="1"/>
          <w:color w:val="auto"/>
        </w:rPr>
        <w:t xml:space="preserve"> Mortgage</w:t>
      </w:r>
      <w:r>
        <w:rPr>
          <w:rFonts w:ascii="Arial" w:cs="Arial" w:eastAsia="Arial" w:hAnsi="Arial"/>
          <w:sz w:val="18"/>
          <w:szCs w:val="18"/>
          <w:color w:val="auto"/>
        </w:rPr>
        <w:t>, due to a base effect for reversals for specific subproducts; (ii)</w:t>
      </w:r>
      <w:r>
        <w:rPr>
          <w:rFonts w:ascii="Arial" w:cs="Arial" w:eastAsia="Arial" w:hAnsi="Arial"/>
          <w:sz w:val="18"/>
          <w:szCs w:val="18"/>
          <w:b w:val="1"/>
          <w:bCs w:val="1"/>
          <w:color w:val="auto"/>
        </w:rPr>
        <w:t xml:space="preserve"> SME- Pyme</w:t>
      </w:r>
      <w:r>
        <w:rPr>
          <w:rFonts w:ascii="Arial" w:cs="Arial" w:eastAsia="Arial" w:hAnsi="Arial"/>
          <w:sz w:val="18"/>
          <w:szCs w:val="18"/>
          <w:color w:val="auto"/>
        </w:rPr>
        <w:t>, via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growth in write-offs that was not 100% provisioned and due to a deterioration in the payment capacities of clients in a context of gradual economic recovery; this was partially offset by growth in amortization of Government Loans (GP); (iii) </w:t>
      </w:r>
      <w:r>
        <w:rPr>
          <w:rFonts w:ascii="Arial" w:cs="Arial" w:eastAsia="Arial" w:hAnsi="Arial"/>
          <w:sz w:val="18"/>
          <w:szCs w:val="18"/>
          <w:b w:val="1"/>
          <w:bCs w:val="1"/>
          <w:color w:val="auto"/>
        </w:rPr>
        <w:t>Mibanco</w:t>
      </w:r>
      <w:r>
        <w:rPr>
          <w:rFonts w:ascii="Arial" w:cs="Arial" w:eastAsia="Arial" w:hAnsi="Arial"/>
          <w:sz w:val="18"/>
          <w:szCs w:val="18"/>
          <w:color w:val="auto"/>
        </w:rPr>
        <w:t>, due to further deterioration in old vintages.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this scenario, if we isolate the “El Niño” effect, the Cost of Risk (CoR) rose 45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to stand at 3.0%.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type w:val="continuous"/>
        </w:sectPr>
      </w:pPr>
    </w:p>
    <w:bookmarkStart w:id="30" w:name="page31"/>
    <w:bookmarkEnd w:id="30"/>
    <w:p>
      <w:pPr>
        <w:jc w:val="right"/>
        <w:ind w:right="1140"/>
        <w:spacing w:after="0"/>
        <w:tabs>
          <w:tab w:leader="none" w:pos="358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 Release 1Q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05. Provisions</w:t>
      </w:r>
    </w:p>
    <w:p>
      <w:pPr>
        <w:spacing w:after="0" w:line="328" w:lineRule="exact"/>
        <w:rPr>
          <w:sz w:val="20"/>
          <w:szCs w:val="20"/>
          <w:color w:val="auto"/>
        </w:rPr>
      </w:pPr>
    </w:p>
    <w:p>
      <w:pPr>
        <w:jc w:val="both"/>
        <w:ind w:right="1160"/>
        <w:spacing w:after="0" w:line="244" w:lineRule="auto"/>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provisions rose 46.9%, driven by</w:t>
      </w:r>
      <w:r>
        <w:rPr>
          <w:rFonts w:ascii="Arial" w:cs="Arial" w:eastAsia="Arial" w:hAnsi="Arial"/>
          <w:sz w:val="18"/>
          <w:szCs w:val="18"/>
          <w:b w:val="1"/>
          <w:bCs w:val="1"/>
          <w:color w:val="auto"/>
        </w:rPr>
        <w:t xml:space="preserve"> SME-Pyme and Credit Cards</w:t>
      </w:r>
      <w:r>
        <w:rPr>
          <w:rFonts w:ascii="Arial" w:cs="Arial" w:eastAsia="Arial" w:hAnsi="Arial"/>
          <w:sz w:val="18"/>
          <w:szCs w:val="18"/>
          <w:color w:val="auto"/>
        </w:rPr>
        <w:t>, which were impacted by a deterioration in the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capacity of highly leveraged clients and by </w:t>
      </w:r>
      <w:r>
        <w:rPr>
          <w:rFonts w:ascii="Arial" w:cs="Arial" w:eastAsia="Arial" w:hAnsi="Arial"/>
          <w:sz w:val="18"/>
          <w:szCs w:val="18"/>
          <w:b w:val="1"/>
          <w:bCs w:val="1"/>
          <w:color w:val="auto"/>
        </w:rPr>
        <w:t>Consumer</w:t>
      </w:r>
      <w:r>
        <w:rPr>
          <w:rFonts w:ascii="Arial" w:cs="Arial" w:eastAsia="Arial" w:hAnsi="Arial"/>
          <w:sz w:val="18"/>
          <w:szCs w:val="18"/>
          <w:color w:val="auto"/>
        </w:rPr>
        <w:t>, which was affected by deterioration in the payment performance of clients in the most vulnerable segments who are highly leveraged.</w:t>
      </w:r>
    </w:p>
    <w:p>
      <w:pPr>
        <w:spacing w:after="0" w:line="163" w:lineRule="exact"/>
        <w:rPr>
          <w:sz w:val="20"/>
          <w:szCs w:val="20"/>
          <w:color w:val="auto"/>
        </w:rPr>
      </w:pPr>
    </w:p>
    <w:p>
      <w:pPr>
        <w:jc w:val="both"/>
        <w:ind w:right="1160"/>
        <w:spacing w:after="0" w:line="247" w:lineRule="auto"/>
        <w:rPr>
          <w:sz w:val="20"/>
          <w:szCs w:val="20"/>
          <w:color w:val="auto"/>
        </w:rPr>
      </w:pPr>
      <w:r>
        <w:rPr>
          <w:rFonts w:ascii="Arial" w:cs="Arial" w:eastAsia="Arial" w:hAnsi="Arial"/>
          <w:sz w:val="18"/>
          <w:szCs w:val="18"/>
          <w:color w:val="auto"/>
        </w:rPr>
        <w:t xml:space="preserve">The aforementioned growth in provisions was partially offset by a decrease in provisions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At </w:t>
      </w:r>
      <w:r>
        <w:rPr>
          <w:rFonts w:ascii="Arial" w:cs="Arial" w:eastAsia="Arial" w:hAnsi="Arial"/>
          <w:sz w:val="18"/>
          <w:szCs w:val="18"/>
          <w:b w:val="1"/>
          <w:bCs w:val="1"/>
          <w:color w:val="auto"/>
        </w:rPr>
        <w:t xml:space="preserve">Mibanco, </w:t>
      </w:r>
      <w:r>
        <w:rPr>
          <w:rFonts w:ascii="Arial" w:cs="Arial" w:eastAsia="Arial" w:hAnsi="Arial"/>
          <w:sz w:val="18"/>
          <w:szCs w:val="18"/>
          <w:color w:val="auto"/>
        </w:rPr>
        <w:t>provisions were down due to a base effect given that in</w:t>
      </w:r>
      <w:r>
        <w:rPr>
          <w:rFonts w:ascii="Arial" w:cs="Arial" w:eastAsia="Arial" w:hAnsi="Arial"/>
          <w:sz w:val="18"/>
          <w:szCs w:val="18"/>
          <w:b w:val="1"/>
          <w:bCs w:val="1"/>
          <w:color w:val="auto"/>
        </w:rPr>
        <w:t xml:space="preserve"> </w:t>
      </w:r>
      <w:r>
        <w:rPr>
          <w:rFonts w:ascii="Arial" w:cs="Arial" w:eastAsia="Arial" w:hAnsi="Arial"/>
          <w:sz w:val="18"/>
          <w:szCs w:val="18"/>
          <w:color w:val="auto"/>
        </w:rPr>
        <w:t>1Q23, more provisions were required for climatic and social events.</w:t>
      </w:r>
    </w:p>
    <w:p>
      <w:pPr>
        <w:spacing w:after="0" w:line="160" w:lineRule="exact"/>
        <w:rPr>
          <w:sz w:val="20"/>
          <w:szCs w:val="20"/>
          <w:color w:val="auto"/>
        </w:rPr>
      </w:pPr>
    </w:p>
    <w:p>
      <w:pPr>
        <w:jc w:val="both"/>
        <w:ind w:right="1180"/>
        <w:spacing w:after="0" w:line="281" w:lineRule="auto"/>
        <w:rPr>
          <w:sz w:val="20"/>
          <w:szCs w:val="20"/>
          <w:color w:val="auto"/>
        </w:rPr>
      </w:pPr>
      <w:r>
        <w:rPr>
          <w:rFonts w:ascii="Arial" w:cs="Arial" w:eastAsia="Arial" w:hAnsi="Arial"/>
          <w:sz w:val="18"/>
          <w:szCs w:val="18"/>
          <w:color w:val="auto"/>
        </w:rPr>
        <w:t xml:space="preserve">In this scenario, if we isolate the “El Niño” effect, the CoR rose 101 bps </w:t>
      </w:r>
      <w:r>
        <w:rPr>
          <w:rFonts w:ascii="Arial" w:cs="Arial" w:eastAsia="Arial" w:hAnsi="Arial"/>
          <w:sz w:val="18"/>
          <w:szCs w:val="18"/>
          <w:b w:val="1"/>
          <w:bCs w:val="1"/>
          <w:color w:val="auto"/>
        </w:rPr>
        <w:t>YoY</w:t>
      </w:r>
      <w:r>
        <w:rPr>
          <w:rFonts w:ascii="Arial" w:cs="Arial" w:eastAsia="Arial" w:hAnsi="Arial"/>
          <w:sz w:val="18"/>
          <w:szCs w:val="18"/>
          <w:color w:val="auto"/>
        </w:rPr>
        <w:t xml:space="preserve"> to stand at 3.0%.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E93BAC"/>
        </w:rPr>
        <w:t>Analysis of 1Q24 Consolidated Results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of Risk by Subsidiary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63500</wp:posOffset>
            </wp:positionV>
            <wp:extent cx="2922905" cy="1843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22905" cy="1843405"/>
                    </a:xfrm>
                    <a:prstGeom prst="rect">
                      <a:avLst/>
                    </a:prstGeom>
                    <a:noFill/>
                  </pic:spPr>
                </pic:pic>
              </a:graphicData>
            </a:graphic>
          </wp:anchor>
        </w:drawing>
      </w:r>
    </w:p>
    <w:p>
      <w:pPr>
        <w:spacing w:after="0" w:line="2790" w:lineRule="exact"/>
        <w:rPr>
          <w:sz w:val="20"/>
          <w:szCs w:val="20"/>
          <w:color w:val="auto"/>
        </w:rPr>
      </w:pPr>
    </w:p>
    <w:p>
      <w:pPr>
        <w:sectPr>
          <w:pgSz w:w="11900" w:h="16838" w:orient="portrait"/>
          <w:cols w:equalWidth="0" w:num="2">
            <w:col w:w="6560" w:space="720"/>
            <w:col w:w="3960"/>
          </w:cols>
          <w:pgMar w:left="320" w:top="5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(1) It includes the impact of the “El Niño” Phenomenon.</w:t>
      </w:r>
    </w:p>
    <w:p>
      <w:pPr>
        <w:spacing w:after="0" w:line="192" w:lineRule="exact"/>
        <w:rPr>
          <w:sz w:val="20"/>
          <w:szCs w:val="20"/>
          <w:color w:val="auto"/>
        </w:rPr>
      </w:pPr>
    </w:p>
    <w:p>
      <w:pPr>
        <w:ind w:left="1520"/>
        <w:spacing w:after="0"/>
        <w:tabs>
          <w:tab w:leader="none" w:pos="7380" w:val="left"/>
        </w:tabs>
        <w:rPr>
          <w:sz w:val="20"/>
          <w:szCs w:val="20"/>
          <w:color w:val="auto"/>
        </w:rPr>
      </w:pPr>
      <w:r>
        <w:rPr>
          <w:rFonts w:ascii="Arial" w:cs="Arial" w:eastAsia="Arial" w:hAnsi="Arial"/>
          <w:sz w:val="18"/>
          <w:szCs w:val="18"/>
          <w:b w:val="1"/>
          <w:bCs w:val="1"/>
          <w:color w:val="auto"/>
        </w:rPr>
        <w:t>QoQ Cost of Risk Evolution</w:t>
      </w:r>
      <w:r>
        <w:rPr>
          <w:sz w:val="20"/>
          <w:szCs w:val="20"/>
          <w:color w:val="auto"/>
        </w:rPr>
        <w:tab/>
      </w:r>
      <w:r>
        <w:rPr>
          <w:rFonts w:ascii="Arial" w:cs="Arial" w:eastAsia="Arial" w:hAnsi="Arial"/>
          <w:sz w:val="17"/>
          <w:szCs w:val="17"/>
          <w:b w:val="1"/>
          <w:bCs w:val="1"/>
          <w:color w:val="auto"/>
        </w:rPr>
        <w:t>YoY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137795</wp:posOffset>
            </wp:positionV>
            <wp:extent cx="6660515" cy="1071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6051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4520" w:type="dxa"/>
            <w:vAlign w:val="bottom"/>
          </w:tcPr>
          <w:p>
            <w:pPr>
              <w:spacing w:after="0"/>
              <w:rPr>
                <w:sz w:val="20"/>
                <w:szCs w:val="20"/>
                <w:color w:val="auto"/>
              </w:rPr>
            </w:pPr>
            <w:r>
              <w:rPr>
                <w:rFonts w:ascii="Arial" w:cs="Arial" w:eastAsia="Arial" w:hAnsi="Arial"/>
                <w:sz w:val="11"/>
                <w:szCs w:val="11"/>
                <w:color w:val="auto"/>
              </w:rPr>
              <w:t>(1) Others include BCP Bolivia, Mibanco Colombia, ASB and eliminations.</w:t>
            </w:r>
          </w:p>
        </w:tc>
        <w:tc>
          <w:tcPr>
            <w:tcW w:w="1200" w:type="dxa"/>
            <w:vAlign w:val="bottom"/>
          </w:tcPr>
          <w:p>
            <w:pPr>
              <w:spacing w:after="0"/>
              <w:rPr>
                <w:sz w:val="12"/>
                <w:szCs w:val="12"/>
                <w:color w:val="auto"/>
              </w:rPr>
            </w:pPr>
          </w:p>
        </w:tc>
        <w:tc>
          <w:tcPr>
            <w:tcW w:w="3820" w:type="dxa"/>
            <w:vAlign w:val="bottom"/>
            <w:gridSpan w:val="3"/>
          </w:tcPr>
          <w:p>
            <w:pPr>
              <w:ind w:left="140"/>
              <w:spacing w:after="0"/>
              <w:rPr>
                <w:sz w:val="20"/>
                <w:szCs w:val="20"/>
                <w:color w:val="auto"/>
              </w:rPr>
            </w:pPr>
            <w:r>
              <w:rPr>
                <w:rFonts w:ascii="Arial" w:cs="Arial" w:eastAsia="Arial" w:hAnsi="Arial"/>
                <w:sz w:val="11"/>
                <w:szCs w:val="11"/>
                <w:color w:val="auto"/>
              </w:rPr>
              <w:t>(1) Others include BCP Bolivia, Mibanco Colombia, ASB and eliminations.</w:t>
            </w:r>
          </w:p>
        </w:tc>
        <w:tc>
          <w:tcPr>
            <w:tcW w:w="1700" w:type="dxa"/>
            <w:vAlign w:val="bottom"/>
          </w:tcPr>
          <w:p>
            <w:pPr>
              <w:spacing w:after="0"/>
              <w:rPr>
                <w:sz w:val="12"/>
                <w:szCs w:val="12"/>
                <w:color w:val="auto"/>
              </w:rPr>
            </w:pPr>
          </w:p>
        </w:tc>
      </w:tr>
      <w:tr>
        <w:trPr>
          <w:trHeight w:val="423"/>
        </w:trPr>
        <w:tc>
          <w:tcPr>
            <w:tcW w:w="4520" w:type="dxa"/>
            <w:vAlign w:val="bottom"/>
          </w:tcPr>
          <w:p>
            <w:pPr>
              <w:spacing w:after="0"/>
              <w:rPr>
                <w:sz w:val="20"/>
                <w:szCs w:val="20"/>
                <w:color w:val="auto"/>
              </w:rPr>
            </w:pPr>
            <w:r>
              <w:rPr>
                <w:rFonts w:ascii="Arial" w:cs="Arial" w:eastAsia="Arial" w:hAnsi="Arial"/>
                <w:sz w:val="18"/>
                <w:szCs w:val="18"/>
                <w:b w:val="1"/>
                <w:bCs w:val="1"/>
                <w:color w:val="auto"/>
              </w:rPr>
              <w:t>Coverage Ratio of NPLs (in Quarter-end balances)</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7"/>
        </w:trPr>
        <w:tc>
          <w:tcPr>
            <w:tcW w:w="4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156"/>
        </w:trPr>
        <w:tc>
          <w:tcPr>
            <w:tcW w:w="4520" w:type="dxa"/>
            <w:vAlign w:val="bottom"/>
            <w:tcBorders>
              <w:left w:val="single" w:sz="8" w:color="auto"/>
              <w:right w:val="single" w:sz="8" w:color="auto"/>
            </w:tcBorders>
            <w:shd w:val="clear" w:color="auto" w:fill="2AD2C8"/>
          </w:tcPr>
          <w:p>
            <w:pPr>
              <w:ind w:left="60"/>
              <w:spacing w:after="0" w:line="155" w:lineRule="exact"/>
              <w:rPr>
                <w:sz w:val="20"/>
                <w:szCs w:val="20"/>
                <w:color w:val="auto"/>
              </w:rPr>
            </w:pPr>
            <w:r>
              <w:rPr>
                <w:rFonts w:ascii="Arial" w:cs="Arial" w:eastAsia="Arial" w:hAnsi="Arial"/>
                <w:sz w:val="14"/>
                <w:szCs w:val="14"/>
                <w:b w:val="1"/>
                <w:bCs w:val="1"/>
                <w:color w:val="FFFFFF"/>
              </w:rPr>
              <w:t>Loan Portfolio Quality and Delinquency Ratios</w:t>
            </w:r>
          </w:p>
        </w:tc>
        <w:tc>
          <w:tcPr>
            <w:tcW w:w="1200" w:type="dxa"/>
            <w:vAlign w:val="bottom"/>
            <w:shd w:val="clear" w:color="auto" w:fill="2AD2C8"/>
          </w:tcPr>
          <w:p>
            <w:pPr>
              <w:spacing w:after="0"/>
              <w:rPr>
                <w:sz w:val="13"/>
                <w:szCs w:val="13"/>
                <w:color w:val="auto"/>
              </w:rPr>
            </w:pPr>
          </w:p>
        </w:tc>
        <w:tc>
          <w:tcPr>
            <w:tcW w:w="1480" w:type="dxa"/>
            <w:vAlign w:val="bottom"/>
            <w:shd w:val="clear" w:color="auto" w:fill="2AD2C8"/>
          </w:tcPr>
          <w:p>
            <w:pPr>
              <w:jc w:val="center"/>
              <w:ind w:left="50"/>
              <w:spacing w:after="0" w:line="155" w:lineRule="exact"/>
              <w:rPr>
                <w:sz w:val="20"/>
                <w:szCs w:val="20"/>
                <w:color w:val="auto"/>
              </w:rPr>
            </w:pPr>
            <w:r>
              <w:rPr>
                <w:rFonts w:ascii="Arial" w:cs="Arial" w:eastAsia="Arial" w:hAnsi="Arial"/>
                <w:sz w:val="14"/>
                <w:szCs w:val="14"/>
                <w:b w:val="1"/>
                <w:bCs w:val="1"/>
                <w:color w:val="FFFFFF"/>
              </w:rPr>
              <w:t>As of</w:t>
            </w:r>
          </w:p>
        </w:tc>
        <w:tc>
          <w:tcPr>
            <w:tcW w:w="1380" w:type="dxa"/>
            <w:vAlign w:val="bottom"/>
            <w:tcBorders>
              <w:right w:val="single" w:sz="8" w:color="auto"/>
            </w:tcBorders>
            <w:shd w:val="clear" w:color="auto" w:fill="2AD2C8"/>
          </w:tcPr>
          <w:p>
            <w:pPr>
              <w:spacing w:after="0"/>
              <w:rPr>
                <w:sz w:val="13"/>
                <w:szCs w:val="13"/>
                <w:color w:val="auto"/>
              </w:rPr>
            </w:pPr>
          </w:p>
        </w:tc>
        <w:tc>
          <w:tcPr>
            <w:tcW w:w="960" w:type="dxa"/>
            <w:vAlign w:val="bottom"/>
            <w:shd w:val="clear" w:color="auto" w:fill="2AD2C8"/>
          </w:tcPr>
          <w:p>
            <w:pPr>
              <w:spacing w:after="0"/>
              <w:rPr>
                <w:sz w:val="13"/>
                <w:szCs w:val="13"/>
                <w:color w:val="auto"/>
              </w:rPr>
            </w:pPr>
          </w:p>
        </w:tc>
        <w:tc>
          <w:tcPr>
            <w:tcW w:w="1700" w:type="dxa"/>
            <w:vAlign w:val="bottom"/>
            <w:tcBorders>
              <w:right w:val="single" w:sz="8" w:color="auto"/>
            </w:tcBorders>
            <w:shd w:val="clear" w:color="auto" w:fill="2AD2C8"/>
          </w:tcPr>
          <w:p>
            <w:pPr>
              <w:ind w:left="20"/>
              <w:spacing w:after="0" w:line="155" w:lineRule="exact"/>
              <w:rPr>
                <w:sz w:val="20"/>
                <w:szCs w:val="20"/>
                <w:color w:val="auto"/>
              </w:rPr>
            </w:pPr>
            <w:r>
              <w:rPr>
                <w:rFonts w:ascii="Arial" w:cs="Arial" w:eastAsia="Arial" w:hAnsi="Arial"/>
                <w:sz w:val="14"/>
                <w:szCs w:val="14"/>
                <w:b w:val="1"/>
                <w:bCs w:val="1"/>
                <w:color w:val="FFFFFF"/>
              </w:rPr>
              <w:t>% change</w:t>
            </w:r>
          </w:p>
        </w:tc>
      </w:tr>
      <w:tr>
        <w:trPr>
          <w:trHeight w:val="162"/>
        </w:trPr>
        <w:tc>
          <w:tcPr>
            <w:tcW w:w="4520" w:type="dxa"/>
            <w:vAlign w:val="bottom"/>
            <w:tcBorders>
              <w:left w:val="single" w:sz="8" w:color="auto"/>
              <w:bottom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4"/>
                <w:szCs w:val="14"/>
                <w:b w:val="1"/>
                <w:bCs w:val="1"/>
                <w:color w:val="FFFFFF"/>
              </w:rPr>
              <w:t>S/ 000</w:t>
            </w:r>
          </w:p>
        </w:tc>
        <w:tc>
          <w:tcPr>
            <w:tcW w:w="1200" w:type="dxa"/>
            <w:vAlign w:val="bottom"/>
            <w:tcBorders>
              <w:bottom w:val="single" w:sz="8" w:color="auto"/>
            </w:tcBorders>
            <w:shd w:val="clear" w:color="auto" w:fill="2AD2C8"/>
          </w:tcPr>
          <w:p>
            <w:pPr>
              <w:ind w:left="440"/>
              <w:spacing w:after="0"/>
              <w:rPr>
                <w:sz w:val="20"/>
                <w:szCs w:val="20"/>
                <w:color w:val="auto"/>
              </w:rPr>
            </w:pPr>
            <w:r>
              <w:rPr>
                <w:rFonts w:ascii="Arial" w:cs="Arial" w:eastAsia="Arial" w:hAnsi="Arial"/>
                <w:sz w:val="14"/>
                <w:szCs w:val="14"/>
                <w:b w:val="1"/>
                <w:bCs w:val="1"/>
                <w:color w:val="FFFFFF"/>
              </w:rPr>
              <w:t>Mar 23</w:t>
            </w:r>
          </w:p>
        </w:tc>
        <w:tc>
          <w:tcPr>
            <w:tcW w:w="1480" w:type="dxa"/>
            <w:vAlign w:val="bottom"/>
            <w:tcBorders>
              <w:bottom w:val="single" w:sz="8" w:color="auto"/>
            </w:tcBorders>
            <w:shd w:val="clear" w:color="auto" w:fill="2AD2C8"/>
          </w:tcPr>
          <w:p>
            <w:pPr>
              <w:jc w:val="center"/>
              <w:ind w:left="70"/>
              <w:spacing w:after="0"/>
              <w:rPr>
                <w:sz w:val="20"/>
                <w:szCs w:val="20"/>
                <w:color w:val="auto"/>
              </w:rPr>
            </w:pPr>
            <w:r>
              <w:rPr>
                <w:rFonts w:ascii="Arial" w:cs="Arial" w:eastAsia="Arial" w:hAnsi="Arial"/>
                <w:sz w:val="14"/>
                <w:szCs w:val="14"/>
                <w:b w:val="1"/>
                <w:bCs w:val="1"/>
                <w:color w:val="FFFFFF"/>
              </w:rPr>
              <w:t>Dec 23</w:t>
            </w:r>
          </w:p>
        </w:tc>
        <w:tc>
          <w:tcPr>
            <w:tcW w:w="1380" w:type="dxa"/>
            <w:vAlign w:val="bottom"/>
            <w:tcBorders>
              <w:bottom w:val="single" w:sz="8" w:color="auto"/>
              <w:right w:val="single" w:sz="8" w:color="auto"/>
            </w:tcBorders>
            <w:shd w:val="clear" w:color="auto" w:fill="2AD2C8"/>
          </w:tcPr>
          <w:p>
            <w:pPr>
              <w:ind w:left="460"/>
              <w:spacing w:after="0"/>
              <w:rPr>
                <w:sz w:val="20"/>
                <w:szCs w:val="20"/>
                <w:color w:val="auto"/>
              </w:rPr>
            </w:pPr>
            <w:r>
              <w:rPr>
                <w:rFonts w:ascii="Arial" w:cs="Arial" w:eastAsia="Arial" w:hAnsi="Arial"/>
                <w:sz w:val="14"/>
                <w:szCs w:val="14"/>
                <w:b w:val="1"/>
                <w:bCs w:val="1"/>
                <w:color w:val="FFFFFF"/>
              </w:rPr>
              <w:t>Mar 24</w:t>
            </w:r>
          </w:p>
        </w:tc>
        <w:tc>
          <w:tcPr>
            <w:tcW w:w="960" w:type="dxa"/>
            <w:vAlign w:val="bottom"/>
            <w:tcBorders>
              <w:bottom w:val="single" w:sz="8" w:color="auto"/>
            </w:tcBorders>
            <w:shd w:val="clear" w:color="auto" w:fill="2AD2C8"/>
          </w:tcPr>
          <w:p>
            <w:pPr>
              <w:jc w:val="center"/>
              <w:ind w:left="268"/>
              <w:spacing w:after="0"/>
              <w:rPr>
                <w:sz w:val="20"/>
                <w:szCs w:val="20"/>
                <w:color w:val="auto"/>
              </w:rPr>
            </w:pPr>
            <w:r>
              <w:rPr>
                <w:rFonts w:ascii="Arial" w:cs="Arial" w:eastAsia="Arial" w:hAnsi="Arial"/>
                <w:sz w:val="14"/>
                <w:szCs w:val="14"/>
                <w:b w:val="1"/>
                <w:bCs w:val="1"/>
                <w:color w:val="FFFFFF"/>
                <w:w w:val="98"/>
              </w:rPr>
              <w:t>QoQ</w:t>
            </w:r>
          </w:p>
        </w:tc>
        <w:tc>
          <w:tcPr>
            <w:tcW w:w="1700" w:type="dxa"/>
            <w:vAlign w:val="bottom"/>
            <w:tcBorders>
              <w:bottom w:val="single" w:sz="8" w:color="auto"/>
              <w:right w:val="single" w:sz="8" w:color="auto"/>
            </w:tcBorders>
            <w:shd w:val="clear" w:color="auto" w:fill="2AD2C8"/>
          </w:tcPr>
          <w:p>
            <w:pPr>
              <w:jc w:val="center"/>
              <w:ind w:left="268"/>
              <w:spacing w:after="0"/>
              <w:rPr>
                <w:sz w:val="20"/>
                <w:szCs w:val="20"/>
                <w:color w:val="auto"/>
              </w:rPr>
            </w:pPr>
            <w:r>
              <w:rPr>
                <w:rFonts w:ascii="Arial" w:cs="Arial" w:eastAsia="Arial" w:hAnsi="Arial"/>
                <w:sz w:val="14"/>
                <w:szCs w:val="14"/>
                <w:b w:val="1"/>
                <w:bCs w:val="1"/>
                <w:color w:val="FFFFFF"/>
              </w:rPr>
              <w:t>YoY</w:t>
            </w:r>
          </w:p>
        </w:tc>
      </w:tr>
      <w:tr>
        <w:trPr>
          <w:trHeight w:val="155"/>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Total loans (Quarter-end balance)</w:t>
            </w:r>
          </w:p>
        </w:tc>
        <w:tc>
          <w:tcPr>
            <w:tcW w:w="120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rPr>
              <w:t>145,165,713</w:t>
            </w:r>
          </w:p>
        </w:tc>
        <w:tc>
          <w:tcPr>
            <w:tcW w:w="1480" w:type="dxa"/>
            <w:vAlign w:val="bottom"/>
            <w:tcBorders>
              <w:bottom w:val="single" w:sz="8" w:color="auto"/>
            </w:tcBorders>
          </w:tcPr>
          <w:p>
            <w:pPr>
              <w:jc w:val="center"/>
              <w:ind w:left="50"/>
              <w:spacing w:after="0" w:line="155" w:lineRule="exact"/>
              <w:rPr>
                <w:sz w:val="20"/>
                <w:szCs w:val="20"/>
                <w:color w:val="auto"/>
              </w:rPr>
            </w:pPr>
            <w:r>
              <w:rPr>
                <w:rFonts w:ascii="Arial" w:cs="Arial" w:eastAsia="Arial" w:hAnsi="Arial"/>
                <w:sz w:val="14"/>
                <w:szCs w:val="14"/>
                <w:b w:val="1"/>
                <w:bCs w:val="1"/>
                <w:color w:val="auto"/>
              </w:rPr>
              <w:t>144,976,051</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140,798,083</w:t>
            </w:r>
          </w:p>
        </w:tc>
        <w:tc>
          <w:tcPr>
            <w:tcW w:w="9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-2.9%</w:t>
            </w:r>
          </w:p>
        </w:tc>
        <w:tc>
          <w:tcPr>
            <w:tcW w:w="1700" w:type="dxa"/>
            <w:vAlign w:val="bottom"/>
            <w:tcBorders>
              <w:bottom w:val="single" w:sz="8" w:color="auto"/>
              <w:right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w w:val="98"/>
              </w:rPr>
              <w:t>-3.0%</w:t>
            </w:r>
          </w:p>
        </w:tc>
      </w:tr>
      <w:tr>
        <w:trPr>
          <w:trHeight w:val="156"/>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Allowance for loan losses</w:t>
            </w:r>
          </w:p>
        </w:tc>
        <w:tc>
          <w:tcPr>
            <w:tcW w:w="120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color w:val="auto"/>
              </w:rPr>
              <w:t>7,915,350</w:t>
            </w:r>
          </w:p>
        </w:tc>
        <w:tc>
          <w:tcPr>
            <w:tcW w:w="1480" w:type="dxa"/>
            <w:vAlign w:val="bottom"/>
            <w:tcBorders>
              <w:bottom w:val="single" w:sz="8" w:color="auto"/>
            </w:tcBorders>
          </w:tcPr>
          <w:p>
            <w:pPr>
              <w:jc w:val="center"/>
              <w:ind w:left="50"/>
              <w:spacing w:after="0" w:line="155" w:lineRule="exact"/>
              <w:rPr>
                <w:sz w:val="20"/>
                <w:szCs w:val="20"/>
                <w:color w:val="auto"/>
              </w:rPr>
            </w:pPr>
            <w:r>
              <w:rPr>
                <w:rFonts w:ascii="Arial" w:cs="Arial" w:eastAsia="Arial" w:hAnsi="Arial"/>
                <w:sz w:val="14"/>
                <w:szCs w:val="14"/>
                <w:color w:val="auto"/>
              </w:rPr>
              <w:t>8,277,916</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8,190,343</w:t>
            </w:r>
          </w:p>
        </w:tc>
        <w:tc>
          <w:tcPr>
            <w:tcW w:w="9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-1.1%</w:t>
            </w:r>
          </w:p>
        </w:tc>
        <w:tc>
          <w:tcPr>
            <w:tcW w:w="1700" w:type="dxa"/>
            <w:vAlign w:val="bottom"/>
            <w:tcBorders>
              <w:bottom w:val="single" w:sz="8" w:color="auto"/>
              <w:right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3.5%</w:t>
            </w:r>
          </w:p>
        </w:tc>
      </w:tr>
      <w:tr>
        <w:trPr>
          <w:trHeight w:val="155"/>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Non-performing loans (NPLs)</w:t>
            </w:r>
          </w:p>
        </w:tc>
        <w:tc>
          <w:tcPr>
            <w:tcW w:w="120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color w:val="auto"/>
              </w:rPr>
              <w:t>7,910,565</w:t>
            </w:r>
          </w:p>
        </w:tc>
        <w:tc>
          <w:tcPr>
            <w:tcW w:w="1480" w:type="dxa"/>
            <w:vAlign w:val="bottom"/>
            <w:tcBorders>
              <w:bottom w:val="single" w:sz="8" w:color="auto"/>
            </w:tcBorders>
          </w:tcPr>
          <w:p>
            <w:pPr>
              <w:jc w:val="center"/>
              <w:ind w:left="50"/>
              <w:spacing w:after="0" w:line="155" w:lineRule="exact"/>
              <w:rPr>
                <w:sz w:val="20"/>
                <w:szCs w:val="20"/>
                <w:color w:val="auto"/>
              </w:rPr>
            </w:pPr>
            <w:r>
              <w:rPr>
                <w:rFonts w:ascii="Arial" w:cs="Arial" w:eastAsia="Arial" w:hAnsi="Arial"/>
                <w:sz w:val="14"/>
                <w:szCs w:val="14"/>
                <w:color w:val="auto"/>
              </w:rPr>
              <w:t>8,532,545</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8,762,773</w:t>
            </w:r>
          </w:p>
        </w:tc>
        <w:tc>
          <w:tcPr>
            <w:tcW w:w="9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2.7%</w:t>
            </w:r>
          </w:p>
        </w:tc>
        <w:tc>
          <w:tcPr>
            <w:tcW w:w="1700" w:type="dxa"/>
            <w:vAlign w:val="bottom"/>
            <w:tcBorders>
              <w:bottom w:val="single" w:sz="8" w:color="auto"/>
              <w:right w:val="single" w:sz="8" w:color="auto"/>
            </w:tcBorders>
          </w:tcPr>
          <w:p>
            <w:pPr>
              <w:jc w:val="center"/>
              <w:ind w:left="268"/>
              <w:spacing w:after="0" w:line="155" w:lineRule="exact"/>
              <w:rPr>
                <w:sz w:val="20"/>
                <w:szCs w:val="20"/>
                <w:color w:val="auto"/>
              </w:rPr>
            </w:pPr>
            <w:r>
              <w:rPr>
                <w:rFonts w:ascii="Arial" w:cs="Arial" w:eastAsia="Arial" w:hAnsi="Arial"/>
                <w:sz w:val="14"/>
                <w:szCs w:val="14"/>
                <w:color w:val="auto"/>
              </w:rPr>
              <w:t>10.8%</w:t>
            </w:r>
          </w:p>
        </w:tc>
      </w:tr>
      <w:tr>
        <w:trPr>
          <w:trHeight w:val="155"/>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Allowance for loan losses over Total loans</w:t>
            </w:r>
          </w:p>
        </w:tc>
        <w:tc>
          <w:tcPr>
            <w:tcW w:w="120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rPr>
              <w:t>5.5%</w:t>
            </w:r>
          </w:p>
        </w:tc>
        <w:tc>
          <w:tcPr>
            <w:tcW w:w="1480" w:type="dxa"/>
            <w:vAlign w:val="bottom"/>
            <w:tcBorders>
              <w:bottom w:val="single" w:sz="8" w:color="auto"/>
            </w:tcBorders>
          </w:tcPr>
          <w:p>
            <w:pPr>
              <w:jc w:val="center"/>
              <w:ind w:left="70"/>
              <w:spacing w:after="0" w:line="155" w:lineRule="exact"/>
              <w:rPr>
                <w:sz w:val="20"/>
                <w:szCs w:val="20"/>
                <w:color w:val="auto"/>
              </w:rPr>
            </w:pPr>
            <w:r>
              <w:rPr>
                <w:rFonts w:ascii="Arial" w:cs="Arial" w:eastAsia="Arial" w:hAnsi="Arial"/>
                <w:sz w:val="14"/>
                <w:szCs w:val="14"/>
                <w:b w:val="1"/>
                <w:bCs w:val="1"/>
                <w:color w:val="auto"/>
              </w:rPr>
              <w:t>5.7%</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5.8%</w:t>
            </w:r>
          </w:p>
        </w:tc>
        <w:tc>
          <w:tcPr>
            <w:tcW w:w="9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b w:val="1"/>
                <w:bCs w:val="1"/>
                <w:color w:val="auto"/>
              </w:rPr>
              <w:t>11 bps</w:t>
            </w:r>
          </w:p>
        </w:tc>
        <w:tc>
          <w:tcPr>
            <w:tcW w:w="1700" w:type="dxa"/>
            <w:vAlign w:val="bottom"/>
            <w:tcBorders>
              <w:bottom w:val="single" w:sz="8" w:color="auto"/>
              <w:right w:val="single" w:sz="8" w:color="auto"/>
            </w:tcBorders>
          </w:tcPr>
          <w:p>
            <w:pPr>
              <w:jc w:val="center"/>
              <w:ind w:left="268"/>
              <w:spacing w:after="0" w:line="155" w:lineRule="exact"/>
              <w:rPr>
                <w:sz w:val="20"/>
                <w:szCs w:val="20"/>
                <w:color w:val="auto"/>
              </w:rPr>
            </w:pPr>
            <w:r>
              <w:rPr>
                <w:rFonts w:ascii="Arial" w:cs="Arial" w:eastAsia="Arial" w:hAnsi="Arial"/>
                <w:sz w:val="14"/>
                <w:szCs w:val="14"/>
                <w:b w:val="1"/>
                <w:bCs w:val="1"/>
                <w:color w:val="auto"/>
                <w:w w:val="99"/>
              </w:rPr>
              <w:t>37 bps</w:t>
            </w:r>
          </w:p>
        </w:tc>
      </w:tr>
      <w:tr>
        <w:trPr>
          <w:trHeight w:val="155"/>
        </w:trPr>
        <w:tc>
          <w:tcPr>
            <w:tcW w:w="45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Coverage ratio of NPLs</w:t>
            </w:r>
          </w:p>
        </w:tc>
        <w:tc>
          <w:tcPr>
            <w:tcW w:w="1200" w:type="dxa"/>
            <w:vAlign w:val="bottom"/>
            <w:tcBorders>
              <w:bottom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rPr>
              <w:t>100.1%</w:t>
            </w:r>
          </w:p>
        </w:tc>
        <w:tc>
          <w:tcPr>
            <w:tcW w:w="1480" w:type="dxa"/>
            <w:vAlign w:val="bottom"/>
            <w:tcBorders>
              <w:bottom w:val="single" w:sz="8" w:color="auto"/>
            </w:tcBorders>
          </w:tcPr>
          <w:p>
            <w:pPr>
              <w:jc w:val="center"/>
              <w:ind w:left="70"/>
              <w:spacing w:after="0" w:line="155" w:lineRule="exact"/>
              <w:rPr>
                <w:sz w:val="20"/>
                <w:szCs w:val="20"/>
                <w:color w:val="auto"/>
              </w:rPr>
            </w:pPr>
            <w:r>
              <w:rPr>
                <w:rFonts w:ascii="Arial" w:cs="Arial" w:eastAsia="Arial" w:hAnsi="Arial"/>
                <w:sz w:val="14"/>
                <w:szCs w:val="14"/>
                <w:b w:val="1"/>
                <w:bCs w:val="1"/>
                <w:color w:val="auto"/>
              </w:rPr>
              <w:t>97.0%</w:t>
            </w:r>
          </w:p>
        </w:tc>
        <w:tc>
          <w:tcPr>
            <w:tcW w:w="1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93.5%</w:t>
            </w:r>
          </w:p>
        </w:tc>
        <w:tc>
          <w:tcPr>
            <w:tcW w:w="960" w:type="dxa"/>
            <w:vAlign w:val="bottom"/>
            <w:tcBorders>
              <w:bottom w:val="single" w:sz="8" w:color="auto"/>
            </w:tcBorders>
          </w:tcPr>
          <w:p>
            <w:pPr>
              <w:jc w:val="center"/>
              <w:ind w:left="268"/>
              <w:spacing w:after="0" w:line="155" w:lineRule="exact"/>
              <w:rPr>
                <w:sz w:val="20"/>
                <w:szCs w:val="20"/>
                <w:color w:val="auto"/>
              </w:rPr>
            </w:pPr>
            <w:r>
              <w:rPr>
                <w:rFonts w:ascii="Arial" w:cs="Arial" w:eastAsia="Arial" w:hAnsi="Arial"/>
                <w:sz w:val="14"/>
                <w:szCs w:val="14"/>
                <w:b w:val="1"/>
                <w:bCs w:val="1"/>
                <w:color w:val="auto"/>
              </w:rPr>
              <w:t>-355 bps</w:t>
            </w:r>
          </w:p>
        </w:tc>
        <w:tc>
          <w:tcPr>
            <w:tcW w:w="1700" w:type="dxa"/>
            <w:vAlign w:val="bottom"/>
            <w:tcBorders>
              <w:bottom w:val="single" w:sz="8" w:color="auto"/>
              <w:right w:val="single" w:sz="8" w:color="auto"/>
            </w:tcBorders>
          </w:tcPr>
          <w:p>
            <w:pPr>
              <w:jc w:val="center"/>
              <w:ind w:left="268"/>
              <w:spacing w:after="0" w:line="155" w:lineRule="exact"/>
              <w:rPr>
                <w:sz w:val="20"/>
                <w:szCs w:val="20"/>
                <w:color w:val="auto"/>
              </w:rPr>
            </w:pPr>
            <w:r>
              <w:rPr>
                <w:rFonts w:ascii="Arial" w:cs="Arial" w:eastAsia="Arial" w:hAnsi="Arial"/>
                <w:sz w:val="14"/>
                <w:szCs w:val="14"/>
                <w:b w:val="1"/>
                <w:bCs w:val="1"/>
                <w:color w:val="auto"/>
              </w:rPr>
              <w:t>-659 bps</w:t>
            </w:r>
          </w:p>
        </w:tc>
      </w:tr>
    </w:tbl>
    <w:p>
      <w:pPr>
        <w:spacing w:after="0" w:line="184" w:lineRule="exact"/>
        <w:rPr>
          <w:sz w:val="20"/>
          <w:szCs w:val="20"/>
          <w:color w:val="auto"/>
        </w:rPr>
      </w:pPr>
    </w:p>
    <w:p>
      <w:pPr>
        <w:jc w:val="center"/>
        <w:ind w:right="5840"/>
        <w:spacing w:after="0"/>
        <w:rPr>
          <w:sz w:val="20"/>
          <w:szCs w:val="20"/>
          <w:color w:val="auto"/>
        </w:rPr>
      </w:pPr>
      <w:r>
        <w:rPr>
          <w:rFonts w:ascii="Arial" w:cs="Arial" w:eastAsia="Arial" w:hAnsi="Arial"/>
          <w:sz w:val="18"/>
          <w:szCs w:val="18"/>
          <w:b w:val="1"/>
          <w:bCs w:val="1"/>
          <w:color w:val="auto"/>
        </w:rPr>
        <w:t>Allowance for loan losses</w:t>
      </w:r>
    </w:p>
    <w:p>
      <w:pPr>
        <w:spacing w:after="0" w:line="14"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(in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126365</wp:posOffset>
            </wp:positionV>
            <wp:extent cx="2674620" cy="1577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74620" cy="15773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840" w:right="80"/>
        <w:spacing w:after="0" w:line="253"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the balance of accumulated provisions dropped 1.1%, driven</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by the reversal of provisions for the “El Niño” effect in 1Q24.</w:t>
      </w:r>
    </w:p>
    <w:p>
      <w:pPr>
        <w:spacing w:after="0" w:line="155" w:lineRule="exact"/>
        <w:rPr>
          <w:sz w:val="20"/>
          <w:szCs w:val="20"/>
          <w:color w:val="auto"/>
        </w:rPr>
      </w:pPr>
    </w:p>
    <w:p>
      <w:pPr>
        <w:jc w:val="both"/>
        <w:ind w:left="5840" w:right="460"/>
        <w:spacing w:after="0" w:line="311" w:lineRule="auto"/>
        <w:rPr>
          <w:sz w:val="20"/>
          <w:szCs w:val="20"/>
          <w:color w:val="auto"/>
        </w:rPr>
      </w:pPr>
      <w:r>
        <w:rPr>
          <w:rFonts w:ascii="Arial" w:cs="Arial" w:eastAsia="Arial" w:hAnsi="Arial"/>
          <w:sz w:val="17"/>
          <w:szCs w:val="17"/>
          <w:b w:val="1"/>
          <w:bCs w:val="1"/>
          <w:color w:val="auto"/>
        </w:rPr>
        <w:t xml:space="preserve">YoY, </w:t>
      </w:r>
      <w:r>
        <w:rPr>
          <w:rFonts w:ascii="Arial" w:cs="Arial" w:eastAsia="Arial" w:hAnsi="Arial"/>
          <w:sz w:val="17"/>
          <w:szCs w:val="17"/>
          <w:color w:val="auto"/>
        </w:rPr>
        <w:t>the balance of accumulated provisions rose 3.5%, driven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primarily by Individuals and SME-Pyme at </w:t>
      </w:r>
      <w:r>
        <w:rPr>
          <w:rFonts w:ascii="Arial" w:cs="Arial" w:eastAsia="Arial" w:hAnsi="Arial"/>
          <w:sz w:val="17"/>
          <w:szCs w:val="17"/>
          <w:b w:val="1"/>
          <w:bCs w:val="1"/>
          <w:color w:val="auto"/>
        </w:rPr>
        <w:t>BCP Stand-Alone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 Mibanco Colombia, ASB and eliminations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type w:val="continuous"/>
        </w:sectPr>
      </w:pPr>
    </w:p>
    <w:bookmarkStart w:id="31" w:name="page32"/>
    <w:bookmarkEnd w:id="31"/>
    <w:p>
      <w:pPr>
        <w:jc w:val="right"/>
        <w:spacing w:after="0"/>
        <w:tabs>
          <w:tab w:leader="none" w:pos="2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 Release 1Q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05. Provisions</w:t>
      </w:r>
    </w:p>
    <w:p>
      <w:pPr>
        <w:spacing w:after="0" w:line="328"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Coverage Ratio of NPL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137795</wp:posOffset>
            </wp:positionV>
            <wp:extent cx="2442845" cy="2185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42845" cy="2185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E93BAC"/>
        </w:rPr>
        <w:t>Analysis of 1Q24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NPL Coverage Ratio stood at 93.5% at quarter-end. The impact of Government Programs Portfolio on this ratio is -368 bps.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QoQ</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fell 355 bps, fueled mainly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Next, we will analyze this evolution in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Stand-Alone </w:t>
      </w:r>
      <w:r>
        <w:rPr>
          <w:rFonts w:ascii="Arial" w:cs="Arial" w:eastAsia="Arial" w:hAnsi="Arial"/>
          <w:sz w:val="18"/>
          <w:szCs w:val="18"/>
          <w:color w:val="auto"/>
        </w:rPr>
        <w:t>by isolating the effect of the NPL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Programs, which are guaranteed and honoring processes are successfully underway.</w:t>
      </w:r>
    </w:p>
    <w:p>
      <w:pPr>
        <w:spacing w:after="0" w:line="200" w:lineRule="exact"/>
        <w:rPr>
          <w:sz w:val="20"/>
          <w:szCs w:val="20"/>
          <w:color w:val="auto"/>
        </w:rPr>
      </w:pPr>
    </w:p>
    <w:p>
      <w:pPr>
        <w:sectPr>
          <w:pgSz w:w="11900" w:h="16838" w:orient="portrait"/>
          <w:cols w:equalWidth="0" w:num="2">
            <w:col w:w="5420" w:space="420"/>
            <w:col w:w="5400"/>
          </w:cols>
          <w:pgMar w:left="320" w:top="5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spacing w:after="0"/>
        <w:rPr>
          <w:sz w:val="20"/>
          <w:szCs w:val="20"/>
          <w:color w:val="auto"/>
        </w:rPr>
      </w:pPr>
      <w:r>
        <w:rPr>
          <w:rFonts w:ascii="Arial" w:cs="Arial" w:eastAsia="Arial" w:hAnsi="Arial"/>
          <w:sz w:val="11"/>
          <w:szCs w:val="11"/>
          <w:color w:val="auto"/>
        </w:rPr>
        <w:t>(1) It excludes GP Loans.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NPL Coverage Ratio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excluding Government Programs, fell 488 bps and stood at 95.0%. This evolution is driven</w:t>
      </w:r>
      <w:r>
        <w:rPr>
          <w:rFonts w:ascii="Arial" w:cs="Arial" w:eastAsia="Arial" w:hAnsi="Arial"/>
          <w:sz w:val="18"/>
          <w:szCs w:val="18"/>
          <w:b w:val="1"/>
          <w:bCs w:val="1"/>
          <w:color w:val="auto"/>
        </w:rPr>
        <w:t xml:space="preserve"> </w:t>
      </w:r>
      <w:r>
        <w:rPr>
          <w:rFonts w:ascii="Arial" w:cs="Arial" w:eastAsia="Arial" w:hAnsi="Arial"/>
          <w:sz w:val="18"/>
          <w:szCs w:val="18"/>
          <w:color w:val="auto"/>
        </w:rPr>
        <w:t>mainly by:</w:t>
      </w:r>
    </w:p>
    <w:p>
      <w:pPr>
        <w:spacing w:after="0" w:line="14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Business Clients:</w:t>
      </w:r>
    </w:p>
    <w:p>
      <w:pPr>
        <w:spacing w:after="0" w:line="13" w:lineRule="exact"/>
        <w:rPr>
          <w:rFonts w:ascii="Arial" w:cs="Arial" w:eastAsia="Arial" w:hAnsi="Arial"/>
          <w:sz w:val="18"/>
          <w:szCs w:val="18"/>
          <w:color w:val="auto"/>
        </w:rPr>
      </w:pPr>
    </w:p>
    <w:p>
      <w:pPr>
        <w:ind w:left="1300" w:right="620" w:hanging="320"/>
        <w:spacing w:after="0" w:line="187"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Wholesale: </w:t>
      </w:r>
      <w:r>
        <w:rPr>
          <w:rFonts w:ascii="Arial" w:cs="Arial" w:eastAsia="Arial" w:hAnsi="Arial"/>
          <w:sz w:val="17"/>
          <w:szCs w:val="17"/>
          <w:color w:val="auto"/>
        </w:rPr>
        <w:t>due to refinancing of a specific client, who was already in stage 3 and therefore did not require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 this quarter. The </w:t>
      </w:r>
      <w:r>
        <w:rPr>
          <w:rFonts w:ascii="Arial" w:cs="Arial" w:eastAsia="Arial" w:hAnsi="Arial"/>
          <w:sz w:val="17"/>
          <w:szCs w:val="17"/>
          <w:b w:val="1"/>
          <w:bCs w:val="1"/>
          <w:color w:val="auto"/>
        </w:rPr>
        <w:t>Wholesale</w:t>
      </w:r>
      <w:r>
        <w:rPr>
          <w:rFonts w:ascii="Arial" w:cs="Arial" w:eastAsia="Arial" w:hAnsi="Arial"/>
          <w:sz w:val="17"/>
          <w:szCs w:val="17"/>
          <w:color w:val="auto"/>
        </w:rPr>
        <w:t xml:space="preserve"> Portfolio stage 3 is 85% collateralized</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Individuals: </w:t>
      </w:r>
      <w:r>
        <w:rPr>
          <w:rFonts w:ascii="Arial" w:cs="Arial" w:eastAsia="Arial" w:hAnsi="Arial"/>
          <w:sz w:val="18"/>
          <w:szCs w:val="18"/>
          <w:color w:val="auto"/>
        </w:rPr>
        <w:t>contracted slightly, primarily driven by an increase in refinancing in Consumer and growth in the overdue portfolio in</w:t>
      </w:r>
      <w:r>
        <w:rPr>
          <w:rFonts w:ascii="Arial" w:cs="Arial" w:eastAsia="Arial" w:hAnsi="Arial"/>
          <w:sz w:val="18"/>
          <w:szCs w:val="18"/>
          <w:b w:val="1"/>
          <w:bCs w:val="1"/>
          <w:color w:val="auto"/>
        </w:rPr>
        <w:t xml:space="preserve"> Credit Cards</w:t>
      </w:r>
      <w:r>
        <w:rPr>
          <w:rFonts w:ascii="Arial" w:cs="Arial" w:eastAsia="Arial" w:hAnsi="Arial"/>
          <w:sz w:val="18"/>
          <w:szCs w:val="18"/>
          <w:color w:val="auto"/>
        </w:rPr>
        <w:t>. The coverage levels for both products are approximately 162%.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w:t>
      </w:r>
    </w:p>
    <w:p>
      <w:pPr>
        <w:spacing w:after="0" w:line="1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fell 659 bps, fueled mainly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Next, we will analyze this evolution at </w:t>
      </w:r>
      <w:r>
        <w:rPr>
          <w:rFonts w:ascii="Arial" w:cs="Arial" w:eastAsia="Arial" w:hAnsi="Arial"/>
          <w:sz w:val="18"/>
          <w:szCs w:val="18"/>
          <w:b w:val="1"/>
          <w:bCs w:val="1"/>
          <w:color w:val="auto"/>
        </w:rPr>
        <w:t xml:space="preserve">BCP Stand-alone </w:t>
      </w:r>
      <w:r>
        <w:rPr>
          <w:rFonts w:ascii="Arial" w:cs="Arial" w:eastAsia="Arial" w:hAnsi="Arial"/>
          <w:sz w:val="18"/>
          <w:szCs w:val="18"/>
          <w:color w:val="auto"/>
        </w:rPr>
        <w:t>and</w:t>
      </w:r>
      <w:r>
        <w:rPr>
          <w:rFonts w:ascii="Arial" w:cs="Arial" w:eastAsia="Arial" w:hAnsi="Arial"/>
          <w:sz w:val="18"/>
          <w:szCs w:val="18"/>
          <w:b w:val="1"/>
          <w:bCs w:val="1"/>
          <w:color w:val="auto"/>
        </w:rPr>
        <w:t xml:space="preserve"> Mibanco </w:t>
      </w:r>
      <w:r>
        <w:rPr>
          <w:rFonts w:ascii="Arial" w:cs="Arial" w:eastAsia="Arial" w:hAnsi="Arial"/>
          <w:sz w:val="18"/>
          <w:szCs w:val="18"/>
          <w:color w:val="auto"/>
        </w:rPr>
        <w:t>by isolating the effect of the NPL portfolio of Government Programs.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NPL Coverage Ratio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excluding Government Programs, contracted 10 pps, due to the following dynamics:</w:t>
      </w:r>
    </w:p>
    <w:p>
      <w:pPr>
        <w:spacing w:after="0" w:line="19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Business Clients:</w:t>
      </w:r>
    </w:p>
    <w:p>
      <w:pPr>
        <w:spacing w:after="0" w:line="13" w:lineRule="exact"/>
        <w:rPr>
          <w:rFonts w:ascii="Arial" w:cs="Arial" w:eastAsia="Arial" w:hAnsi="Arial"/>
          <w:sz w:val="18"/>
          <w:szCs w:val="18"/>
          <w:color w:val="auto"/>
        </w:rPr>
      </w:pPr>
    </w:p>
    <w:p>
      <w:pPr>
        <w:ind w:left="1300" w:right="560" w:hanging="320"/>
        <w:spacing w:after="0" w:line="23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due to the dynamics described for the</w:t>
      </w:r>
      <w:r>
        <w:rPr>
          <w:rFonts w:ascii="Arial" w:cs="Arial" w:eastAsia="Arial" w:hAnsi="Arial"/>
          <w:sz w:val="18"/>
          <w:szCs w:val="18"/>
          <w:b w:val="1"/>
          <w:bCs w:val="1"/>
          <w:color w:val="auto"/>
        </w:rPr>
        <w:t xml:space="preserve"> QoQ </w:t>
      </w:r>
      <w:r>
        <w:rPr>
          <w:rFonts w:ascii="Arial" w:cs="Arial" w:eastAsia="Arial" w:hAnsi="Arial"/>
          <w:sz w:val="18"/>
          <w:szCs w:val="18"/>
          <w:color w:val="auto"/>
        </w:rPr>
        <w:t>evolution, coupled with a contraction in the allowance for loan</w:t>
      </w:r>
      <w:r>
        <w:rPr>
          <w:rFonts w:ascii="Arial" w:cs="Arial" w:eastAsia="Arial" w:hAnsi="Arial"/>
          <w:sz w:val="18"/>
          <w:szCs w:val="18"/>
          <w:b w:val="1"/>
          <w:bCs w:val="1"/>
          <w:color w:val="auto"/>
        </w:rPr>
        <w:t xml:space="preserve"> </w:t>
      </w:r>
      <w:r>
        <w:rPr>
          <w:rFonts w:ascii="Arial" w:cs="Arial" w:eastAsia="Arial" w:hAnsi="Arial"/>
          <w:sz w:val="18"/>
          <w:szCs w:val="18"/>
          <w:color w:val="auto"/>
        </w:rPr>
        <w:t>losses given that exposure to loan default fell over the past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Individuals: </w:t>
      </w:r>
      <w:r>
        <w:rPr>
          <w:rFonts w:ascii="Arial" w:cs="Arial" w:eastAsia="Arial" w:hAnsi="Arial"/>
          <w:sz w:val="18"/>
          <w:szCs w:val="18"/>
          <w:color w:val="auto"/>
        </w:rPr>
        <w:t>primarily driven by an increase in NPLs in</w:t>
      </w:r>
      <w:r>
        <w:rPr>
          <w:rFonts w:ascii="Arial" w:cs="Arial" w:eastAsia="Arial" w:hAnsi="Arial"/>
          <w:sz w:val="18"/>
          <w:szCs w:val="18"/>
          <w:b w:val="1"/>
          <w:bCs w:val="1"/>
          <w:color w:val="auto"/>
        </w:rPr>
        <w:t xml:space="preserve"> Consumer</w:t>
      </w:r>
      <w:r>
        <w:rPr>
          <w:rFonts w:ascii="Arial" w:cs="Arial" w:eastAsia="Arial" w:hAnsi="Arial"/>
          <w:sz w:val="18"/>
          <w:szCs w:val="18"/>
          <w:color w:val="auto"/>
        </w:rPr>
        <w:t>,</w:t>
      </w:r>
      <w:r>
        <w:rPr>
          <w:rFonts w:ascii="Arial" w:cs="Arial" w:eastAsia="Arial" w:hAnsi="Arial"/>
          <w:sz w:val="18"/>
          <w:szCs w:val="18"/>
          <w:b w:val="1"/>
          <w:bCs w:val="1"/>
          <w:color w:val="auto"/>
        </w:rPr>
        <w:t xml:space="preserve"> Credit Cards </w:t>
      </w:r>
      <w:r>
        <w:rPr>
          <w:rFonts w:ascii="Arial" w:cs="Arial" w:eastAsia="Arial" w:hAnsi="Arial"/>
          <w:sz w:val="18"/>
          <w:szCs w:val="18"/>
          <w:color w:val="auto"/>
        </w:rPr>
        <w:t>and</w:t>
      </w:r>
      <w:r>
        <w:rPr>
          <w:rFonts w:ascii="Arial" w:cs="Arial" w:eastAsia="Arial" w:hAnsi="Arial"/>
          <w:sz w:val="18"/>
          <w:szCs w:val="18"/>
          <w:b w:val="1"/>
          <w:bCs w:val="1"/>
          <w:color w:val="auto"/>
        </w:rPr>
        <w:t xml:space="preserve"> Mortgage</w:t>
      </w:r>
      <w:r>
        <w:rPr>
          <w:rFonts w:ascii="Arial" w:cs="Arial" w:eastAsia="Arial" w:hAnsi="Arial"/>
          <w:sz w:val="18"/>
          <w:szCs w:val="18"/>
          <w:color w:val="auto"/>
        </w:rPr>
        <w:t>.</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the NPL Coverage Ratio at</w:t>
      </w:r>
      <w:r>
        <w:rPr>
          <w:rFonts w:ascii="Arial" w:cs="Arial" w:eastAsia="Arial" w:hAnsi="Arial"/>
          <w:sz w:val="18"/>
          <w:szCs w:val="18"/>
          <w:b w:val="1"/>
          <w:bCs w:val="1"/>
          <w:color w:val="auto"/>
        </w:rPr>
        <w:t xml:space="preserve"> Mibanco, </w:t>
      </w:r>
      <w:r>
        <w:rPr>
          <w:rFonts w:ascii="Arial" w:cs="Arial" w:eastAsia="Arial" w:hAnsi="Arial"/>
          <w:sz w:val="18"/>
          <w:szCs w:val="18"/>
          <w:color w:val="auto"/>
        </w:rPr>
        <w:t>excluding Government Programs, contracted 45 pps and stood at 99.6%. The contraction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NPL Coverage Ratio is driven by (i) the calibration of risk models to clarify the client's payment behavior, an adjustment made in 2Q23; (ii) growth of the loan portfolio in lower risk segments, where the level of expected losses was significantly lower than the figure seen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4230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0" w:hanging="72"/>
        <w:spacing w:after="0"/>
        <w:tabs>
          <w:tab w:leader="none" w:pos="80" w:val="left"/>
        </w:tabs>
        <w:numPr>
          <w:ilvl w:val="0"/>
          <w:numId w:val="30"/>
        </w:numPr>
        <w:rPr>
          <w:rFonts w:ascii="Arial" w:cs="Arial" w:eastAsia="Arial" w:hAnsi="Arial"/>
          <w:sz w:val="18"/>
          <w:szCs w:val="18"/>
          <w:color w:val="auto"/>
          <w:vertAlign w:val="superscript"/>
        </w:rPr>
      </w:pPr>
      <w:r>
        <w:rPr>
          <w:rFonts w:ascii="Arial" w:cs="Arial" w:eastAsia="Arial" w:hAnsi="Arial"/>
          <w:sz w:val="11"/>
          <w:szCs w:val="11"/>
          <w:color w:val="auto"/>
        </w:rPr>
        <w:t>To calculate the collateralized percentage of the portfolio, value of collateral considers the present value of the minimum between the realizable value, the lien value and the commercial value; adjusted for recoveries.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43"/>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type w:val="continuous"/>
        </w:sectPr>
      </w:pPr>
    </w:p>
    <w:bookmarkStart w:id="32" w:name="page33"/>
    <w:bookmarkEnd w:id="32"/>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52"/>
          <w:szCs w:val="52"/>
          <w:b w:val="1"/>
          <w:bCs w:val="1"/>
          <w:color w:val="E93BAB"/>
        </w:rPr>
        <w:t xml:space="preserve">06. </w:t>
      </w:r>
      <w:r>
        <w:rPr>
          <w:rFonts w:ascii="Arial" w:cs="Arial" w:eastAsia="Arial" w:hAnsi="Arial"/>
          <w:sz w:val="32"/>
          <w:szCs w:val="32"/>
          <w:color w:val="E93BAB"/>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633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pacing w:after="0" w:line="335" w:lineRule="exact"/>
        <w:rPr>
          <w:sz w:val="20"/>
          <w:szCs w:val="20"/>
          <w:color w:val="auto"/>
        </w:rPr>
      </w:pPr>
    </w:p>
    <w:p>
      <w:pPr>
        <w:jc w:val="both"/>
        <w:ind w:left="140" w:right="120"/>
        <w:spacing w:after="0" w:line="244" w:lineRule="auto"/>
        <w:rPr>
          <w:sz w:val="20"/>
          <w:szCs w:val="20"/>
          <w:color w:val="auto"/>
        </w:rPr>
      </w:pPr>
      <w:r>
        <w:rPr>
          <w:rFonts w:ascii="Arial" w:cs="Arial" w:eastAsia="Arial" w:hAnsi="Arial"/>
          <w:sz w:val="18"/>
          <w:szCs w:val="18"/>
          <w:color w:val="FFFFFF"/>
        </w:rPr>
        <w:t>Other Core Income, whose evolution has been positively affected by our operation in BCP Bolivia. If we exclude the effects of these operations, Other core income rose 1.3% QoQ. This growth was concentrated in (i) BCP, in Credit Cards which registered growth through the e-commerce channel and by an increase in transactions through Yape; and (ii) Prima, due to growth in the volume of payroll contributions. YoY, the growth of 8.5% was driven by an increase in net fee income, which was led by BCP, primarily via Yape, and by Credicorp Capital, which saw an uptick in fee income through Wealth Management and Brokerage businesses.</w:t>
      </w:r>
    </w:p>
    <w:p>
      <w:pPr>
        <w:spacing w:after="0" w:line="163" w:lineRule="exact"/>
        <w:rPr>
          <w:sz w:val="20"/>
          <w:szCs w:val="20"/>
          <w:color w:val="auto"/>
        </w:rPr>
      </w:pPr>
    </w:p>
    <w:p>
      <w:pPr>
        <w:jc w:val="both"/>
        <w:ind w:left="140" w:right="120"/>
        <w:spacing w:after="0" w:line="253" w:lineRule="auto"/>
        <w:rPr>
          <w:sz w:val="20"/>
          <w:szCs w:val="20"/>
          <w:color w:val="auto"/>
        </w:rPr>
      </w:pPr>
      <w:r>
        <w:rPr>
          <w:rFonts w:ascii="Arial" w:cs="Arial" w:eastAsia="Arial" w:hAnsi="Arial"/>
          <w:sz w:val="18"/>
          <w:szCs w:val="18"/>
          <w:color w:val="FFFFFF"/>
        </w:rPr>
        <w:t>QoQ, Other Non-core Income fell. This reflects a drop in the Gain on securities, which was due to a devaluation of the trading portfolio at BCP and a downgrade in Pacífco's local fixed income portfolio. YoY, growth in Other Non-Core Income was in line with higher derivative income at Credicorp Capital via its trading strategies and at ASB via currency hedging derivate strategy.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Other Core Income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520" w:type="dxa"/>
            <w:vAlign w:val="bottom"/>
            <w:tcBorders>
              <w:top w:val="single" w:sz="8" w:color="auto"/>
              <w:left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Other Core Income</w:t>
            </w:r>
          </w:p>
        </w:tc>
        <w:tc>
          <w:tcPr>
            <w:tcW w:w="1340" w:type="dxa"/>
            <w:vAlign w:val="bottom"/>
            <w:tcBorders>
              <w:top w:val="single" w:sz="8" w:color="auto"/>
            </w:tcBorders>
            <w:shd w:val="clear" w:color="auto" w:fill="2AD2C8"/>
          </w:tcPr>
          <w:p>
            <w:pPr>
              <w:spacing w:after="0"/>
              <w:rPr>
                <w:sz w:val="17"/>
                <w:szCs w:val="17"/>
                <w:color w:val="auto"/>
              </w:rPr>
            </w:pPr>
          </w:p>
        </w:tc>
        <w:tc>
          <w:tcPr>
            <w:tcW w:w="1340" w:type="dxa"/>
            <w:vAlign w:val="bottom"/>
            <w:tcBorders>
              <w:top w:val="single" w:sz="8" w:color="auto"/>
            </w:tcBorders>
            <w:shd w:val="clear" w:color="auto" w:fill="2AD2C8"/>
          </w:tcPr>
          <w:p>
            <w:pPr>
              <w:ind w:left="380"/>
              <w:spacing w:after="0"/>
              <w:rPr>
                <w:sz w:val="20"/>
                <w:szCs w:val="20"/>
                <w:color w:val="auto"/>
              </w:rPr>
            </w:pPr>
            <w:r>
              <w:rPr>
                <w:rFonts w:ascii="Arial" w:cs="Arial" w:eastAsia="Arial" w:hAnsi="Arial"/>
                <w:sz w:val="16"/>
                <w:szCs w:val="16"/>
                <w:b w:val="1"/>
                <w:bCs w:val="1"/>
                <w:color w:val="FFFFFF"/>
              </w:rPr>
              <w:t>Quarter</w:t>
            </w:r>
          </w:p>
        </w:tc>
        <w:tc>
          <w:tcPr>
            <w:tcW w:w="1380" w:type="dxa"/>
            <w:vAlign w:val="bottom"/>
            <w:tcBorders>
              <w:top w:val="single" w:sz="8" w:color="auto"/>
              <w:right w:val="single" w:sz="8" w:color="auto"/>
            </w:tcBorders>
            <w:shd w:val="clear" w:color="auto" w:fill="2AD2C8"/>
          </w:tcPr>
          <w:p>
            <w:pPr>
              <w:spacing w:after="0"/>
              <w:rPr>
                <w:sz w:val="17"/>
                <w:szCs w:val="17"/>
                <w:color w:val="auto"/>
              </w:rPr>
            </w:pPr>
          </w:p>
        </w:tc>
        <w:tc>
          <w:tcPr>
            <w:tcW w:w="2660" w:type="dxa"/>
            <w:vAlign w:val="bottom"/>
            <w:tcBorders>
              <w:top w:val="single" w:sz="8" w:color="auto"/>
              <w:right w:val="single" w:sz="8" w:color="auto"/>
            </w:tcBorders>
            <w:gridSpan w:val="2"/>
            <w:shd w:val="clear" w:color="auto" w:fill="2AD2C8"/>
          </w:tcPr>
          <w:p>
            <w:pPr>
              <w:ind w:left="920"/>
              <w:spacing w:after="0"/>
              <w:rPr>
                <w:sz w:val="20"/>
                <w:szCs w:val="20"/>
                <w:color w:val="auto"/>
              </w:rPr>
            </w:pPr>
            <w:r>
              <w:rPr>
                <w:rFonts w:ascii="Arial" w:cs="Arial" w:eastAsia="Arial" w:hAnsi="Arial"/>
                <w:sz w:val="16"/>
                <w:szCs w:val="16"/>
                <w:b w:val="1"/>
                <w:bCs w:val="1"/>
                <w:color w:val="FFFFFF"/>
              </w:rPr>
              <w:t>% Change</w:t>
            </w:r>
          </w:p>
        </w:tc>
      </w:tr>
      <w:tr>
        <w:trPr>
          <w:trHeight w:val="189"/>
        </w:trPr>
        <w:tc>
          <w:tcPr>
            <w:tcW w:w="4520" w:type="dxa"/>
            <w:vAlign w:val="bottom"/>
            <w:tcBorders>
              <w:left w:val="single" w:sz="8" w:color="auto"/>
              <w:bottom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S/ (000)</w:t>
            </w:r>
          </w:p>
        </w:tc>
        <w:tc>
          <w:tcPr>
            <w:tcW w:w="13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1Q23</w:t>
            </w:r>
          </w:p>
        </w:tc>
        <w:tc>
          <w:tcPr>
            <w:tcW w:w="13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w w:val="96"/>
              </w:rPr>
              <w:t>4Q23</w:t>
            </w:r>
          </w:p>
        </w:tc>
        <w:tc>
          <w:tcPr>
            <w:tcW w:w="138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1Q24</w:t>
            </w:r>
          </w:p>
        </w:tc>
        <w:tc>
          <w:tcPr>
            <w:tcW w:w="1320" w:type="dxa"/>
            <w:vAlign w:val="bottom"/>
            <w:tcBorders>
              <w:bottom w:val="single" w:sz="8" w:color="auto"/>
            </w:tcBorders>
            <w:shd w:val="clear" w:color="auto" w:fill="2AD2C8"/>
          </w:tcPr>
          <w:p>
            <w:pPr>
              <w:ind w:left="480"/>
              <w:spacing w:after="0"/>
              <w:rPr>
                <w:sz w:val="20"/>
                <w:szCs w:val="20"/>
                <w:color w:val="auto"/>
              </w:rPr>
            </w:pPr>
            <w:r>
              <w:rPr>
                <w:rFonts w:ascii="Arial" w:cs="Arial" w:eastAsia="Arial" w:hAnsi="Arial"/>
                <w:sz w:val="16"/>
                <w:szCs w:val="16"/>
                <w:b w:val="1"/>
                <w:bCs w:val="1"/>
                <w:color w:val="FFFFFF"/>
              </w:rPr>
              <w:t>QoQ</w:t>
            </w:r>
          </w:p>
        </w:tc>
        <w:tc>
          <w:tcPr>
            <w:tcW w:w="1340" w:type="dxa"/>
            <w:vAlign w:val="bottom"/>
            <w:tcBorders>
              <w:bottom w:val="single" w:sz="8" w:color="auto"/>
              <w:right w:val="single" w:sz="8" w:color="auto"/>
            </w:tcBorders>
            <w:shd w:val="clear" w:color="auto" w:fill="2AD2C8"/>
          </w:tcPr>
          <w:p>
            <w:pPr>
              <w:ind w:left="500"/>
              <w:spacing w:after="0"/>
              <w:rPr>
                <w:sz w:val="20"/>
                <w:szCs w:val="20"/>
                <w:color w:val="auto"/>
              </w:rPr>
            </w:pPr>
            <w:r>
              <w:rPr>
                <w:rFonts w:ascii="Arial" w:cs="Arial" w:eastAsia="Arial" w:hAnsi="Arial"/>
                <w:sz w:val="16"/>
                <w:szCs w:val="16"/>
                <w:b w:val="1"/>
                <w:bCs w:val="1"/>
                <w:color w:val="FFFFFF"/>
              </w:rPr>
              <w:t>YoY</w:t>
            </w:r>
          </w:p>
        </w:tc>
      </w:tr>
      <w:tr>
        <w:trPr>
          <w:trHeight w:val="177"/>
        </w:trPr>
        <w:tc>
          <w:tcPr>
            <w:tcW w:w="45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Fee Income</w:t>
            </w:r>
          </w:p>
        </w:tc>
        <w:tc>
          <w:tcPr>
            <w:tcW w:w="1340" w:type="dxa"/>
            <w:vAlign w:val="bottom"/>
          </w:tcPr>
          <w:p>
            <w:pPr>
              <w:jc w:val="center"/>
              <w:spacing w:after="0" w:line="177" w:lineRule="exact"/>
              <w:rPr>
                <w:sz w:val="20"/>
                <w:szCs w:val="20"/>
                <w:color w:val="auto"/>
              </w:rPr>
            </w:pPr>
            <w:r>
              <w:rPr>
                <w:rFonts w:ascii="Arial" w:cs="Arial" w:eastAsia="Arial" w:hAnsi="Arial"/>
                <w:sz w:val="18"/>
                <w:szCs w:val="18"/>
                <w:color w:val="auto"/>
              </w:rPr>
              <w:t>881,781</w:t>
            </w:r>
          </w:p>
        </w:tc>
        <w:tc>
          <w:tcPr>
            <w:tcW w:w="1340" w:type="dxa"/>
            <w:vAlign w:val="bottom"/>
          </w:tcPr>
          <w:p>
            <w:pPr>
              <w:jc w:val="center"/>
              <w:spacing w:after="0" w:line="177" w:lineRule="exact"/>
              <w:rPr>
                <w:sz w:val="20"/>
                <w:szCs w:val="20"/>
                <w:color w:val="auto"/>
              </w:rPr>
            </w:pPr>
            <w:r>
              <w:rPr>
                <w:rFonts w:ascii="Arial" w:cs="Arial" w:eastAsia="Arial" w:hAnsi="Arial"/>
                <w:sz w:val="18"/>
                <w:szCs w:val="18"/>
                <w:color w:val="auto"/>
              </w:rPr>
              <w:t>986,173</w:t>
            </w:r>
          </w:p>
        </w:tc>
        <w:tc>
          <w:tcPr>
            <w:tcW w:w="13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1,062,501</w:t>
            </w:r>
          </w:p>
        </w:tc>
        <w:tc>
          <w:tcPr>
            <w:tcW w:w="1320" w:type="dxa"/>
            <w:vAlign w:val="bottom"/>
          </w:tcPr>
          <w:p>
            <w:pPr>
              <w:jc w:val="center"/>
              <w:spacing w:after="0" w:line="177" w:lineRule="exact"/>
              <w:rPr>
                <w:sz w:val="20"/>
                <w:szCs w:val="20"/>
                <w:color w:val="auto"/>
              </w:rPr>
            </w:pPr>
            <w:r>
              <w:rPr>
                <w:rFonts w:ascii="Arial" w:cs="Arial" w:eastAsia="Arial" w:hAnsi="Arial"/>
                <w:sz w:val="18"/>
                <w:szCs w:val="18"/>
                <w:color w:val="auto"/>
              </w:rPr>
              <w:t>7.7%</w:t>
            </w:r>
          </w:p>
        </w:tc>
        <w:tc>
          <w:tcPr>
            <w:tcW w:w="13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20.5%</w:t>
            </w:r>
          </w:p>
        </w:tc>
      </w:tr>
      <w:tr>
        <w:trPr>
          <w:trHeight w:val="221"/>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Net Gain on Foreing exchange transactions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248,515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218,047</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166,269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-23.7%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-33.1%</w:t>
            </w:r>
          </w:p>
        </w:tc>
      </w:tr>
      <w:tr>
        <w:trPr>
          <w:trHeight w:val="196"/>
        </w:trPr>
        <w:tc>
          <w:tcPr>
            <w:tcW w:w="45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Total Other Income</w:t>
            </w: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1,130,296</w:t>
            </w: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1,204,220</w:t>
            </w:r>
          </w:p>
        </w:tc>
        <w:tc>
          <w:tcPr>
            <w:tcW w:w="1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1,228,770</w:t>
            </w:r>
          </w:p>
        </w:tc>
        <w:tc>
          <w:tcPr>
            <w:tcW w:w="13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2.0%</w:t>
            </w:r>
          </w:p>
        </w:tc>
        <w:tc>
          <w:tcPr>
            <w:tcW w:w="13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8.7%</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is important to note that, since 2023, Other Core Income has been affected by our operation in BCP Bolivia, which has adapted its fee structure for foreign transfers to offset the losses reported for FX sale-purchase transactions.</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If we exclude income from the aforementioned transactions, other recurring income rose 1.3% and 8.5%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w:t>
      </w:r>
      <w:r>
        <w:rPr>
          <w:rFonts w:ascii="Arial" w:cs="Arial" w:eastAsia="Arial" w:hAnsi="Arial"/>
          <w:sz w:val="18"/>
          <w:szCs w:val="18"/>
          <w:b w:val="1"/>
          <w:bCs w:val="1"/>
          <w:color w:val="auto"/>
        </w:rPr>
        <w:t>YoY</w:t>
      </w:r>
      <w:r>
        <w:rPr>
          <w:rFonts w:ascii="Arial" w:cs="Arial" w:eastAsia="Arial" w:hAnsi="Arial"/>
          <w:sz w:val="18"/>
          <w:szCs w:val="18"/>
          <w:color w:val="auto"/>
        </w:rPr>
        <w:t xml:space="preserve"> respectively. This growth was fueled primarily by growth in net fee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Fee Income by Subsidiary</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520" w:type="dxa"/>
            <w:vAlign w:val="bottom"/>
            <w:tcBorders>
              <w:top w:val="single" w:sz="8" w:color="auto"/>
              <w:left w:val="single" w:sz="8" w:color="auto"/>
              <w:right w:val="single" w:sz="8" w:color="auto"/>
            </w:tcBorders>
            <w:shd w:val="clear" w:color="auto" w:fill="2AD2C8"/>
          </w:tcPr>
          <w:p>
            <w:pPr>
              <w:ind w:left="60"/>
              <w:spacing w:after="0" w:line="183" w:lineRule="exact"/>
              <w:rPr>
                <w:sz w:val="20"/>
                <w:szCs w:val="20"/>
                <w:color w:val="auto"/>
              </w:rPr>
            </w:pPr>
            <w:r>
              <w:rPr>
                <w:rFonts w:ascii="Arial" w:cs="Arial" w:eastAsia="Arial" w:hAnsi="Arial"/>
                <w:sz w:val="16"/>
                <w:szCs w:val="16"/>
                <w:b w:val="1"/>
                <w:bCs w:val="1"/>
                <w:color w:val="FFFFFF"/>
              </w:rPr>
              <w:t>Net Fee Income by Subsidiary</w:t>
            </w:r>
          </w:p>
        </w:tc>
        <w:tc>
          <w:tcPr>
            <w:tcW w:w="240" w:type="dxa"/>
            <w:vAlign w:val="bottom"/>
            <w:tcBorders>
              <w:top w:val="single" w:sz="8" w:color="auto"/>
            </w:tcBorders>
            <w:shd w:val="clear" w:color="auto" w:fill="2AD2C8"/>
          </w:tcPr>
          <w:p>
            <w:pPr>
              <w:spacing w:after="0"/>
              <w:rPr>
                <w:sz w:val="15"/>
                <w:szCs w:val="15"/>
                <w:color w:val="auto"/>
              </w:rPr>
            </w:pPr>
          </w:p>
        </w:tc>
        <w:tc>
          <w:tcPr>
            <w:tcW w:w="1100" w:type="dxa"/>
            <w:vAlign w:val="bottom"/>
            <w:tcBorders>
              <w:top w:val="single" w:sz="8" w:color="auto"/>
            </w:tcBorders>
            <w:shd w:val="clear" w:color="auto" w:fill="2AD2C8"/>
          </w:tcPr>
          <w:p>
            <w:pPr>
              <w:spacing w:after="0"/>
              <w:rPr>
                <w:sz w:val="15"/>
                <w:szCs w:val="15"/>
                <w:color w:val="auto"/>
              </w:rPr>
            </w:pPr>
          </w:p>
        </w:tc>
        <w:tc>
          <w:tcPr>
            <w:tcW w:w="1320" w:type="dxa"/>
            <w:vAlign w:val="bottom"/>
            <w:tcBorders>
              <w:top w:val="single" w:sz="8" w:color="auto"/>
            </w:tcBorders>
            <w:shd w:val="clear" w:color="auto" w:fill="2AD2C8"/>
          </w:tcPr>
          <w:p>
            <w:pPr>
              <w:ind w:left="380"/>
              <w:spacing w:after="0" w:line="183" w:lineRule="exact"/>
              <w:rPr>
                <w:sz w:val="20"/>
                <w:szCs w:val="20"/>
                <w:color w:val="auto"/>
              </w:rPr>
            </w:pPr>
            <w:r>
              <w:rPr>
                <w:rFonts w:ascii="Arial" w:cs="Arial" w:eastAsia="Arial" w:hAnsi="Arial"/>
                <w:sz w:val="16"/>
                <w:szCs w:val="16"/>
                <w:b w:val="1"/>
                <w:bCs w:val="1"/>
                <w:color w:val="FFFFFF"/>
              </w:rPr>
              <w:t>Quarter</w:t>
            </w:r>
          </w:p>
        </w:tc>
        <w:tc>
          <w:tcPr>
            <w:tcW w:w="1400" w:type="dxa"/>
            <w:vAlign w:val="bottom"/>
            <w:tcBorders>
              <w:top w:val="single" w:sz="8" w:color="auto"/>
              <w:right w:val="single" w:sz="8" w:color="auto"/>
            </w:tcBorders>
            <w:shd w:val="clear" w:color="auto" w:fill="2AD2C8"/>
          </w:tcPr>
          <w:p>
            <w:pPr>
              <w:spacing w:after="0"/>
              <w:rPr>
                <w:sz w:val="15"/>
                <w:szCs w:val="15"/>
                <w:color w:val="auto"/>
              </w:rPr>
            </w:pPr>
          </w:p>
        </w:tc>
        <w:tc>
          <w:tcPr>
            <w:tcW w:w="920" w:type="dxa"/>
            <w:vAlign w:val="bottom"/>
            <w:tcBorders>
              <w:top w:val="single" w:sz="8" w:color="auto"/>
            </w:tcBorders>
            <w:shd w:val="clear" w:color="auto" w:fill="2AD2C8"/>
          </w:tcPr>
          <w:p>
            <w:pPr>
              <w:spacing w:after="0"/>
              <w:rPr>
                <w:sz w:val="15"/>
                <w:szCs w:val="15"/>
                <w:color w:val="auto"/>
              </w:rPr>
            </w:pPr>
          </w:p>
        </w:tc>
        <w:tc>
          <w:tcPr>
            <w:tcW w:w="1740" w:type="dxa"/>
            <w:vAlign w:val="bottom"/>
            <w:tcBorders>
              <w:top w:val="single" w:sz="8" w:color="auto"/>
              <w:right w:val="single" w:sz="8" w:color="auto"/>
            </w:tcBorders>
            <w:shd w:val="clear" w:color="auto" w:fill="2AD2C8"/>
          </w:tcPr>
          <w:p>
            <w:pPr>
              <w:spacing w:after="0" w:line="183" w:lineRule="exact"/>
              <w:rPr>
                <w:sz w:val="20"/>
                <w:szCs w:val="20"/>
                <w:color w:val="auto"/>
              </w:rPr>
            </w:pPr>
            <w:r>
              <w:rPr>
                <w:rFonts w:ascii="Arial" w:cs="Arial" w:eastAsia="Arial" w:hAnsi="Arial"/>
                <w:sz w:val="16"/>
                <w:szCs w:val="16"/>
                <w:b w:val="1"/>
                <w:bCs w:val="1"/>
                <w:color w:val="FFFFFF"/>
              </w:rPr>
              <w:t>% Change</w:t>
            </w:r>
          </w:p>
        </w:tc>
      </w:tr>
      <w:tr>
        <w:trPr>
          <w:trHeight w:val="189"/>
        </w:trPr>
        <w:tc>
          <w:tcPr>
            <w:tcW w:w="4520" w:type="dxa"/>
            <w:vAlign w:val="bottom"/>
            <w:tcBorders>
              <w:left w:val="single" w:sz="8" w:color="auto"/>
              <w:bottom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(S/ 000)</w:t>
            </w:r>
          </w:p>
        </w:tc>
        <w:tc>
          <w:tcPr>
            <w:tcW w:w="240" w:type="dxa"/>
            <w:vAlign w:val="bottom"/>
            <w:tcBorders>
              <w:bottom w:val="single" w:sz="8" w:color="auto"/>
            </w:tcBorders>
            <w:shd w:val="clear" w:color="auto" w:fill="2AD2C8"/>
          </w:tcPr>
          <w:p>
            <w:pPr>
              <w:spacing w:after="0"/>
              <w:rPr>
                <w:sz w:val="16"/>
                <w:szCs w:val="16"/>
                <w:color w:val="auto"/>
              </w:rPr>
            </w:pPr>
          </w:p>
        </w:tc>
        <w:tc>
          <w:tcPr>
            <w:tcW w:w="1100" w:type="dxa"/>
            <w:vAlign w:val="bottom"/>
            <w:tcBorders>
              <w:bottom w:val="single" w:sz="8" w:color="auto"/>
            </w:tcBorders>
            <w:shd w:val="clear" w:color="auto" w:fill="2AD2C8"/>
          </w:tcPr>
          <w:p>
            <w:pPr>
              <w:jc w:val="center"/>
              <w:ind w:right="171"/>
              <w:spacing w:after="0"/>
              <w:rPr>
                <w:sz w:val="20"/>
                <w:szCs w:val="20"/>
                <w:color w:val="auto"/>
              </w:rPr>
            </w:pPr>
            <w:r>
              <w:rPr>
                <w:rFonts w:ascii="Arial" w:cs="Arial" w:eastAsia="Arial" w:hAnsi="Arial"/>
                <w:sz w:val="16"/>
                <w:szCs w:val="16"/>
                <w:b w:val="1"/>
                <w:bCs w:val="1"/>
                <w:color w:val="FFFFFF"/>
              </w:rPr>
              <w:t>1Q23</w:t>
            </w:r>
          </w:p>
        </w:tc>
        <w:tc>
          <w:tcPr>
            <w:tcW w:w="13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w w:val="96"/>
              </w:rPr>
              <w:t>4Q23</w:t>
            </w:r>
          </w:p>
        </w:tc>
        <w:tc>
          <w:tcPr>
            <w:tcW w:w="140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1Q24</w:t>
            </w:r>
          </w:p>
        </w:tc>
        <w:tc>
          <w:tcPr>
            <w:tcW w:w="920" w:type="dxa"/>
            <w:vAlign w:val="bottom"/>
            <w:tcBorders>
              <w:bottom w:val="single" w:sz="8" w:color="auto"/>
            </w:tcBorders>
            <w:shd w:val="clear" w:color="auto" w:fill="2AD2C8"/>
          </w:tcPr>
          <w:p>
            <w:pPr>
              <w:ind w:left="480"/>
              <w:spacing w:after="0"/>
              <w:rPr>
                <w:sz w:val="20"/>
                <w:szCs w:val="20"/>
                <w:color w:val="auto"/>
              </w:rPr>
            </w:pPr>
            <w:r>
              <w:rPr>
                <w:rFonts w:ascii="Arial" w:cs="Arial" w:eastAsia="Arial" w:hAnsi="Arial"/>
                <w:sz w:val="16"/>
                <w:szCs w:val="16"/>
                <w:b w:val="1"/>
                <w:bCs w:val="1"/>
                <w:color w:val="FFFFFF"/>
              </w:rPr>
              <w:t>QoQ</w:t>
            </w:r>
          </w:p>
        </w:tc>
        <w:tc>
          <w:tcPr>
            <w:tcW w:w="1740" w:type="dxa"/>
            <w:vAlign w:val="bottom"/>
            <w:tcBorders>
              <w:bottom w:val="single" w:sz="8" w:color="auto"/>
              <w:right w:val="single" w:sz="8" w:color="auto"/>
            </w:tcBorders>
            <w:shd w:val="clear" w:color="auto" w:fill="2AD2C8"/>
          </w:tcPr>
          <w:p>
            <w:pPr>
              <w:ind w:left="900"/>
              <w:spacing w:after="0"/>
              <w:rPr>
                <w:sz w:val="20"/>
                <w:szCs w:val="20"/>
                <w:color w:val="auto"/>
              </w:rPr>
            </w:pPr>
            <w:r>
              <w:rPr>
                <w:rFonts w:ascii="Arial" w:cs="Arial" w:eastAsia="Arial" w:hAnsi="Arial"/>
                <w:sz w:val="16"/>
                <w:szCs w:val="16"/>
                <w:b w:val="1"/>
                <w:bCs w:val="1"/>
                <w:color w:val="FFFFFF"/>
              </w:rPr>
              <w:t>YoY</w:t>
            </w:r>
          </w:p>
        </w:tc>
      </w:tr>
      <w:tr>
        <w:trPr>
          <w:trHeight w:val="177"/>
        </w:trPr>
        <w:tc>
          <w:tcPr>
            <w:tcW w:w="45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BCP Stand-Alone</w:t>
            </w:r>
          </w:p>
        </w:tc>
        <w:tc>
          <w:tcPr>
            <w:tcW w:w="240" w:type="dxa"/>
            <w:vAlign w:val="bottom"/>
          </w:tcPr>
          <w:p>
            <w:pPr>
              <w:spacing w:after="0"/>
              <w:rPr>
                <w:sz w:val="15"/>
                <w:szCs w:val="15"/>
                <w:color w:val="auto"/>
              </w:rPr>
            </w:pPr>
          </w:p>
        </w:tc>
        <w:tc>
          <w:tcPr>
            <w:tcW w:w="1100" w:type="dxa"/>
            <w:vAlign w:val="bottom"/>
          </w:tcPr>
          <w:p>
            <w:pPr>
              <w:jc w:val="center"/>
              <w:ind w:right="151"/>
              <w:spacing w:after="0" w:line="177" w:lineRule="exact"/>
              <w:rPr>
                <w:sz w:val="20"/>
                <w:szCs w:val="20"/>
                <w:color w:val="auto"/>
              </w:rPr>
            </w:pPr>
            <w:r>
              <w:rPr>
                <w:rFonts w:ascii="Arial" w:cs="Arial" w:eastAsia="Arial" w:hAnsi="Arial"/>
                <w:sz w:val="18"/>
                <w:szCs w:val="18"/>
                <w:color w:val="auto"/>
              </w:rPr>
              <w:t>698,207</w:t>
            </w:r>
          </w:p>
        </w:tc>
        <w:tc>
          <w:tcPr>
            <w:tcW w:w="1320" w:type="dxa"/>
            <w:vAlign w:val="bottom"/>
          </w:tcPr>
          <w:p>
            <w:pPr>
              <w:jc w:val="center"/>
              <w:spacing w:after="0" w:line="177" w:lineRule="exact"/>
              <w:rPr>
                <w:sz w:val="20"/>
                <w:szCs w:val="20"/>
                <w:color w:val="auto"/>
              </w:rPr>
            </w:pPr>
            <w:r>
              <w:rPr>
                <w:rFonts w:ascii="Arial" w:cs="Arial" w:eastAsia="Arial" w:hAnsi="Arial"/>
                <w:sz w:val="18"/>
                <w:szCs w:val="18"/>
                <w:color w:val="auto"/>
              </w:rPr>
              <w:t>748,270</w:t>
            </w:r>
          </w:p>
        </w:tc>
        <w:tc>
          <w:tcPr>
            <w:tcW w:w="14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8"/>
              </w:rPr>
              <w:t>771,463</w:t>
            </w:r>
          </w:p>
        </w:tc>
        <w:tc>
          <w:tcPr>
            <w:tcW w:w="920" w:type="dxa"/>
            <w:vAlign w:val="bottom"/>
          </w:tcPr>
          <w:p>
            <w:pPr>
              <w:jc w:val="center"/>
              <w:ind w:left="291"/>
              <w:spacing w:after="0" w:line="177" w:lineRule="exact"/>
              <w:rPr>
                <w:sz w:val="20"/>
                <w:szCs w:val="20"/>
                <w:color w:val="auto"/>
              </w:rPr>
            </w:pPr>
            <w:r>
              <w:rPr>
                <w:rFonts w:ascii="Arial" w:cs="Arial" w:eastAsia="Arial" w:hAnsi="Arial"/>
                <w:sz w:val="18"/>
                <w:szCs w:val="18"/>
                <w:color w:val="auto"/>
              </w:rPr>
              <w:t>3.1%</w:t>
            </w:r>
          </w:p>
        </w:tc>
        <w:tc>
          <w:tcPr>
            <w:tcW w:w="1740" w:type="dxa"/>
            <w:vAlign w:val="bottom"/>
            <w:tcBorders>
              <w:right w:val="single" w:sz="8" w:color="auto"/>
            </w:tcBorders>
          </w:tcPr>
          <w:p>
            <w:pPr>
              <w:jc w:val="center"/>
              <w:ind w:left="292"/>
              <w:spacing w:after="0" w:line="177" w:lineRule="exact"/>
              <w:rPr>
                <w:sz w:val="20"/>
                <w:szCs w:val="20"/>
                <w:color w:val="auto"/>
              </w:rPr>
            </w:pPr>
            <w:r>
              <w:rPr>
                <w:rFonts w:ascii="Arial" w:cs="Arial" w:eastAsia="Arial" w:hAnsi="Arial"/>
                <w:sz w:val="18"/>
                <w:szCs w:val="18"/>
                <w:color w:val="auto"/>
              </w:rPr>
              <w:t>10.5%</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BCP Bolivia</w:t>
            </w:r>
          </w:p>
        </w:tc>
        <w:tc>
          <w:tcPr>
            <w:tcW w:w="240" w:type="dxa"/>
            <w:vAlign w:val="bottom"/>
          </w:tcPr>
          <w:p>
            <w:pPr>
              <w:spacing w:after="0"/>
              <w:rPr>
                <w:sz w:val="17"/>
                <w:szCs w:val="17"/>
                <w:color w:val="auto"/>
              </w:rPr>
            </w:pPr>
          </w:p>
        </w:tc>
        <w:tc>
          <w:tcPr>
            <w:tcW w:w="1100" w:type="dxa"/>
            <w:vAlign w:val="bottom"/>
          </w:tcPr>
          <w:p>
            <w:pPr>
              <w:jc w:val="center"/>
              <w:ind w:right="151"/>
              <w:spacing w:after="0" w:line="202" w:lineRule="exact"/>
              <w:rPr>
                <w:sz w:val="20"/>
                <w:szCs w:val="20"/>
                <w:color w:val="auto"/>
              </w:rPr>
            </w:pPr>
            <w:r>
              <w:rPr>
                <w:rFonts w:ascii="Arial" w:cs="Arial" w:eastAsia="Arial" w:hAnsi="Arial"/>
                <w:sz w:val="18"/>
                <w:szCs w:val="18"/>
                <w:color w:val="auto"/>
                <w:w w:val="98"/>
              </w:rPr>
              <w:t>50,134</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rPr>
              <w:t>104,959</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153,969</w:t>
            </w:r>
          </w:p>
        </w:tc>
        <w:tc>
          <w:tcPr>
            <w:tcW w:w="920" w:type="dxa"/>
            <w:vAlign w:val="bottom"/>
          </w:tcPr>
          <w:p>
            <w:pPr>
              <w:jc w:val="center"/>
              <w:ind w:left="291"/>
              <w:spacing w:after="0" w:line="202" w:lineRule="exact"/>
              <w:rPr>
                <w:sz w:val="20"/>
                <w:szCs w:val="20"/>
                <w:color w:val="auto"/>
              </w:rPr>
            </w:pPr>
            <w:r>
              <w:rPr>
                <w:rFonts w:ascii="Arial" w:cs="Arial" w:eastAsia="Arial" w:hAnsi="Arial"/>
                <w:sz w:val="18"/>
                <w:szCs w:val="18"/>
                <w:color w:val="auto"/>
                <w:w w:val="97"/>
              </w:rPr>
              <w:t>46.7%</w:t>
            </w:r>
          </w:p>
        </w:tc>
        <w:tc>
          <w:tcPr>
            <w:tcW w:w="1740" w:type="dxa"/>
            <w:vAlign w:val="bottom"/>
            <w:tcBorders>
              <w:right w:val="single" w:sz="8" w:color="auto"/>
            </w:tcBorders>
          </w:tcPr>
          <w:p>
            <w:pPr>
              <w:jc w:val="center"/>
              <w:ind w:left="292"/>
              <w:spacing w:after="0" w:line="202" w:lineRule="exact"/>
              <w:rPr>
                <w:sz w:val="20"/>
                <w:szCs w:val="20"/>
                <w:color w:val="auto"/>
              </w:rPr>
            </w:pPr>
            <w:r>
              <w:rPr>
                <w:rFonts w:ascii="Arial" w:cs="Arial" w:eastAsia="Arial" w:hAnsi="Arial"/>
                <w:sz w:val="18"/>
                <w:szCs w:val="18"/>
                <w:color w:val="auto"/>
                <w:w w:val="98"/>
              </w:rPr>
              <w:t>207.1%</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Mibanco</w:t>
            </w:r>
          </w:p>
        </w:tc>
        <w:tc>
          <w:tcPr>
            <w:tcW w:w="240" w:type="dxa"/>
            <w:vAlign w:val="bottom"/>
          </w:tcPr>
          <w:p>
            <w:pPr>
              <w:spacing w:after="0"/>
              <w:rPr>
                <w:sz w:val="17"/>
                <w:szCs w:val="17"/>
                <w:color w:val="auto"/>
              </w:rPr>
            </w:pPr>
          </w:p>
        </w:tc>
        <w:tc>
          <w:tcPr>
            <w:tcW w:w="1100" w:type="dxa"/>
            <w:vAlign w:val="bottom"/>
          </w:tcPr>
          <w:p>
            <w:pPr>
              <w:jc w:val="center"/>
              <w:ind w:right="151"/>
              <w:spacing w:after="0" w:line="202" w:lineRule="exact"/>
              <w:rPr>
                <w:sz w:val="20"/>
                <w:szCs w:val="20"/>
                <w:color w:val="auto"/>
              </w:rPr>
            </w:pPr>
            <w:r>
              <w:rPr>
                <w:rFonts w:ascii="Arial" w:cs="Arial" w:eastAsia="Arial" w:hAnsi="Arial"/>
                <w:sz w:val="18"/>
                <w:szCs w:val="18"/>
                <w:color w:val="auto"/>
                <w:w w:val="98"/>
              </w:rPr>
              <w:t>28,691</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24,402</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24,173</w:t>
            </w:r>
          </w:p>
        </w:tc>
        <w:tc>
          <w:tcPr>
            <w:tcW w:w="920" w:type="dxa"/>
            <w:vAlign w:val="bottom"/>
          </w:tcPr>
          <w:p>
            <w:pPr>
              <w:jc w:val="center"/>
              <w:ind w:left="291"/>
              <w:spacing w:after="0" w:line="202" w:lineRule="exact"/>
              <w:rPr>
                <w:sz w:val="20"/>
                <w:szCs w:val="20"/>
                <w:color w:val="auto"/>
              </w:rPr>
            </w:pPr>
            <w:r>
              <w:rPr>
                <w:rFonts w:ascii="Arial" w:cs="Arial" w:eastAsia="Arial" w:hAnsi="Arial"/>
                <w:sz w:val="18"/>
                <w:szCs w:val="18"/>
                <w:color w:val="auto"/>
                <w:w w:val="97"/>
              </w:rPr>
              <w:t>-0.9%</w:t>
            </w:r>
          </w:p>
        </w:tc>
        <w:tc>
          <w:tcPr>
            <w:tcW w:w="1740" w:type="dxa"/>
            <w:vAlign w:val="bottom"/>
            <w:tcBorders>
              <w:right w:val="single" w:sz="8" w:color="auto"/>
            </w:tcBorders>
          </w:tcPr>
          <w:p>
            <w:pPr>
              <w:jc w:val="center"/>
              <w:ind w:left="292"/>
              <w:spacing w:after="0" w:line="202" w:lineRule="exact"/>
              <w:rPr>
                <w:sz w:val="20"/>
                <w:szCs w:val="20"/>
                <w:color w:val="auto"/>
              </w:rPr>
            </w:pPr>
            <w:r>
              <w:rPr>
                <w:rFonts w:ascii="Arial" w:cs="Arial" w:eastAsia="Arial" w:hAnsi="Arial"/>
                <w:sz w:val="18"/>
                <w:szCs w:val="18"/>
                <w:color w:val="auto"/>
                <w:w w:val="98"/>
              </w:rPr>
              <w:t>-15.7%</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Mibanco Colombia</w:t>
            </w:r>
          </w:p>
        </w:tc>
        <w:tc>
          <w:tcPr>
            <w:tcW w:w="240" w:type="dxa"/>
            <w:vAlign w:val="bottom"/>
          </w:tcPr>
          <w:p>
            <w:pPr>
              <w:spacing w:after="0"/>
              <w:rPr>
                <w:sz w:val="17"/>
                <w:szCs w:val="17"/>
                <w:color w:val="auto"/>
              </w:rPr>
            </w:pPr>
          </w:p>
        </w:tc>
        <w:tc>
          <w:tcPr>
            <w:tcW w:w="1100" w:type="dxa"/>
            <w:vAlign w:val="bottom"/>
          </w:tcPr>
          <w:p>
            <w:pPr>
              <w:jc w:val="center"/>
              <w:ind w:right="151"/>
              <w:spacing w:after="0" w:line="202" w:lineRule="exact"/>
              <w:rPr>
                <w:sz w:val="20"/>
                <w:szCs w:val="20"/>
                <w:color w:val="auto"/>
              </w:rPr>
            </w:pPr>
            <w:r>
              <w:rPr>
                <w:rFonts w:ascii="Arial" w:cs="Arial" w:eastAsia="Arial" w:hAnsi="Arial"/>
                <w:sz w:val="18"/>
                <w:szCs w:val="18"/>
                <w:color w:val="auto"/>
              </w:rPr>
              <w:t>9,074</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10,082</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11,250</w:t>
            </w:r>
          </w:p>
        </w:tc>
        <w:tc>
          <w:tcPr>
            <w:tcW w:w="920" w:type="dxa"/>
            <w:vAlign w:val="bottom"/>
          </w:tcPr>
          <w:p>
            <w:pPr>
              <w:jc w:val="center"/>
              <w:ind w:left="291"/>
              <w:spacing w:after="0" w:line="202" w:lineRule="exact"/>
              <w:rPr>
                <w:sz w:val="20"/>
                <w:szCs w:val="20"/>
                <w:color w:val="auto"/>
              </w:rPr>
            </w:pPr>
            <w:r>
              <w:rPr>
                <w:rFonts w:ascii="Arial" w:cs="Arial" w:eastAsia="Arial" w:hAnsi="Arial"/>
                <w:sz w:val="18"/>
                <w:szCs w:val="18"/>
                <w:color w:val="auto"/>
                <w:w w:val="97"/>
              </w:rPr>
              <w:t>11.6%</w:t>
            </w:r>
          </w:p>
        </w:tc>
        <w:tc>
          <w:tcPr>
            <w:tcW w:w="1740" w:type="dxa"/>
            <w:vAlign w:val="bottom"/>
            <w:tcBorders>
              <w:right w:val="single" w:sz="8" w:color="auto"/>
            </w:tcBorders>
          </w:tcPr>
          <w:p>
            <w:pPr>
              <w:jc w:val="center"/>
              <w:ind w:left="292"/>
              <w:spacing w:after="0" w:line="202" w:lineRule="exact"/>
              <w:rPr>
                <w:sz w:val="20"/>
                <w:szCs w:val="20"/>
                <w:color w:val="auto"/>
              </w:rPr>
            </w:pPr>
            <w:r>
              <w:rPr>
                <w:rFonts w:ascii="Arial" w:cs="Arial" w:eastAsia="Arial" w:hAnsi="Arial"/>
                <w:sz w:val="18"/>
                <w:szCs w:val="18"/>
                <w:color w:val="auto"/>
              </w:rPr>
              <w:t>24.0%</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Pacífico</w:t>
            </w:r>
          </w:p>
        </w:tc>
        <w:tc>
          <w:tcPr>
            <w:tcW w:w="240" w:type="dxa"/>
            <w:vAlign w:val="bottom"/>
          </w:tcPr>
          <w:p>
            <w:pPr>
              <w:spacing w:after="0"/>
              <w:rPr>
                <w:sz w:val="17"/>
                <w:szCs w:val="17"/>
                <w:color w:val="auto"/>
              </w:rPr>
            </w:pPr>
          </w:p>
        </w:tc>
        <w:tc>
          <w:tcPr>
            <w:tcW w:w="1100" w:type="dxa"/>
            <w:vAlign w:val="bottom"/>
          </w:tcPr>
          <w:p>
            <w:pPr>
              <w:jc w:val="center"/>
              <w:ind w:right="151"/>
              <w:spacing w:after="0" w:line="202" w:lineRule="exact"/>
              <w:rPr>
                <w:sz w:val="20"/>
                <w:szCs w:val="20"/>
                <w:color w:val="auto"/>
              </w:rPr>
            </w:pPr>
            <w:r>
              <w:rPr>
                <w:rFonts w:ascii="Arial" w:cs="Arial" w:eastAsia="Arial" w:hAnsi="Arial"/>
                <w:sz w:val="18"/>
                <w:szCs w:val="18"/>
                <w:color w:val="auto"/>
                <w:w w:val="97"/>
              </w:rPr>
              <w:t>-3,131</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-2,577</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-3,199</w:t>
            </w:r>
          </w:p>
        </w:tc>
        <w:tc>
          <w:tcPr>
            <w:tcW w:w="920" w:type="dxa"/>
            <w:vAlign w:val="bottom"/>
          </w:tcPr>
          <w:p>
            <w:pPr>
              <w:jc w:val="center"/>
              <w:ind w:left="291"/>
              <w:spacing w:after="0" w:line="202" w:lineRule="exact"/>
              <w:rPr>
                <w:sz w:val="20"/>
                <w:szCs w:val="20"/>
                <w:color w:val="auto"/>
              </w:rPr>
            </w:pPr>
            <w:r>
              <w:rPr>
                <w:rFonts w:ascii="Arial" w:cs="Arial" w:eastAsia="Arial" w:hAnsi="Arial"/>
                <w:sz w:val="18"/>
                <w:szCs w:val="18"/>
                <w:color w:val="auto"/>
                <w:w w:val="97"/>
              </w:rPr>
              <w:t>24.1%</w:t>
            </w:r>
          </w:p>
        </w:tc>
        <w:tc>
          <w:tcPr>
            <w:tcW w:w="1740" w:type="dxa"/>
            <w:vAlign w:val="bottom"/>
            <w:tcBorders>
              <w:right w:val="single" w:sz="8" w:color="auto"/>
            </w:tcBorders>
          </w:tcPr>
          <w:p>
            <w:pPr>
              <w:jc w:val="center"/>
              <w:ind w:left="292"/>
              <w:spacing w:after="0" w:line="202" w:lineRule="exact"/>
              <w:rPr>
                <w:sz w:val="20"/>
                <w:szCs w:val="20"/>
                <w:color w:val="auto"/>
              </w:rPr>
            </w:pPr>
            <w:r>
              <w:rPr>
                <w:rFonts w:ascii="Arial" w:cs="Arial" w:eastAsia="Arial" w:hAnsi="Arial"/>
                <w:sz w:val="18"/>
                <w:szCs w:val="18"/>
                <w:color w:val="auto"/>
                <w:w w:val="97"/>
              </w:rPr>
              <w:t>2.2%</w:t>
            </w:r>
          </w:p>
        </w:tc>
      </w:tr>
      <w:tr>
        <w:trPr>
          <w:trHeight w:val="202"/>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Prima</w:t>
            </w:r>
          </w:p>
        </w:tc>
        <w:tc>
          <w:tcPr>
            <w:tcW w:w="240" w:type="dxa"/>
            <w:vAlign w:val="bottom"/>
          </w:tcPr>
          <w:p>
            <w:pPr>
              <w:spacing w:after="0"/>
              <w:rPr>
                <w:sz w:val="17"/>
                <w:szCs w:val="17"/>
                <w:color w:val="auto"/>
              </w:rPr>
            </w:pPr>
          </w:p>
        </w:tc>
        <w:tc>
          <w:tcPr>
            <w:tcW w:w="1100" w:type="dxa"/>
            <w:vAlign w:val="bottom"/>
          </w:tcPr>
          <w:p>
            <w:pPr>
              <w:jc w:val="center"/>
              <w:ind w:right="151"/>
              <w:spacing w:after="0" w:line="202" w:lineRule="exact"/>
              <w:rPr>
                <w:sz w:val="20"/>
                <w:szCs w:val="20"/>
                <w:color w:val="auto"/>
              </w:rPr>
            </w:pPr>
            <w:r>
              <w:rPr>
                <w:rFonts w:ascii="Arial" w:cs="Arial" w:eastAsia="Arial" w:hAnsi="Arial"/>
                <w:sz w:val="18"/>
                <w:szCs w:val="18"/>
                <w:color w:val="auto"/>
                <w:w w:val="98"/>
              </w:rPr>
              <w:t>89,496</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87,457</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94,528</w:t>
            </w:r>
          </w:p>
        </w:tc>
        <w:tc>
          <w:tcPr>
            <w:tcW w:w="920" w:type="dxa"/>
            <w:vAlign w:val="bottom"/>
          </w:tcPr>
          <w:p>
            <w:pPr>
              <w:jc w:val="center"/>
              <w:ind w:left="291"/>
              <w:spacing w:after="0" w:line="202" w:lineRule="exact"/>
              <w:rPr>
                <w:sz w:val="20"/>
                <w:szCs w:val="20"/>
                <w:color w:val="auto"/>
              </w:rPr>
            </w:pPr>
            <w:r>
              <w:rPr>
                <w:rFonts w:ascii="Arial" w:cs="Arial" w:eastAsia="Arial" w:hAnsi="Arial"/>
                <w:sz w:val="18"/>
                <w:szCs w:val="18"/>
                <w:color w:val="auto"/>
              </w:rPr>
              <w:t>8.1%</w:t>
            </w:r>
          </w:p>
        </w:tc>
        <w:tc>
          <w:tcPr>
            <w:tcW w:w="1740" w:type="dxa"/>
            <w:vAlign w:val="bottom"/>
            <w:tcBorders>
              <w:right w:val="single" w:sz="8" w:color="auto"/>
            </w:tcBorders>
          </w:tcPr>
          <w:p>
            <w:pPr>
              <w:jc w:val="center"/>
              <w:ind w:left="292"/>
              <w:spacing w:after="0" w:line="202" w:lineRule="exact"/>
              <w:rPr>
                <w:sz w:val="20"/>
                <w:szCs w:val="20"/>
                <w:color w:val="auto"/>
              </w:rPr>
            </w:pPr>
            <w:r>
              <w:rPr>
                <w:rFonts w:ascii="Arial" w:cs="Arial" w:eastAsia="Arial" w:hAnsi="Arial"/>
                <w:sz w:val="18"/>
                <w:szCs w:val="18"/>
                <w:color w:val="auto"/>
                <w:w w:val="97"/>
              </w:rPr>
              <w:t>5.6%</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ASB</w:t>
            </w:r>
          </w:p>
        </w:tc>
        <w:tc>
          <w:tcPr>
            <w:tcW w:w="240" w:type="dxa"/>
            <w:vAlign w:val="bottom"/>
          </w:tcPr>
          <w:p>
            <w:pPr>
              <w:spacing w:after="0"/>
              <w:rPr>
                <w:sz w:val="17"/>
                <w:szCs w:val="17"/>
                <w:color w:val="auto"/>
              </w:rPr>
            </w:pPr>
          </w:p>
        </w:tc>
        <w:tc>
          <w:tcPr>
            <w:tcW w:w="1100" w:type="dxa"/>
            <w:vAlign w:val="bottom"/>
          </w:tcPr>
          <w:p>
            <w:pPr>
              <w:jc w:val="center"/>
              <w:ind w:right="151"/>
              <w:spacing w:after="0" w:line="202" w:lineRule="exact"/>
              <w:rPr>
                <w:sz w:val="20"/>
                <w:szCs w:val="20"/>
                <w:color w:val="auto"/>
              </w:rPr>
            </w:pPr>
            <w:r>
              <w:rPr>
                <w:rFonts w:ascii="Arial" w:cs="Arial" w:eastAsia="Arial" w:hAnsi="Arial"/>
                <w:sz w:val="18"/>
                <w:szCs w:val="18"/>
                <w:color w:val="auto"/>
                <w:w w:val="98"/>
              </w:rPr>
              <w:t>15,254</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10,704</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17,062</w:t>
            </w:r>
          </w:p>
        </w:tc>
        <w:tc>
          <w:tcPr>
            <w:tcW w:w="920" w:type="dxa"/>
            <w:vAlign w:val="bottom"/>
          </w:tcPr>
          <w:p>
            <w:pPr>
              <w:jc w:val="center"/>
              <w:ind w:left="291"/>
              <w:spacing w:after="0" w:line="202" w:lineRule="exact"/>
              <w:rPr>
                <w:sz w:val="20"/>
                <w:szCs w:val="20"/>
                <w:color w:val="auto"/>
              </w:rPr>
            </w:pPr>
            <w:r>
              <w:rPr>
                <w:rFonts w:ascii="Arial" w:cs="Arial" w:eastAsia="Arial" w:hAnsi="Arial"/>
                <w:sz w:val="18"/>
                <w:szCs w:val="18"/>
                <w:color w:val="auto"/>
                <w:w w:val="97"/>
              </w:rPr>
              <w:t>59.4%</w:t>
            </w:r>
          </w:p>
        </w:tc>
        <w:tc>
          <w:tcPr>
            <w:tcW w:w="1740" w:type="dxa"/>
            <w:vAlign w:val="bottom"/>
            <w:tcBorders>
              <w:right w:val="single" w:sz="8" w:color="auto"/>
            </w:tcBorders>
          </w:tcPr>
          <w:p>
            <w:pPr>
              <w:jc w:val="center"/>
              <w:ind w:left="272"/>
              <w:spacing w:after="0" w:line="202" w:lineRule="exact"/>
              <w:rPr>
                <w:sz w:val="20"/>
                <w:szCs w:val="20"/>
                <w:color w:val="auto"/>
              </w:rPr>
            </w:pPr>
            <w:r>
              <w:rPr>
                <w:rFonts w:ascii="Arial" w:cs="Arial" w:eastAsia="Arial" w:hAnsi="Arial"/>
                <w:sz w:val="18"/>
                <w:szCs w:val="18"/>
                <w:color w:val="auto"/>
                <w:w w:val="97"/>
              </w:rPr>
              <w:t>11.9%</w:t>
            </w:r>
          </w:p>
        </w:tc>
      </w:tr>
      <w:tr>
        <w:trPr>
          <w:trHeight w:val="193"/>
        </w:trPr>
        <w:tc>
          <w:tcPr>
            <w:tcW w:w="4520" w:type="dxa"/>
            <w:vAlign w:val="bottom"/>
            <w:tcBorders>
              <w:left w:val="single" w:sz="8" w:color="auto"/>
              <w:right w:val="single" w:sz="8" w:color="auto"/>
            </w:tcBorders>
          </w:tcPr>
          <w:p>
            <w:pPr>
              <w:ind w:left="60"/>
              <w:spacing w:after="0" w:line="193" w:lineRule="exact"/>
              <w:rPr>
                <w:sz w:val="20"/>
                <w:szCs w:val="20"/>
                <w:color w:val="auto"/>
              </w:rPr>
            </w:pPr>
            <w:r>
              <w:rPr>
                <w:rFonts w:ascii="Arial" w:cs="Arial" w:eastAsia="Arial" w:hAnsi="Arial"/>
                <w:sz w:val="18"/>
                <w:szCs w:val="18"/>
                <w:color w:val="auto"/>
              </w:rPr>
              <w:t>Credicorp Capital</w:t>
            </w:r>
          </w:p>
        </w:tc>
        <w:tc>
          <w:tcPr>
            <w:tcW w:w="240" w:type="dxa"/>
            <w:vAlign w:val="bottom"/>
          </w:tcPr>
          <w:p>
            <w:pPr>
              <w:spacing w:after="0"/>
              <w:rPr>
                <w:sz w:val="16"/>
                <w:szCs w:val="16"/>
                <w:color w:val="auto"/>
              </w:rPr>
            </w:pPr>
          </w:p>
        </w:tc>
        <w:tc>
          <w:tcPr>
            <w:tcW w:w="1100" w:type="dxa"/>
            <w:vAlign w:val="bottom"/>
          </w:tcPr>
          <w:p>
            <w:pPr>
              <w:jc w:val="center"/>
              <w:ind w:right="151"/>
              <w:spacing w:after="0" w:line="193" w:lineRule="exact"/>
              <w:rPr>
                <w:sz w:val="20"/>
                <w:szCs w:val="20"/>
                <w:color w:val="auto"/>
              </w:rPr>
            </w:pPr>
            <w:r>
              <w:rPr>
                <w:rFonts w:ascii="Arial" w:cs="Arial" w:eastAsia="Arial" w:hAnsi="Arial"/>
                <w:sz w:val="18"/>
                <w:szCs w:val="18"/>
                <w:color w:val="auto"/>
              </w:rPr>
              <w:t>107,158</w:t>
            </w:r>
          </w:p>
        </w:tc>
        <w:tc>
          <w:tcPr>
            <w:tcW w:w="1320" w:type="dxa"/>
            <w:vAlign w:val="bottom"/>
          </w:tcPr>
          <w:p>
            <w:pPr>
              <w:jc w:val="center"/>
              <w:spacing w:after="0" w:line="193" w:lineRule="exact"/>
              <w:rPr>
                <w:sz w:val="20"/>
                <w:szCs w:val="20"/>
                <w:color w:val="auto"/>
              </w:rPr>
            </w:pPr>
            <w:r>
              <w:rPr>
                <w:rFonts w:ascii="Arial" w:cs="Arial" w:eastAsia="Arial" w:hAnsi="Arial"/>
                <w:sz w:val="18"/>
                <w:szCs w:val="18"/>
                <w:color w:val="auto"/>
              </w:rPr>
              <w:t>137,092</w:t>
            </w:r>
          </w:p>
        </w:tc>
        <w:tc>
          <w:tcPr>
            <w:tcW w:w="14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8"/>
              </w:rPr>
              <w:t>128,148</w:t>
            </w:r>
          </w:p>
        </w:tc>
        <w:tc>
          <w:tcPr>
            <w:tcW w:w="920" w:type="dxa"/>
            <w:vAlign w:val="bottom"/>
          </w:tcPr>
          <w:p>
            <w:pPr>
              <w:jc w:val="center"/>
              <w:ind w:left="291"/>
              <w:spacing w:after="0" w:line="193" w:lineRule="exact"/>
              <w:rPr>
                <w:sz w:val="20"/>
                <w:szCs w:val="20"/>
                <w:color w:val="auto"/>
              </w:rPr>
            </w:pPr>
            <w:r>
              <w:rPr>
                <w:rFonts w:ascii="Arial" w:cs="Arial" w:eastAsia="Arial" w:hAnsi="Arial"/>
                <w:sz w:val="18"/>
                <w:szCs w:val="18"/>
                <w:color w:val="auto"/>
                <w:w w:val="97"/>
              </w:rPr>
              <w:t>-6.5%</w:t>
            </w:r>
          </w:p>
        </w:tc>
        <w:tc>
          <w:tcPr>
            <w:tcW w:w="1740" w:type="dxa"/>
            <w:vAlign w:val="bottom"/>
            <w:tcBorders>
              <w:right w:val="single" w:sz="8" w:color="auto"/>
            </w:tcBorders>
          </w:tcPr>
          <w:p>
            <w:pPr>
              <w:jc w:val="center"/>
              <w:ind w:left="292"/>
              <w:spacing w:after="0" w:line="193" w:lineRule="exact"/>
              <w:rPr>
                <w:sz w:val="20"/>
                <w:szCs w:val="20"/>
                <w:color w:val="auto"/>
              </w:rPr>
            </w:pPr>
            <w:r>
              <w:rPr>
                <w:rFonts w:ascii="Arial" w:cs="Arial" w:eastAsia="Arial" w:hAnsi="Arial"/>
                <w:sz w:val="18"/>
                <w:szCs w:val="18"/>
                <w:color w:val="auto"/>
              </w:rPr>
              <w:t>19.6%</w:t>
            </w:r>
          </w:p>
        </w:tc>
      </w:tr>
      <w:tr>
        <w:trPr>
          <w:trHeight w:val="231"/>
        </w:trPr>
        <w:tc>
          <w:tcPr>
            <w:tcW w:w="4520" w:type="dxa"/>
            <w:vAlign w:val="bottom"/>
            <w:tcBorders>
              <w:left w:val="single" w:sz="8" w:color="auto"/>
              <w:bottom w:val="single" w:sz="8" w:color="auto"/>
              <w:right w:val="single" w:sz="8" w:color="auto"/>
            </w:tcBorders>
          </w:tcPr>
          <w:p>
            <w:pPr>
              <w:ind w:left="60"/>
              <w:spacing w:after="0" w:line="231" w:lineRule="exact"/>
              <w:rPr>
                <w:sz w:val="20"/>
                <w:szCs w:val="20"/>
                <w:color w:val="auto"/>
              </w:rPr>
            </w:pPr>
            <w:r>
              <w:rPr>
                <w:rFonts w:ascii="Arial" w:cs="Arial" w:eastAsia="Arial" w:hAnsi="Arial"/>
                <w:sz w:val="16"/>
                <w:szCs w:val="16"/>
                <w:color w:val="auto"/>
              </w:rPr>
              <w:t xml:space="preserve">Eliminations and Other </w:t>
            </w:r>
            <w:r>
              <w:rPr>
                <w:rFonts w:ascii="Arial" w:cs="Arial" w:eastAsia="Arial" w:hAnsi="Arial"/>
                <w:sz w:val="26"/>
                <w:szCs w:val="26"/>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8"/>
              </w:rPr>
              <w:t>-113,102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-134,216</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-134,893</w:t>
            </w:r>
          </w:p>
        </w:tc>
        <w:tc>
          <w:tcPr>
            <w:tcW w:w="920" w:type="dxa"/>
            <w:vAlign w:val="bottom"/>
            <w:tcBorders>
              <w:bottom w:val="single" w:sz="8" w:color="auto"/>
            </w:tcBorders>
          </w:tcPr>
          <w:p>
            <w:pPr>
              <w:jc w:val="center"/>
              <w:ind w:left="291"/>
              <w:spacing w:after="0"/>
              <w:rPr>
                <w:sz w:val="20"/>
                <w:szCs w:val="20"/>
                <w:color w:val="auto"/>
              </w:rPr>
            </w:pPr>
            <w:r>
              <w:rPr>
                <w:rFonts w:ascii="Arial" w:cs="Arial" w:eastAsia="Arial" w:hAnsi="Arial"/>
                <w:sz w:val="18"/>
                <w:szCs w:val="18"/>
                <w:color w:val="auto"/>
              </w:rPr>
              <w:t>0.5%</w:t>
            </w:r>
          </w:p>
        </w:tc>
        <w:tc>
          <w:tcPr>
            <w:tcW w:w="1740" w:type="dxa"/>
            <w:vAlign w:val="bottom"/>
            <w:tcBorders>
              <w:bottom w:val="single" w:sz="8" w:color="auto"/>
              <w:right w:val="single" w:sz="8" w:color="auto"/>
            </w:tcBorders>
          </w:tcPr>
          <w:p>
            <w:pPr>
              <w:jc w:val="center"/>
              <w:ind w:left="292"/>
              <w:spacing w:after="0"/>
              <w:rPr>
                <w:sz w:val="20"/>
                <w:szCs w:val="20"/>
                <w:color w:val="auto"/>
              </w:rPr>
            </w:pPr>
            <w:r>
              <w:rPr>
                <w:rFonts w:ascii="Arial" w:cs="Arial" w:eastAsia="Arial" w:hAnsi="Arial"/>
                <w:sz w:val="18"/>
                <w:szCs w:val="18"/>
                <w:color w:val="auto"/>
              </w:rPr>
              <w:t>19.3%</w:t>
            </w:r>
          </w:p>
        </w:tc>
      </w:tr>
      <w:tr>
        <w:trPr>
          <w:trHeight w:val="196"/>
        </w:trPr>
        <w:tc>
          <w:tcPr>
            <w:tcW w:w="45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Total Net Fee Income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1"/>
              <w:spacing w:after="0" w:line="196" w:lineRule="exact"/>
              <w:rPr>
                <w:sz w:val="20"/>
                <w:szCs w:val="20"/>
                <w:color w:val="auto"/>
              </w:rPr>
            </w:pPr>
            <w:r>
              <w:rPr>
                <w:rFonts w:ascii="Arial" w:cs="Arial" w:eastAsia="Arial" w:hAnsi="Arial"/>
                <w:sz w:val="18"/>
                <w:szCs w:val="18"/>
                <w:b w:val="1"/>
                <w:bCs w:val="1"/>
                <w:color w:val="auto"/>
              </w:rPr>
              <w:t>881,781</w:t>
            </w:r>
          </w:p>
        </w:tc>
        <w:tc>
          <w:tcPr>
            <w:tcW w:w="13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986,173</w:t>
            </w:r>
          </w:p>
        </w:tc>
        <w:tc>
          <w:tcPr>
            <w:tcW w:w="14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1,062,501</w:t>
            </w:r>
          </w:p>
        </w:tc>
        <w:tc>
          <w:tcPr>
            <w:tcW w:w="920" w:type="dxa"/>
            <w:vAlign w:val="bottom"/>
            <w:tcBorders>
              <w:bottom w:val="single" w:sz="8" w:color="auto"/>
            </w:tcBorders>
          </w:tcPr>
          <w:p>
            <w:pPr>
              <w:jc w:val="center"/>
              <w:ind w:left="291"/>
              <w:spacing w:after="0" w:line="196" w:lineRule="exact"/>
              <w:rPr>
                <w:sz w:val="20"/>
                <w:szCs w:val="20"/>
                <w:color w:val="auto"/>
              </w:rPr>
            </w:pPr>
            <w:r>
              <w:rPr>
                <w:rFonts w:ascii="Arial" w:cs="Arial" w:eastAsia="Arial" w:hAnsi="Arial"/>
                <w:sz w:val="18"/>
                <w:szCs w:val="18"/>
                <w:b w:val="1"/>
                <w:bCs w:val="1"/>
                <w:color w:val="auto"/>
              </w:rPr>
              <w:t>7.7%</w:t>
            </w:r>
          </w:p>
        </w:tc>
        <w:tc>
          <w:tcPr>
            <w:tcW w:w="1740" w:type="dxa"/>
            <w:vAlign w:val="bottom"/>
            <w:tcBorders>
              <w:bottom w:val="single" w:sz="8" w:color="auto"/>
              <w:right w:val="single" w:sz="8" w:color="auto"/>
            </w:tcBorders>
          </w:tcPr>
          <w:p>
            <w:pPr>
              <w:jc w:val="center"/>
              <w:ind w:left="292"/>
              <w:spacing w:after="0" w:line="196" w:lineRule="exact"/>
              <w:rPr>
                <w:sz w:val="20"/>
                <w:szCs w:val="20"/>
                <w:color w:val="auto"/>
              </w:rPr>
            </w:pPr>
            <w:r>
              <w:rPr>
                <w:rFonts w:ascii="Arial" w:cs="Arial" w:eastAsia="Arial" w:hAnsi="Arial"/>
                <w:sz w:val="18"/>
                <w:szCs w:val="18"/>
                <w:b w:val="1"/>
                <w:bCs w:val="1"/>
                <w:color w:val="auto"/>
              </w:rPr>
              <w:t>20.5%</w:t>
            </w:r>
          </w:p>
        </w:tc>
      </w:tr>
      <w:tr>
        <w:trPr>
          <w:trHeight w:val="135"/>
        </w:trPr>
        <w:tc>
          <w:tcPr>
            <w:tcW w:w="4760" w:type="dxa"/>
            <w:vAlign w:val="bottom"/>
            <w:gridSpan w:val="2"/>
          </w:tcPr>
          <w:p>
            <w:pPr>
              <w:spacing w:after="0"/>
              <w:rPr>
                <w:sz w:val="20"/>
                <w:szCs w:val="20"/>
                <w:color w:val="auto"/>
              </w:rPr>
            </w:pPr>
            <w:r>
              <w:rPr>
                <w:rFonts w:ascii="Arial" w:cs="Arial" w:eastAsia="Arial" w:hAnsi="Arial"/>
                <w:sz w:val="11"/>
                <w:szCs w:val="11"/>
                <w:color w:val="auto"/>
                <w:w w:val="99"/>
              </w:rPr>
              <w:t>(1) Correspond mainly to the eliminations of Bancasseguros between Pacífico, BCP, and Mibanco</w:t>
            </w:r>
          </w:p>
        </w:tc>
        <w:tc>
          <w:tcPr>
            <w:tcW w:w="1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40" w:type="dxa"/>
            <w:vAlign w:val="bottom"/>
          </w:tcPr>
          <w:p>
            <w:pPr>
              <w:spacing w:after="0"/>
              <w:rPr>
                <w:sz w:val="11"/>
                <w:szCs w:val="1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If we exclude fee income from BCP Bolivia, Net fee income was driven by the following dynamics: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Net fee income rose 3.1%, spurred primarily by growth in the fee level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which we will discuss in the next chapter,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secondarily by </w:t>
      </w:r>
      <w:r>
        <w:rPr>
          <w:rFonts w:ascii="Arial" w:cs="Arial" w:eastAsia="Arial" w:hAnsi="Arial"/>
          <w:sz w:val="18"/>
          <w:szCs w:val="18"/>
          <w:b w:val="1"/>
          <w:bCs w:val="1"/>
          <w:color w:val="auto"/>
        </w:rPr>
        <w:t>Prima,</w:t>
      </w:r>
      <w:r>
        <w:rPr>
          <w:rFonts w:ascii="Arial" w:cs="Arial" w:eastAsia="Arial" w:hAnsi="Arial"/>
          <w:sz w:val="18"/>
          <w:szCs w:val="18"/>
          <w:color w:val="auto"/>
        </w:rPr>
        <w:t xml:space="preserve"> which reported an uptick in payroll contributions. This quarter, net Fee Income growth was offset by a drop in fee income </w:t>
      </w:r>
      <w:r>
        <w:rPr>
          <w:rFonts w:ascii="Arial" w:cs="Arial" w:eastAsia="Arial" w:hAnsi="Arial"/>
          <w:sz w:val="18"/>
          <w:szCs w:val="18"/>
          <w:b w:val="1"/>
          <w:bCs w:val="1"/>
          <w:color w:val="auto"/>
        </w:rPr>
        <w:t>Credicorp Capital</w:t>
      </w:r>
      <w:r>
        <w:rPr>
          <w:rFonts w:ascii="Arial" w:cs="Arial" w:eastAsia="Arial" w:hAnsi="Arial"/>
          <w:sz w:val="18"/>
          <w:szCs w:val="18"/>
          <w:color w:val="auto"/>
        </w:rPr>
        <w:t>, which registered an unusually high level in 4Q23.</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the 9.2% increase in Net fee income was mainly attributable to growth in fee income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which we will discuss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chapter, and by the increase reported by Credicorp Capital through its Wealth Management business, via growth in AUMs, and by an uptick in fees from its Brokerage business as our strategy to focus more on recurring businesses begins to bear fruit.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3" w:name="page34"/>
    <w:bookmarkEnd w:id="33"/>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06. Other Income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Stand-alone Net Fee Income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BCP Stand-alone</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354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shd w:val="clear" w:color="auto" w:fill="2AD2C8"/>
          </w:tcPr>
          <w:p>
            <w:pPr>
              <w:ind w:left="60"/>
              <w:spacing w:after="0"/>
              <w:rPr>
                <w:sz w:val="20"/>
                <w:szCs w:val="20"/>
                <w:color w:val="auto"/>
              </w:rPr>
            </w:pPr>
            <w:r>
              <w:rPr>
                <w:rFonts w:ascii="Arial" w:cs="Arial" w:eastAsia="Arial" w:hAnsi="Arial"/>
                <w:sz w:val="16"/>
                <w:szCs w:val="16"/>
                <w:b w:val="1"/>
                <w:bCs w:val="1"/>
                <w:color w:val="FFFFFF"/>
              </w:rPr>
              <w:t>BCP Stand-alone Fees</w:t>
            </w:r>
          </w:p>
        </w:tc>
        <w:tc>
          <w:tcPr>
            <w:tcW w:w="1280" w:type="dxa"/>
            <w:vAlign w:val="bottom"/>
            <w:shd w:val="clear" w:color="auto" w:fill="2AD2C8"/>
          </w:tcPr>
          <w:p>
            <w:pPr>
              <w:spacing w:after="0"/>
              <w:rPr>
                <w:sz w:val="17"/>
                <w:szCs w:val="17"/>
                <w:color w:val="auto"/>
              </w:rPr>
            </w:pPr>
          </w:p>
        </w:tc>
        <w:tc>
          <w:tcPr>
            <w:tcW w:w="1500" w:type="dxa"/>
            <w:vAlign w:val="bottom"/>
            <w:shd w:val="clear" w:color="auto" w:fill="2AD2C8"/>
          </w:tcPr>
          <w:p>
            <w:pPr>
              <w:ind w:left="380"/>
              <w:spacing w:after="0"/>
              <w:rPr>
                <w:sz w:val="20"/>
                <w:szCs w:val="20"/>
                <w:color w:val="auto"/>
              </w:rPr>
            </w:pPr>
            <w:r>
              <w:rPr>
                <w:rFonts w:ascii="Arial" w:cs="Arial" w:eastAsia="Arial" w:hAnsi="Arial"/>
                <w:sz w:val="16"/>
                <w:szCs w:val="16"/>
                <w:b w:val="1"/>
                <w:bCs w:val="1"/>
                <w:color w:val="FFFFFF"/>
              </w:rPr>
              <w:t>Quarterly</w:t>
            </w:r>
          </w:p>
        </w:tc>
        <w:tc>
          <w:tcPr>
            <w:tcW w:w="1240" w:type="dxa"/>
            <w:vAlign w:val="bottom"/>
            <w:shd w:val="clear" w:color="auto" w:fill="2AD2C8"/>
          </w:tcPr>
          <w:p>
            <w:pPr>
              <w:spacing w:after="0"/>
              <w:rPr>
                <w:sz w:val="17"/>
                <w:szCs w:val="17"/>
                <w:color w:val="auto"/>
              </w:rPr>
            </w:pPr>
          </w:p>
        </w:tc>
        <w:tc>
          <w:tcPr>
            <w:tcW w:w="980" w:type="dxa"/>
            <w:vAlign w:val="bottom"/>
            <w:shd w:val="clear" w:color="auto" w:fill="2AD2C8"/>
          </w:tcPr>
          <w:p>
            <w:pPr>
              <w:spacing w:after="0"/>
              <w:rPr>
                <w:sz w:val="17"/>
                <w:szCs w:val="17"/>
                <w:color w:val="auto"/>
              </w:rPr>
            </w:pPr>
          </w:p>
        </w:tc>
        <w:tc>
          <w:tcPr>
            <w:tcW w:w="1720" w:type="dxa"/>
            <w:vAlign w:val="bottom"/>
            <w:shd w:val="clear" w:color="auto" w:fill="2AD2C8"/>
          </w:tcPr>
          <w:p>
            <w:pPr>
              <w:spacing w:after="0"/>
              <w:rPr>
                <w:sz w:val="20"/>
                <w:szCs w:val="20"/>
                <w:color w:val="auto"/>
              </w:rPr>
            </w:pPr>
            <w:r>
              <w:rPr>
                <w:rFonts w:ascii="Arial" w:cs="Arial" w:eastAsia="Arial" w:hAnsi="Arial"/>
                <w:sz w:val="16"/>
                <w:szCs w:val="16"/>
                <w:b w:val="1"/>
                <w:bCs w:val="1"/>
                <w:color w:val="FFFFFF"/>
              </w:rPr>
              <w:t>% Change</w:t>
            </w:r>
          </w:p>
        </w:tc>
        <w:tc>
          <w:tcPr>
            <w:tcW w:w="20" w:type="dxa"/>
            <w:vAlign w:val="bottom"/>
          </w:tcPr>
          <w:p>
            <w:pPr>
              <w:spacing w:after="0"/>
              <w:rPr>
                <w:sz w:val="17"/>
                <w:szCs w:val="17"/>
                <w:color w:val="auto"/>
              </w:rPr>
            </w:pPr>
          </w:p>
        </w:tc>
      </w:tr>
      <w:tr>
        <w:trPr>
          <w:trHeight w:val="189"/>
        </w:trPr>
        <w:tc>
          <w:tcPr>
            <w:tcW w:w="4500" w:type="dxa"/>
            <w:vAlign w:val="bottom"/>
            <w:tcBorders>
              <w:bottom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(S/ 000,000)</w:t>
            </w:r>
          </w:p>
        </w:tc>
        <w:tc>
          <w:tcPr>
            <w:tcW w:w="12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1Q23</w:t>
            </w:r>
          </w:p>
        </w:tc>
        <w:tc>
          <w:tcPr>
            <w:tcW w:w="15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w w:val="96"/>
              </w:rPr>
              <w:t>4Q23</w:t>
            </w:r>
          </w:p>
        </w:tc>
        <w:tc>
          <w:tcPr>
            <w:tcW w:w="12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1Q24</w:t>
            </w:r>
          </w:p>
        </w:tc>
        <w:tc>
          <w:tcPr>
            <w:tcW w:w="980" w:type="dxa"/>
            <w:vAlign w:val="bottom"/>
            <w:tcBorders>
              <w:bottom w:val="single" w:sz="8" w:color="auto"/>
            </w:tcBorders>
            <w:shd w:val="clear" w:color="auto" w:fill="2AD2C8"/>
          </w:tcPr>
          <w:p>
            <w:pPr>
              <w:ind w:left="540"/>
              <w:spacing w:after="0"/>
              <w:rPr>
                <w:sz w:val="20"/>
                <w:szCs w:val="20"/>
                <w:color w:val="auto"/>
              </w:rPr>
            </w:pPr>
            <w:r>
              <w:rPr>
                <w:rFonts w:ascii="Arial" w:cs="Arial" w:eastAsia="Arial" w:hAnsi="Arial"/>
                <w:sz w:val="16"/>
                <w:szCs w:val="16"/>
                <w:b w:val="1"/>
                <w:bCs w:val="1"/>
                <w:color w:val="FFFFFF"/>
              </w:rPr>
              <w:t>QoQ</w:t>
            </w:r>
          </w:p>
        </w:tc>
        <w:tc>
          <w:tcPr>
            <w:tcW w:w="1720" w:type="dxa"/>
            <w:vAlign w:val="bottom"/>
            <w:tcBorders>
              <w:bottom w:val="single" w:sz="8" w:color="auto"/>
            </w:tcBorders>
            <w:shd w:val="clear" w:color="auto" w:fill="2AD2C8"/>
          </w:tcPr>
          <w:p>
            <w:pPr>
              <w:ind w:left="900"/>
              <w:spacing w:after="0"/>
              <w:rPr>
                <w:sz w:val="20"/>
                <w:szCs w:val="20"/>
                <w:color w:val="auto"/>
              </w:rPr>
            </w:pPr>
            <w:r>
              <w:rPr>
                <w:rFonts w:ascii="Arial" w:cs="Arial" w:eastAsia="Arial" w:hAnsi="Arial"/>
                <w:sz w:val="16"/>
                <w:szCs w:val="16"/>
                <w:b w:val="1"/>
                <w:bCs w:val="1"/>
                <w:color w:val="FFFFFF"/>
              </w:rPr>
              <w:t>YoY</w:t>
            </w:r>
          </w:p>
        </w:tc>
        <w:tc>
          <w:tcPr>
            <w:tcW w:w="20" w:type="dxa"/>
            <w:vAlign w:val="bottom"/>
            <w:tcBorders>
              <w:bottom w:val="single" w:sz="8" w:color="auto"/>
            </w:tcBorders>
          </w:tcPr>
          <w:p>
            <w:pPr>
              <w:spacing w:after="0"/>
              <w:rPr>
                <w:sz w:val="16"/>
                <w:szCs w:val="16"/>
                <w:color w:val="auto"/>
              </w:rPr>
            </w:pPr>
          </w:p>
        </w:tc>
      </w:tr>
      <w:tr>
        <w:trPr>
          <w:trHeight w:val="168"/>
        </w:trPr>
        <w:tc>
          <w:tcPr>
            <w:tcW w:w="4500" w:type="dxa"/>
            <w:vAlign w:val="bottom"/>
          </w:tcPr>
          <w:p>
            <w:pPr>
              <w:ind w:left="60"/>
              <w:spacing w:after="0" w:line="168" w:lineRule="exact"/>
              <w:rPr>
                <w:sz w:val="20"/>
                <w:szCs w:val="20"/>
                <w:color w:val="auto"/>
              </w:rPr>
            </w:pPr>
            <w:r>
              <w:rPr>
                <w:rFonts w:ascii="Arial" w:cs="Arial" w:eastAsia="Arial" w:hAnsi="Arial"/>
                <w:sz w:val="13"/>
                <w:szCs w:val="13"/>
                <w:color w:val="auto"/>
              </w:rPr>
              <w:t xml:space="preserve">Payments and transactionals </w:t>
            </w:r>
            <w:r>
              <w:rPr>
                <w:rFonts w:ascii="Arial" w:cs="Arial" w:eastAsia="Arial" w:hAnsi="Arial"/>
                <w:sz w:val="19"/>
                <w:szCs w:val="19"/>
                <w:color w:val="auto"/>
                <w:vertAlign w:val="superscript"/>
              </w:rPr>
              <w:t>(1)</w:t>
            </w:r>
          </w:p>
        </w:tc>
        <w:tc>
          <w:tcPr>
            <w:tcW w:w="1280" w:type="dxa"/>
            <w:vAlign w:val="bottom"/>
          </w:tcPr>
          <w:p>
            <w:pPr>
              <w:jc w:val="center"/>
              <w:spacing w:after="0" w:line="168" w:lineRule="exact"/>
              <w:rPr>
                <w:sz w:val="20"/>
                <w:szCs w:val="20"/>
                <w:color w:val="auto"/>
              </w:rPr>
            </w:pPr>
            <w:r>
              <w:rPr>
                <w:rFonts w:ascii="Arial" w:cs="Arial" w:eastAsia="Arial" w:hAnsi="Arial"/>
                <w:sz w:val="16"/>
                <w:szCs w:val="16"/>
                <w:color w:val="auto"/>
                <w:w w:val="99"/>
              </w:rPr>
              <w:t>321.1</w:t>
            </w:r>
          </w:p>
        </w:tc>
        <w:tc>
          <w:tcPr>
            <w:tcW w:w="1500" w:type="dxa"/>
            <w:vAlign w:val="bottom"/>
          </w:tcPr>
          <w:p>
            <w:pPr>
              <w:jc w:val="center"/>
              <w:spacing w:after="0" w:line="168" w:lineRule="exact"/>
              <w:rPr>
                <w:sz w:val="20"/>
                <w:szCs w:val="20"/>
                <w:color w:val="auto"/>
              </w:rPr>
            </w:pPr>
            <w:r>
              <w:rPr>
                <w:rFonts w:ascii="Arial" w:cs="Arial" w:eastAsia="Arial" w:hAnsi="Arial"/>
                <w:sz w:val="16"/>
                <w:szCs w:val="16"/>
                <w:color w:val="auto"/>
              </w:rPr>
              <w:t>319.6</w:t>
            </w:r>
          </w:p>
        </w:tc>
        <w:tc>
          <w:tcPr>
            <w:tcW w:w="1240" w:type="dxa"/>
            <w:vAlign w:val="bottom"/>
          </w:tcPr>
          <w:p>
            <w:pPr>
              <w:jc w:val="center"/>
              <w:spacing w:after="0" w:line="168" w:lineRule="exact"/>
              <w:rPr>
                <w:sz w:val="20"/>
                <w:szCs w:val="20"/>
                <w:color w:val="auto"/>
              </w:rPr>
            </w:pPr>
            <w:r>
              <w:rPr>
                <w:rFonts w:ascii="Arial" w:cs="Arial" w:eastAsia="Arial" w:hAnsi="Arial"/>
                <w:sz w:val="16"/>
                <w:szCs w:val="16"/>
                <w:color w:val="auto"/>
                <w:w w:val="99"/>
              </w:rPr>
              <w:t>340.0</w:t>
            </w:r>
          </w:p>
        </w:tc>
        <w:tc>
          <w:tcPr>
            <w:tcW w:w="980" w:type="dxa"/>
            <w:vAlign w:val="bottom"/>
          </w:tcPr>
          <w:p>
            <w:pPr>
              <w:jc w:val="center"/>
              <w:ind w:left="359"/>
              <w:spacing w:after="0" w:line="168" w:lineRule="exact"/>
              <w:rPr>
                <w:sz w:val="20"/>
                <w:szCs w:val="20"/>
                <w:color w:val="auto"/>
              </w:rPr>
            </w:pPr>
            <w:r>
              <w:rPr>
                <w:rFonts w:ascii="Arial" w:cs="Arial" w:eastAsia="Arial" w:hAnsi="Arial"/>
                <w:sz w:val="16"/>
                <w:szCs w:val="16"/>
                <w:color w:val="auto"/>
              </w:rPr>
              <w:t>6.4%</w:t>
            </w:r>
          </w:p>
        </w:tc>
        <w:tc>
          <w:tcPr>
            <w:tcW w:w="172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8"/>
              </w:rPr>
              <w:t>5.9%</w:t>
            </w:r>
          </w:p>
        </w:tc>
        <w:tc>
          <w:tcPr>
            <w:tcW w:w="20" w:type="dxa"/>
            <w:vAlign w:val="bottom"/>
          </w:tcPr>
          <w:p>
            <w:pPr>
              <w:spacing w:after="0"/>
              <w:rPr>
                <w:sz w:val="14"/>
                <w:szCs w:val="14"/>
                <w:color w:val="auto"/>
              </w:rPr>
            </w:pPr>
          </w:p>
        </w:tc>
      </w:tr>
      <w:tr>
        <w:trPr>
          <w:trHeight w:val="177"/>
        </w:trPr>
        <w:tc>
          <w:tcPr>
            <w:tcW w:w="4500" w:type="dxa"/>
            <w:vAlign w:val="bottom"/>
          </w:tcPr>
          <w:p>
            <w:pPr>
              <w:ind w:left="60"/>
              <w:spacing w:after="0" w:line="177" w:lineRule="exact"/>
              <w:rPr>
                <w:sz w:val="20"/>
                <w:szCs w:val="20"/>
                <w:color w:val="auto"/>
              </w:rPr>
            </w:pPr>
            <w:r>
              <w:rPr>
                <w:rFonts w:ascii="Arial" w:cs="Arial" w:eastAsia="Arial" w:hAnsi="Arial"/>
                <w:sz w:val="16"/>
                <w:szCs w:val="16"/>
                <w:color w:val="auto"/>
              </w:rPr>
              <w:t>Yape</w:t>
            </w:r>
          </w:p>
        </w:tc>
        <w:tc>
          <w:tcPr>
            <w:tcW w:w="1280" w:type="dxa"/>
            <w:vAlign w:val="bottom"/>
          </w:tcPr>
          <w:p>
            <w:pPr>
              <w:jc w:val="center"/>
              <w:spacing w:after="0" w:line="177" w:lineRule="exact"/>
              <w:rPr>
                <w:sz w:val="20"/>
                <w:szCs w:val="20"/>
                <w:color w:val="auto"/>
              </w:rPr>
            </w:pPr>
            <w:r>
              <w:rPr>
                <w:rFonts w:ascii="Arial" w:cs="Arial" w:eastAsia="Arial" w:hAnsi="Arial"/>
                <w:sz w:val="16"/>
                <w:szCs w:val="16"/>
                <w:color w:val="auto"/>
                <w:w w:val="98"/>
              </w:rPr>
              <w:t>-11.5</w:t>
            </w:r>
          </w:p>
        </w:tc>
        <w:tc>
          <w:tcPr>
            <w:tcW w:w="1500" w:type="dxa"/>
            <w:vAlign w:val="bottom"/>
          </w:tcPr>
          <w:p>
            <w:pPr>
              <w:jc w:val="center"/>
              <w:spacing w:after="0" w:line="177" w:lineRule="exact"/>
              <w:rPr>
                <w:sz w:val="20"/>
                <w:szCs w:val="20"/>
                <w:color w:val="auto"/>
              </w:rPr>
            </w:pPr>
            <w:r>
              <w:rPr>
                <w:rFonts w:ascii="Arial" w:cs="Arial" w:eastAsia="Arial" w:hAnsi="Arial"/>
                <w:sz w:val="16"/>
                <w:szCs w:val="16"/>
                <w:color w:val="auto"/>
                <w:w w:val="96"/>
              </w:rPr>
              <w:t>44.5</w:t>
            </w:r>
          </w:p>
        </w:tc>
        <w:tc>
          <w:tcPr>
            <w:tcW w:w="1240" w:type="dxa"/>
            <w:vAlign w:val="bottom"/>
          </w:tcPr>
          <w:p>
            <w:pPr>
              <w:jc w:val="center"/>
              <w:spacing w:after="0" w:line="177" w:lineRule="exact"/>
              <w:rPr>
                <w:sz w:val="20"/>
                <w:szCs w:val="20"/>
                <w:color w:val="auto"/>
              </w:rPr>
            </w:pPr>
            <w:r>
              <w:rPr>
                <w:rFonts w:ascii="Arial" w:cs="Arial" w:eastAsia="Arial" w:hAnsi="Arial"/>
                <w:sz w:val="16"/>
                <w:szCs w:val="16"/>
                <w:color w:val="auto"/>
              </w:rPr>
              <w:t>55.3</w:t>
            </w:r>
          </w:p>
        </w:tc>
        <w:tc>
          <w:tcPr>
            <w:tcW w:w="980" w:type="dxa"/>
            <w:vAlign w:val="bottom"/>
          </w:tcPr>
          <w:p>
            <w:pPr>
              <w:jc w:val="center"/>
              <w:ind w:left="359"/>
              <w:spacing w:after="0" w:line="177" w:lineRule="exact"/>
              <w:rPr>
                <w:sz w:val="20"/>
                <w:szCs w:val="20"/>
                <w:color w:val="auto"/>
              </w:rPr>
            </w:pPr>
            <w:r>
              <w:rPr>
                <w:rFonts w:ascii="Arial" w:cs="Arial" w:eastAsia="Arial" w:hAnsi="Arial"/>
                <w:sz w:val="16"/>
                <w:szCs w:val="16"/>
                <w:color w:val="auto"/>
              </w:rPr>
              <w:t>24.1%</w:t>
            </w:r>
          </w:p>
        </w:tc>
        <w:tc>
          <w:tcPr>
            <w:tcW w:w="1720" w:type="dxa"/>
            <w:vAlign w:val="bottom"/>
          </w:tcPr>
          <w:p>
            <w:pPr>
              <w:ind w:left="920"/>
              <w:spacing w:after="0" w:line="177"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189"/>
        </w:trPr>
        <w:tc>
          <w:tcPr>
            <w:tcW w:w="4500" w:type="dxa"/>
            <w:vAlign w:val="bottom"/>
          </w:tcPr>
          <w:p>
            <w:pPr>
              <w:ind w:left="60"/>
              <w:spacing w:after="0" w:line="189" w:lineRule="exact"/>
              <w:rPr>
                <w:sz w:val="20"/>
                <w:szCs w:val="20"/>
                <w:color w:val="auto"/>
              </w:rPr>
            </w:pPr>
            <w:r>
              <w:rPr>
                <w:rFonts w:ascii="Arial" w:cs="Arial" w:eastAsia="Arial" w:hAnsi="Arial"/>
                <w:sz w:val="14"/>
                <w:szCs w:val="14"/>
                <w:color w:val="auto"/>
              </w:rPr>
              <w:t xml:space="preserve">Liability accounts </w:t>
            </w:r>
            <w:r>
              <w:rPr>
                <w:rFonts w:ascii="Arial" w:cs="Arial" w:eastAsia="Arial" w:hAnsi="Arial"/>
                <w:sz w:val="21"/>
                <w:szCs w:val="21"/>
                <w:color w:val="auto"/>
                <w:vertAlign w:val="superscript"/>
              </w:rPr>
              <w:t>(2)</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178.0</w:t>
            </w:r>
          </w:p>
        </w:tc>
        <w:tc>
          <w:tcPr>
            <w:tcW w:w="1500" w:type="dxa"/>
            <w:vAlign w:val="bottom"/>
          </w:tcPr>
          <w:p>
            <w:pPr>
              <w:jc w:val="center"/>
              <w:spacing w:after="0"/>
              <w:rPr>
                <w:sz w:val="20"/>
                <w:szCs w:val="20"/>
                <w:color w:val="auto"/>
              </w:rPr>
            </w:pPr>
            <w:r>
              <w:rPr>
                <w:rFonts w:ascii="Arial" w:cs="Arial" w:eastAsia="Arial" w:hAnsi="Arial"/>
                <w:sz w:val="16"/>
                <w:szCs w:val="16"/>
                <w:color w:val="auto"/>
              </w:rPr>
              <w:t>185.6</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178.1</w:t>
            </w:r>
          </w:p>
        </w:tc>
        <w:tc>
          <w:tcPr>
            <w:tcW w:w="980" w:type="dxa"/>
            <w:vAlign w:val="bottom"/>
          </w:tcPr>
          <w:p>
            <w:pPr>
              <w:jc w:val="center"/>
              <w:ind w:left="359"/>
              <w:spacing w:after="0"/>
              <w:rPr>
                <w:sz w:val="20"/>
                <w:szCs w:val="20"/>
                <w:color w:val="auto"/>
              </w:rPr>
            </w:pPr>
            <w:r>
              <w:rPr>
                <w:rFonts w:ascii="Arial" w:cs="Arial" w:eastAsia="Arial" w:hAnsi="Arial"/>
                <w:sz w:val="16"/>
                <w:szCs w:val="16"/>
                <w:color w:val="auto"/>
              </w:rPr>
              <w:t>-4.0%</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w w:val="98"/>
              </w:rPr>
              <w:t>0.1%</w:t>
            </w:r>
          </w:p>
        </w:tc>
        <w:tc>
          <w:tcPr>
            <w:tcW w:w="20" w:type="dxa"/>
            <w:vAlign w:val="bottom"/>
          </w:tcPr>
          <w:p>
            <w:pPr>
              <w:spacing w:after="0"/>
              <w:rPr>
                <w:sz w:val="16"/>
                <w:szCs w:val="16"/>
                <w:color w:val="auto"/>
              </w:rPr>
            </w:pPr>
          </w:p>
        </w:tc>
      </w:tr>
      <w:tr>
        <w:trPr>
          <w:trHeight w:val="201"/>
        </w:trPr>
        <w:tc>
          <w:tcPr>
            <w:tcW w:w="4500" w:type="dxa"/>
            <w:vAlign w:val="bottom"/>
          </w:tcPr>
          <w:p>
            <w:pPr>
              <w:ind w:left="60"/>
              <w:spacing w:after="0" w:line="201" w:lineRule="exact"/>
              <w:rPr>
                <w:sz w:val="20"/>
                <w:szCs w:val="20"/>
                <w:color w:val="auto"/>
              </w:rPr>
            </w:pPr>
            <w:r>
              <w:rPr>
                <w:rFonts w:ascii="Arial" w:cs="Arial" w:eastAsia="Arial" w:hAnsi="Arial"/>
                <w:sz w:val="15"/>
                <w:szCs w:val="15"/>
                <w:color w:val="auto"/>
              </w:rPr>
              <w:t xml:space="preserve">Loan Disbursement </w:t>
            </w:r>
            <w:r>
              <w:rPr>
                <w:rFonts w:ascii="Arial" w:cs="Arial" w:eastAsia="Arial" w:hAnsi="Arial"/>
                <w:sz w:val="23"/>
                <w:szCs w:val="23"/>
                <w:color w:val="auto"/>
                <w:vertAlign w:val="superscript"/>
              </w:rPr>
              <w:t>(3)</w:t>
            </w:r>
          </w:p>
        </w:tc>
        <w:tc>
          <w:tcPr>
            <w:tcW w:w="1280" w:type="dxa"/>
            <w:vAlign w:val="bottom"/>
          </w:tcPr>
          <w:p>
            <w:pPr>
              <w:jc w:val="center"/>
              <w:spacing w:after="0"/>
              <w:rPr>
                <w:sz w:val="20"/>
                <w:szCs w:val="20"/>
                <w:color w:val="auto"/>
              </w:rPr>
            </w:pPr>
            <w:r>
              <w:rPr>
                <w:rFonts w:ascii="Arial" w:cs="Arial" w:eastAsia="Arial" w:hAnsi="Arial"/>
                <w:sz w:val="16"/>
                <w:szCs w:val="16"/>
                <w:color w:val="auto"/>
              </w:rPr>
              <w:t>95.2</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96.6</w:t>
            </w:r>
          </w:p>
        </w:tc>
        <w:tc>
          <w:tcPr>
            <w:tcW w:w="1240" w:type="dxa"/>
            <w:vAlign w:val="bottom"/>
          </w:tcPr>
          <w:p>
            <w:pPr>
              <w:jc w:val="center"/>
              <w:spacing w:after="0"/>
              <w:rPr>
                <w:sz w:val="20"/>
                <w:szCs w:val="20"/>
                <w:color w:val="auto"/>
              </w:rPr>
            </w:pPr>
            <w:r>
              <w:rPr>
                <w:rFonts w:ascii="Arial" w:cs="Arial" w:eastAsia="Arial" w:hAnsi="Arial"/>
                <w:sz w:val="16"/>
                <w:szCs w:val="16"/>
                <w:color w:val="auto"/>
              </w:rPr>
              <w:t>90.1</w:t>
            </w:r>
          </w:p>
        </w:tc>
        <w:tc>
          <w:tcPr>
            <w:tcW w:w="980" w:type="dxa"/>
            <w:vAlign w:val="bottom"/>
          </w:tcPr>
          <w:p>
            <w:pPr>
              <w:jc w:val="center"/>
              <w:ind w:left="359"/>
              <w:spacing w:after="0"/>
              <w:rPr>
                <w:sz w:val="20"/>
                <w:szCs w:val="20"/>
                <w:color w:val="auto"/>
              </w:rPr>
            </w:pPr>
            <w:r>
              <w:rPr>
                <w:rFonts w:ascii="Arial" w:cs="Arial" w:eastAsia="Arial" w:hAnsi="Arial"/>
                <w:sz w:val="16"/>
                <w:szCs w:val="16"/>
                <w:color w:val="auto"/>
              </w:rPr>
              <w:t>-6.7%</w:t>
            </w:r>
          </w:p>
        </w:tc>
        <w:tc>
          <w:tcPr>
            <w:tcW w:w="1720" w:type="dxa"/>
            <w:vAlign w:val="bottom"/>
          </w:tcPr>
          <w:p>
            <w:pPr>
              <w:jc w:val="center"/>
              <w:ind w:left="299"/>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r>
      <w:tr>
        <w:trPr>
          <w:trHeight w:val="189"/>
        </w:trPr>
        <w:tc>
          <w:tcPr>
            <w:tcW w:w="4500" w:type="dxa"/>
            <w:vAlign w:val="bottom"/>
          </w:tcPr>
          <w:p>
            <w:pPr>
              <w:ind w:left="60"/>
              <w:spacing w:after="0"/>
              <w:rPr>
                <w:sz w:val="20"/>
                <w:szCs w:val="20"/>
                <w:color w:val="auto"/>
              </w:rPr>
            </w:pPr>
            <w:r>
              <w:rPr>
                <w:rFonts w:ascii="Arial" w:cs="Arial" w:eastAsia="Arial" w:hAnsi="Arial"/>
                <w:sz w:val="16"/>
                <w:szCs w:val="16"/>
                <w:color w:val="auto"/>
              </w:rPr>
              <w:t>Off-balance sheet</w:t>
            </w:r>
          </w:p>
        </w:tc>
        <w:tc>
          <w:tcPr>
            <w:tcW w:w="1280" w:type="dxa"/>
            <w:vAlign w:val="bottom"/>
          </w:tcPr>
          <w:p>
            <w:pPr>
              <w:jc w:val="center"/>
              <w:spacing w:after="0"/>
              <w:rPr>
                <w:sz w:val="20"/>
                <w:szCs w:val="20"/>
                <w:color w:val="auto"/>
              </w:rPr>
            </w:pPr>
            <w:r>
              <w:rPr>
                <w:rFonts w:ascii="Arial" w:cs="Arial" w:eastAsia="Arial" w:hAnsi="Arial"/>
                <w:sz w:val="16"/>
                <w:szCs w:val="16"/>
                <w:color w:val="auto"/>
              </w:rPr>
              <w:t>61.7</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56.5</w:t>
            </w:r>
          </w:p>
        </w:tc>
        <w:tc>
          <w:tcPr>
            <w:tcW w:w="1240" w:type="dxa"/>
            <w:vAlign w:val="bottom"/>
          </w:tcPr>
          <w:p>
            <w:pPr>
              <w:jc w:val="center"/>
              <w:spacing w:after="0"/>
              <w:rPr>
                <w:sz w:val="20"/>
                <w:szCs w:val="20"/>
                <w:color w:val="auto"/>
              </w:rPr>
            </w:pPr>
            <w:r>
              <w:rPr>
                <w:rFonts w:ascii="Arial" w:cs="Arial" w:eastAsia="Arial" w:hAnsi="Arial"/>
                <w:sz w:val="16"/>
                <w:szCs w:val="16"/>
                <w:color w:val="auto"/>
              </w:rPr>
              <w:t>57.3</w:t>
            </w:r>
          </w:p>
        </w:tc>
        <w:tc>
          <w:tcPr>
            <w:tcW w:w="980" w:type="dxa"/>
            <w:vAlign w:val="bottom"/>
          </w:tcPr>
          <w:p>
            <w:pPr>
              <w:jc w:val="center"/>
              <w:ind w:left="359"/>
              <w:spacing w:after="0"/>
              <w:rPr>
                <w:sz w:val="20"/>
                <w:szCs w:val="20"/>
                <w:color w:val="auto"/>
              </w:rPr>
            </w:pPr>
            <w:r>
              <w:rPr>
                <w:rFonts w:ascii="Arial" w:cs="Arial" w:eastAsia="Arial" w:hAnsi="Arial"/>
                <w:sz w:val="16"/>
                <w:szCs w:val="16"/>
                <w:color w:val="auto"/>
              </w:rPr>
              <w:t>1.4%</w:t>
            </w:r>
          </w:p>
        </w:tc>
        <w:tc>
          <w:tcPr>
            <w:tcW w:w="1720" w:type="dxa"/>
            <w:vAlign w:val="bottom"/>
          </w:tcPr>
          <w:p>
            <w:pPr>
              <w:jc w:val="center"/>
              <w:ind w:left="299"/>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r>
      <w:tr>
        <w:trPr>
          <w:trHeight w:val="189"/>
        </w:trPr>
        <w:tc>
          <w:tcPr>
            <w:tcW w:w="4500" w:type="dxa"/>
            <w:vAlign w:val="bottom"/>
          </w:tcPr>
          <w:p>
            <w:pPr>
              <w:ind w:left="60"/>
              <w:spacing w:after="0"/>
              <w:rPr>
                <w:sz w:val="20"/>
                <w:szCs w:val="20"/>
                <w:color w:val="auto"/>
              </w:rPr>
            </w:pPr>
            <w:r>
              <w:rPr>
                <w:rFonts w:ascii="Arial" w:cs="Arial" w:eastAsia="Arial" w:hAnsi="Arial"/>
                <w:sz w:val="16"/>
                <w:szCs w:val="16"/>
                <w:color w:val="auto"/>
              </w:rPr>
              <w:t>Insurances</w:t>
            </w:r>
          </w:p>
        </w:tc>
        <w:tc>
          <w:tcPr>
            <w:tcW w:w="1280" w:type="dxa"/>
            <w:vAlign w:val="bottom"/>
          </w:tcPr>
          <w:p>
            <w:pPr>
              <w:jc w:val="center"/>
              <w:spacing w:after="0"/>
              <w:rPr>
                <w:sz w:val="20"/>
                <w:szCs w:val="20"/>
                <w:color w:val="auto"/>
              </w:rPr>
            </w:pPr>
            <w:r>
              <w:rPr>
                <w:rFonts w:ascii="Arial" w:cs="Arial" w:eastAsia="Arial" w:hAnsi="Arial"/>
                <w:sz w:val="16"/>
                <w:szCs w:val="16"/>
                <w:color w:val="auto"/>
              </w:rPr>
              <w:t>31.1</w:t>
            </w:r>
          </w:p>
        </w:tc>
        <w:tc>
          <w:tcPr>
            <w:tcW w:w="1500" w:type="dxa"/>
            <w:vAlign w:val="bottom"/>
          </w:tcPr>
          <w:p>
            <w:pPr>
              <w:jc w:val="center"/>
              <w:spacing w:after="0"/>
              <w:rPr>
                <w:sz w:val="20"/>
                <w:szCs w:val="20"/>
                <w:color w:val="auto"/>
              </w:rPr>
            </w:pPr>
            <w:r>
              <w:rPr>
                <w:rFonts w:ascii="Arial" w:cs="Arial" w:eastAsia="Arial" w:hAnsi="Arial"/>
                <w:sz w:val="16"/>
                <w:szCs w:val="16"/>
                <w:color w:val="auto"/>
                <w:w w:val="96"/>
              </w:rPr>
              <w:t>31.3</w:t>
            </w:r>
          </w:p>
        </w:tc>
        <w:tc>
          <w:tcPr>
            <w:tcW w:w="1240" w:type="dxa"/>
            <w:vAlign w:val="bottom"/>
          </w:tcPr>
          <w:p>
            <w:pPr>
              <w:jc w:val="center"/>
              <w:spacing w:after="0"/>
              <w:rPr>
                <w:sz w:val="20"/>
                <w:szCs w:val="20"/>
                <w:color w:val="auto"/>
              </w:rPr>
            </w:pPr>
            <w:r>
              <w:rPr>
                <w:rFonts w:ascii="Arial" w:cs="Arial" w:eastAsia="Arial" w:hAnsi="Arial"/>
                <w:sz w:val="16"/>
                <w:szCs w:val="16"/>
                <w:color w:val="auto"/>
              </w:rPr>
              <w:t>33.1</w:t>
            </w:r>
          </w:p>
        </w:tc>
        <w:tc>
          <w:tcPr>
            <w:tcW w:w="980" w:type="dxa"/>
            <w:vAlign w:val="bottom"/>
          </w:tcPr>
          <w:p>
            <w:pPr>
              <w:jc w:val="center"/>
              <w:ind w:left="359"/>
              <w:spacing w:after="0"/>
              <w:rPr>
                <w:sz w:val="20"/>
                <w:szCs w:val="20"/>
                <w:color w:val="auto"/>
              </w:rPr>
            </w:pPr>
            <w:r>
              <w:rPr>
                <w:rFonts w:ascii="Arial" w:cs="Arial" w:eastAsia="Arial" w:hAnsi="Arial"/>
                <w:sz w:val="16"/>
                <w:szCs w:val="16"/>
                <w:color w:val="auto"/>
              </w:rPr>
              <w:t>5.6%</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w w:val="98"/>
              </w:rPr>
              <w:t>6.3%</w:t>
            </w:r>
          </w:p>
        </w:tc>
        <w:tc>
          <w:tcPr>
            <w:tcW w:w="20" w:type="dxa"/>
            <w:vAlign w:val="bottom"/>
          </w:tcPr>
          <w:p>
            <w:pPr>
              <w:spacing w:after="0"/>
              <w:rPr>
                <w:sz w:val="16"/>
                <w:szCs w:val="16"/>
                <w:color w:val="auto"/>
              </w:rPr>
            </w:pPr>
          </w:p>
        </w:tc>
      </w:tr>
      <w:tr>
        <w:trPr>
          <w:trHeight w:val="177"/>
        </w:trPr>
        <w:tc>
          <w:tcPr>
            <w:tcW w:w="4500" w:type="dxa"/>
            <w:vAlign w:val="bottom"/>
          </w:tcPr>
          <w:p>
            <w:pPr>
              <w:ind w:left="60"/>
              <w:spacing w:after="0" w:line="177" w:lineRule="exact"/>
              <w:rPr>
                <w:sz w:val="20"/>
                <w:szCs w:val="20"/>
                <w:color w:val="auto"/>
              </w:rPr>
            </w:pPr>
            <w:r>
              <w:rPr>
                <w:rFonts w:ascii="Arial" w:cs="Arial" w:eastAsia="Arial" w:hAnsi="Arial"/>
                <w:sz w:val="16"/>
                <w:szCs w:val="16"/>
                <w:color w:val="auto"/>
              </w:rPr>
              <w:t>ASB</w:t>
            </w:r>
          </w:p>
        </w:tc>
        <w:tc>
          <w:tcPr>
            <w:tcW w:w="1280" w:type="dxa"/>
            <w:vAlign w:val="bottom"/>
          </w:tcPr>
          <w:p>
            <w:pPr>
              <w:jc w:val="center"/>
              <w:ind w:left="19"/>
              <w:spacing w:after="0" w:line="177" w:lineRule="exact"/>
              <w:rPr>
                <w:sz w:val="20"/>
                <w:szCs w:val="20"/>
                <w:color w:val="auto"/>
              </w:rPr>
            </w:pPr>
            <w:r>
              <w:rPr>
                <w:rFonts w:ascii="Arial" w:cs="Arial" w:eastAsia="Arial" w:hAnsi="Arial"/>
                <w:sz w:val="16"/>
                <w:szCs w:val="16"/>
                <w:color w:val="auto"/>
                <w:w w:val="98"/>
              </w:rPr>
              <w:t>9.8</w:t>
            </w:r>
          </w:p>
        </w:tc>
        <w:tc>
          <w:tcPr>
            <w:tcW w:w="1500" w:type="dxa"/>
            <w:vAlign w:val="bottom"/>
          </w:tcPr>
          <w:p>
            <w:pPr>
              <w:jc w:val="center"/>
              <w:spacing w:after="0" w:line="177" w:lineRule="exact"/>
              <w:rPr>
                <w:sz w:val="20"/>
                <w:szCs w:val="20"/>
                <w:color w:val="auto"/>
              </w:rPr>
            </w:pPr>
            <w:r>
              <w:rPr>
                <w:rFonts w:ascii="Arial" w:cs="Arial" w:eastAsia="Arial" w:hAnsi="Arial"/>
                <w:sz w:val="16"/>
                <w:szCs w:val="16"/>
                <w:color w:val="auto"/>
                <w:w w:val="98"/>
              </w:rPr>
              <w:t>4.9</w:t>
            </w:r>
          </w:p>
        </w:tc>
        <w:tc>
          <w:tcPr>
            <w:tcW w:w="1240" w:type="dxa"/>
            <w:vAlign w:val="bottom"/>
          </w:tcPr>
          <w:p>
            <w:pPr>
              <w:jc w:val="center"/>
              <w:spacing w:after="0" w:line="177" w:lineRule="exact"/>
              <w:rPr>
                <w:sz w:val="20"/>
                <w:szCs w:val="20"/>
                <w:color w:val="auto"/>
              </w:rPr>
            </w:pPr>
            <w:r>
              <w:rPr>
                <w:rFonts w:ascii="Arial" w:cs="Arial" w:eastAsia="Arial" w:hAnsi="Arial"/>
                <w:sz w:val="16"/>
                <w:szCs w:val="16"/>
                <w:color w:val="auto"/>
              </w:rPr>
              <w:t>9.5</w:t>
            </w:r>
          </w:p>
        </w:tc>
        <w:tc>
          <w:tcPr>
            <w:tcW w:w="980" w:type="dxa"/>
            <w:vAlign w:val="bottom"/>
          </w:tcPr>
          <w:p>
            <w:pPr>
              <w:jc w:val="center"/>
              <w:ind w:left="359"/>
              <w:spacing w:after="0" w:line="177" w:lineRule="exact"/>
              <w:rPr>
                <w:sz w:val="20"/>
                <w:szCs w:val="20"/>
                <w:color w:val="auto"/>
              </w:rPr>
            </w:pPr>
            <w:r>
              <w:rPr>
                <w:rFonts w:ascii="Arial" w:cs="Arial" w:eastAsia="Arial" w:hAnsi="Arial"/>
                <w:sz w:val="16"/>
                <w:szCs w:val="16"/>
                <w:color w:val="auto"/>
              </w:rPr>
              <w:t>91.5%</w:t>
            </w:r>
          </w:p>
        </w:tc>
        <w:tc>
          <w:tcPr>
            <w:tcW w:w="1720" w:type="dxa"/>
            <w:vAlign w:val="bottom"/>
          </w:tcPr>
          <w:p>
            <w:pPr>
              <w:jc w:val="center"/>
              <w:ind w:left="299"/>
              <w:spacing w:after="0" w:line="177" w:lineRule="exact"/>
              <w:rPr>
                <w:sz w:val="20"/>
                <w:szCs w:val="20"/>
                <w:color w:val="auto"/>
              </w:rPr>
            </w:pPr>
            <w:r>
              <w:rPr>
                <w:rFonts w:ascii="Arial" w:cs="Arial" w:eastAsia="Arial" w:hAnsi="Arial"/>
                <w:sz w:val="16"/>
                <w:szCs w:val="16"/>
                <w:color w:val="auto"/>
              </w:rPr>
              <w:t>-3.2%</w:t>
            </w:r>
          </w:p>
        </w:tc>
        <w:tc>
          <w:tcPr>
            <w:tcW w:w="20" w:type="dxa"/>
            <w:vAlign w:val="bottom"/>
          </w:tcPr>
          <w:p>
            <w:pPr>
              <w:spacing w:after="0"/>
              <w:rPr>
                <w:sz w:val="15"/>
                <w:szCs w:val="15"/>
                <w:color w:val="auto"/>
              </w:rPr>
            </w:pPr>
          </w:p>
        </w:tc>
      </w:tr>
      <w:tr>
        <w:trPr>
          <w:trHeight w:val="215"/>
        </w:trPr>
        <w:tc>
          <w:tcPr>
            <w:tcW w:w="450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5"/>
                <w:szCs w:val="15"/>
                <w:color w:val="auto"/>
              </w:rPr>
              <w:t xml:space="preserve">Others </w:t>
            </w:r>
            <w:r>
              <w:rPr>
                <w:rFonts w:ascii="Arial" w:cs="Arial" w:eastAsia="Arial" w:hAnsi="Arial"/>
                <w:sz w:val="24"/>
                <w:szCs w:val="24"/>
                <w:color w:val="auto"/>
                <w:vertAlign w:val="superscript"/>
              </w:rPr>
              <w:t>(4)</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12.9</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9.2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8.1</w:t>
            </w:r>
          </w:p>
        </w:tc>
        <w:tc>
          <w:tcPr>
            <w:tcW w:w="98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8"/>
              </w:rPr>
              <w:t>-11.6%</w:t>
            </w:r>
          </w:p>
        </w:tc>
        <w:tc>
          <w:tcPr>
            <w:tcW w:w="17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rPr>
              <w:t>-37.1%</w:t>
            </w:r>
          </w:p>
        </w:tc>
        <w:tc>
          <w:tcPr>
            <w:tcW w:w="20" w:type="dxa"/>
            <w:vAlign w:val="bottom"/>
            <w:tcBorders>
              <w:bottom w:val="single" w:sz="8" w:color="auto"/>
            </w:tcBorders>
          </w:tcPr>
          <w:p>
            <w:pPr>
              <w:spacing w:after="0"/>
              <w:rPr>
                <w:sz w:val="18"/>
                <w:szCs w:val="18"/>
                <w:color w:val="auto"/>
              </w:rPr>
            </w:pPr>
          </w:p>
        </w:tc>
      </w:tr>
      <w:tr>
        <w:trPr>
          <w:trHeight w:val="193"/>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698.2</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748.2</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9"/>
              </w:rPr>
              <w:t>771.5</w:t>
            </w:r>
          </w:p>
        </w:tc>
        <w:tc>
          <w:tcPr>
            <w:tcW w:w="980" w:type="dxa"/>
            <w:vAlign w:val="bottom"/>
          </w:tcPr>
          <w:p>
            <w:pPr>
              <w:jc w:val="center"/>
              <w:ind w:left="359"/>
              <w:spacing w:after="0"/>
              <w:rPr>
                <w:sz w:val="20"/>
                <w:szCs w:val="20"/>
                <w:color w:val="auto"/>
              </w:rPr>
            </w:pPr>
            <w:r>
              <w:rPr>
                <w:rFonts w:ascii="Arial" w:cs="Arial" w:eastAsia="Arial" w:hAnsi="Arial"/>
                <w:sz w:val="16"/>
                <w:szCs w:val="16"/>
                <w:b w:val="1"/>
                <w:bCs w:val="1"/>
                <w:color w:val="auto"/>
              </w:rPr>
              <w:t>3.1%</w:t>
            </w:r>
          </w:p>
        </w:tc>
        <w:tc>
          <w:tcPr>
            <w:tcW w:w="1720" w:type="dxa"/>
            <w:vAlign w:val="bottom"/>
          </w:tcPr>
          <w:p>
            <w:pPr>
              <w:jc w:val="center"/>
              <w:ind w:left="299"/>
              <w:spacing w:after="0"/>
              <w:rPr>
                <w:sz w:val="20"/>
                <w:szCs w:val="20"/>
                <w:color w:val="auto"/>
              </w:rPr>
            </w:pPr>
            <w:r>
              <w:rPr>
                <w:rFonts w:ascii="Arial" w:cs="Arial" w:eastAsia="Arial" w:hAnsi="Arial"/>
                <w:sz w:val="16"/>
                <w:szCs w:val="16"/>
                <w:b w:val="1"/>
                <w:bCs w:val="1"/>
                <w:color w:val="auto"/>
              </w:rPr>
              <w:t>10.5%</w:t>
            </w:r>
          </w:p>
        </w:tc>
        <w:tc>
          <w:tcPr>
            <w:tcW w:w="20" w:type="dxa"/>
            <w:vAlign w:val="bottom"/>
          </w:tcPr>
          <w:p>
            <w:pPr>
              <w:spacing w:after="0"/>
              <w:rPr>
                <w:sz w:val="16"/>
                <w:szCs w:val="16"/>
                <w:color w:val="auto"/>
              </w:rPr>
            </w:pPr>
          </w:p>
        </w:tc>
      </w:tr>
    </w:tbl>
    <w:p>
      <w:pPr>
        <w:spacing w:after="0" w:line="230" w:lineRule="auto"/>
        <w:rPr>
          <w:sz w:val="20"/>
          <w:szCs w:val="20"/>
          <w:color w:val="auto"/>
        </w:rPr>
      </w:pPr>
      <w:r>
        <w:rPr>
          <w:rFonts w:ascii="Arial" w:cs="Arial" w:eastAsia="Arial" w:hAnsi="Arial"/>
          <w:sz w:val="11"/>
          <w:szCs w:val="11"/>
          <w:color w:val="auto"/>
        </w:rPr>
        <w:t>(*) This table corresponds to management numbers.</w:t>
      </w:r>
    </w:p>
    <w:p>
      <w:pPr>
        <w:ind w:left="180" w:hanging="172"/>
        <w:spacing w:after="0" w:line="231" w:lineRule="auto"/>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Corresponds to fees from credit and debit cards; payments and collections. It is not comparable with the same line of previous reports given the change in details.</w:t>
      </w:r>
    </w:p>
    <w:p>
      <w:pPr>
        <w:ind w:left="180" w:hanging="172"/>
        <w:spacing w:after="0" w:line="230" w:lineRule="auto"/>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Corresponds to fees from Account maintenance, interbank transfers, national money orders, and international transfers.</w:t>
      </w:r>
    </w:p>
    <w:p>
      <w:pPr>
        <w:ind w:left="180" w:hanging="172"/>
        <w:spacing w:after="0" w:line="230" w:lineRule="auto"/>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Corresponds to fees from retail and wholesale loan disbursements.</w:t>
      </w:r>
    </w:p>
    <w:p>
      <w:pPr>
        <w:ind w:left="180" w:hanging="172"/>
        <w:spacing w:after="0"/>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Use of third-party networks, other services to third parties, and Commissions in foreign branches.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Net fee income rose 1.3%, driven mainly by growth in the fee volume generated by:</w:t>
      </w:r>
    </w:p>
    <w:p>
      <w:pPr>
        <w:spacing w:after="0" w:line="14" w:lineRule="exact"/>
        <w:rPr>
          <w:sz w:val="20"/>
          <w:szCs w:val="20"/>
          <w:color w:val="auto"/>
        </w:rPr>
      </w:pPr>
    </w:p>
    <w:p>
      <w:pPr>
        <w:jc w:val="both"/>
        <w:ind w:left="660" w:hanging="328"/>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and services, which registered growth through an uptick in transactions via (i) an increase in fees generated by credit cards which reflecs the change in the channel mix as customers transact more in e-commerce; (ii) growth in billing for debit cards (+2.4%).</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Yape, where income growth was led by bill payments, followed by merchant fees and mobile top-ups.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Net fee income grew 10.5%, spurred primarily by growth in total fees received through:</w:t>
      </w:r>
    </w:p>
    <w:p>
      <w:pPr>
        <w:spacing w:after="0" w:line="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Yape, where income growth was led by bill payments, followed by the merchant fee and mobile top-ups.</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and services, which reported growth on the back of higher transactionality via (i) higher billing through credit cards (+8.7%); and (ii) growth in billing through debit cards (+23.2%).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Other Non-Core Income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520" w:type="dxa"/>
            <w:vAlign w:val="bottom"/>
            <w:tcBorders>
              <w:top w:val="single" w:sz="8" w:color="auto"/>
              <w:left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Other Non-Core Income</w:t>
            </w:r>
          </w:p>
        </w:tc>
        <w:tc>
          <w:tcPr>
            <w:tcW w:w="1160" w:type="dxa"/>
            <w:vAlign w:val="bottom"/>
            <w:tcBorders>
              <w:top w:val="single" w:sz="8" w:color="auto"/>
            </w:tcBorders>
            <w:shd w:val="clear" w:color="auto" w:fill="2AD2C8"/>
          </w:tcPr>
          <w:p>
            <w:pPr>
              <w:spacing w:after="0"/>
              <w:rPr>
                <w:sz w:val="17"/>
                <w:szCs w:val="17"/>
                <w:color w:val="auto"/>
              </w:rPr>
            </w:pPr>
          </w:p>
        </w:tc>
        <w:tc>
          <w:tcPr>
            <w:tcW w:w="1520" w:type="dxa"/>
            <w:vAlign w:val="bottom"/>
            <w:tcBorders>
              <w:top w:val="single" w:sz="8" w:color="auto"/>
            </w:tcBorders>
            <w:shd w:val="clear" w:color="auto" w:fill="2AD2C8"/>
          </w:tcPr>
          <w:p>
            <w:pPr>
              <w:ind w:left="180"/>
              <w:spacing w:after="0"/>
              <w:rPr>
                <w:sz w:val="20"/>
                <w:szCs w:val="20"/>
                <w:color w:val="auto"/>
              </w:rPr>
            </w:pPr>
            <w:r>
              <w:rPr>
                <w:rFonts w:ascii="Arial" w:cs="Arial" w:eastAsia="Arial" w:hAnsi="Arial"/>
                <w:sz w:val="16"/>
                <w:szCs w:val="16"/>
                <w:b w:val="1"/>
                <w:bCs w:val="1"/>
                <w:color w:val="FFFFFF"/>
              </w:rPr>
              <w:t>Quarter</w:t>
            </w:r>
          </w:p>
        </w:tc>
        <w:tc>
          <w:tcPr>
            <w:tcW w:w="1380" w:type="dxa"/>
            <w:vAlign w:val="bottom"/>
            <w:tcBorders>
              <w:top w:val="single" w:sz="8" w:color="auto"/>
              <w:right w:val="single" w:sz="8" w:color="auto"/>
            </w:tcBorders>
            <w:shd w:val="clear" w:color="auto" w:fill="2AD2C8"/>
          </w:tcPr>
          <w:p>
            <w:pPr>
              <w:spacing w:after="0"/>
              <w:rPr>
                <w:sz w:val="17"/>
                <w:szCs w:val="17"/>
                <w:color w:val="auto"/>
              </w:rPr>
            </w:pPr>
          </w:p>
        </w:tc>
        <w:tc>
          <w:tcPr>
            <w:tcW w:w="2660" w:type="dxa"/>
            <w:vAlign w:val="bottom"/>
            <w:tcBorders>
              <w:top w:val="single" w:sz="8" w:color="auto"/>
              <w:right w:val="single" w:sz="8" w:color="auto"/>
            </w:tcBorders>
            <w:gridSpan w:val="2"/>
            <w:shd w:val="clear" w:color="auto" w:fill="2AD2C8"/>
          </w:tcPr>
          <w:p>
            <w:pPr>
              <w:ind w:left="920"/>
              <w:spacing w:after="0"/>
              <w:rPr>
                <w:sz w:val="20"/>
                <w:szCs w:val="20"/>
                <w:color w:val="auto"/>
              </w:rPr>
            </w:pPr>
            <w:r>
              <w:rPr>
                <w:rFonts w:ascii="Arial" w:cs="Arial" w:eastAsia="Arial" w:hAnsi="Arial"/>
                <w:sz w:val="16"/>
                <w:szCs w:val="16"/>
                <w:b w:val="1"/>
                <w:bCs w:val="1"/>
                <w:color w:val="FFFFFF"/>
              </w:rPr>
              <w:t>% Change</w:t>
            </w:r>
          </w:p>
        </w:tc>
      </w:tr>
      <w:tr>
        <w:trPr>
          <w:trHeight w:val="189"/>
        </w:trPr>
        <w:tc>
          <w:tcPr>
            <w:tcW w:w="4520" w:type="dxa"/>
            <w:vAlign w:val="bottom"/>
            <w:tcBorders>
              <w:left w:val="single" w:sz="8" w:color="auto"/>
              <w:bottom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S/ (000)</w:t>
            </w:r>
          </w:p>
        </w:tc>
        <w:tc>
          <w:tcPr>
            <w:tcW w:w="1160" w:type="dxa"/>
            <w:vAlign w:val="bottom"/>
            <w:tcBorders>
              <w:bottom w:val="single" w:sz="8" w:color="auto"/>
            </w:tcBorders>
            <w:shd w:val="clear" w:color="auto" w:fill="2AD2C8"/>
          </w:tcPr>
          <w:p>
            <w:pPr>
              <w:jc w:val="center"/>
              <w:ind w:left="71"/>
              <w:spacing w:after="0"/>
              <w:rPr>
                <w:sz w:val="20"/>
                <w:szCs w:val="20"/>
                <w:color w:val="auto"/>
              </w:rPr>
            </w:pPr>
            <w:r>
              <w:rPr>
                <w:rFonts w:ascii="Arial" w:cs="Arial" w:eastAsia="Arial" w:hAnsi="Arial"/>
                <w:sz w:val="16"/>
                <w:szCs w:val="16"/>
                <w:b w:val="1"/>
                <w:bCs w:val="1"/>
                <w:color w:val="FFFFFF"/>
              </w:rPr>
              <w:t>1Q23</w:t>
            </w:r>
          </w:p>
        </w:tc>
        <w:tc>
          <w:tcPr>
            <w:tcW w:w="1520" w:type="dxa"/>
            <w:vAlign w:val="bottom"/>
            <w:tcBorders>
              <w:bottom w:val="single" w:sz="8" w:color="auto"/>
            </w:tcBorders>
            <w:shd w:val="clear" w:color="auto" w:fill="2AD2C8"/>
          </w:tcPr>
          <w:p>
            <w:pPr>
              <w:jc w:val="center"/>
              <w:ind w:left="92"/>
              <w:spacing w:after="0"/>
              <w:rPr>
                <w:sz w:val="20"/>
                <w:szCs w:val="20"/>
                <w:color w:val="auto"/>
              </w:rPr>
            </w:pPr>
            <w:r>
              <w:rPr>
                <w:rFonts w:ascii="Arial" w:cs="Arial" w:eastAsia="Arial" w:hAnsi="Arial"/>
                <w:sz w:val="16"/>
                <w:szCs w:val="16"/>
                <w:b w:val="1"/>
                <w:bCs w:val="1"/>
                <w:color w:val="FFFFFF"/>
                <w:w w:val="96"/>
              </w:rPr>
              <w:t>4Q23</w:t>
            </w:r>
          </w:p>
        </w:tc>
        <w:tc>
          <w:tcPr>
            <w:tcW w:w="138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1Q24</w:t>
            </w:r>
          </w:p>
        </w:tc>
        <w:tc>
          <w:tcPr>
            <w:tcW w:w="1320" w:type="dxa"/>
            <w:vAlign w:val="bottom"/>
            <w:tcBorders>
              <w:bottom w:val="single" w:sz="8" w:color="auto"/>
            </w:tcBorders>
            <w:shd w:val="clear" w:color="auto" w:fill="2AD2C8"/>
          </w:tcPr>
          <w:p>
            <w:pPr>
              <w:ind w:left="480"/>
              <w:spacing w:after="0"/>
              <w:rPr>
                <w:sz w:val="20"/>
                <w:szCs w:val="20"/>
                <w:color w:val="auto"/>
              </w:rPr>
            </w:pPr>
            <w:r>
              <w:rPr>
                <w:rFonts w:ascii="Arial" w:cs="Arial" w:eastAsia="Arial" w:hAnsi="Arial"/>
                <w:sz w:val="16"/>
                <w:szCs w:val="16"/>
                <w:b w:val="1"/>
                <w:bCs w:val="1"/>
                <w:color w:val="FFFFFF"/>
              </w:rPr>
              <w:t>QoQ</w:t>
            </w:r>
          </w:p>
        </w:tc>
        <w:tc>
          <w:tcPr>
            <w:tcW w:w="1340" w:type="dxa"/>
            <w:vAlign w:val="bottom"/>
            <w:tcBorders>
              <w:bottom w:val="single" w:sz="8" w:color="auto"/>
              <w:right w:val="single" w:sz="8" w:color="auto"/>
            </w:tcBorders>
            <w:shd w:val="clear" w:color="auto" w:fill="2AD2C8"/>
          </w:tcPr>
          <w:p>
            <w:pPr>
              <w:ind w:left="500"/>
              <w:spacing w:after="0"/>
              <w:rPr>
                <w:sz w:val="20"/>
                <w:szCs w:val="20"/>
                <w:color w:val="auto"/>
              </w:rPr>
            </w:pPr>
            <w:r>
              <w:rPr>
                <w:rFonts w:ascii="Arial" w:cs="Arial" w:eastAsia="Arial" w:hAnsi="Arial"/>
                <w:sz w:val="16"/>
                <w:szCs w:val="16"/>
                <w:b w:val="1"/>
                <w:bCs w:val="1"/>
                <w:color w:val="FFFFFF"/>
              </w:rPr>
              <w:t>YoY</w:t>
            </w:r>
          </w:p>
        </w:tc>
      </w:tr>
      <w:tr>
        <w:trPr>
          <w:trHeight w:val="168"/>
        </w:trPr>
        <w:tc>
          <w:tcPr>
            <w:tcW w:w="4520" w:type="dxa"/>
            <w:vAlign w:val="bottom"/>
            <w:tcBorders>
              <w:left w:val="single" w:sz="8" w:color="auto"/>
              <w:right w:val="single" w:sz="8" w:color="auto"/>
            </w:tcBorders>
          </w:tcPr>
          <w:p>
            <w:pPr>
              <w:ind w:left="60"/>
              <w:spacing w:after="0" w:line="168" w:lineRule="exact"/>
              <w:rPr>
                <w:sz w:val="20"/>
                <w:szCs w:val="20"/>
                <w:color w:val="auto"/>
              </w:rPr>
            </w:pPr>
            <w:r>
              <w:rPr>
                <w:rFonts w:ascii="Arial" w:cs="Arial" w:eastAsia="Arial" w:hAnsi="Arial"/>
                <w:sz w:val="18"/>
                <w:szCs w:val="18"/>
                <w:color w:val="auto"/>
              </w:rPr>
              <w:t>Net Gain Securities</w:t>
            </w:r>
          </w:p>
        </w:tc>
        <w:tc>
          <w:tcPr>
            <w:tcW w:w="1160" w:type="dxa"/>
            <w:vAlign w:val="bottom"/>
          </w:tcPr>
          <w:p>
            <w:pPr>
              <w:jc w:val="center"/>
              <w:ind w:left="91"/>
              <w:spacing w:after="0" w:line="168" w:lineRule="exact"/>
              <w:rPr>
                <w:sz w:val="20"/>
                <w:szCs w:val="20"/>
                <w:color w:val="auto"/>
              </w:rPr>
            </w:pPr>
            <w:r>
              <w:rPr>
                <w:rFonts w:ascii="Arial" w:cs="Arial" w:eastAsia="Arial" w:hAnsi="Arial"/>
                <w:sz w:val="18"/>
                <w:szCs w:val="18"/>
                <w:color w:val="auto"/>
                <w:w w:val="98"/>
              </w:rPr>
              <w:t>70,036</w:t>
            </w:r>
          </w:p>
        </w:tc>
        <w:tc>
          <w:tcPr>
            <w:tcW w:w="1520" w:type="dxa"/>
            <w:vAlign w:val="bottom"/>
          </w:tcPr>
          <w:p>
            <w:pPr>
              <w:jc w:val="center"/>
              <w:ind w:left="92"/>
              <w:spacing w:after="0" w:line="168" w:lineRule="exact"/>
              <w:rPr>
                <w:sz w:val="20"/>
                <w:szCs w:val="20"/>
                <w:color w:val="auto"/>
              </w:rPr>
            </w:pPr>
            <w:r>
              <w:rPr>
                <w:rFonts w:ascii="Arial" w:cs="Arial" w:eastAsia="Arial" w:hAnsi="Arial"/>
                <w:sz w:val="18"/>
                <w:szCs w:val="18"/>
                <w:color w:val="auto"/>
                <w:w w:val="95"/>
              </w:rPr>
              <w:t>115,825</w:t>
            </w:r>
          </w:p>
        </w:tc>
        <w:tc>
          <w:tcPr>
            <w:tcW w:w="13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rPr>
              <w:t>61,745</w:t>
            </w:r>
          </w:p>
        </w:tc>
        <w:tc>
          <w:tcPr>
            <w:tcW w:w="1320" w:type="dxa"/>
            <w:vAlign w:val="bottom"/>
          </w:tcPr>
          <w:p>
            <w:pPr>
              <w:jc w:val="center"/>
              <w:spacing w:after="0" w:line="168" w:lineRule="exact"/>
              <w:rPr>
                <w:sz w:val="20"/>
                <w:szCs w:val="20"/>
                <w:color w:val="auto"/>
              </w:rPr>
            </w:pPr>
            <w:r>
              <w:rPr>
                <w:rFonts w:ascii="Arial" w:cs="Arial" w:eastAsia="Arial" w:hAnsi="Arial"/>
                <w:sz w:val="18"/>
                <w:szCs w:val="18"/>
                <w:color w:val="auto"/>
              </w:rPr>
              <w:t>-46.7%</w:t>
            </w:r>
          </w:p>
        </w:tc>
        <w:tc>
          <w:tcPr>
            <w:tcW w:w="13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8"/>
                <w:szCs w:val="18"/>
                <w:color w:val="auto"/>
                <w:w w:val="98"/>
              </w:rPr>
              <w:t>-11.8%</w:t>
            </w:r>
          </w:p>
        </w:tc>
      </w:tr>
      <w:tr>
        <w:trPr>
          <w:trHeight w:val="212"/>
        </w:trPr>
        <w:tc>
          <w:tcPr>
            <w:tcW w:w="4520" w:type="dxa"/>
            <w:vAlign w:val="bottom"/>
            <w:tcBorders>
              <w:left w:val="single" w:sz="8" w:color="auto"/>
              <w:right w:val="single" w:sz="8" w:color="auto"/>
            </w:tcBorders>
          </w:tcPr>
          <w:p>
            <w:pPr>
              <w:ind w:left="60"/>
              <w:spacing w:after="0" w:line="212" w:lineRule="exact"/>
              <w:rPr>
                <w:sz w:val="20"/>
                <w:szCs w:val="20"/>
                <w:color w:val="auto"/>
              </w:rPr>
            </w:pPr>
            <w:r>
              <w:rPr>
                <w:rFonts w:ascii="Arial" w:cs="Arial" w:eastAsia="Arial" w:hAnsi="Arial"/>
                <w:sz w:val="15"/>
                <w:szCs w:val="15"/>
                <w:color w:val="auto"/>
              </w:rPr>
              <w:t xml:space="preserve">Net Gain from associates </w:t>
            </w:r>
            <w:r>
              <w:rPr>
                <w:rFonts w:ascii="Arial" w:cs="Arial" w:eastAsia="Arial" w:hAnsi="Arial"/>
                <w:sz w:val="24"/>
                <w:szCs w:val="24"/>
                <w:color w:val="auto"/>
                <w:vertAlign w:val="superscript"/>
              </w:rPr>
              <w:t>(1)</w:t>
            </w:r>
          </w:p>
        </w:tc>
        <w:tc>
          <w:tcPr>
            <w:tcW w:w="1160" w:type="dxa"/>
            <w:vAlign w:val="bottom"/>
          </w:tcPr>
          <w:p>
            <w:pPr>
              <w:jc w:val="center"/>
              <w:ind w:left="91"/>
              <w:spacing w:after="0"/>
              <w:rPr>
                <w:sz w:val="20"/>
                <w:szCs w:val="20"/>
                <w:color w:val="auto"/>
              </w:rPr>
            </w:pPr>
            <w:r>
              <w:rPr>
                <w:rFonts w:ascii="Arial" w:cs="Arial" w:eastAsia="Arial" w:hAnsi="Arial"/>
                <w:sz w:val="18"/>
                <w:szCs w:val="18"/>
                <w:color w:val="auto"/>
                <w:w w:val="98"/>
              </w:rPr>
              <w:t>27,212</w:t>
            </w:r>
          </w:p>
        </w:tc>
        <w:tc>
          <w:tcPr>
            <w:tcW w:w="1520" w:type="dxa"/>
            <w:vAlign w:val="bottom"/>
          </w:tcPr>
          <w:p>
            <w:pPr>
              <w:jc w:val="center"/>
              <w:ind w:left="92"/>
              <w:spacing w:after="0"/>
              <w:rPr>
                <w:sz w:val="20"/>
                <w:szCs w:val="20"/>
                <w:color w:val="auto"/>
              </w:rPr>
            </w:pPr>
            <w:r>
              <w:rPr>
                <w:rFonts w:ascii="Arial" w:cs="Arial" w:eastAsia="Arial" w:hAnsi="Arial"/>
                <w:sz w:val="18"/>
                <w:szCs w:val="18"/>
                <w:color w:val="auto"/>
                <w:w w:val="98"/>
              </w:rPr>
              <w:t>34,132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32,295</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-5.4%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18.7%</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Net Gain of derivatives held for trading</w:t>
            </w:r>
          </w:p>
        </w:tc>
        <w:tc>
          <w:tcPr>
            <w:tcW w:w="1160" w:type="dxa"/>
            <w:vAlign w:val="bottom"/>
          </w:tcPr>
          <w:p>
            <w:pPr>
              <w:jc w:val="center"/>
              <w:ind w:left="91"/>
              <w:spacing w:after="0" w:line="202" w:lineRule="exact"/>
              <w:rPr>
                <w:sz w:val="20"/>
                <w:szCs w:val="20"/>
                <w:color w:val="auto"/>
              </w:rPr>
            </w:pPr>
            <w:r>
              <w:rPr>
                <w:rFonts w:ascii="Arial" w:cs="Arial" w:eastAsia="Arial" w:hAnsi="Arial"/>
                <w:sz w:val="18"/>
                <w:szCs w:val="18"/>
                <w:color w:val="auto"/>
                <w:w w:val="97"/>
              </w:rPr>
              <w:t>-6,570</w:t>
            </w:r>
          </w:p>
        </w:tc>
        <w:tc>
          <w:tcPr>
            <w:tcW w:w="1520" w:type="dxa"/>
            <w:vAlign w:val="bottom"/>
          </w:tcPr>
          <w:p>
            <w:pPr>
              <w:jc w:val="center"/>
              <w:ind w:left="92"/>
              <w:spacing w:after="0" w:line="202" w:lineRule="exact"/>
              <w:rPr>
                <w:sz w:val="20"/>
                <w:szCs w:val="20"/>
                <w:color w:val="auto"/>
              </w:rPr>
            </w:pPr>
            <w:r>
              <w:rPr>
                <w:rFonts w:ascii="Arial" w:cs="Arial" w:eastAsia="Arial" w:hAnsi="Arial"/>
                <w:sz w:val="18"/>
                <w:szCs w:val="18"/>
                <w:color w:val="auto"/>
              </w:rPr>
              <w:t>5,019</w:t>
            </w: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39,984</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rPr>
              <w:t>696.7%</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-708.6%</w:t>
            </w:r>
          </w:p>
        </w:tc>
      </w:tr>
      <w:tr>
        <w:trPr>
          <w:trHeight w:val="203"/>
        </w:trPr>
        <w:tc>
          <w:tcPr>
            <w:tcW w:w="452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Net Gain from exchange differences</w:t>
            </w:r>
          </w:p>
        </w:tc>
        <w:tc>
          <w:tcPr>
            <w:tcW w:w="1160" w:type="dxa"/>
            <w:vAlign w:val="bottom"/>
          </w:tcPr>
          <w:p>
            <w:pPr>
              <w:jc w:val="center"/>
              <w:ind w:left="91"/>
              <w:spacing w:after="0" w:line="202" w:lineRule="exact"/>
              <w:rPr>
                <w:sz w:val="20"/>
                <w:szCs w:val="20"/>
                <w:color w:val="auto"/>
              </w:rPr>
            </w:pPr>
            <w:r>
              <w:rPr>
                <w:rFonts w:ascii="Arial" w:cs="Arial" w:eastAsia="Arial" w:hAnsi="Arial"/>
                <w:sz w:val="18"/>
                <w:szCs w:val="18"/>
                <w:color w:val="auto"/>
                <w:w w:val="98"/>
              </w:rPr>
              <w:t>22,963</w:t>
            </w:r>
          </w:p>
        </w:tc>
        <w:tc>
          <w:tcPr>
            <w:tcW w:w="152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8"/>
              </w:rPr>
              <w:t>15,255</w:t>
            </w: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-5,621</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-136.8%</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-124.5%</w:t>
            </w:r>
          </w:p>
        </w:tc>
      </w:tr>
      <w:tr>
        <w:trPr>
          <w:trHeight w:val="221"/>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Other non-operative income</w:t>
            </w:r>
          </w:p>
        </w:tc>
        <w:tc>
          <w:tcPr>
            <w:tcW w:w="11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8"/>
              </w:rPr>
              <w:t>89,338</w:t>
            </w:r>
          </w:p>
        </w:tc>
        <w:tc>
          <w:tcPr>
            <w:tcW w:w="152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5"/>
              </w:rPr>
              <w:t>112,372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102,221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-9.0%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14.4%</w:t>
            </w:r>
          </w:p>
        </w:tc>
      </w:tr>
      <w:tr>
        <w:trPr>
          <w:trHeight w:val="196"/>
        </w:trPr>
        <w:tc>
          <w:tcPr>
            <w:tcW w:w="45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Total Other Non-Core Income</w:t>
            </w:r>
          </w:p>
        </w:tc>
        <w:tc>
          <w:tcPr>
            <w:tcW w:w="1160" w:type="dxa"/>
            <w:vAlign w:val="bottom"/>
            <w:tcBorders>
              <w:bottom w:val="single" w:sz="8" w:color="auto"/>
            </w:tcBorders>
          </w:tcPr>
          <w:p>
            <w:pPr>
              <w:jc w:val="center"/>
              <w:ind w:left="91"/>
              <w:spacing w:after="0" w:line="196" w:lineRule="exact"/>
              <w:rPr>
                <w:sz w:val="20"/>
                <w:szCs w:val="20"/>
                <w:color w:val="auto"/>
              </w:rPr>
            </w:pPr>
            <w:r>
              <w:rPr>
                <w:rFonts w:ascii="Arial" w:cs="Arial" w:eastAsia="Arial" w:hAnsi="Arial"/>
                <w:sz w:val="18"/>
                <w:szCs w:val="18"/>
                <w:b w:val="1"/>
                <w:bCs w:val="1"/>
                <w:color w:val="auto"/>
              </w:rPr>
              <w:t>202,979</w:t>
            </w:r>
          </w:p>
        </w:tc>
        <w:tc>
          <w:tcPr>
            <w:tcW w:w="1520" w:type="dxa"/>
            <w:vAlign w:val="bottom"/>
            <w:tcBorders>
              <w:bottom w:val="single" w:sz="8" w:color="auto"/>
            </w:tcBorders>
          </w:tcPr>
          <w:p>
            <w:pPr>
              <w:jc w:val="center"/>
              <w:ind w:left="92"/>
              <w:spacing w:after="0" w:line="196" w:lineRule="exact"/>
              <w:rPr>
                <w:sz w:val="20"/>
                <w:szCs w:val="20"/>
                <w:color w:val="auto"/>
              </w:rPr>
            </w:pPr>
            <w:r>
              <w:rPr>
                <w:rFonts w:ascii="Arial" w:cs="Arial" w:eastAsia="Arial" w:hAnsi="Arial"/>
                <w:sz w:val="18"/>
                <w:szCs w:val="18"/>
                <w:b w:val="1"/>
                <w:bCs w:val="1"/>
                <w:color w:val="auto"/>
              </w:rPr>
              <w:t>282,603</w:t>
            </w:r>
          </w:p>
        </w:tc>
        <w:tc>
          <w:tcPr>
            <w:tcW w:w="1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230,624</w:t>
            </w:r>
          </w:p>
        </w:tc>
        <w:tc>
          <w:tcPr>
            <w:tcW w:w="13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-18.4%</w:t>
            </w:r>
          </w:p>
        </w:tc>
        <w:tc>
          <w:tcPr>
            <w:tcW w:w="13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13.6%</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(1) Includes gains on other investments, which are mainly attributable to the Banmedica result.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4" w:name="page35"/>
    <w:bookmarkEnd w:id="34"/>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06. Other Income</w:t>
      </w:r>
    </w:p>
    <w:p>
      <w:pPr>
        <w:spacing w:after="0" w:line="324"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3820" w:type="dxa"/>
            <w:vAlign w:val="bottom"/>
          </w:tcPr>
          <w:p>
            <w:pPr>
              <w:jc w:val="center"/>
              <w:ind w:right="1690"/>
              <w:spacing w:after="0"/>
              <w:rPr>
                <w:sz w:val="20"/>
                <w:szCs w:val="20"/>
                <w:color w:val="auto"/>
              </w:rPr>
            </w:pPr>
            <w:r>
              <w:rPr>
                <w:rFonts w:ascii="Arial" w:cs="Arial" w:eastAsia="Arial" w:hAnsi="Arial"/>
                <w:sz w:val="18"/>
                <w:szCs w:val="18"/>
                <w:b w:val="1"/>
                <w:bCs w:val="1"/>
                <w:color w:val="auto"/>
              </w:rPr>
              <w:t>Other Non-Core Income</w:t>
            </w:r>
          </w:p>
        </w:tc>
        <w:tc>
          <w:tcPr>
            <w:tcW w:w="382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Other Non-Core Income</w:t>
            </w:r>
          </w:p>
        </w:tc>
      </w:tr>
      <w:tr>
        <w:trPr>
          <w:trHeight w:val="203"/>
        </w:trPr>
        <w:tc>
          <w:tcPr>
            <w:tcW w:w="3820" w:type="dxa"/>
            <w:vAlign w:val="bottom"/>
          </w:tcPr>
          <w:p>
            <w:pPr>
              <w:jc w:val="center"/>
              <w:ind w:right="1690"/>
              <w:spacing w:after="0" w:line="202" w:lineRule="exact"/>
              <w:rPr>
                <w:sz w:val="20"/>
                <w:szCs w:val="20"/>
                <w:color w:val="auto"/>
              </w:rPr>
            </w:pPr>
            <w:r>
              <w:rPr>
                <w:rFonts w:ascii="Arial" w:cs="Arial" w:eastAsia="Arial" w:hAnsi="Arial"/>
                <w:sz w:val="18"/>
                <w:szCs w:val="18"/>
                <w:b w:val="1"/>
                <w:bCs w:val="1"/>
                <w:color w:val="auto"/>
                <w:w w:val="99"/>
              </w:rPr>
              <w:t>QoQ evolution</w:t>
            </w:r>
          </w:p>
        </w:tc>
        <w:tc>
          <w:tcPr>
            <w:tcW w:w="3820" w:type="dxa"/>
            <w:vAlign w:val="bottom"/>
          </w:tcPr>
          <w:p>
            <w:pPr>
              <w:jc w:val="center"/>
              <w:ind w:left="1710"/>
              <w:spacing w:after="0" w:line="202" w:lineRule="exact"/>
              <w:rPr>
                <w:sz w:val="20"/>
                <w:szCs w:val="20"/>
                <w:color w:val="auto"/>
              </w:rPr>
            </w:pPr>
            <w:r>
              <w:rPr>
                <w:rFonts w:ascii="Arial" w:cs="Arial" w:eastAsia="Arial" w:hAnsi="Arial"/>
                <w:sz w:val="18"/>
                <w:szCs w:val="18"/>
                <w:b w:val="1"/>
                <w:bCs w:val="1"/>
                <w:color w:val="auto"/>
                <w:w w:val="98"/>
              </w:rPr>
              <w:t>YoY evolution</w:t>
            </w:r>
          </w:p>
        </w:tc>
      </w:tr>
      <w:tr>
        <w:trPr>
          <w:trHeight w:val="239"/>
        </w:trPr>
        <w:tc>
          <w:tcPr>
            <w:tcW w:w="3820" w:type="dxa"/>
            <w:vAlign w:val="bottom"/>
          </w:tcPr>
          <w:p>
            <w:pPr>
              <w:jc w:val="center"/>
              <w:ind w:right="1690"/>
              <w:spacing w:after="0"/>
              <w:rPr>
                <w:sz w:val="20"/>
                <w:szCs w:val="20"/>
                <w:color w:val="auto"/>
              </w:rPr>
            </w:pPr>
            <w:r>
              <w:rPr>
                <w:rFonts w:ascii="Arial" w:cs="Arial" w:eastAsia="Arial" w:hAnsi="Arial"/>
                <w:sz w:val="18"/>
                <w:szCs w:val="18"/>
                <w:color w:val="auto"/>
              </w:rPr>
              <w:t>(Thousand of soles)</w:t>
            </w:r>
          </w:p>
        </w:tc>
        <w:tc>
          <w:tcPr>
            <w:tcW w:w="3820" w:type="dxa"/>
            <w:vAlign w:val="bottom"/>
          </w:tcPr>
          <w:p>
            <w:pPr>
              <w:jc w:val="center"/>
              <w:ind w:left="1710"/>
              <w:spacing w:after="0"/>
              <w:rPr>
                <w:sz w:val="20"/>
                <w:szCs w:val="20"/>
                <w:color w:val="auto"/>
              </w:rPr>
            </w:pPr>
            <w:r>
              <w:rPr>
                <w:rFonts w:ascii="Arial" w:cs="Arial" w:eastAsia="Arial" w:hAnsi="Arial"/>
                <w:sz w:val="18"/>
                <w:szCs w:val="18"/>
                <w:color w:val="auto"/>
                <w:w w:val="99"/>
              </w:rPr>
              <w:t>(Thousand of soles)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117475</wp:posOffset>
            </wp:positionV>
            <wp:extent cx="5709285" cy="1705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928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includes: Grupo Crédito, Credicorp Stand-alone, eliminations and others.</w:t>
      </w:r>
    </w:p>
    <w:p>
      <w:pPr>
        <w:spacing w:after="0" w:line="192"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w:t>
      </w:r>
      <w:r>
        <w:rPr>
          <w:rFonts w:ascii="Arial" w:cs="Arial" w:eastAsia="Arial" w:hAnsi="Arial"/>
          <w:sz w:val="18"/>
          <w:szCs w:val="18"/>
          <w:b w:val="1"/>
          <w:bCs w:val="1"/>
          <w:color w:val="auto"/>
        </w:rPr>
        <w:t xml:space="preserve"> Other Non-Core Income </w:t>
      </w:r>
      <w:r>
        <w:rPr>
          <w:rFonts w:ascii="Arial" w:cs="Arial" w:eastAsia="Arial" w:hAnsi="Arial"/>
          <w:sz w:val="18"/>
          <w:szCs w:val="18"/>
          <w:color w:val="auto"/>
        </w:rPr>
        <w:t>fell, primarily due to a drop in the</w:t>
      </w:r>
      <w:r>
        <w:rPr>
          <w:rFonts w:ascii="Arial" w:cs="Arial" w:eastAsia="Arial" w:hAnsi="Arial"/>
          <w:sz w:val="18"/>
          <w:szCs w:val="18"/>
          <w:b w:val="1"/>
          <w:bCs w:val="1"/>
          <w:color w:val="auto"/>
        </w:rPr>
        <w:t xml:space="preserve"> Gain on Securities</w:t>
      </w:r>
      <w:r>
        <w:rPr>
          <w:rFonts w:ascii="Arial" w:cs="Arial" w:eastAsia="Arial" w:hAnsi="Arial"/>
          <w:sz w:val="18"/>
          <w:szCs w:val="18"/>
          <w:color w:val="auto"/>
        </w:rPr>
        <w:t>, which reflected the devaluation of the trading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a downgrade within </w:t>
      </w:r>
      <w:r>
        <w:rPr>
          <w:rFonts w:ascii="Arial" w:cs="Arial" w:eastAsia="Arial" w:hAnsi="Arial"/>
          <w:sz w:val="18"/>
          <w:szCs w:val="18"/>
          <w:b w:val="1"/>
          <w:bCs w:val="1"/>
          <w:color w:val="auto"/>
        </w:rPr>
        <w:t>Pacífico's</w:t>
      </w:r>
      <w:r>
        <w:rPr>
          <w:rFonts w:ascii="Arial" w:cs="Arial" w:eastAsia="Arial" w:hAnsi="Arial"/>
          <w:sz w:val="18"/>
          <w:szCs w:val="18"/>
          <w:color w:val="auto"/>
        </w:rPr>
        <w:t xml:space="preserve"> local fixed income portfolio.</w:t>
      </w:r>
    </w:p>
    <w:p>
      <w:pPr>
        <w:spacing w:after="0" w:line="123"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b w:val="1"/>
          <w:bCs w:val="1"/>
          <w:color w:val="auto"/>
        </w:rPr>
        <w:t xml:space="preserve">YoY, Other Non-Core Income </w:t>
      </w:r>
      <w:r>
        <w:rPr>
          <w:rFonts w:ascii="Arial" w:cs="Arial" w:eastAsia="Arial" w:hAnsi="Arial"/>
          <w:sz w:val="18"/>
          <w:szCs w:val="18"/>
          <w:color w:val="auto"/>
        </w:rPr>
        <w:t>rose due to growth in the Gain on Derivatives, which reflects the gains generated by</w:t>
      </w:r>
      <w:r>
        <w:rPr>
          <w:rFonts w:ascii="Arial" w:cs="Arial" w:eastAsia="Arial" w:hAnsi="Arial"/>
          <w:sz w:val="18"/>
          <w:szCs w:val="18"/>
          <w:b w:val="1"/>
          <w:bCs w:val="1"/>
          <w:color w:val="auto"/>
        </w:rPr>
        <w:t xml:space="preserve"> Credicorp Capital’s </w:t>
      </w:r>
      <w:r>
        <w:rPr>
          <w:rFonts w:ascii="Arial" w:cs="Arial" w:eastAsia="Arial" w:hAnsi="Arial"/>
          <w:sz w:val="18"/>
          <w:szCs w:val="18"/>
          <w:color w:val="auto"/>
        </w:rPr>
        <w:t xml:space="preserve">trading strategies in Colombia and Chile and the gains registered by </w:t>
      </w:r>
      <w:r>
        <w:rPr>
          <w:rFonts w:ascii="Arial" w:cs="Arial" w:eastAsia="Arial" w:hAnsi="Arial"/>
          <w:sz w:val="18"/>
          <w:szCs w:val="18"/>
          <w:b w:val="1"/>
          <w:bCs w:val="1"/>
          <w:color w:val="auto"/>
        </w:rPr>
        <w:t>ASB</w:t>
      </w:r>
      <w:r>
        <w:rPr>
          <w:rFonts w:ascii="Arial" w:cs="Arial" w:eastAsia="Arial" w:hAnsi="Arial"/>
          <w:sz w:val="18"/>
          <w:szCs w:val="18"/>
          <w:color w:val="auto"/>
        </w:rPr>
        <w:t xml:space="preserve"> via its currency hedging strategy.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5" w:name="page36"/>
    <w:bookmarkEnd w:id="35"/>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39" w:lineRule="exact"/>
        <w:rPr>
          <w:sz w:val="20"/>
          <w:szCs w:val="20"/>
          <w:color w:val="auto"/>
        </w:rPr>
      </w:pPr>
    </w:p>
    <w:p>
      <w:pPr>
        <w:spacing w:after="0"/>
        <w:rPr>
          <w:sz w:val="20"/>
          <w:szCs w:val="20"/>
          <w:color w:val="auto"/>
        </w:rPr>
      </w:pPr>
      <w:r>
        <w:rPr>
          <w:rFonts w:ascii="Arial" w:cs="Arial" w:eastAsia="Arial" w:hAnsi="Arial"/>
          <w:sz w:val="52"/>
          <w:szCs w:val="52"/>
          <w:b w:val="1"/>
          <w:bCs w:val="1"/>
          <w:color w:val="E93BAB"/>
        </w:rPr>
        <w:t xml:space="preserve">07. </w:t>
      </w:r>
      <w:r>
        <w:rPr>
          <w:rFonts w:ascii="Arial" w:cs="Arial" w:eastAsia="Arial" w:hAnsi="Arial"/>
          <w:sz w:val="32"/>
          <w:szCs w:val="32"/>
          <w:color w:val="E93BAB"/>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633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pacing w:after="0" w:line="335" w:lineRule="exact"/>
        <w:rPr>
          <w:sz w:val="20"/>
          <w:szCs w:val="20"/>
          <w:color w:val="auto"/>
        </w:rPr>
      </w:pPr>
    </w:p>
    <w:p>
      <w:pPr>
        <w:jc w:val="both"/>
        <w:ind w:left="140" w:right="140"/>
        <w:spacing w:after="0" w:line="247" w:lineRule="auto"/>
        <w:rPr>
          <w:sz w:val="20"/>
          <w:szCs w:val="20"/>
          <w:color w:val="auto"/>
        </w:rPr>
      </w:pPr>
      <w:r>
        <w:rPr>
          <w:rFonts w:ascii="Arial" w:cs="Arial" w:eastAsia="Arial" w:hAnsi="Arial"/>
          <w:sz w:val="18"/>
          <w:szCs w:val="18"/>
          <w:color w:val="FFFFFF"/>
        </w:rPr>
        <w:t>QoQ, the Insurance Underwriting Result dropped 2.9%. This evolution was driven primarily by a decrease in the underwriting result for Life, which was partially offset by and improvement in P &amp; C’s result. In Life, the underwriting result was impacted by a drop in Insurance Service Income from the D &amp; S lines and Credit Life. The uptick in P &amp; C’s result, in turn, was primarily attributable to a drop in expenses and an increase in insurance service income in P &amp; C Risks.</w:t>
      </w:r>
    </w:p>
    <w:p>
      <w:pPr>
        <w:spacing w:after="0" w:line="160" w:lineRule="exact"/>
        <w:rPr>
          <w:sz w:val="20"/>
          <w:szCs w:val="20"/>
          <w:color w:val="auto"/>
        </w:rPr>
      </w:pPr>
    </w:p>
    <w:p>
      <w:pPr>
        <w:jc w:val="both"/>
        <w:ind w:left="140" w:right="120"/>
        <w:spacing w:after="0" w:line="247" w:lineRule="auto"/>
        <w:rPr>
          <w:sz w:val="20"/>
          <w:szCs w:val="20"/>
          <w:color w:val="auto"/>
        </w:rPr>
      </w:pPr>
      <w:r>
        <w:rPr>
          <w:rFonts w:ascii="Arial" w:cs="Arial" w:eastAsia="Arial" w:hAnsi="Arial"/>
          <w:sz w:val="18"/>
          <w:szCs w:val="18"/>
          <w:color w:val="FFFFFF"/>
        </w:rPr>
        <w:t>YoY, the Insurance Underwriting Result dropped 5.8%. This result was driven by a decrease in the underwriting result for Life, which was partially offset by an improvement in the result at P &amp; C. In the Life business, the decrease in the underwriting result was mainly fueled by a drop in Insurance Service Income from the D &amp; S lines. The uptick recorded for P &amp; C’s result reflected both a drop in claims in P&amp; C Risks as well as growth in direct premiums across all businesses.</w:t>
      </w:r>
    </w:p>
    <w:p>
      <w:pPr>
        <w:spacing w:after="0" w:line="362" w:lineRule="exact"/>
        <w:rPr>
          <w:sz w:val="20"/>
          <w:szCs w:val="20"/>
          <w:color w:val="auto"/>
        </w:rPr>
      </w:pPr>
    </w:p>
    <w:tbl>
      <w:tblPr>
        <w:tblLayout w:type="fixed"/>
        <w:tblInd w:w="1150" w:type="dxa"/>
        <w:tblCellMar>
          <w:top w:w="0" w:type="dxa"/>
          <w:left w:w="0" w:type="dxa"/>
          <w:bottom w:w="0" w:type="dxa"/>
          <w:right w:w="0" w:type="dxa"/>
        </w:tblCellMar>
      </w:tblPr>
      <w:tr>
        <w:trPr>
          <w:trHeight w:val="236"/>
        </w:trPr>
        <w:tc>
          <w:tcPr>
            <w:tcW w:w="4540" w:type="dxa"/>
            <w:vAlign w:val="bottom"/>
            <w:tcBorders>
              <w:top w:val="single" w:sz="8" w:color="auto"/>
              <w:left w:val="single" w:sz="8" w:color="auto"/>
              <w:right w:val="single" w:sz="8" w:color="auto"/>
            </w:tcBorders>
            <w:gridSpan w:val="2"/>
            <w:shd w:val="clear" w:color="auto" w:fill="2AD2C9"/>
          </w:tcPr>
          <w:p>
            <w:pPr>
              <w:ind w:left="100"/>
              <w:spacing w:after="0"/>
              <w:rPr>
                <w:sz w:val="20"/>
                <w:szCs w:val="20"/>
                <w:color w:val="auto"/>
              </w:rPr>
            </w:pPr>
            <w:r>
              <w:rPr>
                <w:rFonts w:ascii="Arial" w:cs="Arial" w:eastAsia="Arial" w:hAnsi="Arial"/>
                <w:sz w:val="16"/>
                <w:szCs w:val="16"/>
                <w:b w:val="1"/>
                <w:bCs w:val="1"/>
                <w:color w:val="FFFFFF"/>
              </w:rPr>
              <w:t>Insurance Underwriting Results</w:t>
            </w:r>
          </w:p>
        </w:tc>
        <w:tc>
          <w:tcPr>
            <w:tcW w:w="860" w:type="dxa"/>
            <w:vAlign w:val="bottom"/>
            <w:tcBorders>
              <w:top w:val="single" w:sz="8" w:color="auto"/>
            </w:tcBorders>
            <w:shd w:val="clear" w:color="auto" w:fill="2AD2C9"/>
          </w:tcPr>
          <w:p>
            <w:pPr>
              <w:spacing w:after="0"/>
              <w:rPr>
                <w:sz w:val="20"/>
                <w:szCs w:val="20"/>
                <w:color w:val="auto"/>
              </w:rPr>
            </w:pPr>
          </w:p>
        </w:tc>
        <w:tc>
          <w:tcPr>
            <w:tcW w:w="1020" w:type="dxa"/>
            <w:vAlign w:val="bottom"/>
            <w:tcBorders>
              <w:top w:val="single" w:sz="8" w:color="auto"/>
            </w:tcBorders>
            <w:shd w:val="clear" w:color="auto" w:fill="2AD2C9"/>
          </w:tcPr>
          <w:p>
            <w:pPr>
              <w:jc w:val="right"/>
              <w:ind w:right="119"/>
              <w:spacing w:after="0"/>
              <w:rPr>
                <w:sz w:val="20"/>
                <w:szCs w:val="20"/>
                <w:color w:val="auto"/>
              </w:rPr>
            </w:pPr>
            <w:r>
              <w:rPr>
                <w:rFonts w:ascii="Arial" w:cs="Arial" w:eastAsia="Arial" w:hAnsi="Arial"/>
                <w:sz w:val="16"/>
                <w:szCs w:val="16"/>
                <w:b w:val="1"/>
                <w:bCs w:val="1"/>
                <w:color w:val="FFFFFF"/>
              </w:rPr>
              <w:t>Quarterly</w:t>
            </w:r>
          </w:p>
        </w:tc>
        <w:tc>
          <w:tcPr>
            <w:tcW w:w="820" w:type="dxa"/>
            <w:vAlign w:val="bottom"/>
            <w:tcBorders>
              <w:top w:val="single" w:sz="8" w:color="auto"/>
              <w:right w:val="single" w:sz="8" w:color="auto"/>
            </w:tcBorders>
            <w:shd w:val="clear" w:color="auto" w:fill="2AD2C9"/>
          </w:tcPr>
          <w:p>
            <w:pPr>
              <w:spacing w:after="0"/>
              <w:rPr>
                <w:sz w:val="20"/>
                <w:szCs w:val="20"/>
                <w:color w:val="auto"/>
              </w:rPr>
            </w:pPr>
          </w:p>
        </w:tc>
        <w:tc>
          <w:tcPr>
            <w:tcW w:w="1740" w:type="dxa"/>
            <w:vAlign w:val="bottom"/>
            <w:tcBorders>
              <w:top w:val="single" w:sz="8" w:color="auto"/>
              <w:right w:val="single" w:sz="8" w:color="auto"/>
            </w:tcBorders>
            <w:gridSpan w:val="2"/>
            <w:shd w:val="clear" w:color="auto" w:fill="2AD2C9"/>
          </w:tcPr>
          <w:p>
            <w:pPr>
              <w:ind w:left="460"/>
              <w:spacing w:after="0"/>
              <w:rPr>
                <w:sz w:val="20"/>
                <w:szCs w:val="20"/>
                <w:color w:val="auto"/>
              </w:rPr>
            </w:pPr>
            <w:r>
              <w:rPr>
                <w:rFonts w:ascii="Arial" w:cs="Arial" w:eastAsia="Arial" w:hAnsi="Arial"/>
                <w:sz w:val="16"/>
                <w:szCs w:val="16"/>
                <w:b w:val="1"/>
                <w:bCs w:val="1"/>
                <w:color w:val="FFFFFF"/>
              </w:rPr>
              <w:t>% Change</w:t>
            </w:r>
          </w:p>
        </w:tc>
      </w:tr>
      <w:tr>
        <w:trPr>
          <w:trHeight w:val="263"/>
        </w:trPr>
        <w:tc>
          <w:tcPr>
            <w:tcW w:w="1360" w:type="dxa"/>
            <w:vAlign w:val="bottom"/>
            <w:tcBorders>
              <w:left w:val="single" w:sz="8" w:color="auto"/>
              <w:bottom w:val="single" w:sz="8" w:color="auto"/>
              <w:right w:val="single" w:sz="8" w:color="2AD2C9"/>
            </w:tcBorders>
            <w:shd w:val="clear" w:color="auto" w:fill="2AD2C9"/>
          </w:tcPr>
          <w:p>
            <w:pPr>
              <w:ind w:left="100"/>
              <w:spacing w:after="0"/>
              <w:rPr>
                <w:sz w:val="20"/>
                <w:szCs w:val="20"/>
                <w:color w:val="auto"/>
              </w:rPr>
            </w:pPr>
            <w:r>
              <w:rPr>
                <w:rFonts w:ascii="Arial" w:cs="Arial" w:eastAsia="Arial" w:hAnsi="Arial"/>
                <w:sz w:val="16"/>
                <w:szCs w:val="16"/>
                <w:b w:val="1"/>
                <w:bCs w:val="1"/>
                <w:color w:val="FFFFFF"/>
              </w:rPr>
              <w:t>S/ 000</w:t>
            </w:r>
          </w:p>
        </w:tc>
        <w:tc>
          <w:tcPr>
            <w:tcW w:w="3180" w:type="dxa"/>
            <w:vAlign w:val="bottom"/>
            <w:tcBorders>
              <w:bottom w:val="single" w:sz="8" w:color="auto"/>
              <w:right w:val="single" w:sz="8" w:color="auto"/>
            </w:tcBorders>
            <w:shd w:val="clear" w:color="auto" w:fill="2AD2C9"/>
          </w:tcPr>
          <w:p>
            <w:pPr>
              <w:spacing w:after="0"/>
              <w:rPr>
                <w:sz w:val="22"/>
                <w:szCs w:val="22"/>
                <w:color w:val="auto"/>
              </w:rPr>
            </w:pPr>
          </w:p>
        </w:tc>
        <w:tc>
          <w:tcPr>
            <w:tcW w:w="860" w:type="dxa"/>
            <w:vAlign w:val="bottom"/>
            <w:tcBorders>
              <w:bottom w:val="single" w:sz="8" w:color="auto"/>
            </w:tcBorders>
            <w:shd w:val="clear" w:color="auto" w:fill="2AD2C9"/>
          </w:tcPr>
          <w:p>
            <w:pPr>
              <w:jc w:val="right"/>
              <w:ind w:right="159"/>
              <w:spacing w:after="0"/>
              <w:rPr>
                <w:sz w:val="20"/>
                <w:szCs w:val="20"/>
                <w:color w:val="auto"/>
              </w:rPr>
            </w:pPr>
            <w:r>
              <w:rPr>
                <w:rFonts w:ascii="Arial" w:cs="Arial" w:eastAsia="Arial" w:hAnsi="Arial"/>
                <w:sz w:val="16"/>
                <w:szCs w:val="16"/>
                <w:b w:val="1"/>
                <w:bCs w:val="1"/>
                <w:color w:val="FFFFFF"/>
              </w:rPr>
              <w:t>1Q23</w:t>
            </w:r>
          </w:p>
        </w:tc>
        <w:tc>
          <w:tcPr>
            <w:tcW w:w="1020" w:type="dxa"/>
            <w:vAlign w:val="bottom"/>
            <w:tcBorders>
              <w:bottom w:val="single" w:sz="8" w:color="auto"/>
            </w:tcBorders>
            <w:shd w:val="clear" w:color="auto" w:fill="2AD2C9"/>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820" w:type="dxa"/>
            <w:vAlign w:val="bottom"/>
            <w:tcBorders>
              <w:bottom w:val="single" w:sz="8" w:color="auto"/>
              <w:right w:val="single" w:sz="8" w:color="auto"/>
            </w:tcBorders>
            <w:shd w:val="clear" w:color="auto" w:fill="2AD2C9"/>
          </w:tcPr>
          <w:p>
            <w:pPr>
              <w:jc w:val="right"/>
              <w:ind w:right="179"/>
              <w:spacing w:after="0"/>
              <w:rPr>
                <w:sz w:val="20"/>
                <w:szCs w:val="20"/>
                <w:color w:val="auto"/>
              </w:rPr>
            </w:pPr>
            <w:r>
              <w:rPr>
                <w:rFonts w:ascii="Arial" w:cs="Arial" w:eastAsia="Arial" w:hAnsi="Arial"/>
                <w:sz w:val="16"/>
                <w:szCs w:val="16"/>
                <w:b w:val="1"/>
                <w:bCs w:val="1"/>
                <w:color w:val="FFFFFF"/>
              </w:rPr>
              <w:t>1Q24</w:t>
            </w:r>
          </w:p>
        </w:tc>
        <w:tc>
          <w:tcPr>
            <w:tcW w:w="82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6"/>
                <w:szCs w:val="16"/>
                <w:b w:val="1"/>
                <w:bCs w:val="1"/>
                <w:color w:val="FFFFFF"/>
              </w:rPr>
              <w:t>QoQ</w:t>
            </w:r>
          </w:p>
        </w:tc>
        <w:tc>
          <w:tcPr>
            <w:tcW w:w="92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6"/>
                <w:szCs w:val="16"/>
                <w:b w:val="1"/>
                <w:bCs w:val="1"/>
                <w:color w:val="FFFFFF"/>
              </w:rPr>
              <w:t>YoY</w:t>
            </w:r>
          </w:p>
        </w:tc>
      </w:tr>
      <w:tr>
        <w:trPr>
          <w:trHeight w:val="168"/>
        </w:trPr>
        <w:tc>
          <w:tcPr>
            <w:tcW w:w="1360" w:type="dxa"/>
            <w:vAlign w:val="bottom"/>
            <w:tcBorders>
              <w:left w:val="single" w:sz="8" w:color="auto"/>
              <w:right w:val="single" w:sz="8" w:color="auto"/>
            </w:tcBorders>
          </w:tcPr>
          <w:p>
            <w:pPr>
              <w:spacing w:after="0"/>
              <w:rPr>
                <w:sz w:val="14"/>
                <w:szCs w:val="14"/>
                <w:color w:val="auto"/>
              </w:rPr>
            </w:pPr>
          </w:p>
        </w:tc>
        <w:tc>
          <w:tcPr>
            <w:tcW w:w="31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Income from Insurance Services</w:t>
            </w:r>
          </w:p>
        </w:tc>
        <w:tc>
          <w:tcPr>
            <w:tcW w:w="86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956.6</w:t>
            </w:r>
          </w:p>
        </w:tc>
        <w:tc>
          <w:tcPr>
            <w:tcW w:w="1020" w:type="dxa"/>
            <w:vAlign w:val="bottom"/>
          </w:tcPr>
          <w:p>
            <w:pPr>
              <w:jc w:val="right"/>
              <w:ind w:right="179"/>
              <w:spacing w:after="0" w:line="168" w:lineRule="exact"/>
              <w:rPr>
                <w:sz w:val="20"/>
                <w:szCs w:val="20"/>
                <w:color w:val="auto"/>
              </w:rPr>
            </w:pPr>
            <w:r>
              <w:rPr>
                <w:rFonts w:ascii="Arial" w:cs="Arial" w:eastAsia="Arial" w:hAnsi="Arial"/>
                <w:sz w:val="16"/>
                <w:szCs w:val="16"/>
                <w:color w:val="auto"/>
              </w:rPr>
              <w:t>1,019.6</w:t>
            </w:r>
          </w:p>
        </w:tc>
        <w:tc>
          <w:tcPr>
            <w:tcW w:w="820" w:type="dxa"/>
            <w:vAlign w:val="bottom"/>
            <w:tcBorders>
              <w:right w:val="single" w:sz="8" w:color="auto"/>
            </w:tcBorders>
          </w:tcPr>
          <w:p>
            <w:pPr>
              <w:jc w:val="right"/>
              <w:ind w:right="139"/>
              <w:spacing w:after="0" w:line="168" w:lineRule="exact"/>
              <w:rPr>
                <w:sz w:val="20"/>
                <w:szCs w:val="20"/>
                <w:color w:val="auto"/>
              </w:rPr>
            </w:pPr>
            <w:r>
              <w:rPr>
                <w:rFonts w:ascii="Arial" w:cs="Arial" w:eastAsia="Arial" w:hAnsi="Arial"/>
                <w:sz w:val="16"/>
                <w:szCs w:val="16"/>
                <w:color w:val="auto"/>
              </w:rPr>
              <w:t>937.9</w:t>
            </w:r>
          </w:p>
        </w:tc>
        <w:tc>
          <w:tcPr>
            <w:tcW w:w="820" w:type="dxa"/>
            <w:vAlign w:val="bottom"/>
          </w:tcPr>
          <w:p>
            <w:pPr>
              <w:jc w:val="center"/>
              <w:spacing w:after="0" w:line="168" w:lineRule="exact"/>
              <w:rPr>
                <w:sz w:val="20"/>
                <w:szCs w:val="20"/>
                <w:color w:val="auto"/>
              </w:rPr>
            </w:pPr>
            <w:r>
              <w:rPr>
                <w:rFonts w:ascii="Arial" w:cs="Arial" w:eastAsia="Arial" w:hAnsi="Arial"/>
                <w:sz w:val="16"/>
                <w:szCs w:val="16"/>
                <w:color w:val="auto"/>
              </w:rPr>
              <w:t>-8.0%</w:t>
            </w:r>
          </w:p>
        </w:tc>
        <w:tc>
          <w:tcPr>
            <w:tcW w:w="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-2.0%</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Expenses for Insurance Services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(545.2)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(634.0)</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(476.2)</w:t>
            </w:r>
          </w:p>
        </w:tc>
        <w:tc>
          <w:tcPr>
            <w:tcW w:w="820" w:type="dxa"/>
            <w:vAlign w:val="bottom"/>
          </w:tcPr>
          <w:p>
            <w:pPr>
              <w:jc w:val="center"/>
              <w:spacing w:after="0"/>
              <w:rPr>
                <w:sz w:val="20"/>
                <w:szCs w:val="20"/>
                <w:color w:val="auto"/>
              </w:rPr>
            </w:pPr>
            <w:r>
              <w:rPr>
                <w:rFonts w:ascii="Arial" w:cs="Arial" w:eastAsia="Arial" w:hAnsi="Arial"/>
                <w:sz w:val="16"/>
                <w:szCs w:val="16"/>
                <w:color w:val="auto"/>
              </w:rPr>
              <w:t>-24.9%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-12.6%</w:t>
            </w:r>
          </w:p>
        </w:tc>
      </w:tr>
      <w:tr>
        <w:trPr>
          <w:trHeight w:val="189"/>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Total</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Service Result</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411.5</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385.7</w:t>
            </w:r>
          </w:p>
        </w:tc>
        <w:tc>
          <w:tcPr>
            <w:tcW w:w="8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461.7</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19.7%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12.2%</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Reinsurance Results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(115.1)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(98.4)</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(182.6)</w:t>
            </w:r>
          </w:p>
        </w:tc>
        <w:tc>
          <w:tcPr>
            <w:tcW w:w="820" w:type="dxa"/>
            <w:vAlign w:val="bottom"/>
          </w:tcPr>
          <w:p>
            <w:pPr>
              <w:jc w:val="center"/>
              <w:spacing w:after="0"/>
              <w:rPr>
                <w:sz w:val="20"/>
                <w:szCs w:val="20"/>
                <w:color w:val="auto"/>
              </w:rPr>
            </w:pPr>
            <w:r>
              <w:rPr>
                <w:rFonts w:ascii="Arial" w:cs="Arial" w:eastAsia="Arial" w:hAnsi="Arial"/>
                <w:sz w:val="16"/>
                <w:szCs w:val="16"/>
                <w:color w:val="auto"/>
              </w:rPr>
              <w:t>85.7%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58.7%</w:t>
            </w: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Undewrwriting Result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296.3</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287.3</w:t>
            </w: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279.1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-5.8%</w:t>
            </w:r>
          </w:p>
        </w:tc>
      </w:tr>
      <w:tr>
        <w:trPr>
          <w:trHeight w:val="168"/>
        </w:trPr>
        <w:tc>
          <w:tcPr>
            <w:tcW w:w="1360" w:type="dxa"/>
            <w:vAlign w:val="bottom"/>
            <w:tcBorders>
              <w:left w:val="single" w:sz="8" w:color="auto"/>
              <w:right w:val="single" w:sz="8" w:color="auto"/>
            </w:tcBorders>
          </w:tcPr>
          <w:p>
            <w:pPr>
              <w:spacing w:after="0"/>
              <w:rPr>
                <w:sz w:val="14"/>
                <w:szCs w:val="14"/>
                <w:color w:val="auto"/>
              </w:rPr>
            </w:pPr>
          </w:p>
        </w:tc>
        <w:tc>
          <w:tcPr>
            <w:tcW w:w="31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Income from Insurance Services</w:t>
            </w:r>
          </w:p>
        </w:tc>
        <w:tc>
          <w:tcPr>
            <w:tcW w:w="86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413.9</w:t>
            </w:r>
          </w:p>
        </w:tc>
        <w:tc>
          <w:tcPr>
            <w:tcW w:w="1020" w:type="dxa"/>
            <w:vAlign w:val="bottom"/>
          </w:tcPr>
          <w:p>
            <w:pPr>
              <w:jc w:val="right"/>
              <w:ind w:right="179"/>
              <w:spacing w:after="0" w:line="168" w:lineRule="exact"/>
              <w:rPr>
                <w:sz w:val="20"/>
                <w:szCs w:val="20"/>
                <w:color w:val="auto"/>
              </w:rPr>
            </w:pPr>
            <w:r>
              <w:rPr>
                <w:rFonts w:ascii="Arial" w:cs="Arial" w:eastAsia="Arial" w:hAnsi="Arial"/>
                <w:sz w:val="16"/>
                <w:szCs w:val="16"/>
                <w:color w:val="auto"/>
              </w:rPr>
              <w:t>449.8</w:t>
            </w:r>
          </w:p>
        </w:tc>
        <w:tc>
          <w:tcPr>
            <w:tcW w:w="820" w:type="dxa"/>
            <w:vAlign w:val="bottom"/>
            <w:tcBorders>
              <w:right w:val="single" w:sz="8" w:color="auto"/>
            </w:tcBorders>
          </w:tcPr>
          <w:p>
            <w:pPr>
              <w:jc w:val="right"/>
              <w:ind w:right="139"/>
              <w:spacing w:after="0" w:line="168" w:lineRule="exact"/>
              <w:rPr>
                <w:sz w:val="20"/>
                <w:szCs w:val="20"/>
                <w:color w:val="auto"/>
              </w:rPr>
            </w:pPr>
            <w:r>
              <w:rPr>
                <w:rFonts w:ascii="Arial" w:cs="Arial" w:eastAsia="Arial" w:hAnsi="Arial"/>
                <w:sz w:val="16"/>
                <w:szCs w:val="16"/>
                <w:color w:val="auto"/>
              </w:rPr>
              <w:t>468.4</w:t>
            </w:r>
          </w:p>
        </w:tc>
        <w:tc>
          <w:tcPr>
            <w:tcW w:w="8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8"/>
              </w:rPr>
              <w:t>4.1%</w:t>
            </w:r>
          </w:p>
        </w:tc>
        <w:tc>
          <w:tcPr>
            <w:tcW w:w="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13.2%</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Expenses for Insurance Services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(286.1)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(323.7)</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(237.9)</w:t>
            </w:r>
          </w:p>
        </w:tc>
        <w:tc>
          <w:tcPr>
            <w:tcW w:w="820" w:type="dxa"/>
            <w:vAlign w:val="bottom"/>
          </w:tcPr>
          <w:p>
            <w:pPr>
              <w:jc w:val="center"/>
              <w:spacing w:after="0"/>
              <w:rPr>
                <w:sz w:val="20"/>
                <w:szCs w:val="20"/>
                <w:color w:val="auto"/>
              </w:rPr>
            </w:pPr>
            <w:r>
              <w:rPr>
                <w:rFonts w:ascii="Arial" w:cs="Arial" w:eastAsia="Arial" w:hAnsi="Arial"/>
                <w:sz w:val="16"/>
                <w:szCs w:val="16"/>
                <w:color w:val="auto"/>
              </w:rPr>
              <w:t>-26.5%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-16.8%</w:t>
            </w:r>
          </w:p>
        </w:tc>
      </w:tr>
      <w:tr>
        <w:trPr>
          <w:trHeight w:val="189"/>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P&amp;C</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Service Result</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127.8</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126.1</w:t>
            </w:r>
          </w:p>
        </w:tc>
        <w:tc>
          <w:tcPr>
            <w:tcW w:w="8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230.5</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82.8%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80.3%</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Reinsurance Results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(83.9)</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(76.8)</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(152.7)</w:t>
            </w:r>
          </w:p>
        </w:tc>
        <w:tc>
          <w:tcPr>
            <w:tcW w:w="820" w:type="dxa"/>
            <w:vAlign w:val="bottom"/>
          </w:tcPr>
          <w:p>
            <w:pPr>
              <w:jc w:val="center"/>
              <w:spacing w:after="0"/>
              <w:rPr>
                <w:sz w:val="20"/>
                <w:szCs w:val="20"/>
                <w:color w:val="auto"/>
              </w:rPr>
            </w:pPr>
            <w:r>
              <w:rPr>
                <w:rFonts w:ascii="Arial" w:cs="Arial" w:eastAsia="Arial" w:hAnsi="Arial"/>
                <w:sz w:val="16"/>
                <w:szCs w:val="16"/>
                <w:color w:val="auto"/>
              </w:rPr>
              <w:t>98.9%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81.9%</w:t>
            </w:r>
          </w:p>
        </w:tc>
      </w:tr>
      <w:tr>
        <w:trPr>
          <w:trHeight w:val="217"/>
        </w:trPr>
        <w:tc>
          <w:tcPr>
            <w:tcW w:w="1360" w:type="dxa"/>
            <w:vAlign w:val="bottom"/>
            <w:tcBorders>
              <w:left w:val="single" w:sz="8" w:color="auto"/>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Undewrwriting Result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43.9</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49.3</w:t>
            </w: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77.8</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57.7%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77.1%</w:t>
            </w:r>
          </w:p>
        </w:tc>
      </w:tr>
      <w:tr>
        <w:trPr>
          <w:trHeight w:val="168"/>
        </w:trPr>
        <w:tc>
          <w:tcPr>
            <w:tcW w:w="1360" w:type="dxa"/>
            <w:vAlign w:val="bottom"/>
            <w:tcBorders>
              <w:left w:val="single" w:sz="8" w:color="auto"/>
              <w:right w:val="single" w:sz="8" w:color="auto"/>
            </w:tcBorders>
          </w:tcPr>
          <w:p>
            <w:pPr>
              <w:spacing w:after="0"/>
              <w:rPr>
                <w:sz w:val="14"/>
                <w:szCs w:val="14"/>
                <w:color w:val="auto"/>
              </w:rPr>
            </w:pPr>
          </w:p>
        </w:tc>
        <w:tc>
          <w:tcPr>
            <w:tcW w:w="31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Income from Insurance Services</w:t>
            </w:r>
          </w:p>
        </w:tc>
        <w:tc>
          <w:tcPr>
            <w:tcW w:w="86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521.9</w:t>
            </w:r>
          </w:p>
        </w:tc>
        <w:tc>
          <w:tcPr>
            <w:tcW w:w="1020" w:type="dxa"/>
            <w:vAlign w:val="bottom"/>
          </w:tcPr>
          <w:p>
            <w:pPr>
              <w:jc w:val="right"/>
              <w:ind w:right="179"/>
              <w:spacing w:after="0" w:line="168" w:lineRule="exact"/>
              <w:rPr>
                <w:sz w:val="20"/>
                <w:szCs w:val="20"/>
                <w:color w:val="auto"/>
              </w:rPr>
            </w:pPr>
            <w:r>
              <w:rPr>
                <w:rFonts w:ascii="Arial" w:cs="Arial" w:eastAsia="Arial" w:hAnsi="Arial"/>
                <w:sz w:val="16"/>
                <w:szCs w:val="16"/>
                <w:color w:val="auto"/>
              </w:rPr>
              <w:t>534.8</w:t>
            </w:r>
          </w:p>
        </w:tc>
        <w:tc>
          <w:tcPr>
            <w:tcW w:w="820" w:type="dxa"/>
            <w:vAlign w:val="bottom"/>
            <w:tcBorders>
              <w:right w:val="single" w:sz="8" w:color="auto"/>
            </w:tcBorders>
          </w:tcPr>
          <w:p>
            <w:pPr>
              <w:jc w:val="right"/>
              <w:ind w:right="139"/>
              <w:spacing w:after="0" w:line="168" w:lineRule="exact"/>
              <w:rPr>
                <w:sz w:val="20"/>
                <w:szCs w:val="20"/>
                <w:color w:val="auto"/>
              </w:rPr>
            </w:pPr>
            <w:r>
              <w:rPr>
                <w:rFonts w:ascii="Arial" w:cs="Arial" w:eastAsia="Arial" w:hAnsi="Arial"/>
                <w:sz w:val="16"/>
                <w:szCs w:val="16"/>
                <w:color w:val="auto"/>
              </w:rPr>
              <w:t>438.1</w:t>
            </w:r>
          </w:p>
        </w:tc>
        <w:tc>
          <w:tcPr>
            <w:tcW w:w="820" w:type="dxa"/>
            <w:vAlign w:val="bottom"/>
          </w:tcPr>
          <w:p>
            <w:pPr>
              <w:jc w:val="center"/>
              <w:spacing w:after="0" w:line="168" w:lineRule="exact"/>
              <w:rPr>
                <w:sz w:val="20"/>
                <w:szCs w:val="20"/>
                <w:color w:val="auto"/>
              </w:rPr>
            </w:pPr>
            <w:r>
              <w:rPr>
                <w:rFonts w:ascii="Arial" w:cs="Arial" w:eastAsia="Arial" w:hAnsi="Arial"/>
                <w:sz w:val="16"/>
                <w:szCs w:val="16"/>
                <w:color w:val="auto"/>
              </w:rPr>
              <w:t>-18.1%</w:t>
            </w:r>
          </w:p>
        </w:tc>
        <w:tc>
          <w:tcPr>
            <w:tcW w:w="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-16.0%</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Expenses for Insurance Services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(257.3)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(305.1)</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(232.0)</w:t>
            </w:r>
          </w:p>
        </w:tc>
        <w:tc>
          <w:tcPr>
            <w:tcW w:w="820" w:type="dxa"/>
            <w:vAlign w:val="bottom"/>
          </w:tcPr>
          <w:p>
            <w:pPr>
              <w:jc w:val="center"/>
              <w:spacing w:after="0"/>
              <w:rPr>
                <w:sz w:val="20"/>
                <w:szCs w:val="20"/>
                <w:color w:val="auto"/>
              </w:rPr>
            </w:pPr>
            <w:r>
              <w:rPr>
                <w:rFonts w:ascii="Arial" w:cs="Arial" w:eastAsia="Arial" w:hAnsi="Arial"/>
                <w:sz w:val="16"/>
                <w:szCs w:val="16"/>
                <w:color w:val="auto"/>
              </w:rPr>
              <w:t>-24.0%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-9.8%</w:t>
            </w:r>
          </w:p>
        </w:tc>
      </w:tr>
      <w:tr>
        <w:trPr>
          <w:trHeight w:val="189"/>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Life</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Service Result</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264.6</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229.7</w:t>
            </w:r>
          </w:p>
        </w:tc>
        <w:tc>
          <w:tcPr>
            <w:tcW w:w="8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206.1</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-22.1%</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Reinsurance Results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(14.5)</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(24.3)</w:t>
            </w:r>
          </w:p>
        </w:tc>
        <w:tc>
          <w:tcPr>
            <w:tcW w:w="820" w:type="dxa"/>
            <w:vAlign w:val="bottom"/>
          </w:tcPr>
          <w:p>
            <w:pPr>
              <w:jc w:val="center"/>
              <w:spacing w:after="0"/>
              <w:rPr>
                <w:sz w:val="20"/>
                <w:szCs w:val="20"/>
                <w:color w:val="auto"/>
              </w:rPr>
            </w:pPr>
            <w:r>
              <w:rPr>
                <w:rFonts w:ascii="Arial" w:cs="Arial" w:eastAsia="Arial" w:hAnsi="Arial"/>
                <w:sz w:val="16"/>
                <w:szCs w:val="16"/>
                <w:color w:val="auto"/>
              </w:rPr>
              <w:t>67.7%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-10.6%</w:t>
            </w: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Undewrwriting Result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237.4</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215.2</w:t>
            </w: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181.8</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-15.5%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-23.4%</w:t>
            </w:r>
          </w:p>
        </w:tc>
      </w:tr>
      <w:tr>
        <w:trPr>
          <w:trHeight w:val="168"/>
        </w:trPr>
        <w:tc>
          <w:tcPr>
            <w:tcW w:w="1360" w:type="dxa"/>
            <w:vAlign w:val="bottom"/>
            <w:tcBorders>
              <w:left w:val="single" w:sz="8" w:color="auto"/>
              <w:right w:val="single" w:sz="8" w:color="auto"/>
            </w:tcBorders>
          </w:tcPr>
          <w:p>
            <w:pPr>
              <w:spacing w:after="0"/>
              <w:rPr>
                <w:sz w:val="14"/>
                <w:szCs w:val="14"/>
                <w:color w:val="auto"/>
              </w:rPr>
            </w:pPr>
          </w:p>
        </w:tc>
        <w:tc>
          <w:tcPr>
            <w:tcW w:w="318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Income from Insurance Services</w:t>
            </w:r>
          </w:p>
        </w:tc>
        <w:tc>
          <w:tcPr>
            <w:tcW w:w="86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20.9</w:t>
            </w:r>
          </w:p>
        </w:tc>
        <w:tc>
          <w:tcPr>
            <w:tcW w:w="1020" w:type="dxa"/>
            <w:vAlign w:val="bottom"/>
          </w:tcPr>
          <w:p>
            <w:pPr>
              <w:jc w:val="right"/>
              <w:ind w:right="179"/>
              <w:spacing w:after="0" w:line="168" w:lineRule="exact"/>
              <w:rPr>
                <w:sz w:val="20"/>
                <w:szCs w:val="20"/>
                <w:color w:val="auto"/>
              </w:rPr>
            </w:pPr>
            <w:r>
              <w:rPr>
                <w:rFonts w:ascii="Arial" w:cs="Arial" w:eastAsia="Arial" w:hAnsi="Arial"/>
                <w:sz w:val="16"/>
                <w:szCs w:val="16"/>
                <w:color w:val="auto"/>
              </w:rPr>
              <w:t>37.1</w:t>
            </w:r>
          </w:p>
        </w:tc>
        <w:tc>
          <w:tcPr>
            <w:tcW w:w="820" w:type="dxa"/>
            <w:vAlign w:val="bottom"/>
            <w:tcBorders>
              <w:right w:val="single" w:sz="8" w:color="auto"/>
            </w:tcBorders>
          </w:tcPr>
          <w:p>
            <w:pPr>
              <w:jc w:val="right"/>
              <w:ind w:right="139"/>
              <w:spacing w:after="0" w:line="168" w:lineRule="exact"/>
              <w:rPr>
                <w:sz w:val="20"/>
                <w:szCs w:val="20"/>
                <w:color w:val="auto"/>
              </w:rPr>
            </w:pPr>
            <w:r>
              <w:rPr>
                <w:rFonts w:ascii="Arial" w:cs="Arial" w:eastAsia="Arial" w:hAnsi="Arial"/>
                <w:sz w:val="16"/>
                <w:szCs w:val="16"/>
                <w:color w:val="auto"/>
              </w:rPr>
              <w:t>34.4</w:t>
            </w:r>
          </w:p>
        </w:tc>
        <w:tc>
          <w:tcPr>
            <w:tcW w:w="820" w:type="dxa"/>
            <w:vAlign w:val="bottom"/>
          </w:tcPr>
          <w:p>
            <w:pPr>
              <w:jc w:val="center"/>
              <w:spacing w:after="0" w:line="168" w:lineRule="exact"/>
              <w:rPr>
                <w:sz w:val="20"/>
                <w:szCs w:val="20"/>
                <w:color w:val="auto"/>
              </w:rPr>
            </w:pPr>
            <w:r>
              <w:rPr>
                <w:rFonts w:ascii="Arial" w:cs="Arial" w:eastAsia="Arial" w:hAnsi="Arial"/>
                <w:sz w:val="16"/>
                <w:szCs w:val="16"/>
                <w:color w:val="auto"/>
              </w:rPr>
              <w:t>-7.4%</w:t>
            </w:r>
          </w:p>
        </w:tc>
        <w:tc>
          <w:tcPr>
            <w:tcW w:w="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64.9%</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Expenses for Insurance Services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(11.5)</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522.2%</w:t>
            </w:r>
          </w:p>
        </w:tc>
      </w:tr>
      <w:tr>
        <w:trPr>
          <w:trHeight w:val="189"/>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Crediseguros</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Service Result</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19.0</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25.6</w:t>
            </w:r>
          </w:p>
        </w:tc>
        <w:tc>
          <w:tcPr>
            <w:tcW w:w="8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22.8</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20.2%</w:t>
            </w:r>
          </w:p>
        </w:tc>
      </w:tr>
      <w:tr>
        <w:trPr>
          <w:trHeight w:val="189"/>
        </w:trPr>
        <w:tc>
          <w:tcPr>
            <w:tcW w:w="136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Reinsurance Results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8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(8.5)</w:t>
            </w:r>
          </w:p>
        </w:tc>
        <w:tc>
          <w:tcPr>
            <w:tcW w:w="820" w:type="dxa"/>
            <w:vAlign w:val="bottom"/>
          </w:tcPr>
          <w:p>
            <w:pPr>
              <w:jc w:val="center"/>
              <w:spacing w:after="0"/>
              <w:rPr>
                <w:sz w:val="20"/>
                <w:szCs w:val="20"/>
                <w:color w:val="auto"/>
              </w:rPr>
            </w:pPr>
            <w:r>
              <w:rPr>
                <w:rFonts w:ascii="Arial" w:cs="Arial" w:eastAsia="Arial" w:hAnsi="Arial"/>
                <w:sz w:val="16"/>
                <w:szCs w:val="16"/>
                <w:color w:val="auto"/>
              </w:rPr>
              <w:t>-6.9%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111.4%</w:t>
            </w: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3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Insurance Undewrwriting Result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15.0</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16.5</w:t>
            </w: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14.4</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-13.2%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-4.2%</w:t>
            </w: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QoQ, the Insurance Underwriting Result dropped 2.9%. This evolution was spurred primarily by a deterioration in the Total Reinsurance Result (+85.7%) and secondarily by a decrease in the Life Insurance Service Result (-10.3%). The aforementioned was partially offset by an improvement in the P &amp; C Service Result (+82.8%).</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YoY, the Insurance Underwriting Result fell 5.8%, driven mainly by a deterioration in the Total Reinsurance Result (+62.4%) and secondarily by a drop in the Life Insurance Service Result (-20.9%). The aforementioned was partially offset by an improvement in the P &amp; C Service Result (+78.3%).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&amp; C Insurance</w:t>
      </w:r>
    </w:p>
    <w:p>
      <w:pPr>
        <w:spacing w:after="0" w:line="196" w:lineRule="exact"/>
        <w:rPr>
          <w:sz w:val="20"/>
          <w:szCs w:val="20"/>
          <w:color w:val="auto"/>
        </w:rPr>
      </w:pPr>
    </w:p>
    <w:p>
      <w:pPr>
        <w:ind w:left="1380"/>
        <w:spacing w:after="0"/>
        <w:tabs>
          <w:tab w:leader="none" w:pos="7060" w:val="left"/>
        </w:tabs>
        <w:rPr>
          <w:sz w:val="20"/>
          <w:szCs w:val="20"/>
          <w:color w:val="auto"/>
        </w:rPr>
      </w:pPr>
      <w:r>
        <w:rPr>
          <w:rFonts w:ascii="Arial" w:cs="Arial" w:eastAsia="Arial" w:hAnsi="Arial"/>
          <w:sz w:val="18"/>
          <w:szCs w:val="18"/>
          <w:b w:val="1"/>
          <w:bCs w:val="1"/>
          <w:color w:val="auto"/>
        </w:rPr>
        <w:t>Income from Insurance Services</w:t>
      </w:r>
      <w:r>
        <w:rPr>
          <w:sz w:val="20"/>
          <w:szCs w:val="20"/>
          <w:color w:val="auto"/>
        </w:rPr>
        <w:tab/>
      </w:r>
      <w:r>
        <w:rPr>
          <w:rFonts w:ascii="Arial" w:cs="Arial" w:eastAsia="Arial" w:hAnsi="Arial"/>
          <w:sz w:val="17"/>
          <w:szCs w:val="17"/>
          <w:b w:val="1"/>
          <w:bCs w:val="1"/>
          <w:color w:val="auto"/>
        </w:rPr>
        <w:t>Expenses for Insurance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137795</wp:posOffset>
            </wp:positionV>
            <wp:extent cx="6257925" cy="2040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5792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676" w:gutter="0" w:footer="0" w:header="0"/>
        </w:sectPr>
      </w:pPr>
    </w:p>
    <w:bookmarkStart w:id="36" w:name="page37"/>
    <w:bookmarkEnd w:id="36"/>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07. Insurance Underwriting Results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QoQ, the Insurance Underwriting Result rose 57.7% due to the following dynamics:</w:t>
      </w:r>
    </w:p>
    <w:p>
      <w:pPr>
        <w:spacing w:after="0" w:line="14" w:lineRule="exact"/>
        <w:rPr>
          <w:sz w:val="20"/>
          <w:szCs w:val="20"/>
          <w:color w:val="auto"/>
        </w:rPr>
      </w:pP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Income from Insurance Services increased 4.1%, due primarily to (i) P &amp; C Risks and (ii) Cars, both of which were impacted by an increase in releases for Reserves for Current Risks, which were set aside in previous quarters.</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Insurance Service Expenses fell 26.5%, which reflected a drop in expenses for claims in P &amp; C Risks, including releases of reserves associated with El Niño.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deterioration reported for the Reinsurance Result was driven mainly by a drop in Reinsurance Recoveries.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YoY, the Insurance Underwriting Result rose 62.1% due to the following dynamics:</w:t>
      </w:r>
    </w:p>
    <w:p>
      <w:pPr>
        <w:spacing w:after="0" w:line="14" w:lineRule="exact"/>
        <w:rPr>
          <w:sz w:val="20"/>
          <w:szCs w:val="20"/>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Insurance Service Income increased 12.8%, driven primarily by (i) P &amp; C Risks, via an uptick in direct premiums and (ii) Cars, due to an increase in sales through Yape and bancassurance.</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Insurance Service Expenses dropped 16.8%, which was driven primarily by P &amp; C Risks via a drop in expenses for claims, including releases of reserves associated with El Niño.</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deterioration in the Reinsurance Result was spurred mainly by the evolution of P &amp; C Risks due to (i) a drop in Reinsurance Recoveries, and (ii) growth in the level of Ceded Premiums.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Insurance</w:t>
      </w:r>
    </w:p>
    <w:p>
      <w:pPr>
        <w:spacing w:after="0" w:line="196" w:lineRule="exact"/>
        <w:rPr>
          <w:sz w:val="20"/>
          <w:szCs w:val="20"/>
          <w:color w:val="auto"/>
        </w:rPr>
      </w:pPr>
    </w:p>
    <w:p>
      <w:pPr>
        <w:ind w:left="1380"/>
        <w:spacing w:after="0"/>
        <w:tabs>
          <w:tab w:leader="none" w:pos="7060" w:val="left"/>
        </w:tabs>
        <w:rPr>
          <w:sz w:val="20"/>
          <w:szCs w:val="20"/>
          <w:color w:val="auto"/>
        </w:rPr>
      </w:pPr>
      <w:r>
        <w:rPr>
          <w:rFonts w:ascii="Arial" w:cs="Arial" w:eastAsia="Arial" w:hAnsi="Arial"/>
          <w:sz w:val="18"/>
          <w:szCs w:val="18"/>
          <w:b w:val="1"/>
          <w:bCs w:val="1"/>
          <w:color w:val="auto"/>
        </w:rPr>
        <w:t>Income from Insurance Services</w:t>
      </w:r>
      <w:r>
        <w:rPr>
          <w:sz w:val="20"/>
          <w:szCs w:val="20"/>
          <w:color w:val="auto"/>
        </w:rPr>
        <w:tab/>
      </w:r>
      <w:r>
        <w:rPr>
          <w:rFonts w:ascii="Arial" w:cs="Arial" w:eastAsia="Arial" w:hAnsi="Arial"/>
          <w:sz w:val="17"/>
          <w:szCs w:val="17"/>
          <w:b w:val="1"/>
          <w:bCs w:val="1"/>
          <w:color w:val="auto"/>
        </w:rPr>
        <w:t>Expenses for Insurance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137795</wp:posOffset>
            </wp:positionV>
            <wp:extent cx="6214745" cy="2143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14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QoQ, the Insurance Underwriting Result dropped 15.5% due to the following dynamics:</w:t>
      </w:r>
    </w:p>
    <w:p>
      <w:pPr>
        <w:spacing w:after="0" w:line="14" w:lineRule="exact"/>
        <w:rPr>
          <w:sz w:val="20"/>
          <w:szCs w:val="20"/>
          <w:color w:val="auto"/>
        </w:rPr>
      </w:pPr>
    </w:p>
    <w:p>
      <w:pPr>
        <w:jc w:val="both"/>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Insurance Service Income fell 18.1%, due primarily to (i) D &amp; S due to a drop in the rates offered and in the portion won of the SISCO VII contract in comparison to the conditions and tranches obtained through SISCO VI and (ii) Credit Life, due to a drop in income associated with direct premiums from bancassurance.</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Insurance Service Expenses dropped 24.0%, driven mainly by D &amp; S, which registered a decrease in claims frequency and a release of IBNR reserves after parameters were updated.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deterioration in the Reinsurance Result was fueled primarily by a decrease in Reinsurance Recoveries associated with D &amp; S and Group Life.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YoY, the Insurance Underwriting Result fell 22.1% due to the following dynamics:</w:t>
      </w:r>
    </w:p>
    <w:p>
      <w:pPr>
        <w:spacing w:after="0" w:line="14" w:lineRule="exact"/>
        <w:rPr>
          <w:sz w:val="20"/>
          <w:szCs w:val="20"/>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Insurance Service Income dropped 15.4%. This decline was primarily driven by (i) D &amp; S, driven by the same factors seen in the QoQ analysis, and to a lesser extent, by Individual Life and Credit Life.</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Insurance Service Expenses decreased 9.8% due to D &amp; S, which reported a decrease in claims.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deterioration in the Reinsurance Result fell slightly due to a drop in ceded premiums in D &amp; 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7" w:name="page38"/>
    <w:bookmarkEnd w:id="37"/>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39" w:lineRule="exact"/>
        <w:rPr>
          <w:sz w:val="20"/>
          <w:szCs w:val="20"/>
          <w:color w:val="auto"/>
        </w:rPr>
      </w:pPr>
    </w:p>
    <w:p>
      <w:pPr>
        <w:spacing w:after="0"/>
        <w:rPr>
          <w:sz w:val="20"/>
          <w:szCs w:val="20"/>
          <w:color w:val="auto"/>
        </w:rPr>
      </w:pPr>
      <w:r>
        <w:rPr>
          <w:rFonts w:ascii="Arial" w:cs="Arial" w:eastAsia="Arial" w:hAnsi="Arial"/>
          <w:sz w:val="52"/>
          <w:szCs w:val="52"/>
          <w:b w:val="1"/>
          <w:bCs w:val="1"/>
          <w:color w:val="E93BAB"/>
        </w:rPr>
        <w:t xml:space="preserve">08 </w:t>
      </w:r>
      <w:r>
        <w:rPr>
          <w:rFonts w:ascii="Arial" w:cs="Arial" w:eastAsia="Arial" w:hAnsi="Arial"/>
          <w:sz w:val="32"/>
          <w:szCs w:val="32"/>
          <w:color w:val="E93BAB"/>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489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48995"/>
                    </a:xfrm>
                    <a:prstGeom prst="rect">
                      <a:avLst/>
                    </a:prstGeom>
                    <a:noFill/>
                  </pic:spPr>
                </pic:pic>
              </a:graphicData>
            </a:graphic>
          </wp:anchor>
        </w:drawing>
      </w:r>
    </w:p>
    <w:p>
      <w:pPr>
        <w:spacing w:after="0" w:line="335" w:lineRule="exact"/>
        <w:rPr>
          <w:sz w:val="20"/>
          <w:szCs w:val="20"/>
          <w:color w:val="auto"/>
        </w:rPr>
      </w:pPr>
    </w:p>
    <w:p>
      <w:pPr>
        <w:jc w:val="both"/>
        <w:ind w:left="140" w:right="140"/>
        <w:spacing w:after="0" w:line="244" w:lineRule="auto"/>
        <w:rPr>
          <w:sz w:val="20"/>
          <w:szCs w:val="20"/>
          <w:color w:val="auto"/>
        </w:rPr>
      </w:pPr>
      <w:r>
        <w:rPr>
          <w:rFonts w:ascii="Arial" w:cs="Arial" w:eastAsia="Arial" w:hAnsi="Arial"/>
          <w:sz w:val="18"/>
          <w:szCs w:val="18"/>
          <w:color w:val="FFFFFF"/>
        </w:rPr>
        <w:t>Operating expenses rose 6.9% YoY, driven primarily by core businesses at BCP Stand-alone and disruptive initiatives at the Credicorp level. Disruption expenses at the Credicorp level increased 31.8%, driven primarily by Yape, where growth in transactions and new product development led to an increase in IT-related expenses. In 1Q24, Yape and Tenpo accounted for 60% of disruptive expenses. Core expenses for IT at BCP increased due to (i) an uptick in cloud use among increasingly digitalized clients, and ii) measures to attract more specialized digital talent.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520" w:type="dxa"/>
            <w:vAlign w:val="bottom"/>
            <w:tcBorders>
              <w:top w:val="single" w:sz="8" w:color="auto"/>
              <w:left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Operating expenses</w:t>
            </w:r>
          </w:p>
        </w:tc>
        <w:tc>
          <w:tcPr>
            <w:tcW w:w="1460" w:type="dxa"/>
            <w:vAlign w:val="bottom"/>
            <w:tcBorders>
              <w:top w:val="single" w:sz="8" w:color="auto"/>
            </w:tcBorders>
            <w:shd w:val="clear" w:color="auto" w:fill="2AD2C8"/>
          </w:tcPr>
          <w:p>
            <w:pPr>
              <w:spacing w:after="0"/>
              <w:rPr>
                <w:sz w:val="18"/>
                <w:szCs w:val="18"/>
                <w:color w:val="auto"/>
              </w:rPr>
            </w:pPr>
          </w:p>
        </w:tc>
        <w:tc>
          <w:tcPr>
            <w:tcW w:w="1400" w:type="dxa"/>
            <w:vAlign w:val="bottom"/>
            <w:tcBorders>
              <w:top w:val="single" w:sz="8" w:color="auto"/>
            </w:tcBorders>
            <w:shd w:val="clear" w:color="auto" w:fill="2AD2C8"/>
          </w:tcPr>
          <w:p>
            <w:pPr>
              <w:jc w:val="right"/>
              <w:ind w:right="479"/>
              <w:spacing w:after="0"/>
              <w:rPr>
                <w:sz w:val="20"/>
                <w:szCs w:val="20"/>
                <w:color w:val="auto"/>
              </w:rPr>
            </w:pPr>
            <w:r>
              <w:rPr>
                <w:rFonts w:ascii="Arial" w:cs="Arial" w:eastAsia="Arial" w:hAnsi="Arial"/>
                <w:sz w:val="16"/>
                <w:szCs w:val="16"/>
                <w:b w:val="1"/>
                <w:bCs w:val="1"/>
                <w:color w:val="FFFFFF"/>
              </w:rPr>
              <w:t>Quarter</w:t>
            </w:r>
          </w:p>
        </w:tc>
        <w:tc>
          <w:tcPr>
            <w:tcW w:w="1200" w:type="dxa"/>
            <w:vAlign w:val="bottom"/>
            <w:tcBorders>
              <w:top w:val="single" w:sz="8" w:color="auto"/>
              <w:right w:val="single" w:sz="8" w:color="auto"/>
            </w:tcBorders>
            <w:shd w:val="clear" w:color="auto" w:fill="2AD2C8"/>
          </w:tcPr>
          <w:p>
            <w:pPr>
              <w:spacing w:after="0"/>
              <w:rPr>
                <w:sz w:val="18"/>
                <w:szCs w:val="18"/>
                <w:color w:val="auto"/>
              </w:rPr>
            </w:pPr>
          </w:p>
        </w:tc>
        <w:tc>
          <w:tcPr>
            <w:tcW w:w="920" w:type="dxa"/>
            <w:vAlign w:val="bottom"/>
            <w:tcBorders>
              <w:top w:val="single" w:sz="8" w:color="auto"/>
            </w:tcBorders>
            <w:shd w:val="clear" w:color="auto" w:fill="2AD2C8"/>
          </w:tcPr>
          <w:p>
            <w:pPr>
              <w:spacing w:after="0"/>
              <w:rPr>
                <w:sz w:val="18"/>
                <w:szCs w:val="18"/>
                <w:color w:val="auto"/>
              </w:rPr>
            </w:pPr>
          </w:p>
        </w:tc>
        <w:tc>
          <w:tcPr>
            <w:tcW w:w="1740" w:type="dxa"/>
            <w:vAlign w:val="bottom"/>
            <w:tcBorders>
              <w:top w:val="single" w:sz="8" w:color="auto"/>
              <w:right w:val="single" w:sz="8" w:color="auto"/>
            </w:tcBorders>
            <w:shd w:val="clear" w:color="auto" w:fill="2AD2C8"/>
          </w:tcPr>
          <w:p>
            <w:pPr>
              <w:ind w:left="20"/>
              <w:spacing w:after="0"/>
              <w:rPr>
                <w:sz w:val="20"/>
                <w:szCs w:val="20"/>
                <w:color w:val="auto"/>
              </w:rPr>
            </w:pPr>
            <w:r>
              <w:rPr>
                <w:rFonts w:ascii="Arial" w:cs="Arial" w:eastAsia="Arial" w:hAnsi="Arial"/>
                <w:sz w:val="16"/>
                <w:szCs w:val="16"/>
                <w:b w:val="1"/>
                <w:bCs w:val="1"/>
                <w:color w:val="FFFFFF"/>
              </w:rPr>
              <w:t>% change</w:t>
            </w:r>
          </w:p>
        </w:tc>
      </w:tr>
      <w:tr>
        <w:trPr>
          <w:trHeight w:val="189"/>
        </w:trPr>
        <w:tc>
          <w:tcPr>
            <w:tcW w:w="4520" w:type="dxa"/>
            <w:vAlign w:val="bottom"/>
            <w:tcBorders>
              <w:left w:val="single" w:sz="8" w:color="auto"/>
              <w:bottom w:val="single" w:sz="8" w:color="auto"/>
              <w:right w:val="single" w:sz="8" w:color="auto"/>
            </w:tcBorders>
            <w:shd w:val="clear" w:color="auto" w:fill="2AD2C8"/>
          </w:tcPr>
          <w:p>
            <w:pPr>
              <w:ind w:left="60"/>
              <w:spacing w:after="0"/>
              <w:rPr>
                <w:sz w:val="20"/>
                <w:szCs w:val="20"/>
                <w:color w:val="auto"/>
              </w:rPr>
            </w:pPr>
            <w:r>
              <w:rPr>
                <w:rFonts w:ascii="Arial" w:cs="Arial" w:eastAsia="Arial" w:hAnsi="Arial"/>
                <w:sz w:val="16"/>
                <w:szCs w:val="16"/>
                <w:b w:val="1"/>
                <w:bCs w:val="1"/>
                <w:color w:val="FFFFFF"/>
              </w:rPr>
              <w:t>S/ 000</w:t>
            </w:r>
          </w:p>
        </w:tc>
        <w:tc>
          <w:tcPr>
            <w:tcW w:w="1460" w:type="dxa"/>
            <w:vAlign w:val="bottom"/>
            <w:tcBorders>
              <w:bottom w:val="single" w:sz="8" w:color="auto"/>
            </w:tcBorders>
            <w:shd w:val="clear" w:color="auto" w:fill="2AD2C8"/>
          </w:tcPr>
          <w:p>
            <w:pPr>
              <w:jc w:val="right"/>
              <w:ind w:right="519"/>
              <w:spacing w:after="0"/>
              <w:rPr>
                <w:sz w:val="20"/>
                <w:szCs w:val="20"/>
                <w:color w:val="auto"/>
              </w:rPr>
            </w:pPr>
            <w:r>
              <w:rPr>
                <w:rFonts w:ascii="Arial" w:cs="Arial" w:eastAsia="Arial" w:hAnsi="Arial"/>
                <w:sz w:val="16"/>
                <w:szCs w:val="16"/>
                <w:b w:val="1"/>
                <w:bCs w:val="1"/>
                <w:color w:val="FFFFFF"/>
              </w:rPr>
              <w:t>1Q23</w:t>
            </w:r>
          </w:p>
        </w:tc>
        <w:tc>
          <w:tcPr>
            <w:tcW w:w="1400" w:type="dxa"/>
            <w:vAlign w:val="bottom"/>
            <w:tcBorders>
              <w:bottom w:val="single" w:sz="8" w:color="auto"/>
            </w:tcBorders>
            <w:shd w:val="clear" w:color="auto" w:fill="2AD2C8"/>
          </w:tcPr>
          <w:p>
            <w:pPr>
              <w:jc w:val="right"/>
              <w:ind w:right="579"/>
              <w:spacing w:after="0"/>
              <w:rPr>
                <w:sz w:val="20"/>
                <w:szCs w:val="20"/>
                <w:color w:val="auto"/>
              </w:rPr>
            </w:pPr>
            <w:r>
              <w:rPr>
                <w:rFonts w:ascii="Arial" w:cs="Arial" w:eastAsia="Arial" w:hAnsi="Arial"/>
                <w:sz w:val="16"/>
                <w:szCs w:val="16"/>
                <w:b w:val="1"/>
                <w:bCs w:val="1"/>
                <w:color w:val="FFFFFF"/>
              </w:rPr>
              <w:t>4Q23</w:t>
            </w:r>
          </w:p>
        </w:tc>
        <w:tc>
          <w:tcPr>
            <w:tcW w:w="1200" w:type="dxa"/>
            <w:vAlign w:val="bottom"/>
            <w:tcBorders>
              <w:bottom w:val="single" w:sz="8" w:color="auto"/>
              <w:right w:val="single" w:sz="8" w:color="auto"/>
            </w:tcBorders>
            <w:shd w:val="clear" w:color="auto" w:fill="2AD2C8"/>
          </w:tcPr>
          <w:p>
            <w:pPr>
              <w:jc w:val="right"/>
              <w:ind w:right="419"/>
              <w:spacing w:after="0"/>
              <w:rPr>
                <w:sz w:val="20"/>
                <w:szCs w:val="20"/>
                <w:color w:val="auto"/>
              </w:rPr>
            </w:pPr>
            <w:r>
              <w:rPr>
                <w:rFonts w:ascii="Arial" w:cs="Arial" w:eastAsia="Arial" w:hAnsi="Arial"/>
                <w:sz w:val="16"/>
                <w:szCs w:val="16"/>
                <w:b w:val="1"/>
                <w:bCs w:val="1"/>
                <w:color w:val="FFFFFF"/>
              </w:rPr>
              <w:t>1Q24</w:t>
            </w:r>
          </w:p>
        </w:tc>
        <w:tc>
          <w:tcPr>
            <w:tcW w:w="920" w:type="dxa"/>
            <w:vAlign w:val="bottom"/>
            <w:tcBorders>
              <w:bottom w:val="single" w:sz="8" w:color="auto"/>
            </w:tcBorders>
            <w:shd w:val="clear" w:color="auto" w:fill="2AD2C8"/>
          </w:tcPr>
          <w:p>
            <w:pPr>
              <w:ind w:left="480"/>
              <w:spacing w:after="0"/>
              <w:rPr>
                <w:sz w:val="20"/>
                <w:szCs w:val="20"/>
                <w:color w:val="auto"/>
              </w:rPr>
            </w:pPr>
            <w:r>
              <w:rPr>
                <w:rFonts w:ascii="Arial" w:cs="Arial" w:eastAsia="Arial" w:hAnsi="Arial"/>
                <w:sz w:val="16"/>
                <w:szCs w:val="16"/>
                <w:b w:val="1"/>
                <w:bCs w:val="1"/>
                <w:color w:val="FFFFFF"/>
              </w:rPr>
              <w:t>QoQ</w:t>
            </w:r>
          </w:p>
        </w:tc>
        <w:tc>
          <w:tcPr>
            <w:tcW w:w="1740" w:type="dxa"/>
            <w:vAlign w:val="bottom"/>
            <w:tcBorders>
              <w:bottom w:val="single" w:sz="8" w:color="auto"/>
              <w:right w:val="single" w:sz="8" w:color="auto"/>
            </w:tcBorders>
            <w:shd w:val="clear" w:color="auto" w:fill="2AD2C8"/>
          </w:tcPr>
          <w:p>
            <w:pPr>
              <w:ind w:left="900"/>
              <w:spacing w:after="0"/>
              <w:rPr>
                <w:sz w:val="20"/>
                <w:szCs w:val="20"/>
                <w:color w:val="auto"/>
              </w:rPr>
            </w:pPr>
            <w:r>
              <w:rPr>
                <w:rFonts w:ascii="Arial" w:cs="Arial" w:eastAsia="Arial" w:hAnsi="Arial"/>
                <w:sz w:val="16"/>
                <w:szCs w:val="16"/>
                <w:b w:val="1"/>
                <w:bCs w:val="1"/>
                <w:color w:val="FFFFFF"/>
              </w:rPr>
              <w:t>YoY</w:t>
            </w:r>
          </w:p>
        </w:tc>
      </w:tr>
      <w:tr>
        <w:trPr>
          <w:trHeight w:val="168"/>
        </w:trPr>
        <w:tc>
          <w:tcPr>
            <w:tcW w:w="4520" w:type="dxa"/>
            <w:vAlign w:val="bottom"/>
            <w:tcBorders>
              <w:left w:val="single" w:sz="8" w:color="auto"/>
              <w:right w:val="single" w:sz="8" w:color="auto"/>
            </w:tcBorders>
          </w:tcPr>
          <w:p>
            <w:pPr>
              <w:ind w:left="60"/>
              <w:spacing w:after="0" w:line="168" w:lineRule="exact"/>
              <w:rPr>
                <w:sz w:val="20"/>
                <w:szCs w:val="20"/>
                <w:color w:val="auto"/>
              </w:rPr>
            </w:pPr>
            <w:r>
              <w:rPr>
                <w:rFonts w:ascii="Arial" w:cs="Arial" w:eastAsia="Arial" w:hAnsi="Arial"/>
                <w:sz w:val="16"/>
                <w:szCs w:val="16"/>
                <w:color w:val="auto"/>
              </w:rPr>
              <w:t>Salaries and employees benefits</w:t>
            </w:r>
          </w:p>
        </w:tc>
        <w:tc>
          <w:tcPr>
            <w:tcW w:w="1460" w:type="dxa"/>
            <w:vAlign w:val="bottom"/>
          </w:tcPr>
          <w:p>
            <w:pPr>
              <w:jc w:val="right"/>
              <w:ind w:right="199"/>
              <w:spacing w:after="0" w:line="168" w:lineRule="exact"/>
              <w:rPr>
                <w:sz w:val="20"/>
                <w:szCs w:val="20"/>
                <w:color w:val="auto"/>
              </w:rPr>
            </w:pPr>
            <w:r>
              <w:rPr>
                <w:rFonts w:ascii="Arial" w:cs="Arial" w:eastAsia="Arial" w:hAnsi="Arial"/>
                <w:sz w:val="16"/>
                <w:szCs w:val="16"/>
                <w:color w:val="auto"/>
              </w:rPr>
              <w:t>1,029,558</w:t>
            </w:r>
          </w:p>
        </w:tc>
        <w:tc>
          <w:tcPr>
            <w:tcW w:w="1400" w:type="dxa"/>
            <w:vAlign w:val="bottom"/>
          </w:tcPr>
          <w:p>
            <w:pPr>
              <w:jc w:val="right"/>
              <w:ind w:right="239"/>
              <w:spacing w:after="0" w:line="168" w:lineRule="exact"/>
              <w:rPr>
                <w:sz w:val="20"/>
                <w:szCs w:val="20"/>
                <w:color w:val="auto"/>
              </w:rPr>
            </w:pPr>
            <w:r>
              <w:rPr>
                <w:rFonts w:ascii="Arial" w:cs="Arial" w:eastAsia="Arial" w:hAnsi="Arial"/>
                <w:sz w:val="16"/>
                <w:szCs w:val="16"/>
                <w:color w:val="auto"/>
              </w:rPr>
              <w:t>1,119,758</w:t>
            </w:r>
          </w:p>
        </w:tc>
        <w:tc>
          <w:tcPr>
            <w:tcW w:w="1200" w:type="dxa"/>
            <w:vAlign w:val="bottom"/>
            <w:tcBorders>
              <w:right w:val="single" w:sz="8" w:color="auto"/>
            </w:tcBorders>
          </w:tcPr>
          <w:p>
            <w:pPr>
              <w:jc w:val="right"/>
              <w:ind w:right="99"/>
              <w:spacing w:after="0" w:line="168" w:lineRule="exact"/>
              <w:rPr>
                <w:sz w:val="20"/>
                <w:szCs w:val="20"/>
                <w:color w:val="auto"/>
              </w:rPr>
            </w:pPr>
            <w:r>
              <w:rPr>
                <w:rFonts w:ascii="Arial" w:cs="Arial" w:eastAsia="Arial" w:hAnsi="Arial"/>
                <w:sz w:val="16"/>
                <w:szCs w:val="16"/>
                <w:color w:val="auto"/>
              </w:rPr>
              <w:t>1,107,069</w:t>
            </w:r>
          </w:p>
        </w:tc>
        <w:tc>
          <w:tcPr>
            <w:tcW w:w="920" w:type="dxa"/>
            <w:vAlign w:val="bottom"/>
          </w:tcPr>
          <w:p>
            <w:pPr>
              <w:jc w:val="center"/>
              <w:ind w:left="299"/>
              <w:spacing w:after="0" w:line="168" w:lineRule="exact"/>
              <w:rPr>
                <w:sz w:val="20"/>
                <w:szCs w:val="20"/>
                <w:color w:val="auto"/>
              </w:rPr>
            </w:pPr>
            <w:r>
              <w:rPr>
                <w:rFonts w:ascii="Arial" w:cs="Arial" w:eastAsia="Arial" w:hAnsi="Arial"/>
                <w:sz w:val="16"/>
                <w:szCs w:val="16"/>
                <w:color w:val="auto"/>
              </w:rPr>
              <w:t>-1.1%</w:t>
            </w:r>
          </w:p>
        </w:tc>
        <w:tc>
          <w:tcPr>
            <w:tcW w:w="1740" w:type="dxa"/>
            <w:vAlign w:val="bottom"/>
            <w:tcBorders>
              <w:right w:val="single" w:sz="8" w:color="auto"/>
            </w:tcBorders>
          </w:tcPr>
          <w:p>
            <w:pPr>
              <w:jc w:val="center"/>
              <w:ind w:left="299"/>
              <w:spacing w:after="0" w:line="168" w:lineRule="exact"/>
              <w:rPr>
                <w:sz w:val="20"/>
                <w:szCs w:val="20"/>
                <w:color w:val="auto"/>
              </w:rPr>
            </w:pPr>
            <w:r>
              <w:rPr>
                <w:rFonts w:ascii="Arial" w:cs="Arial" w:eastAsia="Arial" w:hAnsi="Arial"/>
                <w:sz w:val="16"/>
                <w:szCs w:val="16"/>
                <w:color w:val="auto"/>
                <w:w w:val="98"/>
              </w:rPr>
              <w:t>7.5%</w:t>
            </w:r>
          </w:p>
        </w:tc>
      </w:tr>
      <w:tr>
        <w:trPr>
          <w:trHeight w:val="189"/>
        </w:trPr>
        <w:tc>
          <w:tcPr>
            <w:tcW w:w="4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Administrative, general and tax expenses</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835,060</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1,089,203</w:t>
            </w:r>
          </w:p>
        </w:tc>
        <w:tc>
          <w:tcPr>
            <w:tcW w:w="12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888,583</w:t>
            </w:r>
          </w:p>
        </w:tc>
        <w:tc>
          <w:tcPr>
            <w:tcW w:w="920" w:type="dxa"/>
            <w:vAlign w:val="bottom"/>
          </w:tcPr>
          <w:p>
            <w:pPr>
              <w:jc w:val="center"/>
              <w:ind w:left="299"/>
              <w:spacing w:after="0"/>
              <w:rPr>
                <w:sz w:val="20"/>
                <w:szCs w:val="20"/>
                <w:color w:val="auto"/>
              </w:rPr>
            </w:pPr>
            <w:r>
              <w:rPr>
                <w:rFonts w:ascii="Arial" w:cs="Arial" w:eastAsia="Arial" w:hAnsi="Arial"/>
                <w:sz w:val="16"/>
                <w:szCs w:val="16"/>
                <w:color w:val="auto"/>
                <w:w w:val="98"/>
              </w:rPr>
              <w:t>-18.4%</w:t>
            </w:r>
          </w:p>
        </w:tc>
        <w:tc>
          <w:tcPr>
            <w:tcW w:w="174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w w:val="98"/>
              </w:rPr>
              <w:t>6.4%</w:t>
            </w:r>
          </w:p>
        </w:tc>
      </w:tr>
      <w:tr>
        <w:trPr>
          <w:trHeight w:val="189"/>
        </w:trPr>
        <w:tc>
          <w:tcPr>
            <w:tcW w:w="45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Depreciation and amortization</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161,079</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177,618</w:t>
            </w:r>
          </w:p>
        </w:tc>
        <w:tc>
          <w:tcPr>
            <w:tcW w:w="12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175,146</w:t>
            </w:r>
          </w:p>
        </w:tc>
        <w:tc>
          <w:tcPr>
            <w:tcW w:w="920" w:type="dxa"/>
            <w:vAlign w:val="bottom"/>
          </w:tcPr>
          <w:p>
            <w:pPr>
              <w:jc w:val="center"/>
              <w:ind w:left="299"/>
              <w:spacing w:after="0"/>
              <w:rPr>
                <w:sz w:val="20"/>
                <w:szCs w:val="20"/>
                <w:color w:val="auto"/>
              </w:rPr>
            </w:pPr>
            <w:r>
              <w:rPr>
                <w:rFonts w:ascii="Arial" w:cs="Arial" w:eastAsia="Arial" w:hAnsi="Arial"/>
                <w:sz w:val="16"/>
                <w:szCs w:val="16"/>
                <w:color w:val="auto"/>
              </w:rPr>
              <w:t>-1.4%</w:t>
            </w:r>
          </w:p>
        </w:tc>
        <w:tc>
          <w:tcPr>
            <w:tcW w:w="1740" w:type="dxa"/>
            <w:vAlign w:val="bottom"/>
            <w:tcBorders>
              <w:right w:val="single" w:sz="8" w:color="auto"/>
            </w:tcBorders>
          </w:tcPr>
          <w:p>
            <w:pPr>
              <w:jc w:val="center"/>
              <w:ind w:left="299"/>
              <w:spacing w:after="0"/>
              <w:rPr>
                <w:sz w:val="20"/>
                <w:szCs w:val="20"/>
                <w:color w:val="auto"/>
              </w:rPr>
            </w:pPr>
            <w:r>
              <w:rPr>
                <w:rFonts w:ascii="Arial" w:cs="Arial" w:eastAsia="Arial" w:hAnsi="Arial"/>
                <w:sz w:val="16"/>
                <w:szCs w:val="16"/>
                <w:color w:val="auto"/>
                <w:w w:val="98"/>
              </w:rPr>
              <w:t>8.7%</w:t>
            </w:r>
          </w:p>
        </w:tc>
      </w:tr>
      <w:tr>
        <w:trPr>
          <w:trHeight w:val="203"/>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Association in participation</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12,612</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9,109</w:t>
            </w:r>
          </w:p>
        </w:tc>
        <w:tc>
          <w:tcPr>
            <w:tcW w:w="12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8,847</w:t>
            </w:r>
          </w:p>
        </w:tc>
        <w:tc>
          <w:tcPr>
            <w:tcW w:w="9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-2.9%</w:t>
            </w:r>
          </w:p>
        </w:tc>
        <w:tc>
          <w:tcPr>
            <w:tcW w:w="1740" w:type="dxa"/>
            <w:vAlign w:val="bottom"/>
            <w:tcBorders>
              <w:bottom w:val="single" w:sz="8" w:color="auto"/>
              <w:right w:val="single" w:sz="8" w:color="auto"/>
            </w:tcBorders>
          </w:tcPr>
          <w:p>
            <w:pPr>
              <w:jc w:val="center"/>
              <w:ind w:left="299"/>
              <w:spacing w:after="0"/>
              <w:rPr>
                <w:sz w:val="20"/>
                <w:szCs w:val="20"/>
                <w:color w:val="auto"/>
              </w:rPr>
            </w:pPr>
            <w:r>
              <w:rPr>
                <w:rFonts w:ascii="Arial" w:cs="Arial" w:eastAsia="Arial" w:hAnsi="Arial"/>
                <w:sz w:val="16"/>
                <w:szCs w:val="16"/>
                <w:color w:val="auto"/>
              </w:rPr>
              <w:t>-29.9%</w:t>
            </w:r>
          </w:p>
        </w:tc>
      </w:tr>
      <w:tr>
        <w:trPr>
          <w:trHeight w:val="183"/>
        </w:trPr>
        <w:tc>
          <w:tcPr>
            <w:tcW w:w="452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Operating expenses</w:t>
            </w:r>
          </w:p>
        </w:tc>
        <w:tc>
          <w:tcPr>
            <w:tcW w:w="146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2,038,309</w:t>
            </w:r>
          </w:p>
        </w:tc>
        <w:tc>
          <w:tcPr>
            <w:tcW w:w="140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2,395,688</w:t>
            </w:r>
          </w:p>
        </w:tc>
        <w:tc>
          <w:tcPr>
            <w:tcW w:w="1200" w:type="dxa"/>
            <w:vAlign w:val="bottom"/>
            <w:tcBorders>
              <w:bottom w:val="single" w:sz="8" w:color="auto"/>
              <w:right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2,179,645</w:t>
            </w:r>
          </w:p>
        </w:tc>
        <w:tc>
          <w:tcPr>
            <w:tcW w:w="920" w:type="dxa"/>
            <w:vAlign w:val="bottom"/>
            <w:tcBorders>
              <w:bottom w:val="single" w:sz="8" w:color="auto"/>
            </w:tcBorders>
          </w:tcPr>
          <w:p>
            <w:pPr>
              <w:jc w:val="center"/>
              <w:ind w:left="299"/>
              <w:spacing w:after="0" w:line="183" w:lineRule="exact"/>
              <w:rPr>
                <w:sz w:val="20"/>
                <w:szCs w:val="20"/>
                <w:color w:val="auto"/>
              </w:rPr>
            </w:pPr>
            <w:r>
              <w:rPr>
                <w:rFonts w:ascii="Arial" w:cs="Arial" w:eastAsia="Arial" w:hAnsi="Arial"/>
                <w:sz w:val="16"/>
                <w:szCs w:val="16"/>
                <w:b w:val="1"/>
                <w:bCs w:val="1"/>
                <w:color w:val="auto"/>
              </w:rPr>
              <w:t>-9.0%</w:t>
            </w:r>
          </w:p>
        </w:tc>
        <w:tc>
          <w:tcPr>
            <w:tcW w:w="1740" w:type="dxa"/>
            <w:vAlign w:val="bottom"/>
            <w:tcBorders>
              <w:bottom w:val="single" w:sz="8" w:color="auto"/>
              <w:right w:val="single" w:sz="8" w:color="auto"/>
            </w:tcBorders>
          </w:tcPr>
          <w:p>
            <w:pPr>
              <w:jc w:val="center"/>
              <w:ind w:left="299"/>
              <w:spacing w:after="0" w:line="183" w:lineRule="exact"/>
              <w:rPr>
                <w:sz w:val="20"/>
                <w:szCs w:val="20"/>
                <w:color w:val="auto"/>
              </w:rPr>
            </w:pPr>
            <w:r>
              <w:rPr>
                <w:rFonts w:ascii="Arial" w:cs="Arial" w:eastAsia="Arial" w:hAnsi="Arial"/>
                <w:sz w:val="16"/>
                <w:szCs w:val="16"/>
                <w:b w:val="1"/>
                <w:bCs w:val="1"/>
                <w:color w:val="auto"/>
                <w:w w:val="98"/>
              </w:rPr>
              <w:t>6.9%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analysis of expenses focuses on year-over-year movements to eliminate the effects of seasonality between quarters.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rose 6.9% YoY due to:</w:t>
      </w:r>
    </w:p>
    <w:p>
      <w:pPr>
        <w:spacing w:after="0" w:line="198" w:lineRule="exact"/>
        <w:rPr>
          <w:sz w:val="20"/>
          <w:szCs w:val="20"/>
          <w:color w:val="auto"/>
        </w:rPr>
      </w:pPr>
    </w:p>
    <w:p>
      <w:pPr>
        <w:ind w:left="340" w:hanging="332"/>
        <w:spacing w:after="0" w:line="245"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Salaries and Employee benefits, which was driven primarily by growth in the headcount for personnel that specializes in disruption and IT.</w:t>
      </w:r>
    </w:p>
    <w:p>
      <w:pPr>
        <w:ind w:left="34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Growth in Administrative and general expenses and taxes, mainly at BCP and via an increase in transactionality (primarily through digital channels), which led to an increase in cloud use and other system-related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and general expenses</w:t>
      </w:r>
    </w:p>
    <w:p>
      <w:pPr>
        <w:spacing w:after="0" w:line="197" w:lineRule="exact"/>
        <w:rPr>
          <w:sz w:val="20"/>
          <w:szCs w:val="20"/>
          <w:color w:val="auto"/>
        </w:rPr>
      </w:pPr>
    </w:p>
    <w:tbl>
      <w:tblPr>
        <w:tblLayout w:type="fixed"/>
        <w:tblInd w:w="310" w:type="dxa"/>
        <w:tblCellMar>
          <w:top w:w="0" w:type="dxa"/>
          <w:left w:w="0" w:type="dxa"/>
          <w:bottom w:w="0" w:type="dxa"/>
          <w:right w:w="0" w:type="dxa"/>
        </w:tblCellMar>
      </w:tblPr>
      <w:tr>
        <w:trPr>
          <w:trHeight w:val="243"/>
        </w:trPr>
        <w:tc>
          <w:tcPr>
            <w:tcW w:w="4280" w:type="dxa"/>
            <w:vAlign w:val="bottom"/>
            <w:tcBorders>
              <w:top w:val="single" w:sz="8" w:color="auto"/>
              <w:left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8"/>
                <w:szCs w:val="18"/>
                <w:b w:val="1"/>
                <w:bCs w:val="1"/>
                <w:color w:val="FFFFFF"/>
              </w:rPr>
              <w:t>Administrative and general expenses</w:t>
            </w:r>
          </w:p>
        </w:tc>
        <w:tc>
          <w:tcPr>
            <w:tcW w:w="1240" w:type="dxa"/>
            <w:vAlign w:val="bottom"/>
            <w:tcBorders>
              <w:top w:val="single" w:sz="8" w:color="auto"/>
            </w:tcBorders>
            <w:vMerge w:val="restart"/>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1Q23</w:t>
            </w:r>
          </w:p>
        </w:tc>
        <w:tc>
          <w:tcPr>
            <w:tcW w:w="1340" w:type="dxa"/>
            <w:vAlign w:val="bottom"/>
            <w:tcBorders>
              <w:top w:val="single" w:sz="8" w:color="auto"/>
            </w:tcBorders>
            <w:shd w:val="clear" w:color="auto" w:fill="2AD2C8"/>
          </w:tcPr>
          <w:p>
            <w:pPr>
              <w:ind w:left="340"/>
              <w:spacing w:after="0"/>
              <w:rPr>
                <w:sz w:val="20"/>
                <w:szCs w:val="20"/>
                <w:color w:val="auto"/>
              </w:rPr>
            </w:pPr>
            <w:r>
              <w:rPr>
                <w:rFonts w:ascii="Arial" w:cs="Arial" w:eastAsia="Arial" w:hAnsi="Arial"/>
                <w:sz w:val="18"/>
                <w:szCs w:val="18"/>
                <w:b w:val="1"/>
                <w:bCs w:val="1"/>
                <w:color w:val="FFFFFF"/>
              </w:rPr>
              <w:t>Quarter</w:t>
            </w:r>
          </w:p>
        </w:tc>
        <w:tc>
          <w:tcPr>
            <w:tcW w:w="1260" w:type="dxa"/>
            <w:vAlign w:val="bottom"/>
            <w:tcBorders>
              <w:top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1Q24</w:t>
            </w:r>
          </w:p>
        </w:tc>
        <w:tc>
          <w:tcPr>
            <w:tcW w:w="2540" w:type="dxa"/>
            <w:vAlign w:val="bottom"/>
            <w:tcBorders>
              <w:top w:val="single" w:sz="8" w:color="auto"/>
              <w:right w:val="single" w:sz="8" w:color="auto"/>
            </w:tcBorders>
            <w:gridSpan w:val="2"/>
            <w:shd w:val="clear" w:color="auto" w:fill="2AD2C8"/>
          </w:tcPr>
          <w:p>
            <w:pPr>
              <w:ind w:left="86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16"/>
        </w:trPr>
        <w:tc>
          <w:tcPr>
            <w:tcW w:w="4280" w:type="dxa"/>
            <w:vAlign w:val="bottom"/>
            <w:tcBorders>
              <w:left w:val="single" w:sz="8" w:color="auto"/>
              <w:bottom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8"/>
                <w:szCs w:val="18"/>
                <w:b w:val="1"/>
                <w:bCs w:val="1"/>
                <w:color w:val="FFFFFF"/>
              </w:rPr>
              <w:t>S/ 000</w:t>
            </w:r>
          </w:p>
        </w:tc>
        <w:tc>
          <w:tcPr>
            <w:tcW w:w="1240" w:type="dxa"/>
            <w:vAlign w:val="bottom"/>
            <w:tcBorders>
              <w:bottom w:val="single" w:sz="8" w:color="auto"/>
            </w:tcBorders>
            <w:vMerge w:val="continue"/>
            <w:shd w:val="clear" w:color="auto" w:fill="2AD2C8"/>
          </w:tcPr>
          <w:p>
            <w:pPr>
              <w:spacing w:after="0"/>
              <w:rPr>
                <w:sz w:val="18"/>
                <w:szCs w:val="18"/>
                <w:color w:val="auto"/>
              </w:rPr>
            </w:pPr>
          </w:p>
        </w:tc>
        <w:tc>
          <w:tcPr>
            <w:tcW w:w="13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8"/>
                <w:szCs w:val="18"/>
                <w:b w:val="1"/>
                <w:bCs w:val="1"/>
                <w:color w:val="FFFFFF"/>
                <w:w w:val="99"/>
              </w:rPr>
              <w:t>4Q23</w:t>
            </w:r>
          </w:p>
        </w:tc>
        <w:tc>
          <w:tcPr>
            <w:tcW w:w="1260" w:type="dxa"/>
            <w:vAlign w:val="bottom"/>
            <w:tcBorders>
              <w:bottom w:val="single" w:sz="8" w:color="auto"/>
              <w:right w:val="single" w:sz="8" w:color="auto"/>
            </w:tcBorders>
            <w:vMerge w:val="continue"/>
            <w:shd w:val="clear" w:color="auto" w:fill="2AD2C8"/>
          </w:tcPr>
          <w:p>
            <w:pPr>
              <w:spacing w:after="0"/>
              <w:rPr>
                <w:sz w:val="18"/>
                <w:szCs w:val="18"/>
                <w:color w:val="auto"/>
              </w:rPr>
            </w:pPr>
          </w:p>
        </w:tc>
        <w:tc>
          <w:tcPr>
            <w:tcW w:w="1300" w:type="dxa"/>
            <w:vAlign w:val="bottom"/>
            <w:tcBorders>
              <w:bottom w:val="single" w:sz="8" w:color="auto"/>
            </w:tcBorders>
            <w:shd w:val="clear" w:color="auto" w:fill="2AD2C8"/>
          </w:tcPr>
          <w:p>
            <w:pPr>
              <w:ind w:left="480"/>
              <w:spacing w:after="0"/>
              <w:rPr>
                <w:sz w:val="20"/>
                <w:szCs w:val="20"/>
                <w:color w:val="auto"/>
              </w:rPr>
            </w:pPr>
            <w:r>
              <w:rPr>
                <w:rFonts w:ascii="Arial" w:cs="Arial" w:eastAsia="Arial" w:hAnsi="Arial"/>
                <w:sz w:val="18"/>
                <w:szCs w:val="18"/>
                <w:b w:val="1"/>
                <w:bCs w:val="1"/>
                <w:color w:val="FFFFFF"/>
              </w:rPr>
              <w:t>QoQ</w:t>
            </w:r>
          </w:p>
        </w:tc>
        <w:tc>
          <w:tcPr>
            <w:tcW w:w="1240" w:type="dxa"/>
            <w:vAlign w:val="bottom"/>
            <w:tcBorders>
              <w:bottom w:val="single" w:sz="8" w:color="auto"/>
              <w:right w:val="single" w:sz="8" w:color="auto"/>
            </w:tcBorders>
            <w:shd w:val="clear" w:color="auto" w:fill="2AD2C8"/>
          </w:tcPr>
          <w:p>
            <w:pPr>
              <w:ind w:left="460"/>
              <w:spacing w:after="0"/>
              <w:rPr>
                <w:sz w:val="20"/>
                <w:szCs w:val="20"/>
                <w:color w:val="auto"/>
              </w:rPr>
            </w:pPr>
            <w:r>
              <w:rPr>
                <w:rFonts w:ascii="Arial" w:cs="Arial" w:eastAsia="Arial" w:hAnsi="Arial"/>
                <w:sz w:val="18"/>
                <w:szCs w:val="18"/>
                <w:b w:val="1"/>
                <w:bCs w:val="1"/>
                <w:color w:val="FFFFFF"/>
              </w:rPr>
              <w:t>YoY</w:t>
            </w:r>
          </w:p>
        </w:tc>
        <w:tc>
          <w:tcPr>
            <w:tcW w:w="0" w:type="dxa"/>
            <w:vAlign w:val="bottom"/>
          </w:tcPr>
          <w:p>
            <w:pPr>
              <w:spacing w:after="0"/>
              <w:rPr>
                <w:sz w:val="1"/>
                <w:szCs w:val="1"/>
                <w:color w:val="auto"/>
              </w:rPr>
            </w:pPr>
          </w:p>
        </w:tc>
      </w:tr>
      <w:tr>
        <w:trPr>
          <w:trHeight w:val="177"/>
        </w:trPr>
        <w:tc>
          <w:tcPr>
            <w:tcW w:w="428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IT expenses and IT third-party services</w:t>
            </w:r>
          </w:p>
        </w:tc>
        <w:tc>
          <w:tcPr>
            <w:tcW w:w="1240" w:type="dxa"/>
            <w:vAlign w:val="bottom"/>
          </w:tcPr>
          <w:p>
            <w:pPr>
              <w:jc w:val="center"/>
              <w:spacing w:after="0" w:line="177" w:lineRule="exact"/>
              <w:rPr>
                <w:sz w:val="20"/>
                <w:szCs w:val="20"/>
                <w:color w:val="auto"/>
              </w:rPr>
            </w:pPr>
            <w:r>
              <w:rPr>
                <w:rFonts w:ascii="Arial" w:cs="Arial" w:eastAsia="Arial" w:hAnsi="Arial"/>
                <w:sz w:val="18"/>
                <w:szCs w:val="18"/>
                <w:color w:val="auto"/>
              </w:rPr>
              <w:t>240,932</w:t>
            </w:r>
          </w:p>
        </w:tc>
        <w:tc>
          <w:tcPr>
            <w:tcW w:w="1340" w:type="dxa"/>
            <w:vAlign w:val="bottom"/>
          </w:tcPr>
          <w:p>
            <w:pPr>
              <w:jc w:val="center"/>
              <w:spacing w:after="0" w:line="177" w:lineRule="exact"/>
              <w:rPr>
                <w:sz w:val="20"/>
                <w:szCs w:val="20"/>
                <w:color w:val="auto"/>
              </w:rPr>
            </w:pPr>
            <w:r>
              <w:rPr>
                <w:rFonts w:ascii="Arial" w:cs="Arial" w:eastAsia="Arial" w:hAnsi="Arial"/>
                <w:sz w:val="18"/>
                <w:szCs w:val="18"/>
                <w:color w:val="auto"/>
                <w:w w:val="95"/>
              </w:rPr>
              <w:t>311,417</w:t>
            </w:r>
          </w:p>
        </w:tc>
        <w:tc>
          <w:tcPr>
            <w:tcW w:w="12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8"/>
              </w:rPr>
              <w:t>282,905</w:t>
            </w:r>
          </w:p>
        </w:tc>
        <w:tc>
          <w:tcPr>
            <w:tcW w:w="1300" w:type="dxa"/>
            <w:vAlign w:val="bottom"/>
          </w:tcPr>
          <w:p>
            <w:pPr>
              <w:jc w:val="center"/>
              <w:spacing w:after="0" w:line="177" w:lineRule="exact"/>
              <w:rPr>
                <w:sz w:val="20"/>
                <w:szCs w:val="20"/>
                <w:color w:val="auto"/>
              </w:rPr>
            </w:pPr>
            <w:r>
              <w:rPr>
                <w:rFonts w:ascii="Arial" w:cs="Arial" w:eastAsia="Arial" w:hAnsi="Arial"/>
                <w:sz w:val="18"/>
                <w:szCs w:val="18"/>
                <w:color w:val="auto"/>
                <w:w w:val="97"/>
              </w:rPr>
              <w:t>-9.2%</w:t>
            </w:r>
          </w:p>
        </w:tc>
        <w:tc>
          <w:tcPr>
            <w:tcW w:w="12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Advertising and customer loyalty programs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rPr>
              <w:t>135,767</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rPr>
              <w:t>239,028</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124,569</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-47.9%</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Taxes and contributions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85,073</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93,090</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92,887</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7"/>
              </w:rPr>
              <w:t>-0.2%</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9.2%</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Audit Services, Consulting and professional fees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51,878</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rPr>
              <w:t>105,340</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58,992</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-44.0%</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Transport and communications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51,036</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60,869</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54,064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4"/>
              </w:rPr>
              <w:t>-11.2%</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5.9%</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Repair and maintenance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25,790</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49,698</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32,638</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-34.3%</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Agents' Fees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26,152</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31,911</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30,465</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7"/>
              </w:rPr>
              <w:t>-4.5%</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Services by third-party</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27,511</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43,936</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28,415</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-35.3%</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Leases of low value and short-term</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25,116</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30,205</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27,388</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7"/>
              </w:rPr>
              <w:t>-9.3%</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Miscellaneous supplies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32,993</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30,589</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18,653</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-39.0%</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-43.5%</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Security and protection</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15,789</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16,575</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17,172</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3.6%</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8.8%</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Subscriptions and quotes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13,086</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18,444</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15,903</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-13.8%</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Electricity and water</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11,497</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16,316</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11,736</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-28.1%</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Electronic processing</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rPr>
              <w:t>8,730</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8"/>
              </w:rPr>
              <w:t>11,284</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7,748</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-31.3%</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-11.2%</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Insurance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rPr>
              <w:t>8,750</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rPr>
              <w:t>4,518</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5,744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7"/>
              </w:rPr>
              <w:t>27.1%</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-34.4%</w:t>
            </w:r>
          </w:p>
        </w:tc>
        <w:tc>
          <w:tcPr>
            <w:tcW w:w="0" w:type="dxa"/>
            <w:vAlign w:val="bottom"/>
          </w:tcPr>
          <w:p>
            <w:pPr>
              <w:spacing w:after="0"/>
              <w:rPr>
                <w:sz w:val="1"/>
                <w:szCs w:val="1"/>
                <w:color w:val="auto"/>
              </w:rPr>
            </w:pPr>
          </w:p>
        </w:tc>
      </w:tr>
      <w:tr>
        <w:trPr>
          <w:trHeight w:val="203"/>
        </w:trPr>
        <w:tc>
          <w:tcPr>
            <w:tcW w:w="42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Cleaning</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rPr>
              <w:t>5,162</w:t>
            </w: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rPr>
              <w:t>6,122</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5,172</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-15.5%</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21"/>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69,798</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19,861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74,132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273.3%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6.2%</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835,060</w:t>
            </w: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1,089,203</w:t>
            </w: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888,583</w:t>
            </w: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-18.4%</w:t>
            </w:r>
          </w:p>
        </w:tc>
        <w:tc>
          <w:tcPr>
            <w:tcW w:w="1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6.4%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Administrative and general expenses rose 6.4% YoY, driven primarily by higher expenses for IT and system outsourcing at BCP as well as disruptive initiatives at the Credicorp level.</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8" w:name="page39"/>
    <w:bookmarkEnd w:id="38"/>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08. Operating Expenses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expenses for Core Businesses and Disruption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2172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300" w:type="dxa"/>
            <w:vAlign w:val="bottom"/>
            <w:tcBorders>
              <w:top w:val="single" w:sz="8" w:color="auto"/>
            </w:tcBorders>
            <w:shd w:val="clear" w:color="auto" w:fill="2AD2C8"/>
          </w:tcPr>
          <w:p>
            <w:pPr>
              <w:ind w:left="60"/>
              <w:spacing w:after="0"/>
              <w:rPr>
                <w:sz w:val="20"/>
                <w:szCs w:val="20"/>
                <w:color w:val="auto"/>
              </w:rPr>
            </w:pPr>
            <w:r>
              <w:rPr>
                <w:rFonts w:ascii="Arial" w:cs="Arial" w:eastAsia="Arial" w:hAnsi="Arial"/>
                <w:sz w:val="20"/>
                <w:szCs w:val="20"/>
                <w:b w:val="1"/>
                <w:bCs w:val="1"/>
                <w:color w:val="FFFFFF"/>
              </w:rPr>
              <w:t>Operating Expenses</w:t>
            </w:r>
          </w:p>
        </w:tc>
        <w:tc>
          <w:tcPr>
            <w:tcW w:w="1200" w:type="dxa"/>
            <w:vAlign w:val="bottom"/>
            <w:tcBorders>
              <w:top w:val="single" w:sz="8" w:color="auto"/>
            </w:tcBorders>
            <w:shd w:val="clear" w:color="auto" w:fill="2AD2C8"/>
          </w:tcPr>
          <w:p>
            <w:pPr>
              <w:spacing w:after="0"/>
              <w:rPr>
                <w:sz w:val="24"/>
                <w:szCs w:val="24"/>
                <w:color w:val="auto"/>
              </w:rPr>
            </w:pPr>
          </w:p>
        </w:tc>
        <w:tc>
          <w:tcPr>
            <w:tcW w:w="1500" w:type="dxa"/>
            <w:vAlign w:val="bottom"/>
            <w:tcBorders>
              <w:top w:val="single" w:sz="8" w:color="auto"/>
            </w:tcBorders>
            <w:shd w:val="clear" w:color="auto" w:fill="2AD2C8"/>
          </w:tcPr>
          <w:p>
            <w:pPr>
              <w:jc w:val="right"/>
              <w:ind w:right="81"/>
              <w:spacing w:after="0"/>
              <w:rPr>
                <w:sz w:val="20"/>
                <w:szCs w:val="20"/>
                <w:color w:val="auto"/>
              </w:rPr>
            </w:pPr>
            <w:r>
              <w:rPr>
                <w:rFonts w:ascii="Arial" w:cs="Arial" w:eastAsia="Arial" w:hAnsi="Arial"/>
                <w:sz w:val="20"/>
                <w:szCs w:val="20"/>
                <w:b w:val="1"/>
                <w:bCs w:val="1"/>
                <w:color w:val="FFFFFF"/>
              </w:rPr>
              <w:t>Quarter</w:t>
            </w:r>
          </w:p>
        </w:tc>
        <w:tc>
          <w:tcPr>
            <w:tcW w:w="1540" w:type="dxa"/>
            <w:vAlign w:val="bottom"/>
            <w:tcBorders>
              <w:top w:val="single" w:sz="8" w:color="auto"/>
            </w:tcBorders>
            <w:shd w:val="clear" w:color="auto" w:fill="2AD2C8"/>
          </w:tcPr>
          <w:p>
            <w:pPr>
              <w:spacing w:after="0"/>
              <w:rPr>
                <w:sz w:val="24"/>
                <w:szCs w:val="24"/>
                <w:color w:val="auto"/>
              </w:rPr>
            </w:pPr>
          </w:p>
        </w:tc>
        <w:tc>
          <w:tcPr>
            <w:tcW w:w="2680" w:type="dxa"/>
            <w:vAlign w:val="bottom"/>
            <w:tcBorders>
              <w:top w:val="single" w:sz="8" w:color="auto"/>
            </w:tcBorders>
            <w:gridSpan w:val="2"/>
            <w:shd w:val="clear" w:color="auto" w:fill="2AD2C8"/>
          </w:tcPr>
          <w:p>
            <w:pPr>
              <w:ind w:left="920"/>
              <w:spacing w:after="0"/>
              <w:rPr>
                <w:sz w:val="20"/>
                <w:szCs w:val="20"/>
                <w:color w:val="auto"/>
              </w:rPr>
            </w:pPr>
            <w:r>
              <w:rPr>
                <w:rFonts w:ascii="Arial" w:cs="Arial" w:eastAsia="Arial" w:hAnsi="Arial"/>
                <w:sz w:val="20"/>
                <w:szCs w:val="20"/>
                <w:b w:val="1"/>
                <w:bCs w:val="1"/>
                <w:color w:val="FFFFFF"/>
              </w:rPr>
              <w:t>% change</w:t>
            </w:r>
          </w:p>
        </w:tc>
        <w:tc>
          <w:tcPr>
            <w:tcW w:w="20" w:type="dxa"/>
            <w:vAlign w:val="bottom"/>
            <w:tcBorders>
              <w:top w:val="single" w:sz="8" w:color="auto"/>
            </w:tcBorders>
          </w:tcPr>
          <w:p>
            <w:pPr>
              <w:spacing w:after="0"/>
              <w:rPr>
                <w:sz w:val="24"/>
                <w:szCs w:val="24"/>
                <w:color w:val="auto"/>
              </w:rPr>
            </w:pPr>
          </w:p>
        </w:tc>
      </w:tr>
      <w:tr>
        <w:trPr>
          <w:trHeight w:val="294"/>
        </w:trPr>
        <w:tc>
          <w:tcPr>
            <w:tcW w:w="4300" w:type="dxa"/>
            <w:vAlign w:val="bottom"/>
            <w:tcBorders>
              <w:bottom w:val="single" w:sz="8" w:color="auto"/>
            </w:tcBorders>
            <w:shd w:val="clear" w:color="auto" w:fill="2AD2C8"/>
          </w:tcPr>
          <w:p>
            <w:pPr>
              <w:ind w:left="60"/>
              <w:spacing w:after="0"/>
              <w:rPr>
                <w:sz w:val="20"/>
                <w:szCs w:val="20"/>
                <w:color w:val="auto"/>
              </w:rPr>
            </w:pPr>
            <w:r>
              <w:rPr>
                <w:rFonts w:ascii="Arial" w:cs="Arial" w:eastAsia="Arial" w:hAnsi="Arial"/>
                <w:sz w:val="20"/>
                <w:szCs w:val="20"/>
                <w:b w:val="1"/>
                <w:bCs w:val="1"/>
                <w:color w:val="FFFFFF"/>
              </w:rPr>
              <w:t>S/ 000</w:t>
            </w:r>
          </w:p>
        </w:tc>
        <w:tc>
          <w:tcPr>
            <w:tcW w:w="1200" w:type="dxa"/>
            <w:vAlign w:val="bottom"/>
            <w:tcBorders>
              <w:bottom w:val="single" w:sz="8" w:color="auto"/>
            </w:tcBorders>
            <w:shd w:val="clear" w:color="auto" w:fill="2AD2C8"/>
          </w:tcPr>
          <w:p>
            <w:pPr>
              <w:jc w:val="right"/>
              <w:ind w:right="161"/>
              <w:spacing w:after="0"/>
              <w:rPr>
                <w:sz w:val="20"/>
                <w:szCs w:val="20"/>
                <w:color w:val="auto"/>
              </w:rPr>
            </w:pPr>
            <w:r>
              <w:rPr>
                <w:rFonts w:ascii="Arial" w:cs="Arial" w:eastAsia="Arial" w:hAnsi="Arial"/>
                <w:sz w:val="20"/>
                <w:szCs w:val="20"/>
                <w:b w:val="1"/>
                <w:bCs w:val="1"/>
                <w:color w:val="FFFFFF"/>
              </w:rPr>
              <w:t>1Q23</w:t>
            </w:r>
          </w:p>
        </w:tc>
        <w:tc>
          <w:tcPr>
            <w:tcW w:w="1500" w:type="dxa"/>
            <w:vAlign w:val="bottom"/>
            <w:tcBorders>
              <w:bottom w:val="single" w:sz="8" w:color="auto"/>
            </w:tcBorders>
            <w:shd w:val="clear" w:color="auto" w:fill="2AD2C8"/>
          </w:tcPr>
          <w:p>
            <w:pPr>
              <w:jc w:val="right"/>
              <w:ind w:right="201"/>
              <w:spacing w:after="0"/>
              <w:rPr>
                <w:sz w:val="20"/>
                <w:szCs w:val="20"/>
                <w:color w:val="auto"/>
              </w:rPr>
            </w:pPr>
            <w:r>
              <w:rPr>
                <w:rFonts w:ascii="Arial" w:cs="Arial" w:eastAsia="Arial" w:hAnsi="Arial"/>
                <w:sz w:val="20"/>
                <w:szCs w:val="20"/>
                <w:b w:val="1"/>
                <w:bCs w:val="1"/>
                <w:color w:val="FFFFFF"/>
              </w:rPr>
              <w:t>4Q23</w:t>
            </w:r>
          </w:p>
        </w:tc>
        <w:tc>
          <w:tcPr>
            <w:tcW w:w="1540" w:type="dxa"/>
            <w:vAlign w:val="bottom"/>
            <w:tcBorders>
              <w:bottom w:val="single" w:sz="8" w:color="auto"/>
            </w:tcBorders>
            <w:shd w:val="clear" w:color="auto" w:fill="2AD2C8"/>
          </w:tcPr>
          <w:p>
            <w:pPr>
              <w:jc w:val="right"/>
              <w:ind w:right="301"/>
              <w:spacing w:after="0"/>
              <w:rPr>
                <w:sz w:val="20"/>
                <w:szCs w:val="20"/>
                <w:color w:val="auto"/>
              </w:rPr>
            </w:pPr>
            <w:r>
              <w:rPr>
                <w:rFonts w:ascii="Arial" w:cs="Arial" w:eastAsia="Arial" w:hAnsi="Arial"/>
                <w:sz w:val="20"/>
                <w:szCs w:val="20"/>
                <w:b w:val="1"/>
                <w:bCs w:val="1"/>
                <w:color w:val="FFFFFF"/>
              </w:rPr>
              <w:t>1Q24</w:t>
            </w:r>
          </w:p>
        </w:tc>
        <w:tc>
          <w:tcPr>
            <w:tcW w:w="1400" w:type="dxa"/>
            <w:vAlign w:val="bottom"/>
            <w:tcBorders>
              <w:bottom w:val="single" w:sz="8" w:color="auto"/>
            </w:tcBorders>
            <w:shd w:val="clear" w:color="auto" w:fill="2AD2C8"/>
          </w:tcPr>
          <w:p>
            <w:pPr>
              <w:ind w:left="520"/>
              <w:spacing w:after="0"/>
              <w:rPr>
                <w:sz w:val="20"/>
                <w:szCs w:val="20"/>
                <w:color w:val="auto"/>
              </w:rPr>
            </w:pPr>
            <w:r>
              <w:rPr>
                <w:rFonts w:ascii="Arial" w:cs="Arial" w:eastAsia="Arial" w:hAnsi="Arial"/>
                <w:sz w:val="20"/>
                <w:szCs w:val="20"/>
                <w:b w:val="1"/>
                <w:bCs w:val="1"/>
                <w:color w:val="FFFFFF"/>
              </w:rPr>
              <w:t>QoQ</w:t>
            </w:r>
          </w:p>
        </w:tc>
        <w:tc>
          <w:tcPr>
            <w:tcW w:w="1280" w:type="dxa"/>
            <w:vAlign w:val="bottom"/>
            <w:tcBorders>
              <w:bottom w:val="single" w:sz="8" w:color="auto"/>
            </w:tcBorders>
            <w:shd w:val="clear" w:color="auto" w:fill="2AD2C8"/>
          </w:tcPr>
          <w:p>
            <w:pPr>
              <w:ind w:left="440"/>
              <w:spacing w:after="0"/>
              <w:rPr>
                <w:sz w:val="20"/>
                <w:szCs w:val="20"/>
                <w:color w:val="auto"/>
              </w:rPr>
            </w:pPr>
            <w:r>
              <w:rPr>
                <w:rFonts w:ascii="Arial" w:cs="Arial" w:eastAsia="Arial" w:hAnsi="Arial"/>
                <w:sz w:val="20"/>
                <w:szCs w:val="20"/>
                <w:b w:val="1"/>
                <w:bCs w:val="1"/>
                <w:color w:val="FFFFFF"/>
              </w:rPr>
              <w:t>YoY</w:t>
            </w:r>
          </w:p>
        </w:tc>
        <w:tc>
          <w:tcPr>
            <w:tcW w:w="20" w:type="dxa"/>
            <w:vAlign w:val="bottom"/>
            <w:tcBorders>
              <w:bottom w:val="single" w:sz="8" w:color="auto"/>
            </w:tcBorders>
          </w:tcPr>
          <w:p>
            <w:pPr>
              <w:spacing w:after="0"/>
              <w:rPr>
                <w:sz w:val="24"/>
                <w:szCs w:val="24"/>
                <w:color w:val="auto"/>
              </w:rPr>
            </w:pPr>
          </w:p>
        </w:tc>
      </w:tr>
      <w:tr>
        <w:trPr>
          <w:trHeight w:val="188"/>
        </w:trPr>
        <w:tc>
          <w:tcPr>
            <w:tcW w:w="4300" w:type="dxa"/>
            <w:vAlign w:val="bottom"/>
          </w:tcPr>
          <w:p>
            <w:pPr>
              <w:ind w:left="60"/>
              <w:spacing w:after="0" w:line="188" w:lineRule="exact"/>
              <w:rPr>
                <w:sz w:val="20"/>
                <w:szCs w:val="20"/>
                <w:color w:val="auto"/>
              </w:rPr>
            </w:pPr>
            <w:r>
              <w:rPr>
                <w:rFonts w:ascii="Arial" w:cs="Arial" w:eastAsia="Arial" w:hAnsi="Arial"/>
                <w:sz w:val="20"/>
                <w:szCs w:val="20"/>
                <w:color w:val="auto"/>
              </w:rPr>
              <w:t>Core Business BCP</w:t>
            </w:r>
          </w:p>
        </w:tc>
        <w:tc>
          <w:tcPr>
            <w:tcW w:w="1200" w:type="dxa"/>
            <w:vAlign w:val="bottom"/>
          </w:tcPr>
          <w:p>
            <w:pPr>
              <w:jc w:val="right"/>
              <w:ind w:right="201"/>
              <w:spacing w:after="0" w:line="188" w:lineRule="exact"/>
              <w:rPr>
                <w:sz w:val="20"/>
                <w:szCs w:val="20"/>
                <w:color w:val="auto"/>
              </w:rPr>
            </w:pPr>
            <w:r>
              <w:rPr>
                <w:rFonts w:ascii="Arial" w:cs="Arial" w:eastAsia="Arial" w:hAnsi="Arial"/>
                <w:sz w:val="20"/>
                <w:szCs w:val="20"/>
                <w:color w:val="auto"/>
                <w:w w:val="98"/>
              </w:rPr>
              <w:t>1,149,281</w:t>
            </w:r>
          </w:p>
        </w:tc>
        <w:tc>
          <w:tcPr>
            <w:tcW w:w="1500" w:type="dxa"/>
            <w:vAlign w:val="bottom"/>
          </w:tcPr>
          <w:p>
            <w:pPr>
              <w:jc w:val="right"/>
              <w:ind w:right="261"/>
              <w:spacing w:after="0" w:line="188" w:lineRule="exact"/>
              <w:rPr>
                <w:sz w:val="20"/>
                <w:szCs w:val="20"/>
                <w:color w:val="auto"/>
              </w:rPr>
            </w:pPr>
            <w:r>
              <w:rPr>
                <w:rFonts w:ascii="Arial" w:cs="Arial" w:eastAsia="Arial" w:hAnsi="Arial"/>
                <w:sz w:val="20"/>
                <w:szCs w:val="20"/>
                <w:color w:val="auto"/>
              </w:rPr>
              <w:t>1,359,738</w:t>
            </w:r>
          </w:p>
        </w:tc>
        <w:tc>
          <w:tcPr>
            <w:tcW w:w="1540" w:type="dxa"/>
            <w:vAlign w:val="bottom"/>
          </w:tcPr>
          <w:p>
            <w:pPr>
              <w:jc w:val="right"/>
              <w:ind w:right="381"/>
              <w:spacing w:after="0" w:line="188" w:lineRule="exact"/>
              <w:rPr>
                <w:sz w:val="20"/>
                <w:szCs w:val="20"/>
                <w:color w:val="auto"/>
              </w:rPr>
            </w:pPr>
            <w:r>
              <w:rPr>
                <w:rFonts w:ascii="Arial" w:cs="Arial" w:eastAsia="Arial" w:hAnsi="Arial"/>
                <w:sz w:val="20"/>
                <w:szCs w:val="20"/>
                <w:color w:val="auto"/>
              </w:rPr>
              <w:t>1,203,361</w:t>
            </w:r>
          </w:p>
        </w:tc>
        <w:tc>
          <w:tcPr>
            <w:tcW w:w="1400" w:type="dxa"/>
            <w:vAlign w:val="bottom"/>
          </w:tcPr>
          <w:p>
            <w:pPr>
              <w:jc w:val="center"/>
              <w:spacing w:after="0" w:line="188" w:lineRule="exact"/>
              <w:rPr>
                <w:sz w:val="20"/>
                <w:szCs w:val="20"/>
                <w:color w:val="auto"/>
              </w:rPr>
            </w:pPr>
            <w:r>
              <w:rPr>
                <w:rFonts w:ascii="Arial" w:cs="Arial" w:eastAsia="Arial" w:hAnsi="Arial"/>
                <w:sz w:val="20"/>
                <w:szCs w:val="20"/>
                <w:color w:val="auto"/>
                <w:w w:val="97"/>
              </w:rPr>
              <w:t>-11.5%</w:t>
            </w:r>
          </w:p>
        </w:tc>
        <w:tc>
          <w:tcPr>
            <w:tcW w:w="1280" w:type="dxa"/>
            <w:vAlign w:val="bottom"/>
          </w:tcPr>
          <w:p>
            <w:pPr>
              <w:jc w:val="center"/>
              <w:spacing w:after="0" w:line="188" w:lineRule="exact"/>
              <w:rPr>
                <w:sz w:val="20"/>
                <w:szCs w:val="20"/>
                <w:color w:val="auto"/>
              </w:rPr>
            </w:pPr>
            <w:r>
              <w:rPr>
                <w:rFonts w:ascii="Arial" w:cs="Arial" w:eastAsia="Arial" w:hAnsi="Arial"/>
                <w:sz w:val="20"/>
                <w:szCs w:val="20"/>
                <w:color w:val="auto"/>
              </w:rPr>
              <w:t>4.7%</w:t>
            </w:r>
          </w:p>
        </w:tc>
        <w:tc>
          <w:tcPr>
            <w:tcW w:w="20" w:type="dxa"/>
            <w:vAlign w:val="bottom"/>
          </w:tcPr>
          <w:p>
            <w:pPr>
              <w:spacing w:after="0"/>
              <w:rPr>
                <w:sz w:val="16"/>
                <w:szCs w:val="16"/>
                <w:color w:val="auto"/>
              </w:rPr>
            </w:pPr>
          </w:p>
        </w:tc>
      </w:tr>
      <w:tr>
        <w:trPr>
          <w:trHeight w:val="216"/>
        </w:trPr>
        <w:tc>
          <w:tcPr>
            <w:tcW w:w="4300" w:type="dxa"/>
            <w:vAlign w:val="bottom"/>
          </w:tcPr>
          <w:p>
            <w:pPr>
              <w:ind w:left="60"/>
              <w:spacing w:after="0" w:line="216" w:lineRule="exact"/>
              <w:rPr>
                <w:sz w:val="20"/>
                <w:szCs w:val="20"/>
                <w:color w:val="auto"/>
              </w:rPr>
            </w:pPr>
            <w:r>
              <w:rPr>
                <w:rFonts w:ascii="Arial" w:cs="Arial" w:eastAsia="Arial" w:hAnsi="Arial"/>
                <w:sz w:val="20"/>
                <w:szCs w:val="20"/>
                <w:color w:val="auto"/>
              </w:rPr>
              <w:t>Core Business Mibanco</w:t>
            </w:r>
          </w:p>
        </w:tc>
        <w:tc>
          <w:tcPr>
            <w:tcW w:w="120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297,780</w:t>
            </w:r>
          </w:p>
        </w:tc>
        <w:tc>
          <w:tcPr>
            <w:tcW w:w="150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299,717</w:t>
            </w:r>
          </w:p>
        </w:tc>
        <w:tc>
          <w:tcPr>
            <w:tcW w:w="1540" w:type="dxa"/>
            <w:vAlign w:val="bottom"/>
          </w:tcPr>
          <w:p>
            <w:pPr>
              <w:jc w:val="right"/>
              <w:ind w:right="381"/>
              <w:spacing w:after="0" w:line="216" w:lineRule="exact"/>
              <w:rPr>
                <w:sz w:val="20"/>
                <w:szCs w:val="20"/>
                <w:color w:val="auto"/>
              </w:rPr>
            </w:pPr>
            <w:r>
              <w:rPr>
                <w:rFonts w:ascii="Arial" w:cs="Arial" w:eastAsia="Arial" w:hAnsi="Arial"/>
                <w:sz w:val="20"/>
                <w:szCs w:val="20"/>
                <w:color w:val="auto"/>
              </w:rPr>
              <w:t>304,389</w:t>
            </w: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rPr>
              <w:t>1.6%</w:t>
            </w:r>
          </w:p>
        </w:tc>
        <w:tc>
          <w:tcPr>
            <w:tcW w:w="1280" w:type="dxa"/>
            <w:vAlign w:val="bottom"/>
          </w:tcPr>
          <w:p>
            <w:pPr>
              <w:jc w:val="center"/>
              <w:spacing w:after="0" w:line="216" w:lineRule="exact"/>
              <w:rPr>
                <w:sz w:val="20"/>
                <w:szCs w:val="20"/>
                <w:color w:val="auto"/>
              </w:rPr>
            </w:pPr>
            <w:r>
              <w:rPr>
                <w:rFonts w:ascii="Arial" w:cs="Arial" w:eastAsia="Arial" w:hAnsi="Arial"/>
                <w:sz w:val="20"/>
                <w:szCs w:val="20"/>
                <w:color w:val="auto"/>
              </w:rPr>
              <w:t>2.2%</w:t>
            </w:r>
          </w:p>
        </w:tc>
        <w:tc>
          <w:tcPr>
            <w:tcW w:w="20" w:type="dxa"/>
            <w:vAlign w:val="bottom"/>
          </w:tcPr>
          <w:p>
            <w:pPr>
              <w:spacing w:after="0"/>
              <w:rPr>
                <w:sz w:val="18"/>
                <w:szCs w:val="18"/>
                <w:color w:val="auto"/>
              </w:rPr>
            </w:pPr>
          </w:p>
        </w:tc>
      </w:tr>
      <w:tr>
        <w:trPr>
          <w:trHeight w:val="207"/>
        </w:trPr>
        <w:tc>
          <w:tcPr>
            <w:tcW w:w="4300" w:type="dxa"/>
            <w:vAlign w:val="bottom"/>
          </w:tcPr>
          <w:p>
            <w:pPr>
              <w:ind w:left="60"/>
              <w:spacing w:after="0" w:line="207" w:lineRule="exact"/>
              <w:rPr>
                <w:sz w:val="20"/>
                <w:szCs w:val="20"/>
                <w:color w:val="auto"/>
              </w:rPr>
            </w:pPr>
            <w:r>
              <w:rPr>
                <w:rFonts w:ascii="Arial" w:cs="Arial" w:eastAsia="Arial" w:hAnsi="Arial"/>
                <w:sz w:val="20"/>
                <w:szCs w:val="20"/>
                <w:color w:val="auto"/>
              </w:rPr>
              <w:t>Core Business Pacifico</w:t>
            </w:r>
          </w:p>
        </w:tc>
        <w:tc>
          <w:tcPr>
            <w:tcW w:w="1200" w:type="dxa"/>
            <w:vAlign w:val="bottom"/>
          </w:tcPr>
          <w:p>
            <w:pPr>
              <w:jc w:val="right"/>
              <w:ind w:right="201"/>
              <w:spacing w:after="0" w:line="207" w:lineRule="exact"/>
              <w:rPr>
                <w:sz w:val="20"/>
                <w:szCs w:val="20"/>
                <w:color w:val="auto"/>
              </w:rPr>
            </w:pPr>
            <w:r>
              <w:rPr>
                <w:rFonts w:ascii="Arial" w:cs="Arial" w:eastAsia="Arial" w:hAnsi="Arial"/>
                <w:sz w:val="20"/>
                <w:szCs w:val="20"/>
                <w:color w:val="auto"/>
              </w:rPr>
              <w:t>64,268</w:t>
            </w:r>
          </w:p>
        </w:tc>
        <w:tc>
          <w:tcPr>
            <w:tcW w:w="1500" w:type="dxa"/>
            <w:vAlign w:val="bottom"/>
          </w:tcPr>
          <w:p>
            <w:pPr>
              <w:jc w:val="right"/>
              <w:ind w:right="261"/>
              <w:spacing w:after="0" w:line="207" w:lineRule="exact"/>
              <w:rPr>
                <w:sz w:val="20"/>
                <w:szCs w:val="20"/>
                <w:color w:val="auto"/>
              </w:rPr>
            </w:pPr>
            <w:r>
              <w:rPr>
                <w:rFonts w:ascii="Arial" w:cs="Arial" w:eastAsia="Arial" w:hAnsi="Arial"/>
                <w:sz w:val="20"/>
                <w:szCs w:val="20"/>
                <w:color w:val="auto"/>
              </w:rPr>
              <w:t>85,485</w:t>
            </w:r>
          </w:p>
        </w:tc>
        <w:tc>
          <w:tcPr>
            <w:tcW w:w="1540" w:type="dxa"/>
            <w:vAlign w:val="bottom"/>
          </w:tcPr>
          <w:p>
            <w:pPr>
              <w:jc w:val="right"/>
              <w:ind w:right="381"/>
              <w:spacing w:after="0" w:line="207" w:lineRule="exact"/>
              <w:rPr>
                <w:sz w:val="20"/>
                <w:szCs w:val="20"/>
                <w:color w:val="auto"/>
              </w:rPr>
            </w:pPr>
            <w:r>
              <w:rPr>
                <w:rFonts w:ascii="Arial" w:cs="Arial" w:eastAsia="Arial" w:hAnsi="Arial"/>
                <w:sz w:val="20"/>
                <w:szCs w:val="20"/>
                <w:color w:val="auto"/>
              </w:rPr>
              <w:t>76,174</w:t>
            </w:r>
          </w:p>
        </w:tc>
        <w:tc>
          <w:tcPr>
            <w:tcW w:w="1400" w:type="dxa"/>
            <w:vAlign w:val="bottom"/>
          </w:tcPr>
          <w:p>
            <w:pPr>
              <w:jc w:val="center"/>
              <w:spacing w:after="0" w:line="207" w:lineRule="exact"/>
              <w:rPr>
                <w:sz w:val="20"/>
                <w:szCs w:val="20"/>
                <w:color w:val="auto"/>
              </w:rPr>
            </w:pPr>
            <w:r>
              <w:rPr>
                <w:rFonts w:ascii="Arial" w:cs="Arial" w:eastAsia="Arial" w:hAnsi="Arial"/>
                <w:sz w:val="20"/>
                <w:szCs w:val="20"/>
                <w:color w:val="auto"/>
                <w:w w:val="97"/>
              </w:rPr>
              <w:t>-10.9%</w:t>
            </w:r>
          </w:p>
        </w:tc>
        <w:tc>
          <w:tcPr>
            <w:tcW w:w="1280" w:type="dxa"/>
            <w:vAlign w:val="bottom"/>
          </w:tcPr>
          <w:p>
            <w:pPr>
              <w:jc w:val="center"/>
              <w:spacing w:after="0" w:line="207" w:lineRule="exact"/>
              <w:rPr>
                <w:sz w:val="20"/>
                <w:szCs w:val="20"/>
                <w:color w:val="auto"/>
              </w:rPr>
            </w:pPr>
            <w:r>
              <w:rPr>
                <w:rFonts w:ascii="Arial" w:cs="Arial" w:eastAsia="Arial" w:hAnsi="Arial"/>
                <w:sz w:val="20"/>
                <w:szCs w:val="20"/>
                <w:color w:val="auto"/>
                <w:w w:val="98"/>
              </w:rPr>
              <w:t>18.5%</w:t>
            </w:r>
          </w:p>
        </w:tc>
        <w:tc>
          <w:tcPr>
            <w:tcW w:w="20" w:type="dxa"/>
            <w:vAlign w:val="bottom"/>
          </w:tcPr>
          <w:p>
            <w:pPr>
              <w:spacing w:after="0"/>
              <w:rPr>
                <w:sz w:val="18"/>
                <w:szCs w:val="18"/>
                <w:color w:val="auto"/>
              </w:rPr>
            </w:pPr>
          </w:p>
        </w:tc>
      </w:tr>
      <w:tr>
        <w:trPr>
          <w:trHeight w:val="216"/>
        </w:trPr>
        <w:tc>
          <w:tcPr>
            <w:tcW w:w="4300" w:type="dxa"/>
            <w:vAlign w:val="bottom"/>
          </w:tcPr>
          <w:p>
            <w:pPr>
              <w:ind w:left="60"/>
              <w:spacing w:after="0" w:line="216" w:lineRule="exact"/>
              <w:rPr>
                <w:sz w:val="20"/>
                <w:szCs w:val="20"/>
                <w:color w:val="auto"/>
              </w:rPr>
            </w:pPr>
            <w:r>
              <w:rPr>
                <w:rFonts w:ascii="Arial" w:cs="Arial" w:eastAsia="Arial" w:hAnsi="Arial"/>
                <w:sz w:val="16"/>
                <w:szCs w:val="16"/>
                <w:color w:val="auto"/>
              </w:rPr>
              <w:t xml:space="preserve">Disruption </w:t>
            </w:r>
            <w:r>
              <w:rPr>
                <w:rFonts w:ascii="Arial" w:cs="Arial" w:eastAsia="Arial" w:hAnsi="Arial"/>
                <w:sz w:val="25"/>
                <w:szCs w:val="25"/>
                <w:color w:val="auto"/>
                <w:vertAlign w:val="superscript"/>
              </w:rPr>
              <w:t>(2)</w:t>
            </w:r>
          </w:p>
        </w:tc>
        <w:tc>
          <w:tcPr>
            <w:tcW w:w="120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186,416</w:t>
            </w:r>
          </w:p>
        </w:tc>
        <w:tc>
          <w:tcPr>
            <w:tcW w:w="150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331,673</w:t>
            </w:r>
          </w:p>
        </w:tc>
        <w:tc>
          <w:tcPr>
            <w:tcW w:w="1540" w:type="dxa"/>
            <w:vAlign w:val="bottom"/>
          </w:tcPr>
          <w:p>
            <w:pPr>
              <w:jc w:val="right"/>
              <w:ind w:right="381"/>
              <w:spacing w:after="0" w:line="216" w:lineRule="exact"/>
              <w:rPr>
                <w:sz w:val="20"/>
                <w:szCs w:val="20"/>
                <w:color w:val="auto"/>
              </w:rPr>
            </w:pPr>
            <w:r>
              <w:rPr>
                <w:rFonts w:ascii="Arial" w:cs="Arial" w:eastAsia="Arial" w:hAnsi="Arial"/>
                <w:sz w:val="20"/>
                <w:szCs w:val="20"/>
                <w:color w:val="auto"/>
              </w:rPr>
              <w:t>245,757</w:t>
            </w:r>
          </w:p>
        </w:tc>
        <w:tc>
          <w:tcPr>
            <w:tcW w:w="1400" w:type="dxa"/>
            <w:vAlign w:val="bottom"/>
          </w:tcPr>
          <w:p>
            <w:pPr>
              <w:jc w:val="center"/>
              <w:spacing w:after="0" w:line="216" w:lineRule="exact"/>
              <w:rPr>
                <w:sz w:val="20"/>
                <w:szCs w:val="20"/>
                <w:color w:val="auto"/>
              </w:rPr>
            </w:pPr>
            <w:r>
              <w:rPr>
                <w:rFonts w:ascii="Arial" w:cs="Arial" w:eastAsia="Arial" w:hAnsi="Arial"/>
                <w:sz w:val="20"/>
                <w:szCs w:val="20"/>
                <w:color w:val="auto"/>
                <w:w w:val="97"/>
              </w:rPr>
              <w:t>-25.9%</w:t>
            </w:r>
          </w:p>
        </w:tc>
        <w:tc>
          <w:tcPr>
            <w:tcW w:w="1280" w:type="dxa"/>
            <w:vAlign w:val="bottom"/>
          </w:tcPr>
          <w:p>
            <w:pPr>
              <w:jc w:val="center"/>
              <w:spacing w:after="0" w:line="216" w:lineRule="exact"/>
              <w:rPr>
                <w:sz w:val="20"/>
                <w:szCs w:val="20"/>
                <w:color w:val="auto"/>
              </w:rPr>
            </w:pPr>
            <w:r>
              <w:rPr>
                <w:rFonts w:ascii="Arial" w:cs="Arial" w:eastAsia="Arial" w:hAnsi="Arial"/>
                <w:sz w:val="20"/>
                <w:szCs w:val="20"/>
                <w:color w:val="auto"/>
                <w:w w:val="98"/>
              </w:rPr>
              <w:t>31.8%</w:t>
            </w:r>
          </w:p>
        </w:tc>
        <w:tc>
          <w:tcPr>
            <w:tcW w:w="20" w:type="dxa"/>
            <w:vAlign w:val="bottom"/>
          </w:tcPr>
          <w:p>
            <w:pPr>
              <w:spacing w:after="0"/>
              <w:rPr>
                <w:sz w:val="18"/>
                <w:szCs w:val="18"/>
                <w:color w:val="auto"/>
              </w:rPr>
            </w:pPr>
          </w:p>
        </w:tc>
      </w:tr>
      <w:tr>
        <w:trPr>
          <w:trHeight w:val="246"/>
        </w:trPr>
        <w:tc>
          <w:tcPr>
            <w:tcW w:w="4300" w:type="dxa"/>
            <w:vAlign w:val="bottom"/>
            <w:tcBorders>
              <w:bottom w:val="single" w:sz="8" w:color="auto"/>
            </w:tcBorders>
          </w:tcPr>
          <w:p>
            <w:pPr>
              <w:ind w:left="60"/>
              <w:spacing w:after="0" w:line="246"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8"/>
                <w:szCs w:val="28"/>
                <w:color w:val="auto"/>
                <w:vertAlign w:val="superscript"/>
              </w:rPr>
              <w:t>(3)</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340,564</w:t>
            </w:r>
          </w:p>
        </w:tc>
        <w:tc>
          <w:tcPr>
            <w:tcW w:w="15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319,075</w:t>
            </w:r>
          </w:p>
        </w:tc>
        <w:tc>
          <w:tcPr>
            <w:tcW w:w="15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349,964</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9.7%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2.8%</w:t>
            </w:r>
          </w:p>
        </w:tc>
        <w:tc>
          <w:tcPr>
            <w:tcW w:w="20" w:type="dxa"/>
            <w:vAlign w:val="bottom"/>
            <w:tcBorders>
              <w:bottom w:val="single" w:sz="8" w:color="auto"/>
            </w:tcBorders>
          </w:tcPr>
          <w:p>
            <w:pPr>
              <w:spacing w:after="0"/>
              <w:rPr>
                <w:sz w:val="21"/>
                <w:szCs w:val="21"/>
                <w:color w:val="auto"/>
              </w:rPr>
            </w:pPr>
          </w:p>
        </w:tc>
      </w:tr>
      <w:tr>
        <w:trPr>
          <w:trHeight w:val="220"/>
        </w:trPr>
        <w:tc>
          <w:tcPr>
            <w:tcW w:w="4300" w:type="dxa"/>
            <w:vAlign w:val="bottom"/>
          </w:tcPr>
          <w:p>
            <w:pPr>
              <w:ind w:left="60"/>
              <w:spacing w:after="0" w:line="220" w:lineRule="exact"/>
              <w:rPr>
                <w:sz w:val="20"/>
                <w:szCs w:val="20"/>
                <w:color w:val="auto"/>
              </w:rPr>
            </w:pPr>
            <w:r>
              <w:rPr>
                <w:rFonts w:ascii="Arial" w:cs="Arial" w:eastAsia="Arial" w:hAnsi="Arial"/>
                <w:sz w:val="20"/>
                <w:szCs w:val="20"/>
                <w:b w:val="1"/>
                <w:bCs w:val="1"/>
                <w:color w:val="auto"/>
              </w:rPr>
              <w:t>Total</w:t>
            </w:r>
          </w:p>
        </w:tc>
        <w:tc>
          <w:tcPr>
            <w:tcW w:w="1200" w:type="dxa"/>
            <w:vAlign w:val="bottom"/>
          </w:tcPr>
          <w:p>
            <w:pPr>
              <w:jc w:val="right"/>
              <w:ind w:right="201"/>
              <w:spacing w:after="0" w:line="220" w:lineRule="exact"/>
              <w:rPr>
                <w:sz w:val="20"/>
                <w:szCs w:val="20"/>
                <w:color w:val="auto"/>
              </w:rPr>
            </w:pPr>
            <w:r>
              <w:rPr>
                <w:rFonts w:ascii="Arial" w:cs="Arial" w:eastAsia="Arial" w:hAnsi="Arial"/>
                <w:sz w:val="20"/>
                <w:szCs w:val="20"/>
                <w:b w:val="1"/>
                <w:bCs w:val="1"/>
                <w:color w:val="auto"/>
                <w:w w:val="98"/>
              </w:rPr>
              <w:t>2,038,309</w:t>
            </w:r>
          </w:p>
        </w:tc>
        <w:tc>
          <w:tcPr>
            <w:tcW w:w="1500" w:type="dxa"/>
            <w:vAlign w:val="bottom"/>
          </w:tcPr>
          <w:p>
            <w:pPr>
              <w:jc w:val="right"/>
              <w:ind w:right="261"/>
              <w:spacing w:after="0" w:line="220" w:lineRule="exact"/>
              <w:rPr>
                <w:sz w:val="20"/>
                <w:szCs w:val="20"/>
                <w:color w:val="auto"/>
              </w:rPr>
            </w:pPr>
            <w:r>
              <w:rPr>
                <w:rFonts w:ascii="Arial" w:cs="Arial" w:eastAsia="Arial" w:hAnsi="Arial"/>
                <w:sz w:val="20"/>
                <w:szCs w:val="20"/>
                <w:b w:val="1"/>
                <w:bCs w:val="1"/>
                <w:color w:val="auto"/>
              </w:rPr>
              <w:t>2,395,688</w:t>
            </w:r>
          </w:p>
        </w:tc>
        <w:tc>
          <w:tcPr>
            <w:tcW w:w="1540" w:type="dxa"/>
            <w:vAlign w:val="bottom"/>
          </w:tcPr>
          <w:p>
            <w:pPr>
              <w:jc w:val="right"/>
              <w:ind w:right="381"/>
              <w:spacing w:after="0" w:line="220" w:lineRule="exact"/>
              <w:rPr>
                <w:sz w:val="20"/>
                <w:szCs w:val="20"/>
                <w:color w:val="auto"/>
              </w:rPr>
            </w:pPr>
            <w:r>
              <w:rPr>
                <w:rFonts w:ascii="Arial" w:cs="Arial" w:eastAsia="Arial" w:hAnsi="Arial"/>
                <w:sz w:val="20"/>
                <w:szCs w:val="20"/>
                <w:b w:val="1"/>
                <w:bCs w:val="1"/>
                <w:color w:val="auto"/>
              </w:rPr>
              <w:t>2,179,645</w:t>
            </w:r>
          </w:p>
        </w:tc>
        <w:tc>
          <w:tcPr>
            <w:tcW w:w="1400" w:type="dxa"/>
            <w:vAlign w:val="bottom"/>
          </w:tcPr>
          <w:p>
            <w:pPr>
              <w:jc w:val="center"/>
              <w:spacing w:after="0" w:line="220" w:lineRule="exact"/>
              <w:rPr>
                <w:sz w:val="20"/>
                <w:szCs w:val="20"/>
                <w:color w:val="auto"/>
              </w:rPr>
            </w:pPr>
            <w:r>
              <w:rPr>
                <w:rFonts w:ascii="Arial" w:cs="Arial" w:eastAsia="Arial" w:hAnsi="Arial"/>
                <w:sz w:val="20"/>
                <w:szCs w:val="20"/>
                <w:b w:val="1"/>
                <w:bCs w:val="1"/>
                <w:color w:val="auto"/>
                <w:w w:val="95"/>
              </w:rPr>
              <w:t>-9.0%</w:t>
            </w:r>
          </w:p>
        </w:tc>
        <w:tc>
          <w:tcPr>
            <w:tcW w:w="1280" w:type="dxa"/>
            <w:vAlign w:val="bottom"/>
          </w:tcPr>
          <w:p>
            <w:pPr>
              <w:jc w:val="center"/>
              <w:spacing w:after="0" w:line="220" w:lineRule="exact"/>
              <w:rPr>
                <w:sz w:val="20"/>
                <w:szCs w:val="20"/>
                <w:color w:val="auto"/>
              </w:rPr>
            </w:pPr>
            <w:r>
              <w:rPr>
                <w:rFonts w:ascii="Arial" w:cs="Arial" w:eastAsia="Arial" w:hAnsi="Arial"/>
                <w:sz w:val="20"/>
                <w:szCs w:val="20"/>
                <w:b w:val="1"/>
                <w:bCs w:val="1"/>
                <w:color w:val="auto"/>
              </w:rPr>
              <w:t>6.9%</w:t>
            </w:r>
          </w:p>
        </w:tc>
        <w:tc>
          <w:tcPr>
            <w:tcW w:w="20" w:type="dxa"/>
            <w:vAlign w:val="bottom"/>
          </w:tcPr>
          <w:p>
            <w:pPr>
              <w:spacing w:after="0"/>
              <w:rPr>
                <w:sz w:val="19"/>
                <w:szCs w:val="19"/>
                <w:color w:val="auto"/>
              </w:rPr>
            </w:pPr>
          </w:p>
        </w:tc>
      </w:tr>
    </w:tbl>
    <w:p>
      <w:pPr>
        <w:ind w:left="180" w:hanging="172"/>
        <w:spacing w:after="0" w:line="230" w:lineRule="auto"/>
        <w:tabs>
          <w:tab w:leader="none" w:pos="1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Management figures.</w:t>
      </w:r>
    </w:p>
    <w:p>
      <w:pPr>
        <w:ind w:left="180" w:hanging="172"/>
        <w:spacing w:after="0" w:line="230" w:lineRule="auto"/>
        <w:tabs>
          <w:tab w:leader="none" w:pos="1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Includes disruptive initiatives at the subsidiaries and Krealo.</w:t>
      </w:r>
    </w:p>
    <w:p>
      <w:pPr>
        <w:ind w:left="180" w:hanging="172"/>
        <w:spacing w:after="0"/>
        <w:tabs>
          <w:tab w:leader="none" w:pos="1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Includes Credicorp Capital, ASB, Prima, BCP Bolivia, Mibanco Colombia, and other entities within the Group.</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6.9% YTD increase reported for operating expenses at Credicorp was driven by disruptive initiatives, which drove 42.0% of the aforementioned uptick, and by core businesses at BCP, which accounted for 38.3% of the YTD variation.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Disruption expenses represented 11.3% of total expenses and rose 31.8% in 1Q24. These expenses are mainly associated with disruptive initiatives such as Yape, where growth in transactions and new product development led to higher IT-related expenses. In 1Q24, Yape and Tenpo were the largest contributors to expenses and 60% of the total expenses for disruptive initiatives.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Growth in the core business at BCP corresponds to:</w:t>
      </w:r>
    </w:p>
    <w:p>
      <w:pPr>
        <w:spacing w:after="0" w:line="19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Technology expenses (IT)</w:t>
      </w:r>
    </w:p>
    <w:p>
      <w:pPr>
        <w:spacing w:after="0" w:line="13"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More personnel with specialized digital capacities were hired; the average salary paid to these personnel also rose.</w:t>
      </w:r>
    </w:p>
    <w:p>
      <w:pPr>
        <w:ind w:left="1300" w:hanging="320"/>
        <w:spacing w:after="0" w:line="25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uptick in the transaction volume of increasingly digitalized clients led to an increase in the expenses associated with server use. Total monetary transactions, and transactions via digital channels, grew 96.6% and 130.5% respectively.</w:t>
      </w:r>
    </w:p>
    <w:p>
      <w:pPr>
        <w:spacing w:after="0" w:line="15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Core business expenses excluding IT</w:t>
      </w:r>
    </w:p>
    <w:p>
      <w:pPr>
        <w:spacing w:after="0" w:line="13" w:lineRule="exact"/>
        <w:rPr>
          <w:rFonts w:ascii="Arial" w:cs="Arial" w:eastAsia="Arial" w:hAnsi="Arial"/>
          <w:sz w:val="18"/>
          <w:szCs w:val="18"/>
          <w:color w:val="auto"/>
        </w:rPr>
      </w:pPr>
    </w:p>
    <w:p>
      <w:pPr>
        <w:ind w:left="1300" w:hanging="320"/>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compensation expense due to hiring more personnel compared to 1Q23.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9" w:name="page40"/>
    <w:bookmarkEnd w:id="39"/>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39"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09 </w:t>
      </w:r>
      <w:r>
        <w:rPr>
          <w:rFonts w:ascii="Arial" w:cs="Arial" w:eastAsia="Arial" w:hAnsi="Arial"/>
          <w:sz w:val="32"/>
          <w:szCs w:val="32"/>
          <w:color w:val="E93B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557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FFFFFF"/>
        </w:rPr>
        <w:t>The efficiency ratio improved by 70 bps YoY, driven by the fact that growth in income outstripped the increase registered for expenses. This evolution was in line with an increase in core income, which was driven by a rise in net interest income. NII rose due to an improvement in the loan mix via growth in Individuals and SME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Efficiency ratio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reported by subsidiary</w:t>
      </w:r>
    </w:p>
    <w:p>
      <w:pPr>
        <w:spacing w:after="0" w:line="80" w:lineRule="exact"/>
        <w:rPr>
          <w:sz w:val="20"/>
          <w:szCs w:val="20"/>
          <w:color w:val="auto"/>
        </w:rPr>
      </w:pPr>
    </w:p>
    <w:tbl>
      <w:tblPr>
        <w:tblLayout w:type="fixed"/>
        <w:tblInd w:w="90" w:type="dxa"/>
        <w:tblCellMar>
          <w:top w:w="0" w:type="dxa"/>
          <w:left w:w="0" w:type="dxa"/>
          <w:bottom w:w="0" w:type="dxa"/>
          <w:right w:w="0" w:type="dxa"/>
        </w:tblCellMar>
      </w:tblPr>
      <w:tr>
        <w:trPr>
          <w:trHeight w:val="383"/>
        </w:trPr>
        <w:tc>
          <w:tcPr>
            <w:tcW w:w="2800" w:type="dxa"/>
            <w:vAlign w:val="bottom"/>
            <w:tcBorders>
              <w:top w:val="single" w:sz="8" w:color="auto"/>
              <w:left w:val="single" w:sz="8" w:color="auto"/>
              <w:right w:val="single" w:sz="8" w:color="auto"/>
            </w:tcBorders>
            <w:shd w:val="clear" w:color="auto" w:fill="2AD2C8"/>
          </w:tcPr>
          <w:p>
            <w:pPr>
              <w:ind w:left="780"/>
              <w:spacing w:after="0"/>
              <w:rPr>
                <w:sz w:val="20"/>
                <w:szCs w:val="20"/>
                <w:color w:val="auto"/>
              </w:rPr>
            </w:pPr>
            <w:r>
              <w:rPr>
                <w:rFonts w:ascii="Arial" w:cs="Arial" w:eastAsia="Arial" w:hAnsi="Arial"/>
                <w:sz w:val="23"/>
                <w:szCs w:val="23"/>
                <w:b w:val="1"/>
                <w:bCs w:val="1"/>
                <w:color w:val="FFFFFF"/>
              </w:rPr>
              <w:t>Subsidiary</w:t>
            </w:r>
          </w:p>
        </w:tc>
        <w:tc>
          <w:tcPr>
            <w:tcW w:w="1600" w:type="dxa"/>
            <w:vAlign w:val="bottom"/>
            <w:tcBorders>
              <w:top w:val="single" w:sz="8" w:color="auto"/>
            </w:tcBorders>
            <w:shd w:val="clear" w:color="auto" w:fill="2AD2C8"/>
          </w:tcPr>
          <w:p>
            <w:pPr>
              <w:spacing w:after="0"/>
              <w:rPr>
                <w:sz w:val="24"/>
                <w:szCs w:val="24"/>
                <w:color w:val="auto"/>
              </w:rPr>
            </w:pPr>
          </w:p>
        </w:tc>
        <w:tc>
          <w:tcPr>
            <w:tcW w:w="1740" w:type="dxa"/>
            <w:vAlign w:val="bottom"/>
            <w:tcBorders>
              <w:top w:val="single" w:sz="8" w:color="auto"/>
            </w:tcBorders>
            <w:shd w:val="clear" w:color="auto" w:fill="2AD2C8"/>
          </w:tcPr>
          <w:p>
            <w:pPr>
              <w:ind w:left="460"/>
              <w:spacing w:after="0"/>
              <w:rPr>
                <w:sz w:val="20"/>
                <w:szCs w:val="20"/>
                <w:color w:val="auto"/>
              </w:rPr>
            </w:pPr>
            <w:r>
              <w:rPr>
                <w:rFonts w:ascii="Arial" w:cs="Arial" w:eastAsia="Arial" w:hAnsi="Arial"/>
                <w:sz w:val="23"/>
                <w:szCs w:val="23"/>
                <w:b w:val="1"/>
                <w:bCs w:val="1"/>
                <w:color w:val="FFFFFF"/>
              </w:rPr>
              <w:t>Quarter</w:t>
            </w:r>
          </w:p>
        </w:tc>
        <w:tc>
          <w:tcPr>
            <w:tcW w:w="1660" w:type="dxa"/>
            <w:vAlign w:val="bottom"/>
            <w:tcBorders>
              <w:top w:val="single" w:sz="8" w:color="auto"/>
              <w:right w:val="single" w:sz="8" w:color="auto"/>
            </w:tcBorders>
            <w:shd w:val="clear" w:color="auto" w:fill="2AD2C8"/>
          </w:tcPr>
          <w:p>
            <w:pPr>
              <w:spacing w:after="0"/>
              <w:rPr>
                <w:sz w:val="24"/>
                <w:szCs w:val="24"/>
                <w:color w:val="auto"/>
              </w:rPr>
            </w:pPr>
          </w:p>
        </w:tc>
        <w:tc>
          <w:tcPr>
            <w:tcW w:w="3320" w:type="dxa"/>
            <w:vAlign w:val="bottom"/>
            <w:tcBorders>
              <w:top w:val="single" w:sz="8" w:color="auto"/>
              <w:right w:val="single" w:sz="8" w:color="auto"/>
            </w:tcBorders>
            <w:gridSpan w:val="2"/>
            <w:shd w:val="clear" w:color="auto" w:fill="2AD2C8"/>
          </w:tcPr>
          <w:p>
            <w:pPr>
              <w:ind w:left="1080"/>
              <w:spacing w:after="0"/>
              <w:rPr>
                <w:sz w:val="20"/>
                <w:szCs w:val="20"/>
                <w:color w:val="auto"/>
              </w:rPr>
            </w:pPr>
            <w:r>
              <w:rPr>
                <w:rFonts w:ascii="Arial" w:cs="Arial" w:eastAsia="Arial" w:hAnsi="Arial"/>
                <w:sz w:val="23"/>
                <w:szCs w:val="23"/>
                <w:b w:val="1"/>
                <w:bCs w:val="1"/>
                <w:color w:val="FFFFFF"/>
              </w:rPr>
              <w:t>% change</w:t>
            </w:r>
          </w:p>
        </w:tc>
      </w:tr>
      <w:tr>
        <w:trPr>
          <w:trHeight w:val="342"/>
        </w:trPr>
        <w:tc>
          <w:tcPr>
            <w:tcW w:w="2800" w:type="dxa"/>
            <w:vAlign w:val="bottom"/>
            <w:tcBorders>
              <w:left w:val="single" w:sz="8" w:color="auto"/>
              <w:bottom w:val="single" w:sz="8" w:color="auto"/>
              <w:right w:val="single" w:sz="8" w:color="auto"/>
            </w:tcBorders>
            <w:shd w:val="clear" w:color="auto" w:fill="2AD2C8"/>
          </w:tcPr>
          <w:p>
            <w:pPr>
              <w:spacing w:after="0"/>
              <w:rPr>
                <w:sz w:val="24"/>
                <w:szCs w:val="24"/>
                <w:color w:val="auto"/>
              </w:rPr>
            </w:pPr>
          </w:p>
        </w:tc>
        <w:tc>
          <w:tcPr>
            <w:tcW w:w="16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23"/>
                <w:szCs w:val="23"/>
                <w:b w:val="1"/>
                <w:bCs w:val="1"/>
                <w:color w:val="FFFFFF"/>
              </w:rPr>
              <w:t>1Q23</w:t>
            </w:r>
          </w:p>
        </w:tc>
        <w:tc>
          <w:tcPr>
            <w:tcW w:w="17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23"/>
                <w:szCs w:val="23"/>
                <w:b w:val="1"/>
                <w:bCs w:val="1"/>
                <w:color w:val="FFFFFF"/>
              </w:rPr>
              <w:t>4Q23</w:t>
            </w:r>
          </w:p>
        </w:tc>
        <w:tc>
          <w:tcPr>
            <w:tcW w:w="16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23"/>
                <w:szCs w:val="23"/>
                <w:b w:val="1"/>
                <w:bCs w:val="1"/>
                <w:color w:val="FFFFFF"/>
              </w:rPr>
              <w:t>1Q24</w:t>
            </w:r>
          </w:p>
        </w:tc>
        <w:tc>
          <w:tcPr>
            <w:tcW w:w="166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23"/>
                <w:szCs w:val="23"/>
                <w:b w:val="1"/>
                <w:bCs w:val="1"/>
                <w:color w:val="FFFFFF"/>
              </w:rPr>
              <w:t>QoQ</w:t>
            </w:r>
          </w:p>
        </w:tc>
        <w:tc>
          <w:tcPr>
            <w:tcW w:w="166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23"/>
                <w:szCs w:val="23"/>
                <w:b w:val="1"/>
                <w:bCs w:val="1"/>
                <w:color w:val="FFFFFF"/>
                <w:w w:val="98"/>
              </w:rPr>
              <w:t>YoY</w:t>
            </w:r>
          </w:p>
        </w:tc>
      </w:tr>
      <w:tr>
        <w:trPr>
          <w:trHeight w:val="315"/>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BCP</w:t>
            </w:r>
          </w:p>
        </w:tc>
        <w:tc>
          <w:tcPr>
            <w:tcW w:w="1600" w:type="dxa"/>
            <w:vAlign w:val="bottom"/>
          </w:tcPr>
          <w:p>
            <w:pPr>
              <w:jc w:val="center"/>
              <w:spacing w:after="0"/>
              <w:rPr>
                <w:sz w:val="20"/>
                <w:szCs w:val="20"/>
                <w:color w:val="auto"/>
              </w:rPr>
            </w:pPr>
            <w:r>
              <w:rPr>
                <w:rFonts w:ascii="Arial" w:cs="Arial" w:eastAsia="Arial" w:hAnsi="Arial"/>
                <w:sz w:val="23"/>
                <w:szCs w:val="23"/>
                <w:color w:val="auto"/>
              </w:rPr>
              <w:t>36.8%</w:t>
            </w:r>
          </w:p>
        </w:tc>
        <w:tc>
          <w:tcPr>
            <w:tcW w:w="1740" w:type="dxa"/>
            <w:vAlign w:val="bottom"/>
          </w:tcPr>
          <w:p>
            <w:pPr>
              <w:jc w:val="center"/>
              <w:spacing w:after="0"/>
              <w:rPr>
                <w:sz w:val="20"/>
                <w:szCs w:val="20"/>
                <w:color w:val="auto"/>
              </w:rPr>
            </w:pPr>
            <w:r>
              <w:rPr>
                <w:rFonts w:ascii="Arial" w:cs="Arial" w:eastAsia="Arial" w:hAnsi="Arial"/>
                <w:sz w:val="23"/>
                <w:szCs w:val="23"/>
                <w:color w:val="auto"/>
              </w:rPr>
              <w:t>41.8%</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36.2%</w:t>
            </w:r>
          </w:p>
        </w:tc>
        <w:tc>
          <w:tcPr>
            <w:tcW w:w="1660" w:type="dxa"/>
            <w:vAlign w:val="bottom"/>
          </w:tcPr>
          <w:p>
            <w:pPr>
              <w:jc w:val="center"/>
              <w:spacing w:after="0"/>
              <w:rPr>
                <w:sz w:val="20"/>
                <w:szCs w:val="20"/>
                <w:color w:val="auto"/>
              </w:rPr>
            </w:pPr>
            <w:r>
              <w:rPr>
                <w:rFonts w:ascii="Arial" w:cs="Arial" w:eastAsia="Arial" w:hAnsi="Arial"/>
                <w:sz w:val="23"/>
                <w:szCs w:val="23"/>
                <w:color w:val="auto"/>
              </w:rPr>
              <w:t>-560 bps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-60 bps</w:t>
            </w:r>
          </w:p>
        </w:tc>
      </w:tr>
      <w:tr>
        <w:trPr>
          <w:trHeight w:val="338"/>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BCP Bolivia</w:t>
            </w:r>
          </w:p>
        </w:tc>
        <w:tc>
          <w:tcPr>
            <w:tcW w:w="1600" w:type="dxa"/>
            <w:vAlign w:val="bottom"/>
          </w:tcPr>
          <w:p>
            <w:pPr>
              <w:jc w:val="center"/>
              <w:spacing w:after="0"/>
              <w:rPr>
                <w:sz w:val="20"/>
                <w:szCs w:val="20"/>
                <w:color w:val="auto"/>
              </w:rPr>
            </w:pPr>
            <w:r>
              <w:rPr>
                <w:rFonts w:ascii="Arial" w:cs="Arial" w:eastAsia="Arial" w:hAnsi="Arial"/>
                <w:sz w:val="23"/>
                <w:szCs w:val="23"/>
                <w:color w:val="auto"/>
              </w:rPr>
              <w:t>60.2%</w:t>
            </w:r>
          </w:p>
        </w:tc>
        <w:tc>
          <w:tcPr>
            <w:tcW w:w="1740" w:type="dxa"/>
            <w:vAlign w:val="bottom"/>
          </w:tcPr>
          <w:p>
            <w:pPr>
              <w:jc w:val="center"/>
              <w:spacing w:after="0"/>
              <w:rPr>
                <w:sz w:val="20"/>
                <w:szCs w:val="20"/>
                <w:color w:val="auto"/>
              </w:rPr>
            </w:pPr>
            <w:r>
              <w:rPr>
                <w:rFonts w:ascii="Arial" w:cs="Arial" w:eastAsia="Arial" w:hAnsi="Arial"/>
                <w:sz w:val="23"/>
                <w:szCs w:val="23"/>
                <w:color w:val="auto"/>
              </w:rPr>
              <w:t>59.0%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58.1%</w:t>
            </w:r>
          </w:p>
        </w:tc>
        <w:tc>
          <w:tcPr>
            <w:tcW w:w="1660" w:type="dxa"/>
            <w:vAlign w:val="bottom"/>
          </w:tcPr>
          <w:p>
            <w:pPr>
              <w:jc w:val="center"/>
              <w:spacing w:after="0"/>
              <w:rPr>
                <w:sz w:val="20"/>
                <w:szCs w:val="20"/>
                <w:color w:val="auto"/>
              </w:rPr>
            </w:pPr>
            <w:r>
              <w:rPr>
                <w:rFonts w:ascii="Arial" w:cs="Arial" w:eastAsia="Arial" w:hAnsi="Arial"/>
                <w:sz w:val="23"/>
                <w:szCs w:val="23"/>
                <w:color w:val="auto"/>
              </w:rPr>
              <w:t>-90 bps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-210 bps</w:t>
            </w:r>
          </w:p>
        </w:tc>
      </w:tr>
      <w:tr>
        <w:trPr>
          <w:trHeight w:val="338"/>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Mibanco Peru</w:t>
            </w:r>
          </w:p>
        </w:tc>
        <w:tc>
          <w:tcPr>
            <w:tcW w:w="1600" w:type="dxa"/>
            <w:vAlign w:val="bottom"/>
          </w:tcPr>
          <w:p>
            <w:pPr>
              <w:jc w:val="center"/>
              <w:spacing w:after="0"/>
              <w:rPr>
                <w:sz w:val="20"/>
                <w:szCs w:val="20"/>
                <w:color w:val="auto"/>
              </w:rPr>
            </w:pPr>
            <w:r>
              <w:rPr>
                <w:rFonts w:ascii="Arial" w:cs="Arial" w:eastAsia="Arial" w:hAnsi="Arial"/>
                <w:sz w:val="23"/>
                <w:szCs w:val="23"/>
                <w:color w:val="auto"/>
              </w:rPr>
              <w:t>54.1%</w:t>
            </w:r>
          </w:p>
        </w:tc>
        <w:tc>
          <w:tcPr>
            <w:tcW w:w="1740" w:type="dxa"/>
            <w:vAlign w:val="bottom"/>
          </w:tcPr>
          <w:p>
            <w:pPr>
              <w:jc w:val="center"/>
              <w:spacing w:after="0"/>
              <w:rPr>
                <w:sz w:val="20"/>
                <w:szCs w:val="20"/>
                <w:color w:val="auto"/>
              </w:rPr>
            </w:pPr>
            <w:r>
              <w:rPr>
                <w:rFonts w:ascii="Arial" w:cs="Arial" w:eastAsia="Arial" w:hAnsi="Arial"/>
                <w:sz w:val="23"/>
                <w:szCs w:val="23"/>
                <w:color w:val="auto"/>
              </w:rPr>
              <w:t>52.9%</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53.3%</w:t>
            </w:r>
          </w:p>
        </w:tc>
        <w:tc>
          <w:tcPr>
            <w:tcW w:w="1660" w:type="dxa"/>
            <w:vAlign w:val="bottom"/>
          </w:tcPr>
          <w:p>
            <w:pPr>
              <w:jc w:val="center"/>
              <w:spacing w:after="0"/>
              <w:rPr>
                <w:sz w:val="20"/>
                <w:szCs w:val="20"/>
                <w:color w:val="auto"/>
              </w:rPr>
            </w:pPr>
            <w:r>
              <w:rPr>
                <w:rFonts w:ascii="Arial" w:cs="Arial" w:eastAsia="Arial" w:hAnsi="Arial"/>
                <w:sz w:val="23"/>
                <w:szCs w:val="23"/>
                <w:color w:val="auto"/>
              </w:rPr>
              <w:t>40 bps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-80 bps</w:t>
            </w:r>
          </w:p>
        </w:tc>
      </w:tr>
      <w:tr>
        <w:trPr>
          <w:trHeight w:val="338"/>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Mibanco Colombia</w:t>
            </w:r>
          </w:p>
        </w:tc>
        <w:tc>
          <w:tcPr>
            <w:tcW w:w="1600" w:type="dxa"/>
            <w:vAlign w:val="bottom"/>
          </w:tcPr>
          <w:p>
            <w:pPr>
              <w:jc w:val="center"/>
              <w:spacing w:after="0"/>
              <w:rPr>
                <w:sz w:val="20"/>
                <w:szCs w:val="20"/>
                <w:color w:val="auto"/>
              </w:rPr>
            </w:pPr>
            <w:r>
              <w:rPr>
                <w:rFonts w:ascii="Arial" w:cs="Arial" w:eastAsia="Arial" w:hAnsi="Arial"/>
                <w:sz w:val="23"/>
                <w:szCs w:val="23"/>
                <w:color w:val="auto"/>
              </w:rPr>
              <w:t>93.2%</w:t>
            </w:r>
          </w:p>
        </w:tc>
        <w:tc>
          <w:tcPr>
            <w:tcW w:w="1740" w:type="dxa"/>
            <w:vAlign w:val="bottom"/>
          </w:tcPr>
          <w:p>
            <w:pPr>
              <w:jc w:val="center"/>
              <w:spacing w:after="0"/>
              <w:rPr>
                <w:sz w:val="20"/>
                <w:szCs w:val="20"/>
                <w:color w:val="auto"/>
              </w:rPr>
            </w:pPr>
            <w:r>
              <w:rPr>
                <w:rFonts w:ascii="Arial" w:cs="Arial" w:eastAsia="Arial" w:hAnsi="Arial"/>
                <w:sz w:val="23"/>
                <w:szCs w:val="23"/>
                <w:color w:val="auto"/>
              </w:rPr>
              <w:t>98.2%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85.5%</w:t>
            </w:r>
          </w:p>
        </w:tc>
        <w:tc>
          <w:tcPr>
            <w:tcW w:w="1660" w:type="dxa"/>
            <w:vAlign w:val="bottom"/>
          </w:tcPr>
          <w:p>
            <w:pPr>
              <w:jc w:val="center"/>
              <w:spacing w:after="0"/>
              <w:rPr>
                <w:sz w:val="20"/>
                <w:szCs w:val="20"/>
                <w:color w:val="auto"/>
              </w:rPr>
            </w:pPr>
            <w:r>
              <w:rPr>
                <w:rFonts w:ascii="Arial" w:cs="Arial" w:eastAsia="Arial" w:hAnsi="Arial"/>
                <w:sz w:val="23"/>
                <w:szCs w:val="23"/>
                <w:color w:val="auto"/>
              </w:rPr>
              <w:t>-1270 bps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-770 bps</w:t>
            </w:r>
          </w:p>
        </w:tc>
      </w:tr>
      <w:tr>
        <w:trPr>
          <w:trHeight w:val="338"/>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Pacifico</w:t>
            </w:r>
          </w:p>
        </w:tc>
        <w:tc>
          <w:tcPr>
            <w:tcW w:w="1600" w:type="dxa"/>
            <w:vAlign w:val="bottom"/>
          </w:tcPr>
          <w:p>
            <w:pPr>
              <w:jc w:val="center"/>
              <w:spacing w:after="0"/>
              <w:rPr>
                <w:sz w:val="20"/>
                <w:szCs w:val="20"/>
                <w:color w:val="auto"/>
              </w:rPr>
            </w:pPr>
            <w:r>
              <w:rPr>
                <w:rFonts w:ascii="Arial" w:cs="Arial" w:eastAsia="Arial" w:hAnsi="Arial"/>
                <w:sz w:val="23"/>
                <w:szCs w:val="23"/>
                <w:color w:val="auto"/>
              </w:rPr>
              <w:t>21.7%</w:t>
            </w:r>
          </w:p>
        </w:tc>
        <w:tc>
          <w:tcPr>
            <w:tcW w:w="1740" w:type="dxa"/>
            <w:vAlign w:val="bottom"/>
          </w:tcPr>
          <w:p>
            <w:pPr>
              <w:jc w:val="center"/>
              <w:spacing w:after="0"/>
              <w:rPr>
                <w:sz w:val="20"/>
                <w:szCs w:val="20"/>
                <w:color w:val="auto"/>
              </w:rPr>
            </w:pPr>
            <w:r>
              <w:rPr>
                <w:rFonts w:ascii="Arial" w:cs="Arial" w:eastAsia="Arial" w:hAnsi="Arial"/>
                <w:sz w:val="23"/>
                <w:szCs w:val="23"/>
                <w:color w:val="auto"/>
              </w:rPr>
              <w:t>34.9%</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27.7%</w:t>
            </w:r>
          </w:p>
        </w:tc>
        <w:tc>
          <w:tcPr>
            <w:tcW w:w="1660" w:type="dxa"/>
            <w:vAlign w:val="bottom"/>
          </w:tcPr>
          <w:p>
            <w:pPr>
              <w:jc w:val="center"/>
              <w:spacing w:after="0"/>
              <w:rPr>
                <w:sz w:val="20"/>
                <w:szCs w:val="20"/>
                <w:color w:val="auto"/>
              </w:rPr>
            </w:pPr>
            <w:r>
              <w:rPr>
                <w:rFonts w:ascii="Arial" w:cs="Arial" w:eastAsia="Arial" w:hAnsi="Arial"/>
                <w:sz w:val="23"/>
                <w:szCs w:val="23"/>
                <w:color w:val="auto"/>
              </w:rPr>
              <w:t>-720 bps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600 bps</w:t>
            </w:r>
          </w:p>
        </w:tc>
      </w:tr>
      <w:tr>
        <w:trPr>
          <w:trHeight w:val="338"/>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3"/>
                <w:szCs w:val="23"/>
                <w:color w:val="auto"/>
              </w:rPr>
              <w:t>Prima AFP</w:t>
            </w:r>
          </w:p>
        </w:tc>
        <w:tc>
          <w:tcPr>
            <w:tcW w:w="1600" w:type="dxa"/>
            <w:vAlign w:val="bottom"/>
          </w:tcPr>
          <w:p>
            <w:pPr>
              <w:jc w:val="center"/>
              <w:spacing w:after="0"/>
              <w:rPr>
                <w:sz w:val="20"/>
                <w:szCs w:val="20"/>
                <w:color w:val="auto"/>
              </w:rPr>
            </w:pPr>
            <w:r>
              <w:rPr>
                <w:rFonts w:ascii="Arial" w:cs="Arial" w:eastAsia="Arial" w:hAnsi="Arial"/>
                <w:sz w:val="23"/>
                <w:szCs w:val="23"/>
                <w:color w:val="auto"/>
              </w:rPr>
              <w:t>49.6%</w:t>
            </w:r>
          </w:p>
        </w:tc>
        <w:tc>
          <w:tcPr>
            <w:tcW w:w="1740" w:type="dxa"/>
            <w:vAlign w:val="bottom"/>
          </w:tcPr>
          <w:p>
            <w:pPr>
              <w:jc w:val="center"/>
              <w:spacing w:after="0"/>
              <w:rPr>
                <w:sz w:val="20"/>
                <w:szCs w:val="20"/>
                <w:color w:val="auto"/>
              </w:rPr>
            </w:pPr>
            <w:r>
              <w:rPr>
                <w:rFonts w:ascii="Arial" w:cs="Arial" w:eastAsia="Arial" w:hAnsi="Arial"/>
                <w:sz w:val="23"/>
                <w:szCs w:val="23"/>
                <w:color w:val="auto"/>
              </w:rPr>
              <w:t>54.2%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50.4%</w:t>
            </w:r>
          </w:p>
        </w:tc>
        <w:tc>
          <w:tcPr>
            <w:tcW w:w="1660" w:type="dxa"/>
            <w:vAlign w:val="bottom"/>
          </w:tcPr>
          <w:p>
            <w:pPr>
              <w:jc w:val="center"/>
              <w:spacing w:after="0"/>
              <w:rPr>
                <w:sz w:val="20"/>
                <w:szCs w:val="20"/>
                <w:color w:val="auto"/>
              </w:rPr>
            </w:pPr>
            <w:r>
              <w:rPr>
                <w:rFonts w:ascii="Arial" w:cs="Arial" w:eastAsia="Arial" w:hAnsi="Arial"/>
                <w:sz w:val="23"/>
                <w:szCs w:val="23"/>
                <w:color w:val="auto"/>
              </w:rPr>
              <w:t>-380 bps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3"/>
                <w:szCs w:val="23"/>
                <w:color w:val="auto"/>
              </w:rPr>
              <w:t>80 bps</w:t>
            </w:r>
          </w:p>
        </w:tc>
      </w:tr>
      <w:tr>
        <w:trPr>
          <w:trHeight w:val="20"/>
        </w:trPr>
        <w:tc>
          <w:tcPr>
            <w:tcW w:w="2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327"/>
        </w:trPr>
        <w:tc>
          <w:tcPr>
            <w:tcW w:w="2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3"/>
                <w:szCs w:val="23"/>
                <w:b w:val="1"/>
                <w:bCs w:val="1"/>
                <w:color w:val="auto"/>
              </w:rPr>
              <w:t>Credicorp</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3"/>
                <w:szCs w:val="23"/>
                <w:b w:val="1"/>
                <w:bCs w:val="1"/>
                <w:color w:val="auto"/>
              </w:rPr>
              <w:t>44.3%</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3"/>
                <w:szCs w:val="23"/>
                <w:b w:val="1"/>
                <w:bCs w:val="1"/>
                <w:color w:val="auto"/>
              </w:rPr>
              <w:t>49.0%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rPr>
              <w:t>43.6%</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3"/>
                <w:szCs w:val="23"/>
                <w:b w:val="1"/>
                <w:bCs w:val="1"/>
                <w:color w:val="auto"/>
              </w:rPr>
              <w:t>-537 bps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3"/>
                <w:szCs w:val="23"/>
                <w:b w:val="1"/>
                <w:bCs w:val="1"/>
                <w:color w:val="auto"/>
              </w:rPr>
              <w:t>-70 bps</w:t>
            </w:r>
          </w:p>
        </w:tc>
      </w:tr>
    </w:tbl>
    <w:p>
      <w:pPr>
        <w:spacing w:after="0" w:line="189" w:lineRule="exact"/>
        <w:rPr>
          <w:sz w:val="20"/>
          <w:szCs w:val="20"/>
          <w:color w:val="auto"/>
        </w:rPr>
      </w:pPr>
    </w:p>
    <w:p>
      <w:pPr>
        <w:jc w:val="both"/>
        <w:ind w:firstLine="8"/>
        <w:spacing w:after="0" w:line="245" w:lineRule="auto"/>
        <w:tabs>
          <w:tab w:leader="none" w:pos="178" w:val="left"/>
        </w:tabs>
        <w:numPr>
          <w:ilvl w:val="0"/>
          <w:numId w:val="41"/>
        </w:numPr>
        <w:rPr>
          <w:rFonts w:ascii="Arial" w:cs="Arial" w:eastAsia="Arial" w:hAnsi="Arial"/>
          <w:sz w:val="11"/>
          <w:szCs w:val="11"/>
          <w:color w:val="auto"/>
        </w:rPr>
      </w:pPr>
      <w:r>
        <w:rPr>
          <w:rFonts w:ascii="Arial" w:cs="Arial" w:eastAsia="Arial" w:hAnsi="Arial"/>
          <w:sz w:val="11"/>
          <w:szCs w:val="11"/>
          <w:color w:val="auto"/>
        </w:rPr>
        <w:t>Operating expenses / Operating income (under IFRS 17). Operating expenses = Salaries and employees benefits + Administrative expenses + Depreciation and amortization + Association in participation + Acquisition cost. Operating income = Net interest, similar income, and expenses + Fee income + Net gain on foreign exchange transactions + Net gain from associates + Net gain on derivatives held for trading + Net gain from exchange differences + Net Insurance Underwriting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YoY movements will be considered in the analysis to eliminate seasonal effects between quarters.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efficiency ratio improved this quarter. This evolution was led by an increase in core income at BCP, which was attributable to a shift in the mix toward a higher percentage of Retail Loans and to the fact that expenses remained under control.</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40" w:name="page41"/>
    <w:bookmarkEnd w:id="40"/>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39"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10 </w:t>
      </w:r>
      <w:r>
        <w:rPr>
          <w:rFonts w:ascii="Arial" w:cs="Arial" w:eastAsia="Arial" w:hAnsi="Arial"/>
          <w:sz w:val="32"/>
          <w:szCs w:val="32"/>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183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Credicorp´s Total Regulatory Capital level stood at 1.30 times above the required limit.</w:t>
      </w:r>
    </w:p>
    <w:p>
      <w:pPr>
        <w:spacing w:after="0" w:line="19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FFFFFF"/>
        </w:rPr>
        <w:t>The IFRS CET1 at BCP Stand-alone dropped 7 bps YoY to stand at 11.86%; this reflected an increase in RWAS, which rose hand-in-hand with loan growth. This was partially offset by an improvement in Retained Earnings.</w:t>
      </w:r>
    </w:p>
    <w:p>
      <w:pPr>
        <w:spacing w:after="0" w:line="140"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FFFFFF"/>
        </w:rPr>
        <w:t>The IFRS CET1 at Mibanco decreased 32 bps YoY and stood at 16.06%. The reduction in Retained Earnings YoY (-144.5%) offset the drop in RWAs (-5.4%).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Regulatory Capital at Credicorp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analysis of Financial Group.</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2022, the Superintendency of Banking, Insurance, and AFP (SBS) established the legal bases to align the country’s regulato ry framework with the capital standards set by Basel III. The entity issued resolutions that modified both the structure and composition of regulatory capital and capital requirements for companies in the financial system. Most of these changes were implemented beginning in 2023. For more details, we suggest you refer to our 1Q23 Quarterly Report.</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In 2024, with the objective </w:t>
      </w:r>
      <w:r>
        <w:rPr>
          <w:rFonts w:ascii="Arial" w:cs="Arial" w:eastAsia="Arial" w:hAnsi="Arial"/>
          <w:sz w:val="18"/>
          <w:szCs w:val="18"/>
          <w:color w:val="auto"/>
          <w:strike w:val="1"/>
        </w:rPr>
        <w:t>is</w:t>
      </w:r>
      <w:r>
        <w:rPr>
          <w:rFonts w:ascii="Arial" w:cs="Arial" w:eastAsia="Arial" w:hAnsi="Arial"/>
          <w:sz w:val="18"/>
          <w:szCs w:val="18"/>
          <w:color w:val="auto"/>
        </w:rPr>
        <w:t xml:space="preserve"> to continue aligning local regulation with Basel III, the SBS modified the structure and composition of Total Regulatory Capital for financial conglomerates. These changes included incorporating the following elements in the calculation of Total Regulatory Capital: (i) Retained Earnings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(ii) Unrealized Gains/Losses</w:t>
      </w:r>
      <w:r>
        <w:rPr>
          <w:rFonts w:ascii="Arial" w:cs="Arial" w:eastAsia="Arial" w:hAnsi="Arial"/>
          <w:sz w:val="29"/>
          <w:szCs w:val="29"/>
          <w:color w:val="auto"/>
          <w:vertAlign w:val="superscript"/>
        </w:rPr>
        <w:t>2</w:t>
      </w:r>
      <w:r>
        <w:rPr>
          <w:rFonts w:ascii="Arial" w:cs="Arial" w:eastAsia="Arial" w:hAnsi="Arial"/>
          <w:sz w:val="18"/>
          <w:szCs w:val="18"/>
          <w:color w:val="auto"/>
        </w:rPr>
        <w:t>, as well as deductions of Net Intangible Assets &amp; DTAs.</w:t>
      </w:r>
    </w:p>
    <w:p>
      <w:pPr>
        <w:ind w:right="280"/>
        <w:spacing w:after="0" w:line="245" w:lineRule="auto"/>
        <w:rPr>
          <w:sz w:val="20"/>
          <w:szCs w:val="20"/>
          <w:color w:val="auto"/>
        </w:rPr>
      </w:pPr>
      <w:r>
        <w:rPr>
          <w:rFonts w:ascii="Arial" w:cs="Arial" w:eastAsia="Arial" w:hAnsi="Arial"/>
          <w:sz w:val="18"/>
          <w:szCs w:val="18"/>
          <w:color w:val="auto"/>
        </w:rPr>
        <w:t>Two minimum capital requirements have been included: minimum required for Common Equity Tier 1 Capital (CET 1) and minimum Tier 1 Total Regulatory Capital (Tier 1).</w:t>
      </w:r>
    </w:p>
    <w:p>
      <w:pPr>
        <w:ind w:left="340" w:right="1020" w:hanging="332"/>
        <w:spacing w:after="0" w:line="23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Minimum required for CET 1: 45% of Credicorp’s capital requirement and 100% of the conservation, economic cycle and risk concentration buffers.</w:t>
      </w:r>
    </w:p>
    <w:p>
      <w:pPr>
        <w:spacing w:after="0" w:line="1" w:lineRule="exact"/>
        <w:rPr>
          <w:rFonts w:ascii="Arial" w:cs="Arial" w:eastAsia="Arial" w:hAnsi="Arial"/>
          <w:sz w:val="18"/>
          <w:szCs w:val="18"/>
          <w:color w:val="auto"/>
        </w:rPr>
      </w:pPr>
    </w:p>
    <w:p>
      <w:pPr>
        <w:ind w:left="340" w:right="106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Minimum required for Tier 1: 60% of Credicorp’s capital requirement and 100% of the conservation, economic cycle and risk concentration buffers.</w:t>
      </w:r>
    </w:p>
    <w:p>
      <w:pPr>
        <w:sectPr>
          <w:pgSz w:w="11900" w:h="16838" w:orient="portrait"/>
          <w:cols w:equalWidth="0" w:num="1">
            <w:col w:w="11240"/>
          </w:cols>
          <w:pgMar w:left="320" w:top="548" w:right="339" w:bottom="1440" w:gutter="0" w:footer="0" w:header="0"/>
        </w:sectPr>
      </w:pPr>
    </w:p>
    <w:p>
      <w:pPr>
        <w:spacing w:after="0" w:line="158" w:lineRule="exact"/>
        <w:rPr>
          <w:sz w:val="20"/>
          <w:szCs w:val="20"/>
          <w:color w:val="auto"/>
        </w:rPr>
      </w:pPr>
    </w:p>
    <w:p>
      <w:pPr>
        <w:jc w:val="both"/>
        <w:ind w:right="1380"/>
        <w:spacing w:after="0" w:line="244" w:lineRule="auto"/>
        <w:rPr>
          <w:sz w:val="20"/>
          <w:szCs w:val="20"/>
          <w:color w:val="auto"/>
        </w:rPr>
      </w:pPr>
      <w:r>
        <w:rPr>
          <w:rFonts w:ascii="Arial" w:cs="Arial" w:eastAsia="Arial" w:hAnsi="Arial"/>
          <w:sz w:val="18"/>
          <w:szCs w:val="18"/>
          <w:color w:val="auto"/>
        </w:rPr>
        <w:t>Regarding Credifcorp, CET 1 stood 2.01 times above the minimum required. Tier 1, in turn, stood 1.65 times above the established minimum. Finally, Total Regulatory Capital stood at 1.30 times the required limit. These results are proof of our solid capitalization, which attests to our financial solidness and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1384300</wp:posOffset>
            </wp:positionV>
            <wp:extent cx="1783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Coverage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137795</wp:posOffset>
            </wp:positionV>
            <wp:extent cx="3223260" cy="1500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23260" cy="1500505"/>
                    </a:xfrm>
                    <a:prstGeom prst="rect">
                      <a:avLst/>
                    </a:prstGeom>
                    <a:noFill/>
                  </pic:spPr>
                </pic:pic>
              </a:graphicData>
            </a:graphic>
          </wp:anchor>
        </w:drawing>
      </w:r>
    </w:p>
    <w:p>
      <w:pPr>
        <w:spacing w:after="0" w:line="1045" w:lineRule="exact"/>
        <w:rPr>
          <w:sz w:val="20"/>
          <w:szCs w:val="20"/>
          <w:color w:val="auto"/>
        </w:rPr>
      </w:pPr>
    </w:p>
    <w:p>
      <w:pPr>
        <w:sectPr>
          <w:pgSz w:w="11900" w:h="16838" w:orient="portrait"/>
          <w:cols w:equalWidth="0" w:num="2">
            <w:col w:w="6780" w:space="720"/>
            <w:col w:w="3740"/>
          </w:cols>
          <w:pgMar w:left="320" w:top="5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hanging="92"/>
        <w:spacing w:after="0"/>
        <w:tabs>
          <w:tab w:leader="none" w:pos="10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Includes Accumulated Earnings solely from Financial Entities Supervised by the SBS, according to the current regulation.</w:t>
      </w:r>
    </w:p>
    <w:p>
      <w:pPr>
        <w:spacing w:after="0" w:line="134" w:lineRule="exact"/>
        <w:rPr>
          <w:sz w:val="20"/>
          <w:szCs w:val="20"/>
          <w:color w:val="auto"/>
        </w:rPr>
      </w:pPr>
    </w:p>
    <w:p>
      <w:pPr>
        <w:ind w:right="60" w:firstLine="8"/>
        <w:spacing w:after="0" w:line="193" w:lineRule="auto"/>
        <w:tabs>
          <w:tab w:leader="none" w:pos="10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Includes Unrealized Losses attributable to Available-For-Sale Investments in debt instruments issued by the Peruvian Government, other Governments with Investment Grade Ratings, the Peruvian Central Bank and other instruments, in accordance with current regulation.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43"/>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type w:val="continuous"/>
        </w:sectPr>
      </w:pPr>
    </w:p>
    <w:bookmarkStart w:id="41" w:name="page42"/>
    <w:bookmarkEnd w:id="41"/>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10. Regulatory Capital</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Analysis of Capital at BCP Stand-alone</w:t>
      </w:r>
    </w:p>
    <w:p>
      <w:pPr>
        <w:spacing w:after="0" w:line="198" w:lineRule="exact"/>
        <w:rPr>
          <w:sz w:val="20"/>
          <w:szCs w:val="20"/>
          <w:color w:val="auto"/>
        </w:rPr>
      </w:pPr>
    </w:p>
    <w:p>
      <w:pPr>
        <w:jc w:val="both"/>
        <w:ind w:left="5080"/>
        <w:spacing w:after="0" w:line="242" w:lineRule="auto"/>
        <w:rPr>
          <w:sz w:val="20"/>
          <w:szCs w:val="20"/>
          <w:color w:val="auto"/>
        </w:rPr>
      </w:pPr>
      <w:r>
        <w:rPr>
          <w:rFonts w:ascii="Arial" w:cs="Arial" w:eastAsia="Arial" w:hAnsi="Arial"/>
          <w:sz w:val="18"/>
          <w:szCs w:val="18"/>
          <w:color w:val="auto"/>
        </w:rPr>
        <w:t>The IFRS CET 1 ratio at BCP Stand-alone dropped 135 bps QoQ to close 1Q24 at 11.86%, which remains above our internal appetite of 11%. The decline this quarter was attributable to a decrease in the balance of Retained Earnings, which was impacted by the declaration of dividend. The RWA level fell 1.3% due to a contraction in the loan portfolio. YoY, the IFRS CET 1 ratio decreased by 7 bps, which was attributable to an increase in RWAs.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-782320</wp:posOffset>
            </wp:positionV>
            <wp:extent cx="2657475" cy="20148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7475" cy="2014855"/>
                    </a:xfrm>
                    <a:prstGeom prst="rect">
                      <a:avLst/>
                    </a:prstGeom>
                    <a:noFill/>
                  </pic:spPr>
                </pic:pic>
              </a:graphicData>
            </a:graphic>
          </wp:anchor>
        </w:drawing>
      </w:r>
    </w:p>
    <w:p>
      <w:pPr>
        <w:spacing w:after="0" w:line="145" w:lineRule="exact"/>
        <w:rPr>
          <w:sz w:val="20"/>
          <w:szCs w:val="20"/>
          <w:color w:val="auto"/>
        </w:rPr>
      </w:pPr>
    </w:p>
    <w:p>
      <w:pPr>
        <w:jc w:val="both"/>
        <w:ind w:left="5080"/>
        <w:spacing w:after="0" w:line="242" w:lineRule="auto"/>
        <w:rPr>
          <w:sz w:val="20"/>
          <w:szCs w:val="20"/>
          <w:color w:val="auto"/>
        </w:rPr>
      </w:pPr>
      <w:r>
        <w:rPr>
          <w:rFonts w:ascii="Arial" w:cs="Arial" w:eastAsia="Arial" w:hAnsi="Arial"/>
          <w:sz w:val="18"/>
          <w:szCs w:val="18"/>
          <w:color w:val="auto"/>
        </w:rPr>
        <w:t>Finally, under the parameters of current regulation, the Regulatory Global Capital Ratio stood at 16.12% (-134 bps QoQ). This ratio compares favorably with the minimum of 12.57% required by the regulatory as of March 2024, which attests to our prudent solvency management. QoQ and YoY, the evolution of the Regulatory Global Capital Ratio was driven by the same dynamics as those seen for IFRS CET 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local CET 1 ratio stood at 11.72%, which compares favorably with the 6.68% minimum required as of March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Analysis of Capital at Mibanco</w:t>
      </w:r>
    </w:p>
    <w:p>
      <w:pPr>
        <w:spacing w:after="0" w:line="198" w:lineRule="exact"/>
        <w:rPr>
          <w:sz w:val="20"/>
          <w:szCs w:val="20"/>
          <w:color w:val="auto"/>
        </w:rPr>
      </w:pPr>
    </w:p>
    <w:p>
      <w:pPr>
        <w:jc w:val="both"/>
        <w:ind w:left="5400"/>
        <w:spacing w:after="0" w:line="242" w:lineRule="auto"/>
        <w:rPr>
          <w:sz w:val="20"/>
          <w:szCs w:val="20"/>
          <w:color w:val="auto"/>
        </w:rPr>
      </w:pPr>
      <w:r>
        <w:rPr>
          <w:rFonts w:ascii="Arial" w:cs="Arial" w:eastAsia="Arial" w:hAnsi="Arial"/>
          <w:sz w:val="18"/>
          <w:szCs w:val="18"/>
          <w:color w:val="auto"/>
        </w:rPr>
        <w:t>As of 1Q24, IFRS CET 1 at Mibanco stood at 16.06% (-231 bps TaT), while our internal appetite stands at 15%. This drop was driven primarily by a decrease in Retained Earnings, which were impacted by dividend payments. RWA levels fell 1.1% due to a contraction in the loan portfolio. YoY, this ratio fell 32 bps due to the same dynamics explained in the QoQ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-782320</wp:posOffset>
            </wp:positionV>
            <wp:extent cx="2914650" cy="21088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14650" cy="2108835"/>
                    </a:xfrm>
                    <a:prstGeom prst="rect">
                      <a:avLst/>
                    </a:prstGeom>
                    <a:noFill/>
                  </pic:spPr>
                </pic:pic>
              </a:graphicData>
            </a:graphic>
          </wp:anchor>
        </w:drawing>
      </w:r>
    </w:p>
    <w:p>
      <w:pPr>
        <w:spacing w:after="0" w:line="145" w:lineRule="exact"/>
        <w:rPr>
          <w:sz w:val="20"/>
          <w:szCs w:val="20"/>
          <w:color w:val="auto"/>
        </w:rPr>
      </w:pPr>
    </w:p>
    <w:p>
      <w:pPr>
        <w:jc w:val="both"/>
        <w:ind w:left="5400"/>
        <w:spacing w:after="0" w:line="244" w:lineRule="auto"/>
        <w:rPr>
          <w:sz w:val="20"/>
          <w:szCs w:val="20"/>
          <w:color w:val="auto"/>
        </w:rPr>
      </w:pPr>
      <w:r>
        <w:rPr>
          <w:rFonts w:ascii="Arial" w:cs="Arial" w:eastAsia="Arial" w:hAnsi="Arial"/>
          <w:sz w:val="18"/>
          <w:szCs w:val="18"/>
          <w:color w:val="auto"/>
        </w:rPr>
        <w:t>The Regulatory Global Capital Ratio at Mibanco stood at a very comfortable 18.03% (-73 bps QoQ), while the minimum required by the regulator was 12.80%. This variation was fueled by the same dynamics that spurred the evolution of the IFRS CET 1 Ratio. The local CET 1 ratio stood at 15.69%, versus the 6.68% minimum required as of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42" w:name="page43"/>
    <w:bookmarkEnd w:id="42"/>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00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52"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11 </w:t>
      </w:r>
      <w:r>
        <w:rPr>
          <w:rFonts w:ascii="Arial" w:cs="Arial" w:eastAsia="Arial" w:hAnsi="Arial"/>
          <w:sz w:val="32"/>
          <w:szCs w:val="32"/>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328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348"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FFFFFF"/>
        </w:rPr>
        <w:t>In 1Q24, the Peruvian economy would have grown around 1.5% YoY, the first positive record after four consecutive quarters of declines. In the primary sectors, the dynamism of the mining sector stood out, while non-primary sectors grew around 2.0% YoY, driven by services, commerce and construction.</w:t>
      </w:r>
    </w:p>
    <w:p>
      <w:pPr>
        <w:spacing w:after="0" w:line="155" w:lineRule="exact"/>
        <w:rPr>
          <w:sz w:val="20"/>
          <w:szCs w:val="20"/>
          <w:color w:val="auto"/>
        </w:rPr>
      </w:pPr>
    </w:p>
    <w:p>
      <w:pPr>
        <w:jc w:val="both"/>
        <w:ind w:left="120" w:right="100"/>
        <w:spacing w:after="0" w:line="271" w:lineRule="auto"/>
        <w:rPr>
          <w:sz w:val="20"/>
          <w:szCs w:val="20"/>
          <w:color w:val="auto"/>
        </w:rPr>
      </w:pPr>
      <w:r>
        <w:rPr>
          <w:rFonts w:ascii="Arial" w:cs="Arial" w:eastAsia="Arial" w:hAnsi="Arial"/>
          <w:sz w:val="18"/>
          <w:szCs w:val="18"/>
          <w:color w:val="FFFFFF"/>
        </w:rPr>
        <w:t>The annual inflation rate continued its slowdown , closing the quarter at 3.0% YoY (3.2% YoY in 4Q23). As such, the BCRP remained cutting rates; it lowered it by 25 bps in January, February and April to 6.00%.</w:t>
      </w:r>
    </w:p>
    <w:p>
      <w:pPr>
        <w:spacing w:after="0" w:line="140" w:lineRule="exact"/>
        <w:rPr>
          <w:sz w:val="20"/>
          <w:szCs w:val="20"/>
          <w:color w:val="auto"/>
        </w:rPr>
      </w:pPr>
    </w:p>
    <w:p>
      <w:pPr>
        <w:jc w:val="both"/>
        <w:ind w:left="120" w:right="100"/>
        <w:spacing w:after="0" w:line="271" w:lineRule="auto"/>
        <w:rPr>
          <w:sz w:val="20"/>
          <w:szCs w:val="20"/>
          <w:color w:val="auto"/>
        </w:rPr>
      </w:pPr>
      <w:r>
        <w:rPr>
          <w:rFonts w:ascii="Arial" w:cs="Arial" w:eastAsia="Arial" w:hAnsi="Arial"/>
          <w:sz w:val="18"/>
          <w:szCs w:val="18"/>
          <w:color w:val="FFFFFF"/>
        </w:rPr>
        <w:t>According to the BCRP, the exchange rate closed at USDPEN 3.72 in 1Q24, a variation of -0.2% compared to the close of 4Q23 and 1.2% compared to a year ago.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137795</wp:posOffset>
            </wp:positionV>
            <wp:extent cx="8255" cy="3517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3517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137795</wp:posOffset>
            </wp:positionV>
            <wp:extent cx="8890" cy="3517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3517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137795</wp:posOffset>
            </wp:positionV>
            <wp:extent cx="8890" cy="3517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3517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137795</wp:posOffset>
            </wp:positionV>
            <wp:extent cx="8255" cy="3517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3517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137795</wp:posOffset>
            </wp:positionV>
            <wp:extent cx="8890" cy="3517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3517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137795</wp:posOffset>
            </wp:positionV>
            <wp:extent cx="8255"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51435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137795</wp:posOffset>
            </wp:positionV>
            <wp:extent cx="8255" cy="3517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3517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4740" w:type="dxa"/>
            <w:vAlign w:val="bottom"/>
            <w:shd w:val="clear" w:color="auto" w:fill="2AD2C9"/>
          </w:tcPr>
          <w:p>
            <w:pPr>
              <w:ind w:left="2320"/>
              <w:spacing w:after="0"/>
              <w:rPr>
                <w:sz w:val="20"/>
                <w:szCs w:val="20"/>
                <w:color w:val="auto"/>
              </w:rPr>
            </w:pPr>
            <w:r>
              <w:rPr>
                <w:rFonts w:ascii="Arial" w:cs="Arial" w:eastAsia="Arial" w:hAnsi="Arial"/>
                <w:sz w:val="18"/>
                <w:szCs w:val="18"/>
                <w:b w:val="1"/>
                <w:bCs w:val="1"/>
                <w:color w:val="FFFFFF"/>
              </w:rPr>
              <w:t>Peru</w:t>
            </w:r>
          </w:p>
        </w:tc>
        <w:tc>
          <w:tcPr>
            <w:tcW w:w="1140" w:type="dxa"/>
            <w:vAlign w:val="bottom"/>
            <w:shd w:val="clear" w:color="auto" w:fill="2AD2C9"/>
          </w:tcPr>
          <w:p>
            <w:pPr>
              <w:jc w:val="center"/>
              <w:ind w:left="130"/>
              <w:spacing w:after="0"/>
              <w:rPr>
                <w:sz w:val="20"/>
                <w:szCs w:val="20"/>
                <w:color w:val="auto"/>
              </w:rPr>
            </w:pPr>
            <w:r>
              <w:rPr>
                <w:rFonts w:ascii="Arial" w:cs="Arial" w:eastAsia="Arial" w:hAnsi="Arial"/>
                <w:sz w:val="18"/>
                <w:szCs w:val="18"/>
                <w:b w:val="1"/>
                <w:bCs w:val="1"/>
                <w:color w:val="FFFFFF"/>
                <w:w w:val="99"/>
              </w:rPr>
              <w:t>2018</w:t>
            </w:r>
          </w:p>
        </w:tc>
        <w:tc>
          <w:tcPr>
            <w:tcW w:w="90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2019</w:t>
            </w:r>
          </w:p>
        </w:tc>
        <w:tc>
          <w:tcPr>
            <w:tcW w:w="90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2020</w:t>
            </w:r>
          </w:p>
        </w:tc>
        <w:tc>
          <w:tcPr>
            <w:tcW w:w="88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2021</w:t>
            </w:r>
          </w:p>
        </w:tc>
        <w:tc>
          <w:tcPr>
            <w:tcW w:w="90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2022</w:t>
            </w:r>
          </w:p>
        </w:tc>
        <w:tc>
          <w:tcPr>
            <w:tcW w:w="88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2023</w:t>
            </w:r>
          </w:p>
        </w:tc>
        <w:tc>
          <w:tcPr>
            <w:tcW w:w="90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3"/>
              </w:rPr>
              <w:t xml:space="preserve">2024 </w:t>
            </w:r>
            <w:r>
              <w:rPr>
                <w:rFonts w:ascii="Arial" w:cs="Arial" w:eastAsia="Arial" w:hAnsi="Arial"/>
                <w:sz w:val="29"/>
                <w:szCs w:val="29"/>
                <w:b w:val="1"/>
                <w:bCs w:val="1"/>
                <w:color w:val="FFFFFF"/>
                <w:w w:val="93"/>
                <w:vertAlign w:val="superscript"/>
              </w:rPr>
              <w:t>(4)</w:t>
            </w:r>
          </w:p>
        </w:tc>
      </w:tr>
      <w:tr>
        <w:trPr>
          <w:trHeight w:val="247"/>
        </w:trPr>
        <w:tc>
          <w:tcPr>
            <w:tcW w:w="4740" w:type="dxa"/>
            <w:vAlign w:val="bottom"/>
          </w:tcPr>
          <w:p>
            <w:pPr>
              <w:ind w:left="100"/>
              <w:spacing w:after="0"/>
              <w:rPr>
                <w:sz w:val="20"/>
                <w:szCs w:val="20"/>
                <w:color w:val="auto"/>
              </w:rPr>
            </w:pPr>
            <w:r>
              <w:rPr>
                <w:rFonts w:ascii="Arial" w:cs="Arial" w:eastAsia="Arial" w:hAnsi="Arial"/>
                <w:sz w:val="18"/>
                <w:szCs w:val="18"/>
                <w:color w:val="auto"/>
              </w:rPr>
              <w:t>GDP (US$ Millions)</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226,919</w:t>
            </w:r>
          </w:p>
        </w:tc>
        <w:tc>
          <w:tcPr>
            <w:tcW w:w="900" w:type="dxa"/>
            <w:vAlign w:val="bottom"/>
          </w:tcPr>
          <w:p>
            <w:pPr>
              <w:jc w:val="center"/>
              <w:spacing w:after="0"/>
              <w:rPr>
                <w:sz w:val="20"/>
                <w:szCs w:val="20"/>
                <w:color w:val="auto"/>
              </w:rPr>
            </w:pPr>
            <w:r>
              <w:rPr>
                <w:rFonts w:ascii="Arial" w:cs="Arial" w:eastAsia="Arial" w:hAnsi="Arial"/>
                <w:sz w:val="18"/>
                <w:szCs w:val="18"/>
                <w:color w:val="auto"/>
              </w:rPr>
              <w:t>232,519</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205,933</w:t>
            </w: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226,140</w:t>
            </w:r>
          </w:p>
        </w:tc>
        <w:tc>
          <w:tcPr>
            <w:tcW w:w="900" w:type="dxa"/>
            <w:vAlign w:val="bottom"/>
          </w:tcPr>
          <w:p>
            <w:pPr>
              <w:jc w:val="center"/>
              <w:spacing w:after="0"/>
              <w:rPr>
                <w:sz w:val="20"/>
                <w:szCs w:val="20"/>
                <w:color w:val="auto"/>
              </w:rPr>
            </w:pPr>
            <w:r>
              <w:rPr>
                <w:rFonts w:ascii="Arial" w:cs="Arial" w:eastAsia="Arial" w:hAnsi="Arial"/>
                <w:sz w:val="18"/>
                <w:szCs w:val="18"/>
                <w:color w:val="auto"/>
              </w:rPr>
              <w:t>245,209</w:t>
            </w: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268,027</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282,325</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Real GDP (% change)</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4.0</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-10.9</w:t>
            </w:r>
          </w:p>
        </w:tc>
        <w:tc>
          <w:tcPr>
            <w:tcW w:w="880" w:type="dxa"/>
            <w:vAlign w:val="bottom"/>
          </w:tcPr>
          <w:p>
            <w:pPr>
              <w:jc w:val="center"/>
              <w:spacing w:after="0"/>
              <w:rPr>
                <w:sz w:val="20"/>
                <w:szCs w:val="20"/>
                <w:color w:val="auto"/>
              </w:rPr>
            </w:pPr>
            <w:r>
              <w:rPr>
                <w:rFonts w:ascii="Arial" w:cs="Arial" w:eastAsia="Arial" w:hAnsi="Arial"/>
                <w:sz w:val="18"/>
                <w:szCs w:val="18"/>
                <w:color w:val="auto"/>
              </w:rPr>
              <w:t>13.4</w:t>
            </w:r>
          </w:p>
        </w:tc>
        <w:tc>
          <w:tcPr>
            <w:tcW w:w="900" w:type="dxa"/>
            <w:vAlign w:val="bottom"/>
          </w:tcPr>
          <w:p>
            <w:pPr>
              <w:jc w:val="center"/>
              <w:spacing w:after="0"/>
              <w:rPr>
                <w:sz w:val="20"/>
                <w:szCs w:val="20"/>
                <w:color w:val="auto"/>
              </w:rPr>
            </w:pPr>
            <w:r>
              <w:rPr>
                <w:rFonts w:ascii="Arial" w:cs="Arial" w:eastAsia="Arial" w:hAnsi="Arial"/>
                <w:sz w:val="18"/>
                <w:szCs w:val="18"/>
                <w:color w:val="auto"/>
              </w:rPr>
              <w:t>2.7</w:t>
            </w:r>
          </w:p>
        </w:tc>
        <w:tc>
          <w:tcPr>
            <w:tcW w:w="880" w:type="dxa"/>
            <w:vAlign w:val="bottom"/>
          </w:tcPr>
          <w:p>
            <w:pPr>
              <w:jc w:val="center"/>
              <w:spacing w:after="0"/>
              <w:rPr>
                <w:sz w:val="20"/>
                <w:szCs w:val="20"/>
                <w:color w:val="auto"/>
              </w:rPr>
            </w:pPr>
            <w:r>
              <w:rPr>
                <w:rFonts w:ascii="Arial" w:cs="Arial" w:eastAsia="Arial" w:hAnsi="Arial"/>
                <w:sz w:val="18"/>
                <w:szCs w:val="18"/>
                <w:color w:val="auto"/>
              </w:rPr>
              <w:t>-0.6</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3.0</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GDP per capita (US$)</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7,190</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7,237</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6,312</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6,845</w:t>
            </w:r>
          </w:p>
        </w:tc>
        <w:tc>
          <w:tcPr>
            <w:tcW w:w="900" w:type="dxa"/>
            <w:vAlign w:val="bottom"/>
          </w:tcPr>
          <w:p>
            <w:pPr>
              <w:jc w:val="center"/>
              <w:spacing w:after="0"/>
              <w:rPr>
                <w:sz w:val="20"/>
                <w:szCs w:val="20"/>
                <w:color w:val="auto"/>
              </w:rPr>
            </w:pPr>
            <w:r>
              <w:rPr>
                <w:rFonts w:ascii="Arial" w:cs="Arial" w:eastAsia="Arial" w:hAnsi="Arial"/>
                <w:sz w:val="18"/>
                <w:szCs w:val="18"/>
                <w:color w:val="auto"/>
              </w:rPr>
              <w:t>7,342</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8,026</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8,279</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Domestic demand (% change)</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4.1</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900" w:type="dxa"/>
            <w:vAlign w:val="bottom"/>
          </w:tcPr>
          <w:p>
            <w:pPr>
              <w:jc w:val="center"/>
              <w:spacing w:after="0"/>
              <w:rPr>
                <w:sz w:val="20"/>
                <w:szCs w:val="20"/>
                <w:color w:val="auto"/>
              </w:rPr>
            </w:pPr>
            <w:r>
              <w:rPr>
                <w:rFonts w:ascii="Arial" w:cs="Arial" w:eastAsia="Arial" w:hAnsi="Arial"/>
                <w:sz w:val="18"/>
                <w:szCs w:val="18"/>
                <w:color w:val="auto"/>
              </w:rPr>
              <w:t>-9.6</w:t>
            </w:r>
          </w:p>
        </w:tc>
        <w:tc>
          <w:tcPr>
            <w:tcW w:w="880" w:type="dxa"/>
            <w:vAlign w:val="bottom"/>
          </w:tcPr>
          <w:p>
            <w:pPr>
              <w:jc w:val="center"/>
              <w:spacing w:after="0"/>
              <w:rPr>
                <w:sz w:val="20"/>
                <w:szCs w:val="20"/>
                <w:color w:val="auto"/>
              </w:rPr>
            </w:pPr>
            <w:r>
              <w:rPr>
                <w:rFonts w:ascii="Arial" w:cs="Arial" w:eastAsia="Arial" w:hAnsi="Arial"/>
                <w:sz w:val="18"/>
                <w:szCs w:val="18"/>
                <w:color w:val="auto"/>
              </w:rPr>
              <w:t>14.5</w:t>
            </w:r>
          </w:p>
        </w:tc>
        <w:tc>
          <w:tcPr>
            <w:tcW w:w="900" w:type="dxa"/>
            <w:vAlign w:val="bottom"/>
          </w:tcPr>
          <w:p>
            <w:pPr>
              <w:jc w:val="center"/>
              <w:spacing w:after="0"/>
              <w:rPr>
                <w:sz w:val="20"/>
                <w:szCs w:val="20"/>
                <w:color w:val="auto"/>
              </w:rPr>
            </w:pPr>
            <w:r>
              <w:rPr>
                <w:rFonts w:ascii="Arial" w:cs="Arial" w:eastAsia="Arial" w:hAnsi="Arial"/>
                <w:sz w:val="18"/>
                <w:szCs w:val="18"/>
                <w:color w:val="auto"/>
              </w:rPr>
              <w:t>2.3</w:t>
            </w:r>
          </w:p>
        </w:tc>
        <w:tc>
          <w:tcPr>
            <w:tcW w:w="880" w:type="dxa"/>
            <w:vAlign w:val="bottom"/>
          </w:tcPr>
          <w:p>
            <w:pPr>
              <w:jc w:val="center"/>
              <w:spacing w:after="0"/>
              <w:rPr>
                <w:sz w:val="20"/>
                <w:szCs w:val="20"/>
                <w:color w:val="auto"/>
              </w:rPr>
            </w:pPr>
            <w:r>
              <w:rPr>
                <w:rFonts w:ascii="Arial" w:cs="Arial" w:eastAsia="Arial" w:hAnsi="Arial"/>
                <w:sz w:val="18"/>
                <w:szCs w:val="18"/>
                <w:color w:val="auto"/>
              </w:rPr>
              <w:t>-1.7</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3.0</w:t>
            </w:r>
          </w:p>
        </w:tc>
      </w:tr>
      <w:tr>
        <w:trPr>
          <w:trHeight w:val="256"/>
        </w:trPr>
        <w:tc>
          <w:tcPr>
            <w:tcW w:w="4740" w:type="dxa"/>
            <w:vAlign w:val="bottom"/>
          </w:tcPr>
          <w:p>
            <w:pPr>
              <w:ind w:left="100"/>
              <w:spacing w:after="0"/>
              <w:rPr>
                <w:sz w:val="20"/>
                <w:szCs w:val="20"/>
                <w:color w:val="auto"/>
              </w:rPr>
            </w:pPr>
            <w:r>
              <w:rPr>
                <w:rFonts w:ascii="Arial" w:cs="Arial" w:eastAsia="Arial" w:hAnsi="Arial"/>
                <w:sz w:val="18"/>
                <w:szCs w:val="18"/>
                <w:color w:val="auto"/>
              </w:rPr>
              <w:t>Gross fixed investment (as % GDP)</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6"/>
              </w:rPr>
              <w:t>22.2</w:t>
            </w:r>
          </w:p>
        </w:tc>
        <w:tc>
          <w:tcPr>
            <w:tcW w:w="900" w:type="dxa"/>
            <w:vAlign w:val="bottom"/>
          </w:tcPr>
          <w:p>
            <w:pPr>
              <w:jc w:val="center"/>
              <w:spacing w:after="0"/>
              <w:rPr>
                <w:sz w:val="20"/>
                <w:szCs w:val="20"/>
                <w:color w:val="auto"/>
              </w:rPr>
            </w:pPr>
            <w:r>
              <w:rPr>
                <w:rFonts w:ascii="Arial" w:cs="Arial" w:eastAsia="Arial" w:hAnsi="Arial"/>
                <w:sz w:val="18"/>
                <w:szCs w:val="18"/>
                <w:color w:val="auto"/>
              </w:rPr>
              <w:t>22.5</w:t>
            </w:r>
          </w:p>
        </w:tc>
        <w:tc>
          <w:tcPr>
            <w:tcW w:w="900" w:type="dxa"/>
            <w:vAlign w:val="bottom"/>
          </w:tcPr>
          <w:p>
            <w:pPr>
              <w:jc w:val="center"/>
              <w:spacing w:after="0"/>
              <w:rPr>
                <w:sz w:val="20"/>
                <w:szCs w:val="20"/>
                <w:color w:val="auto"/>
              </w:rPr>
            </w:pPr>
            <w:r>
              <w:rPr>
                <w:rFonts w:ascii="Arial" w:cs="Arial" w:eastAsia="Arial" w:hAnsi="Arial"/>
                <w:sz w:val="18"/>
                <w:szCs w:val="18"/>
                <w:color w:val="auto"/>
              </w:rPr>
              <w:t>21.0</w:t>
            </w:r>
          </w:p>
        </w:tc>
        <w:tc>
          <w:tcPr>
            <w:tcW w:w="880" w:type="dxa"/>
            <w:vAlign w:val="bottom"/>
          </w:tcPr>
          <w:p>
            <w:pPr>
              <w:jc w:val="center"/>
              <w:spacing w:after="0"/>
              <w:rPr>
                <w:sz w:val="20"/>
                <w:szCs w:val="20"/>
                <w:color w:val="auto"/>
              </w:rPr>
            </w:pPr>
            <w:r>
              <w:rPr>
                <w:rFonts w:ascii="Arial" w:cs="Arial" w:eastAsia="Arial" w:hAnsi="Arial"/>
                <w:sz w:val="18"/>
                <w:szCs w:val="18"/>
                <w:color w:val="auto"/>
              </w:rPr>
              <w:t>25.1</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25.3</w:t>
            </w:r>
          </w:p>
        </w:tc>
        <w:tc>
          <w:tcPr>
            <w:tcW w:w="880" w:type="dxa"/>
            <w:vAlign w:val="bottom"/>
          </w:tcPr>
          <w:p>
            <w:pPr>
              <w:jc w:val="center"/>
              <w:spacing w:after="0"/>
              <w:rPr>
                <w:sz w:val="20"/>
                <w:szCs w:val="20"/>
                <w:color w:val="auto"/>
              </w:rPr>
            </w:pPr>
            <w:r>
              <w:rPr>
                <w:rFonts w:ascii="Arial" w:cs="Arial" w:eastAsia="Arial" w:hAnsi="Arial"/>
                <w:sz w:val="18"/>
                <w:szCs w:val="18"/>
                <w:color w:val="auto"/>
              </w:rPr>
              <w:t>22.9</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23.2</w:t>
            </w:r>
          </w:p>
        </w:tc>
      </w:tr>
      <w:tr>
        <w:trPr>
          <w:trHeight w:val="266"/>
        </w:trPr>
        <w:tc>
          <w:tcPr>
            <w:tcW w:w="4740" w:type="dxa"/>
            <w:vAlign w:val="bottom"/>
            <w:tcBorders>
              <w:bottom w:val="single" w:sz="8" w:color="2AD2C9"/>
            </w:tcBorders>
          </w:tcPr>
          <w:p>
            <w:pPr>
              <w:ind w:left="100"/>
              <w:spacing w:after="0" w:line="266" w:lineRule="exact"/>
              <w:rPr>
                <w:sz w:val="20"/>
                <w:szCs w:val="20"/>
                <w:color w:val="auto"/>
              </w:rPr>
            </w:pPr>
            <w:r>
              <w:rPr>
                <w:rFonts w:ascii="Arial" w:cs="Arial" w:eastAsia="Arial" w:hAnsi="Arial"/>
                <w:sz w:val="18"/>
                <w:szCs w:val="18"/>
                <w:color w:val="auto"/>
              </w:rPr>
              <w:t xml:space="preserve">Financial system loan without Reactiva (% change) </w:t>
            </w:r>
            <w:r>
              <w:rPr>
                <w:rFonts w:ascii="Arial" w:cs="Arial" w:eastAsia="Arial" w:hAnsi="Arial"/>
                <w:sz w:val="29"/>
                <w:szCs w:val="29"/>
                <w:color w:val="auto"/>
                <w:vertAlign w:val="superscript"/>
              </w:rPr>
              <w:t>(1)</w:t>
            </w:r>
          </w:p>
        </w:tc>
        <w:tc>
          <w:tcPr>
            <w:tcW w:w="1140" w:type="dxa"/>
            <w:vAlign w:val="bottom"/>
            <w:tcBorders>
              <w:bottom w:val="single" w:sz="8" w:color="2AD2C9"/>
            </w:tcBorders>
          </w:tcPr>
          <w:p>
            <w:pPr>
              <w:jc w:val="center"/>
              <w:ind w:left="110"/>
              <w:spacing w:after="0"/>
              <w:rPr>
                <w:sz w:val="20"/>
                <w:szCs w:val="20"/>
                <w:color w:val="auto"/>
              </w:rPr>
            </w:pPr>
            <w:r>
              <w:rPr>
                <w:rFonts w:ascii="Arial" w:cs="Arial" w:eastAsia="Arial" w:hAnsi="Arial"/>
                <w:sz w:val="18"/>
                <w:szCs w:val="18"/>
                <w:color w:val="auto"/>
                <w:w w:val="96"/>
              </w:rPr>
              <w:t>10.3</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6.4</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-4.3</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12.6</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9.7</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2.8</w:t>
            </w:r>
          </w:p>
        </w:tc>
        <w:tc>
          <w:tcPr>
            <w:tcW w:w="900" w:type="dxa"/>
            <w:vAlign w:val="bottom"/>
            <w:tcBorders>
              <w:bottom w:val="single" w:sz="8" w:color="2AD2C9"/>
            </w:tcBorders>
            <w:shd w:val="clear" w:color="auto" w:fill="F2F2F2"/>
          </w:tcPr>
          <w:p>
            <w:pPr>
              <w:jc w:val="center"/>
              <w:spacing w:after="0"/>
              <w:rPr>
                <w:sz w:val="20"/>
                <w:szCs w:val="20"/>
                <w:color w:val="auto"/>
              </w:rPr>
            </w:pPr>
            <w:r>
              <w:rPr>
                <w:rFonts w:ascii="Arial" w:cs="Arial" w:eastAsia="Arial" w:hAnsi="Arial"/>
                <w:sz w:val="18"/>
                <w:szCs w:val="18"/>
                <w:color w:val="auto"/>
              </w:rPr>
              <w:t>4.5</w:t>
            </w:r>
          </w:p>
        </w:tc>
      </w:tr>
      <w:tr>
        <w:trPr>
          <w:trHeight w:val="250"/>
        </w:trPr>
        <w:tc>
          <w:tcPr>
            <w:tcW w:w="4740" w:type="dxa"/>
            <w:vAlign w:val="bottom"/>
            <w:tcBorders>
              <w:bottom w:val="single" w:sz="8" w:color="2AD2C9"/>
            </w:tcBorders>
          </w:tcPr>
          <w:p>
            <w:pPr>
              <w:ind w:left="100"/>
              <w:spacing w:after="0" w:line="250" w:lineRule="exact"/>
              <w:rPr>
                <w:sz w:val="20"/>
                <w:szCs w:val="20"/>
                <w:color w:val="auto"/>
              </w:rPr>
            </w:pPr>
            <w:r>
              <w:rPr>
                <w:rFonts w:ascii="Arial" w:cs="Arial" w:eastAsia="Arial" w:hAnsi="Arial"/>
                <w:sz w:val="17"/>
                <w:szCs w:val="17"/>
                <w:color w:val="auto"/>
              </w:rPr>
              <w:t>Inflation, end of period</w:t>
            </w:r>
            <w:r>
              <w:rPr>
                <w:rFonts w:ascii="Arial" w:cs="Arial" w:eastAsia="Arial" w:hAnsi="Arial"/>
                <w:sz w:val="28"/>
                <w:szCs w:val="28"/>
                <w:color w:val="auto"/>
                <w:vertAlign w:val="superscript"/>
              </w:rPr>
              <w:t>(2)</w:t>
            </w:r>
          </w:p>
        </w:tc>
        <w:tc>
          <w:tcPr>
            <w:tcW w:w="1140" w:type="dxa"/>
            <w:vAlign w:val="bottom"/>
            <w:tcBorders>
              <w:bottom w:val="single" w:sz="8" w:color="2AD2C9"/>
            </w:tcBorders>
          </w:tcPr>
          <w:p>
            <w:pPr>
              <w:jc w:val="center"/>
              <w:ind w:left="11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1.9</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2.0</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6.4</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8.5</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3.2</w:t>
            </w:r>
          </w:p>
        </w:tc>
        <w:tc>
          <w:tcPr>
            <w:tcW w:w="900" w:type="dxa"/>
            <w:vAlign w:val="bottom"/>
            <w:tcBorders>
              <w:bottom w:val="single" w:sz="8" w:color="2AD2C9"/>
            </w:tcBorders>
            <w:shd w:val="clear" w:color="auto" w:fill="F2F2F2"/>
          </w:tcPr>
          <w:p>
            <w:pPr>
              <w:jc w:val="center"/>
              <w:spacing w:after="0"/>
              <w:rPr>
                <w:sz w:val="20"/>
                <w:szCs w:val="20"/>
                <w:color w:val="auto"/>
              </w:rPr>
            </w:pPr>
            <w:r>
              <w:rPr>
                <w:rFonts w:ascii="Arial" w:cs="Arial" w:eastAsia="Arial" w:hAnsi="Arial"/>
                <w:sz w:val="18"/>
                <w:szCs w:val="18"/>
                <w:color w:val="auto"/>
              </w:rPr>
              <w:t>2.5</w:t>
            </w:r>
          </w:p>
        </w:tc>
      </w:tr>
      <w:tr>
        <w:trPr>
          <w:trHeight w:val="245"/>
        </w:trPr>
        <w:tc>
          <w:tcPr>
            <w:tcW w:w="4740" w:type="dxa"/>
            <w:vAlign w:val="bottom"/>
            <w:tcBorders>
              <w:bottom w:val="single" w:sz="8" w:color="2AD2C9"/>
            </w:tcBorders>
          </w:tcPr>
          <w:p>
            <w:pPr>
              <w:ind w:left="100"/>
              <w:spacing w:after="0"/>
              <w:rPr>
                <w:sz w:val="20"/>
                <w:szCs w:val="20"/>
                <w:color w:val="auto"/>
              </w:rPr>
            </w:pPr>
            <w:r>
              <w:rPr>
                <w:rFonts w:ascii="Arial" w:cs="Arial" w:eastAsia="Arial" w:hAnsi="Arial"/>
                <w:sz w:val="18"/>
                <w:szCs w:val="18"/>
                <w:color w:val="auto"/>
              </w:rPr>
              <w:t>Reference Rate, end of period</w:t>
            </w:r>
          </w:p>
        </w:tc>
        <w:tc>
          <w:tcPr>
            <w:tcW w:w="1140" w:type="dxa"/>
            <w:vAlign w:val="bottom"/>
            <w:tcBorders>
              <w:bottom w:val="single" w:sz="8" w:color="2AD2C9"/>
            </w:tcBorders>
          </w:tcPr>
          <w:p>
            <w:pPr>
              <w:jc w:val="center"/>
              <w:ind w:left="110"/>
              <w:spacing w:after="0"/>
              <w:rPr>
                <w:sz w:val="20"/>
                <w:szCs w:val="20"/>
                <w:color w:val="auto"/>
              </w:rPr>
            </w:pPr>
            <w:r>
              <w:rPr>
                <w:rFonts w:ascii="Arial" w:cs="Arial" w:eastAsia="Arial" w:hAnsi="Arial"/>
                <w:sz w:val="18"/>
                <w:szCs w:val="18"/>
                <w:color w:val="auto"/>
                <w:w w:val="96"/>
              </w:rPr>
              <w:t>2.75</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2.25</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0.25</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2.50</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6"/>
              </w:rPr>
              <w:t>7.50</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6.75</w:t>
            </w:r>
          </w:p>
        </w:tc>
        <w:tc>
          <w:tcPr>
            <w:tcW w:w="900" w:type="dxa"/>
            <w:vAlign w:val="bottom"/>
            <w:tcBorders>
              <w:bottom w:val="single" w:sz="8" w:color="2AD2C9"/>
            </w:tcBorders>
            <w:shd w:val="clear" w:color="auto" w:fill="F2F2F2"/>
          </w:tcPr>
          <w:p>
            <w:pPr>
              <w:jc w:val="center"/>
              <w:spacing w:after="0"/>
              <w:rPr>
                <w:sz w:val="20"/>
                <w:szCs w:val="20"/>
                <w:color w:val="auto"/>
              </w:rPr>
            </w:pPr>
            <w:r>
              <w:rPr>
                <w:rFonts w:ascii="Arial" w:cs="Arial" w:eastAsia="Arial" w:hAnsi="Arial"/>
                <w:sz w:val="18"/>
                <w:szCs w:val="18"/>
                <w:color w:val="auto"/>
                <w:w w:val="96"/>
              </w:rPr>
              <w:t>5.00</w:t>
            </w:r>
          </w:p>
        </w:tc>
      </w:tr>
      <w:tr>
        <w:trPr>
          <w:trHeight w:val="245"/>
        </w:trPr>
        <w:tc>
          <w:tcPr>
            <w:tcW w:w="4740" w:type="dxa"/>
            <w:vAlign w:val="bottom"/>
          </w:tcPr>
          <w:p>
            <w:pPr>
              <w:ind w:left="100"/>
              <w:spacing w:after="0"/>
              <w:rPr>
                <w:sz w:val="20"/>
                <w:szCs w:val="20"/>
                <w:color w:val="auto"/>
              </w:rPr>
            </w:pPr>
            <w:r>
              <w:rPr>
                <w:rFonts w:ascii="Arial" w:cs="Arial" w:eastAsia="Arial" w:hAnsi="Arial"/>
                <w:sz w:val="18"/>
                <w:szCs w:val="18"/>
                <w:color w:val="auto"/>
              </w:rPr>
              <w:t>Exchange rate, end of period</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6"/>
              </w:rPr>
              <w:t>3.37</w:t>
            </w:r>
          </w:p>
        </w:tc>
        <w:tc>
          <w:tcPr>
            <w:tcW w:w="900" w:type="dxa"/>
            <w:vAlign w:val="bottom"/>
          </w:tcPr>
          <w:p>
            <w:pPr>
              <w:jc w:val="center"/>
              <w:spacing w:after="0"/>
              <w:rPr>
                <w:sz w:val="20"/>
                <w:szCs w:val="20"/>
                <w:color w:val="auto"/>
              </w:rPr>
            </w:pPr>
            <w:r>
              <w:rPr>
                <w:rFonts w:ascii="Arial" w:cs="Arial" w:eastAsia="Arial" w:hAnsi="Arial"/>
                <w:sz w:val="18"/>
                <w:szCs w:val="18"/>
                <w:color w:val="auto"/>
              </w:rPr>
              <w:t>3.31</w:t>
            </w:r>
          </w:p>
        </w:tc>
        <w:tc>
          <w:tcPr>
            <w:tcW w:w="900" w:type="dxa"/>
            <w:vAlign w:val="bottom"/>
          </w:tcPr>
          <w:p>
            <w:pPr>
              <w:jc w:val="center"/>
              <w:spacing w:after="0"/>
              <w:rPr>
                <w:sz w:val="20"/>
                <w:szCs w:val="20"/>
                <w:color w:val="auto"/>
              </w:rPr>
            </w:pPr>
            <w:r>
              <w:rPr>
                <w:rFonts w:ascii="Arial" w:cs="Arial" w:eastAsia="Arial" w:hAnsi="Arial"/>
                <w:sz w:val="18"/>
                <w:szCs w:val="18"/>
                <w:color w:val="auto"/>
              </w:rPr>
              <w:t>3.62</w:t>
            </w:r>
          </w:p>
        </w:tc>
        <w:tc>
          <w:tcPr>
            <w:tcW w:w="880" w:type="dxa"/>
            <w:vAlign w:val="bottom"/>
          </w:tcPr>
          <w:p>
            <w:pPr>
              <w:jc w:val="center"/>
              <w:spacing w:after="0"/>
              <w:rPr>
                <w:sz w:val="20"/>
                <w:szCs w:val="20"/>
                <w:color w:val="auto"/>
              </w:rPr>
            </w:pPr>
            <w:r>
              <w:rPr>
                <w:rFonts w:ascii="Arial" w:cs="Arial" w:eastAsia="Arial" w:hAnsi="Arial"/>
                <w:sz w:val="18"/>
                <w:szCs w:val="18"/>
                <w:color w:val="auto"/>
              </w:rPr>
              <w:t>3.99</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3.81</w:t>
            </w:r>
          </w:p>
        </w:tc>
        <w:tc>
          <w:tcPr>
            <w:tcW w:w="880" w:type="dxa"/>
            <w:vAlign w:val="bottom"/>
          </w:tcPr>
          <w:p>
            <w:pPr>
              <w:jc w:val="center"/>
              <w:spacing w:after="0"/>
              <w:rPr>
                <w:sz w:val="20"/>
                <w:szCs w:val="20"/>
                <w:color w:val="auto"/>
              </w:rPr>
            </w:pPr>
            <w:r>
              <w:rPr>
                <w:rFonts w:ascii="Arial" w:cs="Arial" w:eastAsia="Arial" w:hAnsi="Arial"/>
                <w:sz w:val="18"/>
                <w:szCs w:val="18"/>
                <w:color w:val="auto"/>
              </w:rPr>
              <w:t>3.71</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3.75</w:t>
            </w:r>
          </w:p>
        </w:tc>
      </w:tr>
      <w:tr>
        <w:trPr>
          <w:trHeight w:val="266"/>
        </w:trPr>
        <w:tc>
          <w:tcPr>
            <w:tcW w:w="4740" w:type="dxa"/>
            <w:vAlign w:val="bottom"/>
            <w:tcBorders>
              <w:bottom w:val="single" w:sz="8" w:color="2AD2C9"/>
            </w:tcBorders>
          </w:tcPr>
          <w:p>
            <w:pPr>
              <w:ind w:left="100"/>
              <w:spacing w:after="0" w:line="266" w:lineRule="exact"/>
              <w:rPr>
                <w:sz w:val="20"/>
                <w:szCs w:val="20"/>
                <w:color w:val="auto"/>
              </w:rPr>
            </w:pPr>
            <w:r>
              <w:rPr>
                <w:rFonts w:ascii="Arial" w:cs="Arial" w:eastAsia="Arial" w:hAnsi="Arial"/>
                <w:sz w:val="18"/>
                <w:szCs w:val="18"/>
                <w:color w:val="auto"/>
              </w:rPr>
              <w:t xml:space="preserve">Exchange rate, (% change) </w:t>
            </w:r>
            <w:r>
              <w:rPr>
                <w:rFonts w:ascii="Arial" w:cs="Arial" w:eastAsia="Arial" w:hAnsi="Arial"/>
                <w:sz w:val="29"/>
                <w:szCs w:val="29"/>
                <w:color w:val="auto"/>
                <w:vertAlign w:val="superscript"/>
              </w:rPr>
              <w:t>(3)</w:t>
            </w:r>
          </w:p>
        </w:tc>
        <w:tc>
          <w:tcPr>
            <w:tcW w:w="1140" w:type="dxa"/>
            <w:vAlign w:val="bottom"/>
            <w:tcBorders>
              <w:bottom w:val="single" w:sz="8" w:color="2AD2C9"/>
            </w:tcBorders>
          </w:tcPr>
          <w:p>
            <w:pPr>
              <w:jc w:val="center"/>
              <w:ind w:left="110"/>
              <w:spacing w:after="0"/>
              <w:rPr>
                <w:sz w:val="20"/>
                <w:szCs w:val="20"/>
                <w:color w:val="auto"/>
              </w:rPr>
            </w:pPr>
            <w:r>
              <w:rPr>
                <w:rFonts w:ascii="Arial" w:cs="Arial" w:eastAsia="Arial" w:hAnsi="Arial"/>
                <w:sz w:val="18"/>
                <w:szCs w:val="18"/>
                <w:color w:val="auto"/>
                <w:w w:val="97"/>
              </w:rPr>
              <w:t>-4.0%</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7"/>
              </w:rPr>
              <w:t>1.8%</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-9.3%</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8"/>
              </w:rPr>
              <w:t>-10.3%</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4.5%</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7"/>
              </w:rPr>
              <w:t>2.7%</w:t>
            </w:r>
          </w:p>
        </w:tc>
        <w:tc>
          <w:tcPr>
            <w:tcW w:w="900" w:type="dxa"/>
            <w:vAlign w:val="bottom"/>
            <w:tcBorders>
              <w:bottom w:val="single" w:sz="8" w:color="2AD2C9"/>
            </w:tcBorders>
            <w:shd w:val="clear" w:color="auto" w:fill="F2F2F2"/>
          </w:tcPr>
          <w:p>
            <w:pPr>
              <w:jc w:val="center"/>
              <w:spacing w:after="0"/>
              <w:rPr>
                <w:sz w:val="20"/>
                <w:szCs w:val="20"/>
                <w:color w:val="auto"/>
              </w:rPr>
            </w:pPr>
            <w:r>
              <w:rPr>
                <w:rFonts w:ascii="Arial" w:cs="Arial" w:eastAsia="Arial" w:hAnsi="Arial"/>
                <w:sz w:val="18"/>
                <w:szCs w:val="18"/>
                <w:color w:val="auto"/>
                <w:w w:val="97"/>
              </w:rPr>
              <w:t>-1.2%</w:t>
            </w:r>
          </w:p>
        </w:tc>
      </w:tr>
      <w:tr>
        <w:trPr>
          <w:trHeight w:val="240"/>
        </w:trPr>
        <w:tc>
          <w:tcPr>
            <w:tcW w:w="4740" w:type="dxa"/>
            <w:vAlign w:val="bottom"/>
          </w:tcPr>
          <w:p>
            <w:pPr>
              <w:ind w:left="100"/>
              <w:spacing w:after="0"/>
              <w:rPr>
                <w:sz w:val="20"/>
                <w:szCs w:val="20"/>
                <w:color w:val="auto"/>
              </w:rPr>
            </w:pPr>
            <w:r>
              <w:rPr>
                <w:rFonts w:ascii="Arial" w:cs="Arial" w:eastAsia="Arial" w:hAnsi="Arial"/>
                <w:sz w:val="18"/>
                <w:szCs w:val="18"/>
                <w:color w:val="auto"/>
              </w:rPr>
              <w:t>Fiscal balance (% GDP)</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6"/>
              </w:rPr>
              <w:t>-2.3</w:t>
            </w:r>
          </w:p>
        </w:tc>
        <w:tc>
          <w:tcPr>
            <w:tcW w:w="900" w:type="dxa"/>
            <w:vAlign w:val="bottom"/>
          </w:tcPr>
          <w:p>
            <w:pPr>
              <w:jc w:val="center"/>
              <w:spacing w:after="0"/>
              <w:rPr>
                <w:sz w:val="20"/>
                <w:szCs w:val="20"/>
                <w:color w:val="auto"/>
              </w:rPr>
            </w:pPr>
            <w:r>
              <w:rPr>
                <w:rFonts w:ascii="Arial" w:cs="Arial" w:eastAsia="Arial" w:hAnsi="Arial"/>
                <w:sz w:val="18"/>
                <w:szCs w:val="18"/>
                <w:color w:val="auto"/>
              </w:rPr>
              <w:t>-1.6</w:t>
            </w:r>
          </w:p>
        </w:tc>
        <w:tc>
          <w:tcPr>
            <w:tcW w:w="900" w:type="dxa"/>
            <w:vAlign w:val="bottom"/>
          </w:tcPr>
          <w:p>
            <w:pPr>
              <w:jc w:val="center"/>
              <w:spacing w:after="0"/>
              <w:rPr>
                <w:sz w:val="20"/>
                <w:szCs w:val="20"/>
                <w:color w:val="auto"/>
              </w:rPr>
            </w:pPr>
            <w:r>
              <w:rPr>
                <w:rFonts w:ascii="Arial" w:cs="Arial" w:eastAsia="Arial" w:hAnsi="Arial"/>
                <w:sz w:val="18"/>
                <w:szCs w:val="18"/>
                <w:color w:val="auto"/>
              </w:rPr>
              <w:t>-8.9</w:t>
            </w:r>
          </w:p>
        </w:tc>
        <w:tc>
          <w:tcPr>
            <w:tcW w:w="880" w:type="dxa"/>
            <w:vAlign w:val="bottom"/>
          </w:tcPr>
          <w:p>
            <w:pPr>
              <w:jc w:val="center"/>
              <w:spacing w:after="0"/>
              <w:rPr>
                <w:sz w:val="20"/>
                <w:szCs w:val="20"/>
                <w:color w:val="auto"/>
              </w:rPr>
            </w:pPr>
            <w:r>
              <w:rPr>
                <w:rFonts w:ascii="Arial" w:cs="Arial" w:eastAsia="Arial" w:hAnsi="Arial"/>
                <w:sz w:val="18"/>
                <w:szCs w:val="18"/>
                <w:color w:val="auto"/>
              </w:rPr>
              <w:t>-2.5</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-1.7</w:t>
            </w:r>
          </w:p>
        </w:tc>
        <w:tc>
          <w:tcPr>
            <w:tcW w:w="880" w:type="dxa"/>
            <w:vAlign w:val="bottom"/>
          </w:tcPr>
          <w:p>
            <w:pPr>
              <w:jc w:val="center"/>
              <w:spacing w:after="0"/>
              <w:rPr>
                <w:sz w:val="20"/>
                <w:szCs w:val="20"/>
                <w:color w:val="auto"/>
              </w:rPr>
            </w:pPr>
            <w:r>
              <w:rPr>
                <w:rFonts w:ascii="Arial" w:cs="Arial" w:eastAsia="Arial" w:hAnsi="Arial"/>
                <w:sz w:val="18"/>
                <w:szCs w:val="18"/>
                <w:color w:val="auto"/>
              </w:rPr>
              <w:t>-2.8</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-2.5</w:t>
            </w:r>
          </w:p>
        </w:tc>
      </w:tr>
      <w:tr>
        <w:trPr>
          <w:trHeight w:val="261"/>
        </w:trPr>
        <w:tc>
          <w:tcPr>
            <w:tcW w:w="4740" w:type="dxa"/>
            <w:vAlign w:val="bottom"/>
            <w:tcBorders>
              <w:bottom w:val="single" w:sz="8" w:color="2AD2C9"/>
            </w:tcBorders>
          </w:tcPr>
          <w:p>
            <w:pPr>
              <w:ind w:left="100"/>
              <w:spacing w:after="0"/>
              <w:rPr>
                <w:sz w:val="20"/>
                <w:szCs w:val="20"/>
                <w:color w:val="auto"/>
              </w:rPr>
            </w:pPr>
            <w:r>
              <w:rPr>
                <w:rFonts w:ascii="Arial" w:cs="Arial" w:eastAsia="Arial" w:hAnsi="Arial"/>
                <w:sz w:val="18"/>
                <w:szCs w:val="18"/>
                <w:color w:val="auto"/>
              </w:rPr>
              <w:t>Public Debt (as % GDP)</w:t>
            </w:r>
          </w:p>
        </w:tc>
        <w:tc>
          <w:tcPr>
            <w:tcW w:w="1140" w:type="dxa"/>
            <w:vAlign w:val="bottom"/>
            <w:tcBorders>
              <w:bottom w:val="single" w:sz="8" w:color="2AD2C9"/>
            </w:tcBorders>
          </w:tcPr>
          <w:p>
            <w:pPr>
              <w:jc w:val="center"/>
              <w:ind w:left="110"/>
              <w:spacing w:after="0"/>
              <w:rPr>
                <w:sz w:val="20"/>
                <w:szCs w:val="20"/>
                <w:color w:val="auto"/>
              </w:rPr>
            </w:pPr>
            <w:r>
              <w:rPr>
                <w:rFonts w:ascii="Arial" w:cs="Arial" w:eastAsia="Arial" w:hAnsi="Arial"/>
                <w:sz w:val="18"/>
                <w:szCs w:val="18"/>
                <w:color w:val="auto"/>
                <w:w w:val="96"/>
              </w:rPr>
              <w:t>25.6</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26.6</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34.6</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35.9</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6"/>
              </w:rPr>
              <w:t>33.8</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32.9</w:t>
            </w:r>
          </w:p>
        </w:tc>
        <w:tc>
          <w:tcPr>
            <w:tcW w:w="900" w:type="dxa"/>
            <w:vAlign w:val="bottom"/>
            <w:tcBorders>
              <w:bottom w:val="single" w:sz="8" w:color="2AD2C9"/>
            </w:tcBorders>
            <w:shd w:val="clear" w:color="auto" w:fill="F2F2F2"/>
          </w:tcPr>
          <w:p>
            <w:pPr>
              <w:jc w:val="center"/>
              <w:spacing w:after="0"/>
              <w:rPr>
                <w:sz w:val="20"/>
                <w:szCs w:val="20"/>
                <w:color w:val="auto"/>
              </w:rPr>
            </w:pPr>
            <w:r>
              <w:rPr>
                <w:rFonts w:ascii="Arial" w:cs="Arial" w:eastAsia="Arial" w:hAnsi="Arial"/>
                <w:sz w:val="18"/>
                <w:szCs w:val="18"/>
                <w:color w:val="auto"/>
                <w:w w:val="96"/>
              </w:rPr>
              <w:t>33.0</w:t>
            </w:r>
          </w:p>
        </w:tc>
      </w:tr>
      <w:tr>
        <w:trPr>
          <w:trHeight w:val="245"/>
        </w:trPr>
        <w:tc>
          <w:tcPr>
            <w:tcW w:w="4740" w:type="dxa"/>
            <w:vAlign w:val="bottom"/>
          </w:tcPr>
          <w:p>
            <w:pPr>
              <w:ind w:left="100"/>
              <w:spacing w:after="0"/>
              <w:rPr>
                <w:sz w:val="20"/>
                <w:szCs w:val="20"/>
                <w:color w:val="auto"/>
              </w:rPr>
            </w:pPr>
            <w:r>
              <w:rPr>
                <w:rFonts w:ascii="Arial" w:cs="Arial" w:eastAsia="Arial" w:hAnsi="Arial"/>
                <w:sz w:val="18"/>
                <w:szCs w:val="18"/>
                <w:color w:val="auto"/>
              </w:rPr>
              <w:t>Trade balance (US$ Millions)</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7,201</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6,879</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8,102</w:t>
            </w:r>
          </w:p>
        </w:tc>
        <w:tc>
          <w:tcPr>
            <w:tcW w:w="880" w:type="dxa"/>
            <w:vAlign w:val="bottom"/>
          </w:tcPr>
          <w:p>
            <w:pPr>
              <w:jc w:val="center"/>
              <w:spacing w:after="0"/>
              <w:rPr>
                <w:sz w:val="20"/>
                <w:szCs w:val="20"/>
                <w:color w:val="auto"/>
              </w:rPr>
            </w:pPr>
            <w:r>
              <w:rPr>
                <w:rFonts w:ascii="Arial" w:cs="Arial" w:eastAsia="Arial" w:hAnsi="Arial"/>
                <w:sz w:val="18"/>
                <w:szCs w:val="18"/>
                <w:color w:val="auto"/>
              </w:rPr>
              <w:t>14,977</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10,333</w:t>
            </w:r>
          </w:p>
        </w:tc>
        <w:tc>
          <w:tcPr>
            <w:tcW w:w="880" w:type="dxa"/>
            <w:vAlign w:val="bottom"/>
          </w:tcPr>
          <w:p>
            <w:pPr>
              <w:jc w:val="center"/>
              <w:spacing w:after="0"/>
              <w:rPr>
                <w:sz w:val="20"/>
                <w:szCs w:val="20"/>
                <w:color w:val="auto"/>
              </w:rPr>
            </w:pPr>
            <w:r>
              <w:rPr>
                <w:rFonts w:ascii="Arial" w:cs="Arial" w:eastAsia="Arial" w:hAnsi="Arial"/>
                <w:sz w:val="18"/>
                <w:szCs w:val="18"/>
                <w:color w:val="auto"/>
              </w:rPr>
              <w:t>17,401</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16,500</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(As % GDP)</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rPr>
              <w:t>3.2%</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3.0%</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3.9%</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6.6%</w:t>
            </w:r>
          </w:p>
        </w:tc>
        <w:tc>
          <w:tcPr>
            <w:tcW w:w="900" w:type="dxa"/>
            <w:vAlign w:val="bottom"/>
          </w:tcPr>
          <w:p>
            <w:pPr>
              <w:jc w:val="center"/>
              <w:spacing w:after="0"/>
              <w:rPr>
                <w:sz w:val="20"/>
                <w:szCs w:val="20"/>
                <w:color w:val="auto"/>
              </w:rPr>
            </w:pPr>
            <w:r>
              <w:rPr>
                <w:rFonts w:ascii="Arial" w:cs="Arial" w:eastAsia="Arial" w:hAnsi="Arial"/>
                <w:sz w:val="18"/>
                <w:szCs w:val="18"/>
                <w:color w:val="auto"/>
              </w:rPr>
              <w:t>4.2%</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6.5%</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5.8%</w:t>
            </w:r>
          </w:p>
        </w:tc>
      </w:tr>
      <w:tr>
        <w:trPr>
          <w:trHeight w:val="256"/>
        </w:trPr>
        <w:tc>
          <w:tcPr>
            <w:tcW w:w="4740" w:type="dxa"/>
            <w:vAlign w:val="bottom"/>
          </w:tcPr>
          <w:p>
            <w:pPr>
              <w:ind w:left="100"/>
              <w:spacing w:after="0"/>
              <w:rPr>
                <w:sz w:val="20"/>
                <w:szCs w:val="20"/>
                <w:color w:val="auto"/>
              </w:rPr>
            </w:pPr>
            <w:r>
              <w:rPr>
                <w:rFonts w:ascii="Arial" w:cs="Arial" w:eastAsia="Arial" w:hAnsi="Arial"/>
                <w:sz w:val="18"/>
                <w:szCs w:val="18"/>
                <w:color w:val="auto"/>
              </w:rPr>
              <w:t>Exports</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rPr>
              <w:t>49,066</w:t>
            </w:r>
          </w:p>
        </w:tc>
        <w:tc>
          <w:tcPr>
            <w:tcW w:w="900" w:type="dxa"/>
            <w:vAlign w:val="bottom"/>
          </w:tcPr>
          <w:p>
            <w:pPr>
              <w:jc w:val="center"/>
              <w:spacing w:after="0"/>
              <w:rPr>
                <w:sz w:val="20"/>
                <w:szCs w:val="20"/>
                <w:color w:val="auto"/>
              </w:rPr>
            </w:pPr>
            <w:r>
              <w:rPr>
                <w:rFonts w:ascii="Arial" w:cs="Arial" w:eastAsia="Arial" w:hAnsi="Arial"/>
                <w:sz w:val="18"/>
                <w:szCs w:val="18"/>
                <w:color w:val="auto"/>
              </w:rPr>
              <w:t>47,980</w:t>
            </w:r>
          </w:p>
        </w:tc>
        <w:tc>
          <w:tcPr>
            <w:tcW w:w="900" w:type="dxa"/>
            <w:vAlign w:val="bottom"/>
          </w:tcPr>
          <w:p>
            <w:pPr>
              <w:jc w:val="center"/>
              <w:spacing w:after="0"/>
              <w:rPr>
                <w:sz w:val="20"/>
                <w:szCs w:val="20"/>
                <w:color w:val="auto"/>
              </w:rPr>
            </w:pPr>
            <w:r>
              <w:rPr>
                <w:rFonts w:ascii="Arial" w:cs="Arial" w:eastAsia="Arial" w:hAnsi="Arial"/>
                <w:sz w:val="18"/>
                <w:szCs w:val="18"/>
                <w:color w:val="auto"/>
              </w:rPr>
              <w:t>42,826</w:t>
            </w:r>
          </w:p>
        </w:tc>
        <w:tc>
          <w:tcPr>
            <w:tcW w:w="880" w:type="dxa"/>
            <w:vAlign w:val="bottom"/>
          </w:tcPr>
          <w:p>
            <w:pPr>
              <w:jc w:val="center"/>
              <w:spacing w:after="0"/>
              <w:rPr>
                <w:sz w:val="20"/>
                <w:szCs w:val="20"/>
                <w:color w:val="auto"/>
              </w:rPr>
            </w:pPr>
            <w:r>
              <w:rPr>
                <w:rFonts w:ascii="Arial" w:cs="Arial" w:eastAsia="Arial" w:hAnsi="Arial"/>
                <w:sz w:val="18"/>
                <w:szCs w:val="18"/>
                <w:color w:val="auto"/>
              </w:rPr>
              <w:t>62,967</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66,235</w:t>
            </w:r>
          </w:p>
        </w:tc>
        <w:tc>
          <w:tcPr>
            <w:tcW w:w="880" w:type="dxa"/>
            <w:vAlign w:val="bottom"/>
          </w:tcPr>
          <w:p>
            <w:pPr>
              <w:jc w:val="center"/>
              <w:spacing w:after="0"/>
              <w:rPr>
                <w:sz w:val="20"/>
                <w:szCs w:val="20"/>
                <w:color w:val="auto"/>
              </w:rPr>
            </w:pPr>
            <w:r>
              <w:rPr>
                <w:rFonts w:ascii="Arial" w:cs="Arial" w:eastAsia="Arial" w:hAnsi="Arial"/>
                <w:sz w:val="18"/>
                <w:szCs w:val="18"/>
                <w:color w:val="auto"/>
              </w:rPr>
              <w:t>67,241</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69,000</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Imports</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rPr>
              <w:t>41,866</w:t>
            </w:r>
          </w:p>
        </w:tc>
        <w:tc>
          <w:tcPr>
            <w:tcW w:w="900" w:type="dxa"/>
            <w:vAlign w:val="bottom"/>
          </w:tcPr>
          <w:p>
            <w:pPr>
              <w:jc w:val="center"/>
              <w:spacing w:after="0"/>
              <w:rPr>
                <w:sz w:val="20"/>
                <w:szCs w:val="20"/>
                <w:color w:val="auto"/>
              </w:rPr>
            </w:pPr>
            <w:r>
              <w:rPr>
                <w:rFonts w:ascii="Arial" w:cs="Arial" w:eastAsia="Arial" w:hAnsi="Arial"/>
                <w:sz w:val="18"/>
                <w:szCs w:val="18"/>
                <w:color w:val="auto"/>
              </w:rPr>
              <w:t>41,101</w:t>
            </w:r>
          </w:p>
        </w:tc>
        <w:tc>
          <w:tcPr>
            <w:tcW w:w="900" w:type="dxa"/>
            <w:vAlign w:val="bottom"/>
          </w:tcPr>
          <w:p>
            <w:pPr>
              <w:jc w:val="center"/>
              <w:spacing w:after="0"/>
              <w:rPr>
                <w:sz w:val="20"/>
                <w:szCs w:val="20"/>
                <w:color w:val="auto"/>
              </w:rPr>
            </w:pPr>
            <w:r>
              <w:rPr>
                <w:rFonts w:ascii="Arial" w:cs="Arial" w:eastAsia="Arial" w:hAnsi="Arial"/>
                <w:sz w:val="18"/>
                <w:szCs w:val="18"/>
                <w:color w:val="auto"/>
              </w:rPr>
              <w:t>34,724</w:t>
            </w:r>
          </w:p>
        </w:tc>
        <w:tc>
          <w:tcPr>
            <w:tcW w:w="880" w:type="dxa"/>
            <w:vAlign w:val="bottom"/>
          </w:tcPr>
          <w:p>
            <w:pPr>
              <w:jc w:val="center"/>
              <w:spacing w:after="0"/>
              <w:rPr>
                <w:sz w:val="20"/>
                <w:szCs w:val="20"/>
                <w:color w:val="auto"/>
              </w:rPr>
            </w:pPr>
            <w:r>
              <w:rPr>
                <w:rFonts w:ascii="Arial" w:cs="Arial" w:eastAsia="Arial" w:hAnsi="Arial"/>
                <w:sz w:val="18"/>
                <w:szCs w:val="18"/>
                <w:color w:val="auto"/>
              </w:rPr>
              <w:t>47,990</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55,902</w:t>
            </w:r>
          </w:p>
        </w:tc>
        <w:tc>
          <w:tcPr>
            <w:tcW w:w="880" w:type="dxa"/>
            <w:vAlign w:val="bottom"/>
          </w:tcPr>
          <w:p>
            <w:pPr>
              <w:jc w:val="center"/>
              <w:spacing w:after="0"/>
              <w:rPr>
                <w:sz w:val="20"/>
                <w:szCs w:val="20"/>
                <w:color w:val="auto"/>
              </w:rPr>
            </w:pPr>
            <w:r>
              <w:rPr>
                <w:rFonts w:ascii="Arial" w:cs="Arial" w:eastAsia="Arial" w:hAnsi="Arial"/>
                <w:sz w:val="18"/>
                <w:szCs w:val="18"/>
                <w:color w:val="auto"/>
              </w:rPr>
              <w:t>49,840</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52,500</w:t>
            </w:r>
          </w:p>
        </w:tc>
      </w:tr>
      <w:tr>
        <w:trPr>
          <w:trHeight w:val="256"/>
        </w:trPr>
        <w:tc>
          <w:tcPr>
            <w:tcW w:w="4740" w:type="dxa"/>
            <w:vAlign w:val="bottom"/>
          </w:tcPr>
          <w:p>
            <w:pPr>
              <w:ind w:left="100"/>
              <w:spacing w:after="0"/>
              <w:rPr>
                <w:sz w:val="20"/>
                <w:szCs w:val="20"/>
                <w:color w:val="auto"/>
              </w:rPr>
            </w:pPr>
            <w:r>
              <w:rPr>
                <w:rFonts w:ascii="Arial" w:cs="Arial" w:eastAsia="Arial" w:hAnsi="Arial"/>
                <w:sz w:val="18"/>
                <w:szCs w:val="18"/>
                <w:color w:val="auto"/>
              </w:rPr>
              <w:t>Current account balance (As % GDP)</w:t>
            </w: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-1.2%</w:t>
            </w:r>
          </w:p>
        </w:tc>
        <w:tc>
          <w:tcPr>
            <w:tcW w:w="900" w:type="dxa"/>
            <w:vAlign w:val="bottom"/>
          </w:tcPr>
          <w:p>
            <w:pPr>
              <w:jc w:val="center"/>
              <w:spacing w:after="0"/>
              <w:rPr>
                <w:sz w:val="20"/>
                <w:szCs w:val="20"/>
                <w:color w:val="auto"/>
              </w:rPr>
            </w:pPr>
            <w:r>
              <w:rPr>
                <w:rFonts w:ascii="Arial" w:cs="Arial" w:eastAsia="Arial" w:hAnsi="Arial"/>
                <w:sz w:val="18"/>
                <w:szCs w:val="18"/>
                <w:color w:val="auto"/>
              </w:rPr>
              <w:t>-0.6%</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1.1%</w:t>
            </w:r>
          </w:p>
        </w:tc>
        <w:tc>
          <w:tcPr>
            <w:tcW w:w="880" w:type="dxa"/>
            <w:vAlign w:val="bottom"/>
          </w:tcPr>
          <w:p>
            <w:pPr>
              <w:jc w:val="center"/>
              <w:spacing w:after="0"/>
              <w:rPr>
                <w:sz w:val="20"/>
                <w:szCs w:val="20"/>
                <w:color w:val="auto"/>
              </w:rPr>
            </w:pPr>
            <w:r>
              <w:rPr>
                <w:rFonts w:ascii="Arial" w:cs="Arial" w:eastAsia="Arial" w:hAnsi="Arial"/>
                <w:sz w:val="18"/>
                <w:szCs w:val="18"/>
                <w:color w:val="auto"/>
              </w:rPr>
              <w:t>-2.2%</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-4.0%</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0.6%</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-0.5%</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Net international reserves (US$ Millions)</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rPr>
              <w:t>60,121</w:t>
            </w:r>
          </w:p>
        </w:tc>
        <w:tc>
          <w:tcPr>
            <w:tcW w:w="900" w:type="dxa"/>
            <w:vAlign w:val="bottom"/>
          </w:tcPr>
          <w:p>
            <w:pPr>
              <w:jc w:val="center"/>
              <w:spacing w:after="0"/>
              <w:rPr>
                <w:sz w:val="20"/>
                <w:szCs w:val="20"/>
                <w:color w:val="auto"/>
              </w:rPr>
            </w:pPr>
            <w:r>
              <w:rPr>
                <w:rFonts w:ascii="Arial" w:cs="Arial" w:eastAsia="Arial" w:hAnsi="Arial"/>
                <w:sz w:val="18"/>
                <w:szCs w:val="18"/>
                <w:color w:val="auto"/>
              </w:rPr>
              <w:t>68,316</w:t>
            </w:r>
          </w:p>
        </w:tc>
        <w:tc>
          <w:tcPr>
            <w:tcW w:w="900" w:type="dxa"/>
            <w:vAlign w:val="bottom"/>
          </w:tcPr>
          <w:p>
            <w:pPr>
              <w:jc w:val="center"/>
              <w:spacing w:after="0"/>
              <w:rPr>
                <w:sz w:val="20"/>
                <w:szCs w:val="20"/>
                <w:color w:val="auto"/>
              </w:rPr>
            </w:pPr>
            <w:r>
              <w:rPr>
                <w:rFonts w:ascii="Arial" w:cs="Arial" w:eastAsia="Arial" w:hAnsi="Arial"/>
                <w:sz w:val="18"/>
                <w:szCs w:val="18"/>
                <w:color w:val="auto"/>
              </w:rPr>
              <w:t>74,707</w:t>
            </w:r>
          </w:p>
        </w:tc>
        <w:tc>
          <w:tcPr>
            <w:tcW w:w="880" w:type="dxa"/>
            <w:vAlign w:val="bottom"/>
          </w:tcPr>
          <w:p>
            <w:pPr>
              <w:jc w:val="center"/>
              <w:spacing w:after="0"/>
              <w:rPr>
                <w:sz w:val="20"/>
                <w:szCs w:val="20"/>
                <w:color w:val="auto"/>
              </w:rPr>
            </w:pPr>
            <w:r>
              <w:rPr>
                <w:rFonts w:ascii="Arial" w:cs="Arial" w:eastAsia="Arial" w:hAnsi="Arial"/>
                <w:sz w:val="18"/>
                <w:szCs w:val="18"/>
                <w:color w:val="auto"/>
              </w:rPr>
              <w:t>78,495</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71,883</w:t>
            </w:r>
          </w:p>
        </w:tc>
        <w:tc>
          <w:tcPr>
            <w:tcW w:w="880" w:type="dxa"/>
            <w:vAlign w:val="bottom"/>
          </w:tcPr>
          <w:p>
            <w:pPr>
              <w:jc w:val="center"/>
              <w:spacing w:after="0"/>
              <w:rPr>
                <w:sz w:val="20"/>
                <w:szCs w:val="20"/>
                <w:color w:val="auto"/>
              </w:rPr>
            </w:pPr>
            <w:r>
              <w:rPr>
                <w:rFonts w:ascii="Arial" w:cs="Arial" w:eastAsia="Arial" w:hAnsi="Arial"/>
                <w:sz w:val="18"/>
                <w:szCs w:val="18"/>
                <w:color w:val="auto"/>
              </w:rPr>
              <w:t>71,033</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74,000</w:t>
            </w:r>
          </w:p>
        </w:tc>
      </w:tr>
      <w:tr>
        <w:trPr>
          <w:trHeight w:val="257"/>
        </w:trPr>
        <w:tc>
          <w:tcPr>
            <w:tcW w:w="4740" w:type="dxa"/>
            <w:vAlign w:val="bottom"/>
          </w:tcPr>
          <w:p>
            <w:pPr>
              <w:ind w:left="100"/>
              <w:spacing w:after="0"/>
              <w:rPr>
                <w:sz w:val="20"/>
                <w:szCs w:val="20"/>
                <w:color w:val="auto"/>
              </w:rPr>
            </w:pPr>
            <w:r>
              <w:rPr>
                <w:rFonts w:ascii="Arial" w:cs="Arial" w:eastAsia="Arial" w:hAnsi="Arial"/>
                <w:sz w:val="18"/>
                <w:szCs w:val="18"/>
                <w:color w:val="auto"/>
              </w:rPr>
              <w:t>(As % GDP)</w:t>
            </w:r>
          </w:p>
        </w:tc>
        <w:tc>
          <w:tcPr>
            <w:tcW w:w="1140" w:type="dxa"/>
            <w:vAlign w:val="bottom"/>
          </w:tcPr>
          <w:p>
            <w:pPr>
              <w:jc w:val="center"/>
              <w:ind w:left="130"/>
              <w:spacing w:after="0"/>
              <w:rPr>
                <w:sz w:val="20"/>
                <w:szCs w:val="20"/>
                <w:color w:val="auto"/>
              </w:rPr>
            </w:pPr>
            <w:r>
              <w:rPr>
                <w:rFonts w:ascii="Arial" w:cs="Arial" w:eastAsia="Arial" w:hAnsi="Arial"/>
                <w:sz w:val="18"/>
                <w:szCs w:val="18"/>
                <w:color w:val="auto"/>
              </w:rPr>
              <w:t>26.5%</w:t>
            </w:r>
          </w:p>
        </w:tc>
        <w:tc>
          <w:tcPr>
            <w:tcW w:w="900" w:type="dxa"/>
            <w:vAlign w:val="bottom"/>
          </w:tcPr>
          <w:p>
            <w:pPr>
              <w:jc w:val="center"/>
              <w:spacing w:after="0"/>
              <w:rPr>
                <w:sz w:val="20"/>
                <w:szCs w:val="20"/>
                <w:color w:val="auto"/>
              </w:rPr>
            </w:pPr>
            <w:r>
              <w:rPr>
                <w:rFonts w:ascii="Arial" w:cs="Arial" w:eastAsia="Arial" w:hAnsi="Arial"/>
                <w:sz w:val="18"/>
                <w:szCs w:val="18"/>
                <w:color w:val="auto"/>
              </w:rPr>
              <w:t>29.4%</w:t>
            </w:r>
          </w:p>
        </w:tc>
        <w:tc>
          <w:tcPr>
            <w:tcW w:w="900" w:type="dxa"/>
            <w:vAlign w:val="bottom"/>
          </w:tcPr>
          <w:p>
            <w:pPr>
              <w:jc w:val="center"/>
              <w:spacing w:after="0"/>
              <w:rPr>
                <w:sz w:val="20"/>
                <w:szCs w:val="20"/>
                <w:color w:val="auto"/>
              </w:rPr>
            </w:pPr>
            <w:r>
              <w:rPr>
                <w:rFonts w:ascii="Arial" w:cs="Arial" w:eastAsia="Arial" w:hAnsi="Arial"/>
                <w:sz w:val="18"/>
                <w:szCs w:val="18"/>
                <w:color w:val="auto"/>
              </w:rPr>
              <w:t>36.3%</w:t>
            </w:r>
          </w:p>
        </w:tc>
        <w:tc>
          <w:tcPr>
            <w:tcW w:w="880" w:type="dxa"/>
            <w:vAlign w:val="bottom"/>
          </w:tcPr>
          <w:p>
            <w:pPr>
              <w:jc w:val="center"/>
              <w:spacing w:after="0"/>
              <w:rPr>
                <w:sz w:val="20"/>
                <w:szCs w:val="20"/>
                <w:color w:val="auto"/>
              </w:rPr>
            </w:pPr>
            <w:r>
              <w:rPr>
                <w:rFonts w:ascii="Arial" w:cs="Arial" w:eastAsia="Arial" w:hAnsi="Arial"/>
                <w:sz w:val="18"/>
                <w:szCs w:val="18"/>
                <w:color w:val="auto"/>
              </w:rPr>
              <w:t>34.7%</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29.3%</w:t>
            </w:r>
          </w:p>
        </w:tc>
        <w:tc>
          <w:tcPr>
            <w:tcW w:w="880" w:type="dxa"/>
            <w:vAlign w:val="bottom"/>
          </w:tcPr>
          <w:p>
            <w:pPr>
              <w:jc w:val="center"/>
              <w:spacing w:after="0"/>
              <w:rPr>
                <w:sz w:val="20"/>
                <w:szCs w:val="20"/>
                <w:color w:val="auto"/>
              </w:rPr>
            </w:pPr>
            <w:r>
              <w:rPr>
                <w:rFonts w:ascii="Arial" w:cs="Arial" w:eastAsia="Arial" w:hAnsi="Arial"/>
                <w:sz w:val="18"/>
                <w:szCs w:val="18"/>
                <w:color w:val="auto"/>
              </w:rPr>
              <w:t>26.5%</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26.2%</w:t>
            </w:r>
          </w:p>
        </w:tc>
      </w:tr>
      <w:tr>
        <w:trPr>
          <w:trHeight w:val="261"/>
        </w:trPr>
        <w:tc>
          <w:tcPr>
            <w:tcW w:w="4740" w:type="dxa"/>
            <w:vAlign w:val="bottom"/>
            <w:tcBorders>
              <w:bottom w:val="single" w:sz="8" w:color="2AD2C9"/>
            </w:tcBorders>
          </w:tcPr>
          <w:p>
            <w:pPr>
              <w:ind w:left="100"/>
              <w:spacing w:after="0"/>
              <w:rPr>
                <w:sz w:val="20"/>
                <w:szCs w:val="20"/>
                <w:color w:val="auto"/>
              </w:rPr>
            </w:pPr>
            <w:r>
              <w:rPr>
                <w:rFonts w:ascii="Arial" w:cs="Arial" w:eastAsia="Arial" w:hAnsi="Arial"/>
                <w:sz w:val="18"/>
                <w:szCs w:val="18"/>
                <w:color w:val="auto"/>
              </w:rPr>
              <w:t>(As months of imports)</w:t>
            </w:r>
          </w:p>
        </w:tc>
        <w:tc>
          <w:tcPr>
            <w:tcW w:w="1140" w:type="dxa"/>
            <w:vAlign w:val="bottom"/>
            <w:tcBorders>
              <w:bottom w:val="single" w:sz="8" w:color="2AD2C9"/>
            </w:tcBorders>
          </w:tcPr>
          <w:p>
            <w:pPr>
              <w:jc w:val="center"/>
              <w:ind w:left="130"/>
              <w:spacing w:after="0"/>
              <w:rPr>
                <w:sz w:val="20"/>
                <w:szCs w:val="20"/>
                <w:color w:val="auto"/>
              </w:rPr>
            </w:pPr>
            <w:r>
              <w:rPr>
                <w:rFonts w:ascii="Arial" w:cs="Arial" w:eastAsia="Arial" w:hAnsi="Arial"/>
                <w:sz w:val="18"/>
                <w:szCs w:val="18"/>
                <w:color w:val="auto"/>
                <w:w w:val="99"/>
              </w:rPr>
              <w:t>17</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20</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26</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20</w:t>
            </w:r>
          </w:p>
        </w:tc>
        <w:tc>
          <w:tcPr>
            <w:tcW w:w="90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15</w:t>
            </w:r>
          </w:p>
        </w:tc>
        <w:tc>
          <w:tcPr>
            <w:tcW w:w="88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17</w:t>
            </w:r>
          </w:p>
        </w:tc>
        <w:tc>
          <w:tcPr>
            <w:tcW w:w="900" w:type="dxa"/>
            <w:vAlign w:val="bottom"/>
            <w:tcBorders>
              <w:bottom w:val="single" w:sz="8" w:color="2AD2C9"/>
            </w:tcBorders>
            <w:shd w:val="clear" w:color="auto" w:fill="F2F2F2"/>
          </w:tcPr>
          <w:p>
            <w:pPr>
              <w:jc w:val="center"/>
              <w:spacing w:after="0"/>
              <w:rPr>
                <w:sz w:val="20"/>
                <w:szCs w:val="20"/>
                <w:color w:val="auto"/>
              </w:rPr>
            </w:pPr>
            <w:r>
              <w:rPr>
                <w:rFonts w:ascii="Arial" w:cs="Arial" w:eastAsia="Arial" w:hAnsi="Arial"/>
                <w:sz w:val="18"/>
                <w:szCs w:val="18"/>
                <w:color w:val="auto"/>
                <w:w w:val="99"/>
              </w:rPr>
              <w:t>17</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Sources: INEI, BCRP y SBS.</w:t>
      </w:r>
    </w:p>
    <w:p>
      <w:pPr>
        <w:ind w:left="180" w:hanging="172"/>
        <w:spacing w:after="0"/>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Financial System, Current Exchange Rate</w:t>
      </w:r>
    </w:p>
    <w:p>
      <w:pPr>
        <w:ind w:left="180" w:hanging="172"/>
        <w:spacing w:after="0" w:line="230" w:lineRule="auto"/>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Inflation target: 1% - 3%</w:t>
      </w:r>
    </w:p>
    <w:p>
      <w:pPr>
        <w:ind w:left="180" w:hanging="172"/>
        <w:spacing w:after="0" w:line="230" w:lineRule="auto"/>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Negative % change indicates depreciation.</w:t>
      </w:r>
    </w:p>
    <w:p>
      <w:pPr>
        <w:ind w:left="180" w:hanging="172"/>
        <w:spacing w:after="0"/>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Grey area indicate estimates by BCP Economic Research as of May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43" w:name="page44"/>
    <w:bookmarkEnd w:id="43"/>
    <w:p>
      <w:pPr>
        <w:jc w:val="right"/>
        <w:spacing w:after="0"/>
        <w:tabs>
          <w:tab w:leader="none" w:pos="2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19"/>
          <w:szCs w:val="19"/>
          <w:b w:val="1"/>
          <w:bCs w:val="1"/>
          <w:color w:val="A6A6A6"/>
        </w:rPr>
        <w:t>Earning Release 1Q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600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11. Economic Outlook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Macroeconomic Variables</w:t>
      </w:r>
    </w:p>
    <w:p>
      <w:pPr>
        <w:spacing w:after="0" w:line="19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Gross Domestic Product</w:t>
      </w:r>
    </w:p>
    <w:p>
      <w:pPr>
        <w:spacing w:after="0" w:line="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(Annual Real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3394710" cy="2014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9471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Source: BCRP</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Estimate: BCP</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Inflation and Central Bank Reference Rate</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126365</wp:posOffset>
            </wp:positionV>
            <wp:extent cx="3394710" cy="2400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94710" cy="2400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E93BAC"/>
        </w:rPr>
        <w:t>Analysis of 1Q24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1Q24, the Peruvian economy is expected to have expanded around 1.5% YoY, its first positive reading after four consecutive quarters of contraction. Among the primary sectors, the dynamism of the mining sector stood out. Non-primary activities grew around 2.0% YoY, its fastest pace in five quarters, fueled mainly by services, commerce, and construction.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5, the multisectoral commission in charge of the national study of “El Niño” phenomenon (ENFEN, for its Spanish acronym) modified the status of the alert system to “Non-Active”. In this context, the Ministry of Production authorized the start date (April</w:t>
      </w:r>
    </w:p>
    <w:p>
      <w:pPr>
        <w:jc w:val="both"/>
        <w:ind w:firstLine="9"/>
        <w:spacing w:after="0" w:line="242" w:lineRule="auto"/>
        <w:tabs>
          <w:tab w:leader="none" w:pos="3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the first anchovy fishing season in the north-central zone of the country with a maximum capture limit of 2.5 million metric tons, similar to the 2013-2022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Inflation, measured using the Consumer Price index of Metropolitan Lima, slowed from 3.2% YoY at the end of 4Q23 to 3.0% YoY at the end of 1Q24, at the upper limit of the Central Bank (BCRP) target range of between 1% - 3% for the first time in three years and far from its peak of 8.8% YoY of June 2022. This result was driven by a drop in prices for chicken and agricultural commodities (1Q24 average price: -21% wheat, -34% corn and -21% soy). In March 2024, core inflation (excludes food and energy) stood at 3.1% YoY compared to 2.9% YoY at the end of 2023.</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its March meeting, the BCRP surprised markets by keeping its rate stable at 6.25% after six consecutive cuts of 25 bps. each. In April, it resumed rate cuts and reduced the rate by 25 bps to 6.00%. BCRP began its monetary policy easing cycle in September 2023 after maintaining the policy rate at a historic high of 7.75% for 7 consecutive months.</w:t>
      </w:r>
    </w:p>
    <w:p>
      <w:pPr>
        <w:spacing w:after="0" w:line="200" w:lineRule="exact"/>
        <w:rPr>
          <w:sz w:val="20"/>
          <w:szCs w:val="20"/>
          <w:color w:val="auto"/>
        </w:rPr>
      </w:pPr>
    </w:p>
    <w:p>
      <w:pPr>
        <w:sectPr>
          <w:pgSz w:w="11900" w:h="16838" w:orient="portrait"/>
          <w:cols w:equalWidth="0" w:num="2">
            <w:col w:w="5420" w:space="420"/>
            <w:col w:w="5400"/>
          </w:cols>
          <w:pgMar w:left="320" w:top="5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Source: BCRP and INEI</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type w:val="continuous"/>
        </w:sectPr>
      </w:pPr>
    </w:p>
    <w:bookmarkStart w:id="44" w:name="page45"/>
    <w:bookmarkEnd w:id="44"/>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11. Economic Outlook</w:t>
      </w:r>
    </w:p>
    <w:p>
      <w:pPr>
        <w:spacing w:after="0" w:line="369" w:lineRule="exact"/>
        <w:rPr>
          <w:sz w:val="20"/>
          <w:szCs w:val="20"/>
          <w:color w:val="auto"/>
        </w:rPr>
      </w:pPr>
    </w:p>
    <w:p>
      <w:pPr>
        <w:jc w:val="center"/>
        <w:ind w:right="5840"/>
        <w:spacing w:after="0"/>
        <w:rPr>
          <w:sz w:val="20"/>
          <w:szCs w:val="20"/>
          <w:color w:val="auto"/>
        </w:rPr>
      </w:pPr>
      <w:r>
        <w:rPr>
          <w:rFonts w:ascii="Arial" w:cs="Arial" w:eastAsia="Arial" w:hAnsi="Arial"/>
          <w:sz w:val="18"/>
          <w:szCs w:val="18"/>
          <w:b w:val="1"/>
          <w:bCs w:val="1"/>
          <w:color w:val="auto"/>
        </w:rPr>
        <w:t>Fiscal Balance and Current Account Balance</w:t>
      </w:r>
    </w:p>
    <w:p>
      <w:pPr>
        <w:spacing w:after="0" w:line="9"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 of GDP, Quarter)</w:t>
      </w:r>
    </w:p>
    <w:p>
      <w:pPr>
        <w:jc w:val="both"/>
        <w:ind w:left="5840"/>
        <w:spacing w:after="0" w:line="237" w:lineRule="auto"/>
        <w:rPr>
          <w:sz w:val="20"/>
          <w:szCs w:val="20"/>
          <w:color w:val="auto"/>
        </w:rPr>
      </w:pPr>
      <w:r>
        <w:rPr>
          <w:rFonts w:ascii="Arial" w:cs="Arial" w:eastAsia="Arial" w:hAnsi="Arial"/>
          <w:sz w:val="18"/>
          <w:szCs w:val="18"/>
          <w:color w:val="auto"/>
        </w:rPr>
        <w:t>The annualized fiscal deficit for the last 12 months to March 2024 rose to 3.3% of GDP, compared to 2.8% of GDP in 4Q23. This increase was largely attributable to a decrease in fiscal revenues, which fell from 19.7% of GDP in 4Q23 to 19.2% in 1Q24 and was spurred by lower revenues from the annual regularization of corporate income tax and import VAT tax. Non-financial spending rose 8.7% YoY in 1Q24 due to an increase in current spending and public investment. The latter grew, in real terms, 45% YoY in 1Q24, its highest growth rate in 14 years excluding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-1038225</wp:posOffset>
            </wp:positionV>
            <wp:extent cx="3343275" cy="2134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43275" cy="2134870"/>
                    </a:xfrm>
                    <a:prstGeom prst="rect">
                      <a:avLst/>
                    </a:prstGeom>
                    <a:noFill/>
                  </pic:spPr>
                </pic:pic>
              </a:graphicData>
            </a:graphic>
          </wp:anchor>
        </w:drawing>
      </w:r>
    </w:p>
    <w:p>
      <w:pPr>
        <w:spacing w:after="0" w:line="147" w:lineRule="exact"/>
        <w:rPr>
          <w:sz w:val="20"/>
          <w:szCs w:val="20"/>
          <w:color w:val="auto"/>
        </w:rPr>
      </w:pPr>
    </w:p>
    <w:p>
      <w:pPr>
        <w:jc w:val="both"/>
        <w:ind w:left="5840"/>
        <w:spacing w:after="0" w:line="239" w:lineRule="auto"/>
        <w:rPr>
          <w:sz w:val="20"/>
          <w:szCs w:val="20"/>
          <w:color w:val="auto"/>
        </w:rPr>
      </w:pPr>
      <w:r>
        <w:rPr>
          <w:rFonts w:ascii="Arial" w:cs="Arial" w:eastAsia="Arial" w:hAnsi="Arial"/>
          <w:sz w:val="18"/>
          <w:szCs w:val="18"/>
          <w:color w:val="auto"/>
        </w:rPr>
        <w:t>In April 2024, S&amp;P lowered Peru’s sovereign debt credit rating from BBB to BBB- (the lowest level permissible to be considered an investment grade country) with a stable outlook. The agency indicated that its decision reflected the country’s complex political environment, which limits the government’s capacity to adopt policies to favor investment and, in turn, affects growth prospects. In April also, Fitch reaffirmed its BBB credit rating with a negative outlook, referring to high levels of political uncertainty and a deterioration in governance. Moody’s assign a rating of Baa1, two-steps above investment grade with a negative outlook.</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Regarding external accounts, the 12-month accumulated trade balance surplus to February 2024 stood at USD 18 billion, a historic high. In the same period, exports grew 4.8% YoY to USD 68 billion, while imports fell 9.4% YoY to USD 50 billion due to lower import volumes of industrial supplies and construction materials, as well as lower commodity prices, mainly for oil and food.</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March 2024, gold prices reached a record high (2,230 dollar per ounce), copper prices reached their highest print in a year (4.12 dollar per pound) while WTI oil prices rose to a level not seen since October 2023 (83.2 dollar per barrel).</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Terms of trade grew 2.5% YoY in February 2024 as the 5.2% YoY drop in import prices (lower oil and agricultural commodity prices) topped the 2.8% YoY decline registered for export prices, which was driven by lower prices for copper, zinc and coffee. In February, terms of trade fell 4.2% compared with the end of 2023 (highest since the end of 2021).</w:t>
      </w:r>
    </w:p>
    <w:p>
      <w:pPr>
        <w:spacing w:after="0" w:line="15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Exchange Rate</w:t>
      </w:r>
    </w:p>
    <w:p>
      <w:pPr>
        <w:spacing w:after="0" w:line="1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(PEN per USD)</w:t>
      </w:r>
    </w:p>
    <w:p>
      <w:pPr>
        <w:spacing w:after="0" w:line="180" w:lineRule="exact"/>
        <w:rPr>
          <w:sz w:val="20"/>
          <w:szCs w:val="20"/>
          <w:color w:val="auto"/>
        </w:rPr>
      </w:pPr>
    </w:p>
    <w:p>
      <w:pPr>
        <w:jc w:val="both"/>
        <w:ind w:left="5840"/>
        <w:spacing w:after="0" w:line="242" w:lineRule="auto"/>
        <w:rPr>
          <w:sz w:val="20"/>
          <w:szCs w:val="20"/>
          <w:color w:val="auto"/>
        </w:rPr>
      </w:pPr>
      <w:r>
        <w:rPr>
          <w:rFonts w:ascii="Arial" w:cs="Arial" w:eastAsia="Arial" w:hAnsi="Arial"/>
          <w:sz w:val="18"/>
          <w:szCs w:val="18"/>
          <w:color w:val="auto"/>
        </w:rPr>
        <w:t>According to BCRP, the exchange rate closed 1Q24 at USDPEN 3.72, stable year-to-date but with high volatility within the quarter. During mid-February, the exchange rate weakened to USDPEN 3.88. That month, the BCRP intervened in the spot market selling USD 233 million, almost three times the amount sold in 2023 (USD 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-782320</wp:posOffset>
            </wp:positionV>
            <wp:extent cx="3394710" cy="2023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94710" cy="2023110"/>
                    </a:xfrm>
                    <a:prstGeom prst="rect">
                      <a:avLst/>
                    </a:prstGeom>
                    <a:noFill/>
                  </pic:spPr>
                </pic:pic>
              </a:graphicData>
            </a:graphic>
          </wp:anchor>
        </w:drawing>
      </w:r>
    </w:p>
    <w:p>
      <w:pPr>
        <w:spacing w:after="0" w:line="145" w:lineRule="exact"/>
        <w:rPr>
          <w:sz w:val="20"/>
          <w:szCs w:val="20"/>
          <w:color w:val="auto"/>
        </w:rPr>
      </w:pPr>
    </w:p>
    <w:p>
      <w:pPr>
        <w:jc w:val="both"/>
        <w:ind w:left="5840"/>
        <w:spacing w:after="0" w:line="247" w:lineRule="auto"/>
        <w:rPr>
          <w:sz w:val="20"/>
          <w:szCs w:val="20"/>
          <w:color w:val="auto"/>
        </w:rPr>
      </w:pPr>
      <w:r>
        <w:rPr>
          <w:rFonts w:ascii="Arial" w:cs="Arial" w:eastAsia="Arial" w:hAnsi="Arial"/>
          <w:sz w:val="18"/>
          <w:szCs w:val="18"/>
          <w:color w:val="auto"/>
        </w:rPr>
        <w:t>Latam main currencies registered mixed movements in 1Q24. The Mexican peso appreciated 2.4%, the Colombian peso remained stable (+0.4%) and the Chilean peso and Brazilian real depreciated 11.3% and 3.3%, respectively.</w:t>
      </w:r>
    </w:p>
    <w:p>
      <w:pPr>
        <w:spacing w:after="0" w:line="160" w:lineRule="exact"/>
        <w:rPr>
          <w:sz w:val="20"/>
          <w:szCs w:val="20"/>
          <w:color w:val="auto"/>
        </w:rPr>
      </w:pPr>
    </w:p>
    <w:p>
      <w:pPr>
        <w:jc w:val="both"/>
        <w:ind w:left="5840"/>
        <w:spacing w:after="0" w:line="247" w:lineRule="auto"/>
        <w:rPr>
          <w:sz w:val="20"/>
          <w:szCs w:val="20"/>
          <w:color w:val="auto"/>
        </w:rPr>
      </w:pPr>
      <w:r>
        <w:rPr>
          <w:rFonts w:ascii="Arial" w:cs="Arial" w:eastAsia="Arial" w:hAnsi="Arial"/>
          <w:sz w:val="18"/>
          <w:szCs w:val="18"/>
          <w:color w:val="auto"/>
        </w:rPr>
        <w:t>Net international reserves closed 1Q24 at USD 73.8 billion, above the end of 4Q23 level (USD 71.0 billion). The FX position of the BCRP stood at USD 51.8 billion, an increase of USD 270 million with respect to the end of 4Q23.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45" w:name="page46"/>
    <w:bookmarkEnd w:id="45"/>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Safe Harbor for Forward-Looking Statements</w:t>
      </w:r>
    </w:p>
    <w:p>
      <w:pPr>
        <w:spacing w:after="0" w:line="3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55"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occurrence of natural disasters or political or social instability in Peru;</w:t>
      </w:r>
    </w:p>
    <w:p>
      <w:pPr>
        <w:spacing w:after="0" w:line="13" w:lineRule="exact"/>
        <w:rPr>
          <w:rFonts w:ascii="Arial" w:cs="Arial" w:eastAsia="Arial" w:hAnsi="Arial"/>
          <w:sz w:val="18"/>
          <w:szCs w:val="18"/>
          <w:color w:val="auto"/>
        </w:rPr>
      </w:pPr>
    </w:p>
    <w:p>
      <w:pPr>
        <w:ind w:right="40" w:firstLine="8"/>
        <w:spacing w:after="0" w:line="234" w:lineRule="auto"/>
        <w:tabs>
          <w:tab w:leader="none" w:pos="1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adequacy of the dividends that our subsidiaries are able to pay to us, which may affect our ability to pay dividends to shareholders and corporate expenses;</w:t>
      </w:r>
    </w:p>
    <w:p>
      <w:pPr>
        <w:spacing w:after="0" w:line="1" w:lineRule="exact"/>
        <w:rPr>
          <w:rFonts w:ascii="Arial" w:cs="Arial" w:eastAsia="Arial" w:hAnsi="Arial"/>
          <w:sz w:val="18"/>
          <w:szCs w:val="18"/>
          <w:color w:val="auto"/>
        </w:rPr>
      </w:pP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of, and volatility in, financial markets, including Latin-American and other markets;</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frequency, severity and types of insured loss events;</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interest rate levels;</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Foreign currency exchange rates, including the Sol/US Dollar exchange rate;</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Deterioration in the quality of our loan portfolio;</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markets in which we operate;</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and changes in laws and regulations affecting the financial sector and adoption of new international guidelines;</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Effectiveness of our risk management policies and of our operational and security systems;</w:t>
      </w:r>
    </w:p>
    <w:p>
      <w:pPr>
        <w:ind w:left="160" w:hanging="152"/>
        <w:spacing w:after="0" w:line="234" w:lineRule="auto"/>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Losses associated with counterparty exposures;</w:t>
      </w:r>
    </w:p>
    <w:p>
      <w:pPr>
        <w:ind w:right="520" w:firstLine="8"/>
        <w:spacing w:after="0" w:line="234" w:lineRule="auto"/>
        <w:tabs>
          <w:tab w:leader="none" w:pos="1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the coronavirus (“COVID-19”) outbreak, actions taken to contain the COVID-19 and related economic effects from such actions and our ability to maintain adequate staffing; and</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Bermuda laws and regulations applicable to so-called non-resident entities.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jc w:val="both"/>
        <w:spacing w:after="0" w:line="242" w:lineRule="auto"/>
        <w:rPr>
          <w:sz w:val="20"/>
          <w:szCs w:val="20"/>
          <w:color w:val="auto"/>
        </w:rPr>
      </w:pPr>
      <w:r>
        <w:rPr>
          <w:rFonts w:ascii="Arial" w:cs="Arial" w:eastAsia="Arial" w:hAnsi="Arial"/>
          <w:sz w:val="18"/>
          <w:szCs w:val="18"/>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19"/>
        </w:trPr>
        <w:tc>
          <w:tcPr>
            <w:tcW w:w="660" w:type="dxa"/>
            <w:vAlign w:val="bottom"/>
            <w:shd w:val="clear" w:color="auto" w:fill="000000"/>
          </w:tcPr>
          <w:p>
            <w:pPr>
              <w:spacing w:after="0"/>
              <w:rPr>
                <w:sz w:val="24"/>
                <w:szCs w:val="24"/>
                <w:color w:val="auto"/>
              </w:rPr>
            </w:pPr>
          </w:p>
        </w:tc>
        <w:tc>
          <w:tcPr>
            <w:tcW w:w="6520" w:type="dxa"/>
            <w:vAlign w:val="bottom"/>
            <w:shd w:val="clear" w:color="auto" w:fill="000000"/>
          </w:tcPr>
          <w:p>
            <w:pPr>
              <w:ind w:left="2060"/>
              <w:spacing w:after="0"/>
              <w:rPr>
                <w:sz w:val="20"/>
                <w:szCs w:val="20"/>
                <w:color w:val="auto"/>
              </w:rPr>
            </w:pPr>
            <w:r>
              <w:rPr>
                <w:rFonts w:ascii="Arial" w:cs="Arial" w:eastAsia="Arial" w:hAnsi="Arial"/>
                <w:sz w:val="20"/>
                <w:szCs w:val="20"/>
                <w:color w:val="A6A6A6"/>
              </w:rPr>
              <w:t xml:space="preserve">|  </w:t>
            </w:r>
            <w:r>
              <w:rPr>
                <w:rFonts w:ascii="Arial" w:cs="Arial" w:eastAsia="Arial" w:hAnsi="Arial"/>
                <w:sz w:val="20"/>
                <w:szCs w:val="20"/>
                <w:b w:val="1"/>
                <w:bCs w:val="1"/>
                <w:color w:val="A6A6A6"/>
              </w:rPr>
              <w:t>Earning Release 1Q / 2024</w:t>
            </w:r>
          </w:p>
        </w:tc>
        <w:tc>
          <w:tcPr>
            <w:tcW w:w="4060" w:type="dxa"/>
            <w:vAlign w:val="bottom"/>
            <w:shd w:val="clear" w:color="auto" w:fill="000000"/>
          </w:tcPr>
          <w:p>
            <w:pPr>
              <w:jc w:val="right"/>
              <w:ind w:right="149"/>
              <w:spacing w:after="0"/>
              <w:rPr>
                <w:sz w:val="20"/>
                <w:szCs w:val="20"/>
                <w:color w:val="auto"/>
              </w:rPr>
            </w:pPr>
            <w:r>
              <w:rPr>
                <w:rFonts w:ascii="Arial" w:cs="Arial" w:eastAsia="Arial" w:hAnsi="Arial"/>
                <w:sz w:val="20"/>
                <w:szCs w:val="20"/>
                <w:b w:val="1"/>
                <w:bCs w:val="1"/>
                <w:color w:val="E93BAC"/>
              </w:rPr>
              <w:t>Analysis of 1Q24 Consolidated Results</w:t>
            </w:r>
          </w:p>
        </w:tc>
      </w:tr>
      <w:tr>
        <w:trPr>
          <w:trHeight w:val="237"/>
        </w:trPr>
        <w:tc>
          <w:tcPr>
            <w:tcW w:w="7180" w:type="dxa"/>
            <w:vAlign w:val="bottom"/>
            <w:gridSpan w:val="2"/>
            <w:shd w:val="clear" w:color="auto" w:fill="000000"/>
          </w:tcPr>
          <w:p>
            <w:pPr>
              <w:spacing w:after="0"/>
              <w:rPr>
                <w:sz w:val="20"/>
                <w:szCs w:val="20"/>
                <w:color w:val="auto"/>
              </w:rPr>
            </w:pPr>
          </w:p>
        </w:tc>
        <w:tc>
          <w:tcPr>
            <w:tcW w:w="4060" w:type="dxa"/>
            <w:vAlign w:val="bottom"/>
            <w:shd w:val="clear" w:color="auto" w:fill="000000"/>
          </w:tcPr>
          <w:p>
            <w:pPr>
              <w:spacing w:after="0"/>
              <w:rPr>
                <w:sz w:val="20"/>
                <w:szCs w:val="20"/>
                <w:color w:val="auto"/>
              </w:rPr>
            </w:pPr>
          </w:p>
        </w:tc>
      </w:tr>
      <w:tr>
        <w:trPr>
          <w:trHeight w:val="869"/>
        </w:trPr>
        <w:tc>
          <w:tcPr>
            <w:tcW w:w="7180" w:type="dxa"/>
            <w:vAlign w:val="bottom"/>
            <w:gridSpan w:val="2"/>
          </w:tcPr>
          <w:p>
            <w:pPr>
              <w:spacing w:after="0"/>
              <w:rPr>
                <w:sz w:val="20"/>
                <w:szCs w:val="20"/>
                <w:color w:val="auto"/>
              </w:rPr>
            </w:pPr>
            <w:r>
              <w:rPr>
                <w:rFonts w:ascii="Arial" w:cs="Arial" w:eastAsia="Arial" w:hAnsi="Arial"/>
                <w:sz w:val="52"/>
                <w:szCs w:val="52"/>
                <w:b w:val="1"/>
                <w:bCs w:val="1"/>
                <w:color w:val="E93BAC"/>
              </w:rPr>
              <w:t xml:space="preserve">12 </w:t>
            </w:r>
            <w:r>
              <w:rPr>
                <w:rFonts w:ascii="Arial" w:cs="Arial" w:eastAsia="Arial" w:hAnsi="Arial"/>
                <w:sz w:val="32"/>
                <w:szCs w:val="32"/>
                <w:color w:val="E93BAC"/>
              </w:rPr>
              <w:t>Appendix</w:t>
            </w:r>
          </w:p>
        </w:tc>
        <w:tc>
          <w:tcPr>
            <w:tcW w:w="4060" w:type="dxa"/>
            <w:vAlign w:val="bottom"/>
          </w:tcPr>
          <w:p>
            <w:pPr>
              <w:spacing w:after="0"/>
              <w:rPr>
                <w:sz w:val="24"/>
                <w:szCs w:val="24"/>
                <w:color w:val="auto"/>
              </w:rPr>
            </w:pPr>
          </w:p>
        </w:tc>
      </w:tr>
      <w:tr>
        <w:trPr>
          <w:trHeight w:val="358"/>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w w:val="99"/>
              </w:rPr>
              <w:t>12.2.</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Physical Point of Contact</w:t>
            </w:r>
          </w:p>
        </w:tc>
        <w:tc>
          <w:tcPr>
            <w:tcW w:w="4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5"/>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w w:val="99"/>
              </w:rPr>
              <w:t>12.3.</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Loan Portfolio Quality</w:t>
            </w:r>
          </w:p>
        </w:tc>
        <w:tc>
          <w:tcPr>
            <w:tcW w:w="4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5"/>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rPr>
              <w:t>12.4</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Interest Income (NII)</w:t>
            </w:r>
          </w:p>
        </w:tc>
        <w:tc>
          <w:tcPr>
            <w:tcW w:w="4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05"/>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w w:val="99"/>
              </w:rPr>
              <w:t>12.5.</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Regulatory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05"/>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w w:val="99"/>
              </w:rPr>
              <w:t>12.6.</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Ratios by Business</w:t>
            </w:r>
          </w:p>
        </w:tc>
        <w:tc>
          <w:tcPr>
            <w:tcW w:w="4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12.6.1. Credicorp Consolidated</w:t>
            </w:r>
          </w:p>
        </w:tc>
        <w:tc>
          <w:tcPr>
            <w:tcW w:w="4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12.6.2. Credicorp Stand-alone</w:t>
            </w:r>
          </w:p>
        </w:tc>
        <w:tc>
          <w:tcPr>
            <w:tcW w:w="4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12.6.3. BCP Consolidated</w:t>
            </w:r>
          </w:p>
        </w:tc>
        <w:tc>
          <w:tcPr>
            <w:tcW w:w="4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12.6.4. BCP Stand-alone</w:t>
            </w:r>
          </w:p>
        </w:tc>
        <w:tc>
          <w:tcPr>
            <w:tcW w:w="4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12.6.5. BCP Bolivia</w:t>
            </w:r>
          </w:p>
        </w:tc>
        <w:tc>
          <w:tcPr>
            <w:tcW w:w="4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12.6.6. Mibanco</w:t>
            </w:r>
          </w:p>
        </w:tc>
        <w:tc>
          <w:tcPr>
            <w:tcW w:w="4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12.6.7. Prima AFP</w:t>
            </w:r>
          </w:p>
        </w:tc>
        <w:tc>
          <w:tcPr>
            <w:tcW w:w="4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12.6.8. Grupo Pacifico</w:t>
            </w:r>
          </w:p>
        </w:tc>
        <w:tc>
          <w:tcPr>
            <w:tcW w:w="4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05"/>
        </w:trPr>
        <w:tc>
          <w:tcPr>
            <w:tcW w:w="7180" w:type="dxa"/>
            <w:vAlign w:val="bottom"/>
            <w:gridSpan w:val="2"/>
          </w:tcPr>
          <w:p>
            <w:pPr>
              <w:ind w:left="460"/>
              <w:spacing w:after="0"/>
              <w:rPr>
                <w:sz w:val="20"/>
                <w:szCs w:val="20"/>
                <w:color w:val="auto"/>
              </w:rPr>
            </w:pPr>
            <w:r>
              <w:rPr>
                <w:rFonts w:ascii="Arial" w:cs="Arial" w:eastAsia="Arial" w:hAnsi="Arial"/>
                <w:sz w:val="18"/>
                <w:szCs w:val="18"/>
                <w:b w:val="1"/>
                <w:bCs w:val="1"/>
                <w:color w:val="auto"/>
              </w:rPr>
              <w:t>12.6.9. Investment Management and Advisory</w:t>
            </w:r>
          </w:p>
        </w:tc>
        <w:tc>
          <w:tcPr>
            <w:tcW w:w="4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w w:val="99"/>
              </w:rPr>
              <w:t>12.7.</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Table of Calculations</w:t>
            </w:r>
          </w:p>
        </w:tc>
        <w:tc>
          <w:tcPr>
            <w:tcW w:w="4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05"/>
        </w:trPr>
        <w:tc>
          <w:tcPr>
            <w:tcW w:w="660" w:type="dxa"/>
            <w:vAlign w:val="bottom"/>
          </w:tcPr>
          <w:p>
            <w:pPr>
              <w:ind w:left="240"/>
              <w:spacing w:after="0"/>
              <w:rPr>
                <w:sz w:val="20"/>
                <w:szCs w:val="20"/>
                <w:color w:val="auto"/>
              </w:rPr>
            </w:pPr>
            <w:r>
              <w:rPr>
                <w:rFonts w:ascii="Arial" w:cs="Arial" w:eastAsia="Arial" w:hAnsi="Arial"/>
                <w:sz w:val="18"/>
                <w:szCs w:val="18"/>
                <w:b w:val="1"/>
                <w:bCs w:val="1"/>
                <w:color w:val="auto"/>
                <w:w w:val="99"/>
              </w:rPr>
              <w:t>12.8.</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Glossary of terms</w:t>
            </w:r>
          </w:p>
        </w:tc>
        <w:tc>
          <w:tcPr>
            <w:tcW w:w="4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7"/>
        </w:trPr>
        <w:tc>
          <w:tcPr>
            <w:tcW w:w="660" w:type="dxa"/>
            <w:vAlign w:val="bottom"/>
          </w:tcPr>
          <w:p>
            <w:pPr>
              <w:spacing w:after="0"/>
              <w:rPr>
                <w:sz w:val="24"/>
                <w:szCs w:val="24"/>
                <w:color w:val="auto"/>
              </w:rPr>
            </w:pPr>
          </w:p>
        </w:tc>
        <w:tc>
          <w:tcPr>
            <w:tcW w:w="6520" w:type="dxa"/>
            <w:vAlign w:val="bottom"/>
          </w:tcPr>
          <w:p>
            <w:pPr>
              <w:ind w:left="3580"/>
              <w:spacing w:after="0"/>
              <w:rPr>
                <w:sz w:val="20"/>
                <w:szCs w:val="20"/>
                <w:color w:val="auto"/>
              </w:rPr>
            </w:pPr>
            <w:r>
              <w:rPr>
                <w:rFonts w:ascii="Arial" w:cs="Arial" w:eastAsia="Arial" w:hAnsi="Arial"/>
                <w:sz w:val="14"/>
                <w:szCs w:val="14"/>
                <w:color w:val="0000FF"/>
              </w:rPr>
              <w:t>Datos elaborados por BCP para uso Interno</w:t>
            </w:r>
          </w:p>
        </w:tc>
        <w:tc>
          <w:tcPr>
            <w:tcW w:w="40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429"/>
        </w:trPr>
        <w:tc>
          <w:tcPr>
            <w:tcW w:w="6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-5537200</wp:posOffset>
            </wp:positionV>
            <wp:extent cx="128587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5875" cy="15430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7" w:name="page48"/>
    <w:bookmarkEnd w:id="47"/>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Physical Point of contact</w:t>
      </w:r>
    </w:p>
    <w:p>
      <w:pPr>
        <w:spacing w:after="0" w:line="196" w:lineRule="exact"/>
        <w:rPr>
          <w:sz w:val="20"/>
          <w:szCs w:val="20"/>
          <w:color w:val="auto"/>
        </w:rPr>
      </w:pPr>
    </w:p>
    <w:tbl>
      <w:tblPr>
        <w:tblLayout w:type="fixed"/>
        <w:tblInd w:w="1980" w:type="dxa"/>
        <w:tblCellMar>
          <w:top w:w="0" w:type="dxa"/>
          <w:left w:w="0" w:type="dxa"/>
          <w:bottom w:w="0" w:type="dxa"/>
          <w:right w:w="0" w:type="dxa"/>
        </w:tblCellMar>
      </w:tblPr>
      <w:tr>
        <w:trPr>
          <w:trHeight w:val="167"/>
        </w:trPr>
        <w:tc>
          <w:tcPr>
            <w:tcW w:w="2500" w:type="dxa"/>
            <w:vAlign w:val="bottom"/>
            <w:tcBorders>
              <w:top w:val="single" w:sz="8" w:color="auto"/>
            </w:tcBorders>
            <w:shd w:val="clear" w:color="auto" w:fill="2AD2C9"/>
          </w:tcPr>
          <w:p>
            <w:pPr>
              <w:ind w:left="60"/>
              <w:spacing w:after="0" w:line="167" w:lineRule="exact"/>
              <w:rPr>
                <w:sz w:val="20"/>
                <w:szCs w:val="20"/>
                <w:color w:val="auto"/>
              </w:rPr>
            </w:pPr>
            <w:r>
              <w:rPr>
                <w:rFonts w:ascii="Arial" w:cs="Arial" w:eastAsia="Arial" w:hAnsi="Arial"/>
                <w:sz w:val="12"/>
                <w:szCs w:val="12"/>
                <w:b w:val="1"/>
                <w:bCs w:val="1"/>
                <w:color w:val="FFFFFF"/>
              </w:rPr>
              <w:t xml:space="preserve">Physical Point of Contact </w:t>
            </w:r>
            <w:r>
              <w:rPr>
                <w:rFonts w:ascii="Arial" w:cs="Arial" w:eastAsia="Arial" w:hAnsi="Arial"/>
                <w:sz w:val="19"/>
                <w:szCs w:val="19"/>
                <w:b w:val="1"/>
                <w:bCs w:val="1"/>
                <w:color w:val="FFFFFF"/>
                <w:vertAlign w:val="superscript"/>
              </w:rPr>
              <w:t>(1)</w:t>
            </w:r>
          </w:p>
        </w:tc>
        <w:tc>
          <w:tcPr>
            <w:tcW w:w="1260" w:type="dxa"/>
            <w:vAlign w:val="bottom"/>
            <w:tcBorders>
              <w:top w:val="single" w:sz="8" w:color="auto"/>
            </w:tcBorders>
            <w:shd w:val="clear" w:color="auto" w:fill="2AD2C9"/>
          </w:tcPr>
          <w:p>
            <w:pPr>
              <w:spacing w:after="0"/>
              <w:rPr>
                <w:sz w:val="14"/>
                <w:szCs w:val="14"/>
                <w:color w:val="auto"/>
              </w:rPr>
            </w:pPr>
          </w:p>
        </w:tc>
        <w:tc>
          <w:tcPr>
            <w:tcW w:w="920" w:type="dxa"/>
            <w:vAlign w:val="bottom"/>
            <w:tcBorders>
              <w:top w:val="single" w:sz="8" w:color="auto"/>
            </w:tcBorders>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As of</w:t>
            </w:r>
          </w:p>
        </w:tc>
        <w:tc>
          <w:tcPr>
            <w:tcW w:w="940" w:type="dxa"/>
            <w:vAlign w:val="bottom"/>
            <w:tcBorders>
              <w:top w:val="single" w:sz="8" w:color="auto"/>
            </w:tcBorders>
            <w:shd w:val="clear" w:color="auto" w:fill="2AD2C9"/>
          </w:tcPr>
          <w:p>
            <w:pPr>
              <w:spacing w:after="0"/>
              <w:rPr>
                <w:sz w:val="14"/>
                <w:szCs w:val="14"/>
                <w:color w:val="auto"/>
              </w:rPr>
            </w:pPr>
          </w:p>
        </w:tc>
        <w:tc>
          <w:tcPr>
            <w:tcW w:w="1660" w:type="dxa"/>
            <w:vAlign w:val="bottom"/>
            <w:tcBorders>
              <w:top w:val="single" w:sz="8" w:color="auto"/>
            </w:tcBorders>
            <w:gridSpan w:val="2"/>
            <w:shd w:val="clear" w:color="auto" w:fill="2AD2C9"/>
          </w:tcPr>
          <w:p>
            <w:pPr>
              <w:jc w:val="right"/>
              <w:ind w:right="328"/>
              <w:spacing w:after="0"/>
              <w:rPr>
                <w:sz w:val="20"/>
                <w:szCs w:val="20"/>
                <w:color w:val="auto"/>
              </w:rPr>
            </w:pPr>
            <w:r>
              <w:rPr>
                <w:rFonts w:ascii="Arial" w:cs="Arial" w:eastAsia="Arial" w:hAnsi="Arial"/>
                <w:sz w:val="14"/>
                <w:szCs w:val="14"/>
                <w:b w:val="1"/>
                <w:bCs w:val="1"/>
                <w:color w:val="FFFFFF"/>
              </w:rPr>
              <w:t>change (units)</w:t>
            </w:r>
          </w:p>
        </w:tc>
      </w:tr>
      <w:tr>
        <w:trPr>
          <w:trHeight w:val="171"/>
        </w:trPr>
        <w:tc>
          <w:tcPr>
            <w:tcW w:w="250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(Units)</w:t>
            </w:r>
          </w:p>
        </w:tc>
        <w:tc>
          <w:tcPr>
            <w:tcW w:w="1260" w:type="dxa"/>
            <w:vAlign w:val="bottom"/>
            <w:tcBorders>
              <w:bottom w:val="single" w:sz="8" w:color="auto"/>
            </w:tcBorders>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Mar 23</w:t>
            </w:r>
          </w:p>
        </w:tc>
        <w:tc>
          <w:tcPr>
            <w:tcW w:w="920" w:type="dxa"/>
            <w:vAlign w:val="bottom"/>
            <w:tcBorders>
              <w:bottom w:val="single" w:sz="8" w:color="auto"/>
            </w:tcBorders>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Dec 23</w:t>
            </w:r>
          </w:p>
        </w:tc>
        <w:tc>
          <w:tcPr>
            <w:tcW w:w="940" w:type="dxa"/>
            <w:vAlign w:val="bottom"/>
            <w:tcBorders>
              <w:bottom w:val="single" w:sz="8" w:color="auto"/>
            </w:tcBorders>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Mar 24</w:t>
            </w:r>
          </w:p>
        </w:tc>
        <w:tc>
          <w:tcPr>
            <w:tcW w:w="900" w:type="dxa"/>
            <w:vAlign w:val="bottom"/>
            <w:tcBorders>
              <w:bottom w:val="single" w:sz="8" w:color="auto"/>
            </w:tcBorders>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QoQ</w:t>
            </w:r>
          </w:p>
        </w:tc>
        <w:tc>
          <w:tcPr>
            <w:tcW w:w="760" w:type="dxa"/>
            <w:vAlign w:val="bottom"/>
            <w:tcBorders>
              <w:bottom w:val="single" w:sz="8" w:color="auto"/>
            </w:tcBorders>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YoY</w:t>
            </w:r>
          </w:p>
        </w:tc>
      </w:tr>
      <w:tr>
        <w:trPr>
          <w:trHeight w:val="146"/>
        </w:trPr>
        <w:tc>
          <w:tcPr>
            <w:tcW w:w="2500" w:type="dxa"/>
            <w:vAlign w:val="bottom"/>
          </w:tcPr>
          <w:p>
            <w:pPr>
              <w:ind w:left="60"/>
              <w:spacing w:after="0" w:line="147" w:lineRule="exact"/>
              <w:rPr>
                <w:sz w:val="20"/>
                <w:szCs w:val="20"/>
                <w:color w:val="auto"/>
              </w:rPr>
            </w:pPr>
            <w:r>
              <w:rPr>
                <w:rFonts w:ascii="Arial" w:cs="Arial" w:eastAsia="Arial" w:hAnsi="Arial"/>
                <w:sz w:val="14"/>
                <w:szCs w:val="14"/>
                <w:color w:val="auto"/>
              </w:rPr>
              <w:t>Branches</w:t>
            </w:r>
          </w:p>
        </w:tc>
        <w:tc>
          <w:tcPr>
            <w:tcW w:w="1260" w:type="dxa"/>
            <w:vAlign w:val="bottom"/>
          </w:tcPr>
          <w:p>
            <w:pPr>
              <w:jc w:val="right"/>
              <w:ind w:right="48"/>
              <w:spacing w:after="0" w:line="147" w:lineRule="exact"/>
              <w:rPr>
                <w:sz w:val="20"/>
                <w:szCs w:val="20"/>
                <w:color w:val="auto"/>
              </w:rPr>
            </w:pPr>
            <w:r>
              <w:rPr>
                <w:rFonts w:ascii="Arial" w:cs="Arial" w:eastAsia="Arial" w:hAnsi="Arial"/>
                <w:sz w:val="14"/>
                <w:szCs w:val="14"/>
                <w:color w:val="auto"/>
              </w:rPr>
              <w:t>665</w:t>
            </w:r>
          </w:p>
        </w:tc>
        <w:tc>
          <w:tcPr>
            <w:tcW w:w="920" w:type="dxa"/>
            <w:vAlign w:val="bottom"/>
          </w:tcPr>
          <w:p>
            <w:pPr>
              <w:jc w:val="right"/>
              <w:ind w:right="68"/>
              <w:spacing w:after="0" w:line="147" w:lineRule="exact"/>
              <w:rPr>
                <w:sz w:val="20"/>
                <w:szCs w:val="20"/>
                <w:color w:val="auto"/>
              </w:rPr>
            </w:pPr>
            <w:r>
              <w:rPr>
                <w:rFonts w:ascii="Arial" w:cs="Arial" w:eastAsia="Arial" w:hAnsi="Arial"/>
                <w:sz w:val="14"/>
                <w:szCs w:val="14"/>
                <w:color w:val="auto"/>
              </w:rPr>
              <w:t>659</w:t>
            </w:r>
          </w:p>
        </w:tc>
        <w:tc>
          <w:tcPr>
            <w:tcW w:w="9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655</w:t>
            </w:r>
          </w:p>
        </w:tc>
        <w:tc>
          <w:tcPr>
            <w:tcW w:w="9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-4</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-10</w:t>
            </w:r>
          </w:p>
        </w:tc>
      </w:tr>
      <w:tr>
        <w:trPr>
          <w:trHeight w:val="162"/>
        </w:trPr>
        <w:tc>
          <w:tcPr>
            <w:tcW w:w="2500" w:type="dxa"/>
            <w:vAlign w:val="bottom"/>
          </w:tcPr>
          <w:p>
            <w:pPr>
              <w:ind w:left="60"/>
              <w:spacing w:after="0"/>
              <w:rPr>
                <w:sz w:val="20"/>
                <w:szCs w:val="20"/>
                <w:color w:val="auto"/>
              </w:rPr>
            </w:pPr>
            <w:r>
              <w:rPr>
                <w:rFonts w:ascii="Arial" w:cs="Arial" w:eastAsia="Arial" w:hAnsi="Arial"/>
                <w:sz w:val="14"/>
                <w:szCs w:val="14"/>
                <w:color w:val="auto"/>
              </w:rPr>
              <w:t>ATMs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2,626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2,746</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2,737</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71"/>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Agentes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11,589</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12,410</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11,697</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166"/>
        </w:trPr>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14,880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15,815</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15,089</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-726</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-648970</wp:posOffset>
            </wp:positionV>
            <wp:extent cx="4629150" cy="651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29150" cy="651510"/>
                    </a:xfrm>
                    <a:prstGeom prst="rect">
                      <a:avLst/>
                    </a:prstGeom>
                    <a:noFill/>
                  </pic:spPr>
                </pic:pic>
              </a:graphicData>
            </a:graphic>
          </wp:anchor>
        </w:drawing>
      </w:r>
    </w:p>
    <w:p>
      <w:pPr>
        <w:ind w:left="2080" w:hanging="331"/>
        <w:spacing w:after="0" w:line="230" w:lineRule="auto"/>
        <w:tabs>
          <w:tab w:leader="none" w:pos="20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Includes Banco de la Nacion branches, which in March 23 were 33, in December 23 were 36 and in March 24 were 36</w:t>
      </w:r>
    </w:p>
    <w:p>
      <w:pPr>
        <w:ind w:left="2080" w:hanging="331"/>
        <w:spacing w:after="0"/>
        <w:tabs>
          <w:tab w:leader="none" w:pos="20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Includes Banco de la Nacion branches, which in March 23 were 33, in December 23 were 36 and in March 24 were 36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Loan Portfolio Quality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Quality Ratios by Segment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130810</wp:posOffset>
            </wp:positionV>
            <wp:extent cx="6429375" cy="27857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93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6429375" cy="2743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937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48" w:name="page49"/>
    <w:bookmarkEnd w:id="48"/>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140970</wp:posOffset>
            </wp:positionV>
            <wp:extent cx="6429375" cy="24860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2937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6429375" cy="2682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2937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49" w:name="page50"/>
    <w:bookmarkEnd w:id="49"/>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6429375" cy="254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93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6429375" cy="25888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2937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0" w:name="page51"/>
    <w:bookmarkEnd w:id="50"/>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6429375" cy="255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2937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140970</wp:posOffset>
            </wp:positionV>
            <wp:extent cx="6429375" cy="3334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937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19"/>
        </w:trPr>
        <w:tc>
          <w:tcPr>
            <w:tcW w:w="6500" w:type="dxa"/>
            <w:vAlign w:val="bottom"/>
            <w:gridSpan w:val="2"/>
            <w:shd w:val="clear" w:color="auto" w:fill="000000"/>
          </w:tcPr>
          <w:p>
            <w:pPr>
              <w:ind w:left="2720"/>
              <w:spacing w:after="0"/>
              <w:rPr>
                <w:sz w:val="20"/>
                <w:szCs w:val="20"/>
                <w:color w:val="auto"/>
              </w:rPr>
            </w:pPr>
            <w:r>
              <w:rPr>
                <w:rFonts w:ascii="Arial" w:cs="Arial" w:eastAsia="Arial" w:hAnsi="Arial"/>
                <w:sz w:val="20"/>
                <w:szCs w:val="20"/>
                <w:color w:val="A6A6A6"/>
              </w:rPr>
              <w:t xml:space="preserve">|  </w:t>
            </w:r>
            <w:r>
              <w:rPr>
                <w:rFonts w:ascii="Arial" w:cs="Arial" w:eastAsia="Arial" w:hAnsi="Arial"/>
                <w:sz w:val="20"/>
                <w:szCs w:val="20"/>
                <w:b w:val="1"/>
                <w:bCs w:val="1"/>
                <w:color w:val="A6A6A6"/>
              </w:rPr>
              <w:t>Earning Release 1Q / 2024</w:t>
            </w:r>
          </w:p>
        </w:tc>
        <w:tc>
          <w:tcPr>
            <w:tcW w:w="4740" w:type="dxa"/>
            <w:vAlign w:val="bottom"/>
            <w:gridSpan w:val="5"/>
            <w:shd w:val="clear" w:color="auto" w:fill="000000"/>
          </w:tcPr>
          <w:p>
            <w:pPr>
              <w:ind w:left="840"/>
              <w:spacing w:after="0"/>
              <w:rPr>
                <w:sz w:val="20"/>
                <w:szCs w:val="20"/>
                <w:color w:val="auto"/>
              </w:rPr>
            </w:pPr>
            <w:r>
              <w:rPr>
                <w:rFonts w:ascii="Arial" w:cs="Arial" w:eastAsia="Arial" w:hAnsi="Arial"/>
                <w:sz w:val="20"/>
                <w:szCs w:val="20"/>
                <w:b w:val="1"/>
                <w:bCs w:val="1"/>
                <w:color w:val="E93BAC"/>
              </w:rPr>
              <w:t>Analysis of 1Q24 Consolidated Results</w:t>
            </w:r>
          </w:p>
        </w:tc>
      </w:tr>
      <w:tr>
        <w:trPr>
          <w:trHeight w:val="237"/>
        </w:trPr>
        <w:tc>
          <w:tcPr>
            <w:tcW w:w="4940" w:type="dxa"/>
            <w:vAlign w:val="bottom"/>
            <w:shd w:val="clear" w:color="auto" w:fill="000000"/>
          </w:tcPr>
          <w:p>
            <w:pPr>
              <w:spacing w:after="0"/>
              <w:rPr>
                <w:sz w:val="20"/>
                <w:szCs w:val="20"/>
                <w:color w:val="auto"/>
              </w:rPr>
            </w:pPr>
          </w:p>
        </w:tc>
        <w:tc>
          <w:tcPr>
            <w:tcW w:w="1560" w:type="dxa"/>
            <w:vAlign w:val="bottom"/>
            <w:shd w:val="clear" w:color="auto" w:fill="000000"/>
          </w:tcPr>
          <w:p>
            <w:pPr>
              <w:spacing w:after="0"/>
              <w:rPr>
                <w:sz w:val="20"/>
                <w:szCs w:val="20"/>
                <w:color w:val="auto"/>
              </w:rPr>
            </w:pPr>
          </w:p>
        </w:tc>
        <w:tc>
          <w:tcPr>
            <w:tcW w:w="1380" w:type="dxa"/>
            <w:vAlign w:val="bottom"/>
            <w:shd w:val="clear" w:color="auto" w:fill="000000"/>
          </w:tcPr>
          <w:p>
            <w:pPr>
              <w:spacing w:after="0"/>
              <w:rPr>
                <w:sz w:val="20"/>
                <w:szCs w:val="20"/>
                <w:color w:val="auto"/>
              </w:rPr>
            </w:pPr>
          </w:p>
        </w:tc>
        <w:tc>
          <w:tcPr>
            <w:tcW w:w="1240" w:type="dxa"/>
            <w:vAlign w:val="bottom"/>
            <w:shd w:val="clear" w:color="auto" w:fill="000000"/>
          </w:tcPr>
          <w:p>
            <w:pPr>
              <w:spacing w:after="0"/>
              <w:rPr>
                <w:sz w:val="20"/>
                <w:szCs w:val="20"/>
                <w:color w:val="auto"/>
              </w:rPr>
            </w:pPr>
          </w:p>
        </w:tc>
        <w:tc>
          <w:tcPr>
            <w:tcW w:w="1320" w:type="dxa"/>
            <w:vAlign w:val="bottom"/>
            <w:shd w:val="clear" w:color="auto" w:fill="000000"/>
          </w:tcPr>
          <w:p>
            <w:pPr>
              <w:spacing w:after="0"/>
              <w:rPr>
                <w:sz w:val="20"/>
                <w:szCs w:val="20"/>
                <w:color w:val="auto"/>
              </w:rPr>
            </w:pPr>
          </w:p>
        </w:tc>
        <w:tc>
          <w:tcPr>
            <w:tcW w:w="780" w:type="dxa"/>
            <w:vAlign w:val="bottom"/>
            <w:shd w:val="clear" w:color="auto" w:fill="000000"/>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25"/>
        </w:trPr>
        <w:tc>
          <w:tcPr>
            <w:tcW w:w="4940" w:type="dxa"/>
            <w:vAlign w:val="bottom"/>
            <w:shd w:val="clear" w:color="auto" w:fill="E93BAC"/>
          </w:tcPr>
          <w:p>
            <w:pPr>
              <w:ind w:left="100"/>
              <w:spacing w:after="0"/>
              <w:rPr>
                <w:sz w:val="20"/>
                <w:szCs w:val="20"/>
                <w:color w:val="auto"/>
              </w:rPr>
            </w:pPr>
            <w:r>
              <w:rPr>
                <w:rFonts w:ascii="Arial" w:cs="Arial" w:eastAsia="Arial" w:hAnsi="Arial"/>
                <w:sz w:val="20"/>
                <w:szCs w:val="20"/>
                <w:b w:val="1"/>
                <w:bCs w:val="1"/>
                <w:color w:val="FFFFFF"/>
              </w:rPr>
              <w:t>12. Appendix</w:t>
            </w:r>
          </w:p>
        </w:tc>
        <w:tc>
          <w:tcPr>
            <w:tcW w:w="1560" w:type="dxa"/>
            <w:vAlign w:val="bottom"/>
            <w:shd w:val="clear" w:color="auto" w:fill="E93BAC"/>
          </w:tcPr>
          <w:p>
            <w:pPr>
              <w:spacing w:after="0"/>
              <w:rPr>
                <w:sz w:val="24"/>
                <w:szCs w:val="24"/>
                <w:color w:val="auto"/>
              </w:rPr>
            </w:pPr>
          </w:p>
        </w:tc>
        <w:tc>
          <w:tcPr>
            <w:tcW w:w="1380" w:type="dxa"/>
            <w:vAlign w:val="bottom"/>
            <w:shd w:val="clear" w:color="auto" w:fill="E93BAC"/>
          </w:tcPr>
          <w:p>
            <w:pPr>
              <w:spacing w:after="0"/>
              <w:rPr>
                <w:sz w:val="24"/>
                <w:szCs w:val="24"/>
                <w:color w:val="auto"/>
              </w:rPr>
            </w:pPr>
          </w:p>
        </w:tc>
        <w:tc>
          <w:tcPr>
            <w:tcW w:w="1240" w:type="dxa"/>
            <w:vAlign w:val="bottom"/>
            <w:shd w:val="clear" w:color="auto" w:fill="E93BAC"/>
          </w:tcPr>
          <w:p>
            <w:pPr>
              <w:spacing w:after="0"/>
              <w:rPr>
                <w:sz w:val="24"/>
                <w:szCs w:val="24"/>
                <w:color w:val="auto"/>
              </w:rPr>
            </w:pPr>
          </w:p>
        </w:tc>
        <w:tc>
          <w:tcPr>
            <w:tcW w:w="1320" w:type="dxa"/>
            <w:vAlign w:val="bottom"/>
            <w:shd w:val="clear" w:color="auto" w:fill="E93BAC"/>
          </w:tcPr>
          <w:p>
            <w:pPr>
              <w:spacing w:after="0"/>
              <w:rPr>
                <w:sz w:val="24"/>
                <w:szCs w:val="24"/>
                <w:color w:val="auto"/>
              </w:rPr>
            </w:pPr>
          </w:p>
        </w:tc>
        <w:tc>
          <w:tcPr>
            <w:tcW w:w="780" w:type="dxa"/>
            <w:vAlign w:val="bottom"/>
            <w:shd w:val="clear" w:color="auto" w:fill="E93BAC"/>
          </w:tcPr>
          <w:p>
            <w:pPr>
              <w:spacing w:after="0"/>
              <w:rPr>
                <w:sz w:val="24"/>
                <w:szCs w:val="24"/>
                <w:color w:val="auto"/>
              </w:rPr>
            </w:pPr>
          </w:p>
        </w:tc>
        <w:tc>
          <w:tcPr>
            <w:tcW w:w="20" w:type="dxa"/>
            <w:vAlign w:val="bottom"/>
            <w:shd w:val="clear" w:color="auto" w:fill="E93BAC"/>
          </w:tcPr>
          <w:p>
            <w:pPr>
              <w:spacing w:after="0"/>
              <w:rPr>
                <w:sz w:val="24"/>
                <w:szCs w:val="24"/>
                <w:color w:val="auto"/>
              </w:rPr>
            </w:pPr>
          </w:p>
        </w:tc>
      </w:tr>
      <w:tr>
        <w:trPr>
          <w:trHeight w:val="142"/>
        </w:trPr>
        <w:tc>
          <w:tcPr>
            <w:tcW w:w="4940" w:type="dxa"/>
            <w:vAlign w:val="bottom"/>
            <w:shd w:val="clear" w:color="auto" w:fill="E93BAC"/>
          </w:tcPr>
          <w:p>
            <w:pPr>
              <w:spacing w:after="0"/>
              <w:rPr>
                <w:sz w:val="12"/>
                <w:szCs w:val="12"/>
                <w:color w:val="auto"/>
              </w:rPr>
            </w:pPr>
          </w:p>
        </w:tc>
        <w:tc>
          <w:tcPr>
            <w:tcW w:w="1560" w:type="dxa"/>
            <w:vAlign w:val="bottom"/>
            <w:shd w:val="clear" w:color="auto" w:fill="E93BAC"/>
          </w:tcPr>
          <w:p>
            <w:pPr>
              <w:spacing w:after="0"/>
              <w:rPr>
                <w:sz w:val="12"/>
                <w:szCs w:val="12"/>
                <w:color w:val="auto"/>
              </w:rPr>
            </w:pPr>
          </w:p>
        </w:tc>
        <w:tc>
          <w:tcPr>
            <w:tcW w:w="1380" w:type="dxa"/>
            <w:vAlign w:val="bottom"/>
            <w:shd w:val="clear" w:color="auto" w:fill="E93BAC"/>
          </w:tcPr>
          <w:p>
            <w:pPr>
              <w:spacing w:after="0"/>
              <w:rPr>
                <w:sz w:val="12"/>
                <w:szCs w:val="12"/>
                <w:color w:val="auto"/>
              </w:rPr>
            </w:pPr>
          </w:p>
        </w:tc>
        <w:tc>
          <w:tcPr>
            <w:tcW w:w="1240" w:type="dxa"/>
            <w:vAlign w:val="bottom"/>
            <w:shd w:val="clear" w:color="auto" w:fill="E93BAC"/>
          </w:tcPr>
          <w:p>
            <w:pPr>
              <w:spacing w:after="0"/>
              <w:rPr>
                <w:sz w:val="12"/>
                <w:szCs w:val="12"/>
                <w:color w:val="auto"/>
              </w:rPr>
            </w:pPr>
          </w:p>
        </w:tc>
        <w:tc>
          <w:tcPr>
            <w:tcW w:w="1320" w:type="dxa"/>
            <w:vAlign w:val="bottom"/>
            <w:shd w:val="clear" w:color="auto" w:fill="E93BAC"/>
          </w:tcPr>
          <w:p>
            <w:pPr>
              <w:spacing w:after="0"/>
              <w:rPr>
                <w:sz w:val="12"/>
                <w:szCs w:val="12"/>
                <w:color w:val="auto"/>
              </w:rPr>
            </w:pPr>
          </w:p>
        </w:tc>
        <w:tc>
          <w:tcPr>
            <w:tcW w:w="780" w:type="dxa"/>
            <w:vAlign w:val="bottom"/>
            <w:shd w:val="clear" w:color="auto" w:fill="E93BAC"/>
          </w:tcPr>
          <w:p>
            <w:pPr>
              <w:spacing w:after="0"/>
              <w:rPr>
                <w:sz w:val="12"/>
                <w:szCs w:val="12"/>
                <w:color w:val="auto"/>
              </w:rPr>
            </w:pPr>
          </w:p>
        </w:tc>
        <w:tc>
          <w:tcPr>
            <w:tcW w:w="20" w:type="dxa"/>
            <w:vAlign w:val="bottom"/>
            <w:shd w:val="clear" w:color="auto" w:fill="E93BAC"/>
          </w:tcPr>
          <w:p>
            <w:pPr>
              <w:spacing w:after="0"/>
              <w:rPr>
                <w:sz w:val="12"/>
                <w:szCs w:val="12"/>
                <w:color w:val="auto"/>
              </w:rPr>
            </w:pPr>
          </w:p>
        </w:tc>
      </w:tr>
      <w:tr>
        <w:trPr>
          <w:trHeight w:val="430"/>
        </w:trPr>
        <w:tc>
          <w:tcPr>
            <w:tcW w:w="4940" w:type="dxa"/>
            <w:vAlign w:val="bottom"/>
          </w:tcPr>
          <w:p>
            <w:pPr>
              <w:spacing w:after="0"/>
              <w:rPr>
                <w:sz w:val="20"/>
                <w:szCs w:val="20"/>
                <w:color w:val="auto"/>
              </w:rPr>
            </w:pPr>
            <w:r>
              <w:rPr>
                <w:rFonts w:ascii="Arial" w:cs="Arial" w:eastAsia="Arial" w:hAnsi="Arial"/>
                <w:sz w:val="18"/>
                <w:szCs w:val="18"/>
                <w:b w:val="1"/>
                <w:bCs w:val="1"/>
                <w:color w:val="auto"/>
              </w:rPr>
              <w:t>12.3. Net Interest Income (NII)</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4940" w:type="dxa"/>
            <w:vAlign w:val="bottom"/>
          </w:tcPr>
          <w:p>
            <w:pPr>
              <w:spacing w:after="0"/>
              <w:rPr>
                <w:sz w:val="24"/>
                <w:szCs w:val="24"/>
                <w:color w:val="auto"/>
              </w:rPr>
            </w:pPr>
          </w:p>
        </w:tc>
        <w:tc>
          <w:tcPr>
            <w:tcW w:w="1560" w:type="dxa"/>
            <w:vAlign w:val="bottom"/>
          </w:tcPr>
          <w:p>
            <w:pPr>
              <w:jc w:val="right"/>
              <w:ind w:right="316"/>
              <w:spacing w:after="0"/>
              <w:rPr>
                <w:sz w:val="20"/>
                <w:szCs w:val="20"/>
                <w:color w:val="auto"/>
              </w:rPr>
            </w:pPr>
            <w:r>
              <w:rPr>
                <w:rFonts w:ascii="Arial" w:cs="Arial" w:eastAsia="Arial" w:hAnsi="Arial"/>
                <w:sz w:val="16"/>
                <w:szCs w:val="16"/>
                <w:b w:val="1"/>
                <w:bCs w:val="1"/>
                <w:color w:val="auto"/>
              </w:rPr>
              <w:t>NII Summary</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4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4"/>
        </w:trPr>
        <w:tc>
          <w:tcPr>
            <w:tcW w:w="4940" w:type="dxa"/>
            <w:vAlign w:val="bottom"/>
            <w:shd w:val="clear" w:color="auto" w:fill="2AD2C9"/>
          </w:tcPr>
          <w:p>
            <w:pPr>
              <w:ind w:left="60"/>
              <w:spacing w:after="0"/>
              <w:rPr>
                <w:sz w:val="20"/>
                <w:szCs w:val="20"/>
                <w:color w:val="auto"/>
              </w:rPr>
            </w:pPr>
            <w:r>
              <w:rPr>
                <w:rFonts w:ascii="Arial" w:cs="Arial" w:eastAsia="Arial" w:hAnsi="Arial"/>
                <w:sz w:val="13"/>
                <w:szCs w:val="13"/>
                <w:b w:val="1"/>
                <w:bCs w:val="1"/>
                <w:color w:val="FFFFFF"/>
              </w:rPr>
              <w:t>Net interest income</w:t>
            </w:r>
          </w:p>
        </w:tc>
        <w:tc>
          <w:tcPr>
            <w:tcW w:w="1560" w:type="dxa"/>
            <w:vAlign w:val="bottom"/>
            <w:shd w:val="clear" w:color="auto" w:fill="2AD2C9"/>
          </w:tcPr>
          <w:p>
            <w:pPr>
              <w:spacing w:after="0"/>
              <w:rPr>
                <w:sz w:val="15"/>
                <w:szCs w:val="15"/>
                <w:color w:val="auto"/>
              </w:rPr>
            </w:pPr>
          </w:p>
        </w:tc>
        <w:tc>
          <w:tcPr>
            <w:tcW w:w="1380" w:type="dxa"/>
            <w:vAlign w:val="bottom"/>
            <w:shd w:val="clear" w:color="auto" w:fill="2AD2C9"/>
          </w:tcPr>
          <w:p>
            <w:pPr>
              <w:jc w:val="right"/>
              <w:ind w:right="635"/>
              <w:spacing w:after="0"/>
              <w:rPr>
                <w:sz w:val="20"/>
                <w:szCs w:val="20"/>
                <w:color w:val="auto"/>
              </w:rPr>
            </w:pPr>
            <w:r>
              <w:rPr>
                <w:rFonts w:ascii="Arial" w:cs="Arial" w:eastAsia="Arial" w:hAnsi="Arial"/>
                <w:sz w:val="13"/>
                <w:szCs w:val="13"/>
                <w:b w:val="1"/>
                <w:bCs w:val="1"/>
                <w:color w:val="FFFFFF"/>
              </w:rPr>
              <w:t>Quarter</w:t>
            </w:r>
          </w:p>
        </w:tc>
        <w:tc>
          <w:tcPr>
            <w:tcW w:w="1240" w:type="dxa"/>
            <w:vAlign w:val="bottom"/>
            <w:shd w:val="clear" w:color="auto" w:fill="2AD2C9"/>
          </w:tcPr>
          <w:p>
            <w:pPr>
              <w:spacing w:after="0"/>
              <w:rPr>
                <w:sz w:val="15"/>
                <w:szCs w:val="15"/>
                <w:color w:val="auto"/>
              </w:rPr>
            </w:pPr>
          </w:p>
        </w:tc>
        <w:tc>
          <w:tcPr>
            <w:tcW w:w="1320" w:type="dxa"/>
            <w:vAlign w:val="bottom"/>
            <w:shd w:val="clear" w:color="auto" w:fill="2AD2C9"/>
          </w:tcPr>
          <w:p>
            <w:pPr>
              <w:ind w:left="700"/>
              <w:spacing w:after="0"/>
              <w:rPr>
                <w:sz w:val="20"/>
                <w:szCs w:val="20"/>
                <w:color w:val="auto"/>
              </w:rPr>
            </w:pPr>
            <w:r>
              <w:rPr>
                <w:rFonts w:ascii="Arial" w:cs="Arial" w:eastAsia="Arial" w:hAnsi="Arial"/>
                <w:sz w:val="13"/>
                <w:szCs w:val="13"/>
                <w:b w:val="1"/>
                <w:bCs w:val="1"/>
                <w:color w:val="FFFFFF"/>
                <w:w w:val="98"/>
              </w:rPr>
              <w:t>% change</w:t>
            </w:r>
          </w:p>
        </w:tc>
        <w:tc>
          <w:tcPr>
            <w:tcW w:w="780" w:type="dxa"/>
            <w:vAlign w:val="bottom"/>
            <w:shd w:val="clear" w:color="auto" w:fill="2AD2C9"/>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494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S/ 000</w:t>
            </w:r>
          </w:p>
        </w:tc>
        <w:tc>
          <w:tcPr>
            <w:tcW w:w="1560" w:type="dxa"/>
            <w:vAlign w:val="bottom"/>
            <w:tcBorders>
              <w:bottom w:val="single" w:sz="8" w:color="auto"/>
            </w:tcBorders>
            <w:shd w:val="clear" w:color="auto" w:fill="2AD2C9"/>
          </w:tcPr>
          <w:p>
            <w:pPr>
              <w:jc w:val="right"/>
              <w:ind w:right="676"/>
              <w:spacing w:after="0"/>
              <w:rPr>
                <w:sz w:val="20"/>
                <w:szCs w:val="20"/>
                <w:color w:val="auto"/>
              </w:rPr>
            </w:pPr>
            <w:r>
              <w:rPr>
                <w:rFonts w:ascii="Arial" w:cs="Arial" w:eastAsia="Arial" w:hAnsi="Arial"/>
                <w:sz w:val="13"/>
                <w:szCs w:val="13"/>
                <w:b w:val="1"/>
                <w:bCs w:val="1"/>
                <w:color w:val="FFFFFF"/>
              </w:rPr>
              <w:t>1Q23</w:t>
            </w:r>
          </w:p>
        </w:tc>
        <w:tc>
          <w:tcPr>
            <w:tcW w:w="1380" w:type="dxa"/>
            <w:vAlign w:val="bottom"/>
            <w:tcBorders>
              <w:bottom w:val="single" w:sz="8" w:color="auto"/>
            </w:tcBorders>
            <w:shd w:val="clear" w:color="auto" w:fill="2AD2C9"/>
          </w:tcPr>
          <w:p>
            <w:pPr>
              <w:jc w:val="right"/>
              <w:ind w:right="695"/>
              <w:spacing w:after="0"/>
              <w:rPr>
                <w:sz w:val="20"/>
                <w:szCs w:val="20"/>
                <w:color w:val="auto"/>
              </w:rPr>
            </w:pPr>
            <w:r>
              <w:rPr>
                <w:rFonts w:ascii="Arial" w:cs="Arial" w:eastAsia="Arial" w:hAnsi="Arial"/>
                <w:sz w:val="13"/>
                <w:szCs w:val="13"/>
                <w:b w:val="1"/>
                <w:bCs w:val="1"/>
                <w:color w:val="FFFFFF"/>
              </w:rPr>
              <w:t>4Q23</w:t>
            </w:r>
          </w:p>
        </w:tc>
        <w:tc>
          <w:tcPr>
            <w:tcW w:w="1240" w:type="dxa"/>
            <w:vAlign w:val="bottom"/>
            <w:tcBorders>
              <w:bottom w:val="single" w:sz="8" w:color="auto"/>
            </w:tcBorders>
            <w:shd w:val="clear" w:color="auto" w:fill="2AD2C9"/>
          </w:tcPr>
          <w:p>
            <w:pPr>
              <w:jc w:val="right"/>
              <w:ind w:right="597"/>
              <w:spacing w:after="0"/>
              <w:rPr>
                <w:sz w:val="20"/>
                <w:szCs w:val="20"/>
                <w:color w:val="auto"/>
              </w:rPr>
            </w:pPr>
            <w:r>
              <w:rPr>
                <w:rFonts w:ascii="Arial" w:cs="Arial" w:eastAsia="Arial" w:hAnsi="Arial"/>
                <w:sz w:val="13"/>
                <w:szCs w:val="13"/>
                <w:b w:val="1"/>
                <w:bCs w:val="1"/>
                <w:color w:val="FFFFFF"/>
              </w:rPr>
              <w:t>1Q24</w:t>
            </w:r>
          </w:p>
        </w:tc>
        <w:tc>
          <w:tcPr>
            <w:tcW w:w="132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QoQ</w:t>
            </w:r>
          </w:p>
        </w:tc>
        <w:tc>
          <w:tcPr>
            <w:tcW w:w="78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YoY</w:t>
            </w:r>
          </w:p>
        </w:tc>
        <w:tc>
          <w:tcPr>
            <w:tcW w:w="20" w:type="dxa"/>
            <w:vAlign w:val="bottom"/>
            <w:tcBorders>
              <w:bottom w:val="single" w:sz="8" w:color="auto"/>
            </w:tcBorders>
          </w:tcPr>
          <w:p>
            <w:pPr>
              <w:spacing w:after="0"/>
              <w:rPr>
                <w:sz w:val="16"/>
                <w:szCs w:val="16"/>
                <w:color w:val="auto"/>
              </w:rPr>
            </w:pPr>
          </w:p>
        </w:tc>
      </w:tr>
      <w:tr>
        <w:trPr>
          <w:trHeight w:val="178"/>
        </w:trPr>
        <w:tc>
          <w:tcPr>
            <w:tcW w:w="4940" w:type="dxa"/>
            <w:vAlign w:val="bottom"/>
          </w:tcPr>
          <w:p>
            <w:pPr>
              <w:ind w:left="60"/>
              <w:spacing w:after="0"/>
              <w:rPr>
                <w:sz w:val="20"/>
                <w:szCs w:val="20"/>
                <w:color w:val="auto"/>
              </w:rPr>
            </w:pPr>
            <w:r>
              <w:rPr>
                <w:rFonts w:ascii="Arial" w:cs="Arial" w:eastAsia="Arial" w:hAnsi="Arial"/>
                <w:sz w:val="13"/>
                <w:szCs w:val="13"/>
                <w:b w:val="1"/>
                <w:bCs w:val="1"/>
                <w:color w:val="auto"/>
              </w:rPr>
              <w:t>Interest income</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4,456,106</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4,870,042</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4,925,926</w:t>
            </w:r>
          </w:p>
        </w:tc>
        <w:tc>
          <w:tcPr>
            <w:tcW w:w="1320" w:type="dxa"/>
            <w:vAlign w:val="bottom"/>
          </w:tcPr>
          <w:p>
            <w:pPr>
              <w:jc w:val="center"/>
              <w:ind w:right="397"/>
              <w:spacing w:after="0"/>
              <w:rPr>
                <w:sz w:val="20"/>
                <w:szCs w:val="20"/>
                <w:color w:val="auto"/>
              </w:rPr>
            </w:pPr>
            <w:r>
              <w:rPr>
                <w:rFonts w:ascii="Arial" w:cs="Arial" w:eastAsia="Arial" w:hAnsi="Arial"/>
                <w:sz w:val="13"/>
                <w:szCs w:val="13"/>
                <w:b w:val="1"/>
                <w:bCs w:val="1"/>
                <w:color w:val="auto"/>
              </w:rPr>
              <w:t>1.1%</w:t>
            </w:r>
          </w:p>
        </w:tc>
        <w:tc>
          <w:tcPr>
            <w:tcW w:w="78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10.5%</w:t>
            </w:r>
          </w:p>
        </w:tc>
        <w:tc>
          <w:tcPr>
            <w:tcW w:w="20" w:type="dxa"/>
            <w:vAlign w:val="bottom"/>
          </w:tcPr>
          <w:p>
            <w:pPr>
              <w:spacing w:after="0"/>
              <w:rPr>
                <w:sz w:val="15"/>
                <w:szCs w:val="15"/>
                <w:color w:val="auto"/>
              </w:rPr>
            </w:pPr>
          </w:p>
        </w:tc>
      </w:tr>
      <w:tr>
        <w:trPr>
          <w:trHeight w:val="183"/>
        </w:trPr>
        <w:tc>
          <w:tcPr>
            <w:tcW w:w="4940" w:type="dxa"/>
            <w:vAlign w:val="bottom"/>
          </w:tcPr>
          <w:p>
            <w:pPr>
              <w:ind w:left="180"/>
              <w:spacing w:after="0"/>
              <w:rPr>
                <w:sz w:val="20"/>
                <w:szCs w:val="20"/>
                <w:color w:val="auto"/>
              </w:rPr>
            </w:pPr>
            <w:r>
              <w:rPr>
                <w:rFonts w:ascii="Arial" w:cs="Arial" w:eastAsia="Arial" w:hAnsi="Arial"/>
                <w:sz w:val="13"/>
                <w:szCs w:val="13"/>
                <w:color w:val="auto"/>
              </w:rPr>
              <w:t>Interest on loans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3,570,952</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3,907,705</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3,868,792</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w w:val="99"/>
              </w:rPr>
              <w:t>-1.0%</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4"/>
              </w:rPr>
              <w:t>8.3%</w:t>
            </w:r>
          </w:p>
        </w:tc>
        <w:tc>
          <w:tcPr>
            <w:tcW w:w="20" w:type="dxa"/>
            <w:vAlign w:val="bottom"/>
          </w:tcPr>
          <w:p>
            <w:pPr>
              <w:spacing w:after="0"/>
              <w:rPr>
                <w:sz w:val="15"/>
                <w:szCs w:val="15"/>
                <w:color w:val="auto"/>
              </w:rPr>
            </w:pPr>
          </w:p>
        </w:tc>
      </w:tr>
      <w:tr>
        <w:trPr>
          <w:trHeight w:val="189"/>
        </w:trPr>
        <w:tc>
          <w:tcPr>
            <w:tcW w:w="4940" w:type="dxa"/>
            <w:vAlign w:val="bottom"/>
          </w:tcPr>
          <w:p>
            <w:pPr>
              <w:ind w:left="180"/>
              <w:spacing w:after="0"/>
              <w:rPr>
                <w:sz w:val="20"/>
                <w:szCs w:val="20"/>
                <w:color w:val="auto"/>
              </w:rPr>
            </w:pPr>
            <w:r>
              <w:rPr>
                <w:rFonts w:ascii="Arial" w:cs="Arial" w:eastAsia="Arial" w:hAnsi="Arial"/>
                <w:sz w:val="13"/>
                <w:szCs w:val="13"/>
                <w:color w:val="auto"/>
              </w:rPr>
              <w:t>Dividends on investments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6,477</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11,647</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10,861</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w w:val="99"/>
              </w:rPr>
              <w:t>-6.7%</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67.7%</w:t>
            </w:r>
          </w:p>
        </w:tc>
        <w:tc>
          <w:tcPr>
            <w:tcW w:w="20" w:type="dxa"/>
            <w:vAlign w:val="bottom"/>
          </w:tcPr>
          <w:p>
            <w:pPr>
              <w:spacing w:after="0"/>
              <w:rPr>
                <w:sz w:val="16"/>
                <w:szCs w:val="16"/>
                <w:color w:val="auto"/>
              </w:rPr>
            </w:pPr>
          </w:p>
        </w:tc>
      </w:tr>
      <w:tr>
        <w:trPr>
          <w:trHeight w:val="189"/>
        </w:trPr>
        <w:tc>
          <w:tcPr>
            <w:tcW w:w="4940" w:type="dxa"/>
            <w:vAlign w:val="bottom"/>
          </w:tcPr>
          <w:p>
            <w:pPr>
              <w:ind w:left="180"/>
              <w:spacing w:after="0"/>
              <w:rPr>
                <w:sz w:val="20"/>
                <w:szCs w:val="20"/>
                <w:color w:val="auto"/>
              </w:rPr>
            </w:pPr>
            <w:r>
              <w:rPr>
                <w:rFonts w:ascii="Arial" w:cs="Arial" w:eastAsia="Arial" w:hAnsi="Arial"/>
                <w:sz w:val="13"/>
                <w:szCs w:val="13"/>
                <w:color w:val="auto"/>
              </w:rPr>
              <w:t>Interest on deposits with banks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277,371</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279,446</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334,459</w:t>
            </w:r>
          </w:p>
        </w:tc>
        <w:tc>
          <w:tcPr>
            <w:tcW w:w="1320" w:type="dxa"/>
            <w:vAlign w:val="bottom"/>
          </w:tcPr>
          <w:p>
            <w:pPr>
              <w:jc w:val="center"/>
              <w:ind w:right="377"/>
              <w:spacing w:after="0"/>
              <w:rPr>
                <w:sz w:val="20"/>
                <w:szCs w:val="20"/>
                <w:color w:val="auto"/>
              </w:rPr>
            </w:pPr>
            <w:r>
              <w:rPr>
                <w:rFonts w:ascii="Arial" w:cs="Arial" w:eastAsia="Arial" w:hAnsi="Arial"/>
                <w:sz w:val="13"/>
                <w:szCs w:val="13"/>
                <w:color w:val="auto"/>
                <w:w w:val="97"/>
              </w:rPr>
              <w:t>19.7%</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20.6%</w:t>
            </w:r>
          </w:p>
        </w:tc>
        <w:tc>
          <w:tcPr>
            <w:tcW w:w="20" w:type="dxa"/>
            <w:vAlign w:val="bottom"/>
          </w:tcPr>
          <w:p>
            <w:pPr>
              <w:spacing w:after="0"/>
              <w:rPr>
                <w:sz w:val="16"/>
                <w:szCs w:val="16"/>
                <w:color w:val="auto"/>
              </w:rPr>
            </w:pPr>
          </w:p>
        </w:tc>
      </w:tr>
      <w:tr>
        <w:trPr>
          <w:trHeight w:val="189"/>
        </w:trPr>
        <w:tc>
          <w:tcPr>
            <w:tcW w:w="4940" w:type="dxa"/>
            <w:vAlign w:val="bottom"/>
          </w:tcPr>
          <w:p>
            <w:pPr>
              <w:ind w:left="180"/>
              <w:spacing w:after="0"/>
              <w:rPr>
                <w:sz w:val="20"/>
                <w:szCs w:val="20"/>
                <w:color w:val="auto"/>
              </w:rPr>
            </w:pPr>
            <w:r>
              <w:rPr>
                <w:rFonts w:ascii="Arial" w:cs="Arial" w:eastAsia="Arial" w:hAnsi="Arial"/>
                <w:sz w:val="13"/>
                <w:szCs w:val="13"/>
                <w:color w:val="auto"/>
              </w:rPr>
              <w:t>Interest on securities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585,268</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643,737</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683,075</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rPr>
              <w:t>6.1%</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16.7%</w:t>
            </w:r>
          </w:p>
        </w:tc>
        <w:tc>
          <w:tcPr>
            <w:tcW w:w="20" w:type="dxa"/>
            <w:vAlign w:val="bottom"/>
          </w:tcPr>
          <w:p>
            <w:pPr>
              <w:spacing w:after="0"/>
              <w:rPr>
                <w:sz w:val="16"/>
                <w:szCs w:val="16"/>
                <w:color w:val="auto"/>
              </w:rPr>
            </w:pPr>
          </w:p>
        </w:tc>
      </w:tr>
      <w:tr>
        <w:trPr>
          <w:trHeight w:val="189"/>
        </w:trPr>
        <w:tc>
          <w:tcPr>
            <w:tcW w:w="4940" w:type="dxa"/>
            <w:vAlign w:val="bottom"/>
          </w:tcPr>
          <w:p>
            <w:pPr>
              <w:ind w:left="180"/>
              <w:spacing w:after="0"/>
              <w:rPr>
                <w:sz w:val="20"/>
                <w:szCs w:val="20"/>
                <w:color w:val="auto"/>
              </w:rPr>
            </w:pPr>
            <w:r>
              <w:rPr>
                <w:rFonts w:ascii="Arial" w:cs="Arial" w:eastAsia="Arial" w:hAnsi="Arial"/>
                <w:sz w:val="13"/>
                <w:szCs w:val="13"/>
                <w:color w:val="auto"/>
              </w:rPr>
              <w:t>Other interest income</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16,038</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27,507</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28,739</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rPr>
              <w:t>4.5%</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79.2%</w:t>
            </w:r>
          </w:p>
        </w:tc>
        <w:tc>
          <w:tcPr>
            <w:tcW w:w="20" w:type="dxa"/>
            <w:vAlign w:val="bottom"/>
          </w:tcPr>
          <w:p>
            <w:pPr>
              <w:spacing w:after="0"/>
              <w:rPr>
                <w:sz w:val="16"/>
                <w:szCs w:val="16"/>
                <w:color w:val="auto"/>
              </w:rPr>
            </w:pPr>
          </w:p>
        </w:tc>
      </w:tr>
      <w:tr>
        <w:trPr>
          <w:trHeight w:val="195"/>
        </w:trPr>
        <w:tc>
          <w:tcPr>
            <w:tcW w:w="4940" w:type="dxa"/>
            <w:vAlign w:val="bottom"/>
          </w:tcPr>
          <w:p>
            <w:pPr>
              <w:ind w:left="60"/>
              <w:spacing w:after="0"/>
              <w:rPr>
                <w:sz w:val="20"/>
                <w:szCs w:val="20"/>
                <w:color w:val="auto"/>
              </w:rPr>
            </w:pPr>
            <w:r>
              <w:rPr>
                <w:rFonts w:ascii="Arial" w:cs="Arial" w:eastAsia="Arial" w:hAnsi="Arial"/>
                <w:sz w:val="13"/>
                <w:szCs w:val="13"/>
                <w:b w:val="1"/>
                <w:bCs w:val="1"/>
                <w:color w:val="auto"/>
              </w:rPr>
              <w:t>Interest expense</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(1,324,017)</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(1,522,358)</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(1,499,803)</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w w:val="99"/>
              </w:rPr>
              <w:t>-1.5%</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13.3%</w:t>
            </w:r>
          </w:p>
        </w:tc>
        <w:tc>
          <w:tcPr>
            <w:tcW w:w="20" w:type="dxa"/>
            <w:vAlign w:val="bottom"/>
          </w:tcPr>
          <w:p>
            <w:pPr>
              <w:spacing w:after="0"/>
              <w:rPr>
                <w:sz w:val="16"/>
                <w:szCs w:val="16"/>
                <w:color w:val="auto"/>
              </w:rPr>
            </w:pPr>
          </w:p>
        </w:tc>
      </w:tr>
      <w:tr>
        <w:trPr>
          <w:trHeight w:val="189"/>
        </w:trPr>
        <w:tc>
          <w:tcPr>
            <w:tcW w:w="4940" w:type="dxa"/>
            <w:vAlign w:val="bottom"/>
          </w:tcPr>
          <w:p>
            <w:pPr>
              <w:ind w:left="180"/>
              <w:spacing w:after="0"/>
              <w:rPr>
                <w:sz w:val="20"/>
                <w:szCs w:val="20"/>
                <w:color w:val="auto"/>
              </w:rPr>
            </w:pPr>
            <w:r>
              <w:rPr>
                <w:rFonts w:ascii="Arial" w:cs="Arial" w:eastAsia="Arial" w:hAnsi="Arial"/>
                <w:sz w:val="13"/>
                <w:szCs w:val="13"/>
                <w:b w:val="1"/>
                <w:bCs w:val="1"/>
                <w:color w:val="auto"/>
              </w:rPr>
              <w:t>Interest expense (excluding Net Insurance Financial Expenses)</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(1,208,267)</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(1,402,925)</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(1,377,799)</w:t>
            </w:r>
          </w:p>
        </w:tc>
        <w:tc>
          <w:tcPr>
            <w:tcW w:w="1320" w:type="dxa"/>
            <w:vAlign w:val="bottom"/>
          </w:tcPr>
          <w:p>
            <w:pPr>
              <w:jc w:val="center"/>
              <w:ind w:right="397"/>
              <w:spacing w:after="0"/>
              <w:rPr>
                <w:sz w:val="20"/>
                <w:szCs w:val="20"/>
                <w:color w:val="auto"/>
              </w:rPr>
            </w:pPr>
            <w:r>
              <w:rPr>
                <w:rFonts w:ascii="Arial" w:cs="Arial" w:eastAsia="Arial" w:hAnsi="Arial"/>
                <w:sz w:val="13"/>
                <w:szCs w:val="13"/>
                <w:b w:val="1"/>
                <w:bCs w:val="1"/>
                <w:color w:val="auto"/>
                <w:w w:val="99"/>
              </w:rPr>
              <w:t>-1.8%</w:t>
            </w:r>
          </w:p>
        </w:tc>
        <w:tc>
          <w:tcPr>
            <w:tcW w:w="78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14.0%</w:t>
            </w:r>
          </w:p>
        </w:tc>
        <w:tc>
          <w:tcPr>
            <w:tcW w:w="20" w:type="dxa"/>
            <w:vAlign w:val="bottom"/>
          </w:tcPr>
          <w:p>
            <w:pPr>
              <w:spacing w:after="0"/>
              <w:rPr>
                <w:sz w:val="16"/>
                <w:szCs w:val="16"/>
                <w:color w:val="auto"/>
              </w:rPr>
            </w:pPr>
          </w:p>
        </w:tc>
      </w:tr>
      <w:tr>
        <w:trPr>
          <w:trHeight w:val="183"/>
        </w:trPr>
        <w:tc>
          <w:tcPr>
            <w:tcW w:w="4940" w:type="dxa"/>
            <w:vAlign w:val="bottom"/>
          </w:tcPr>
          <w:p>
            <w:pPr>
              <w:ind w:left="340"/>
              <w:spacing w:after="0"/>
              <w:rPr>
                <w:sz w:val="20"/>
                <w:szCs w:val="20"/>
                <w:color w:val="auto"/>
              </w:rPr>
            </w:pPr>
            <w:r>
              <w:rPr>
                <w:rFonts w:ascii="Arial" w:cs="Arial" w:eastAsia="Arial" w:hAnsi="Arial"/>
                <w:sz w:val="13"/>
                <w:szCs w:val="13"/>
                <w:color w:val="auto"/>
              </w:rPr>
              <w:t>Interest on deposits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677,088</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827,124</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779,526</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w w:val="99"/>
              </w:rPr>
              <w:t>-5.8%</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15.1%</w:t>
            </w:r>
          </w:p>
        </w:tc>
        <w:tc>
          <w:tcPr>
            <w:tcW w:w="20" w:type="dxa"/>
            <w:vAlign w:val="bottom"/>
          </w:tcPr>
          <w:p>
            <w:pPr>
              <w:spacing w:after="0"/>
              <w:rPr>
                <w:sz w:val="15"/>
                <w:szCs w:val="15"/>
                <w:color w:val="auto"/>
              </w:rPr>
            </w:pPr>
          </w:p>
        </w:tc>
      </w:tr>
      <w:tr>
        <w:trPr>
          <w:trHeight w:val="189"/>
        </w:trPr>
        <w:tc>
          <w:tcPr>
            <w:tcW w:w="4940" w:type="dxa"/>
            <w:vAlign w:val="bottom"/>
          </w:tcPr>
          <w:p>
            <w:pPr>
              <w:ind w:left="340"/>
              <w:spacing w:after="0"/>
              <w:rPr>
                <w:sz w:val="20"/>
                <w:szCs w:val="20"/>
                <w:color w:val="auto"/>
              </w:rPr>
            </w:pPr>
            <w:r>
              <w:rPr>
                <w:rFonts w:ascii="Arial" w:cs="Arial" w:eastAsia="Arial" w:hAnsi="Arial"/>
                <w:sz w:val="13"/>
                <w:szCs w:val="13"/>
                <w:color w:val="auto"/>
              </w:rPr>
              <w:t>Interest on borrowed funds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238,933</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297,260</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264,884</w:t>
            </w:r>
          </w:p>
        </w:tc>
        <w:tc>
          <w:tcPr>
            <w:tcW w:w="1320" w:type="dxa"/>
            <w:vAlign w:val="bottom"/>
          </w:tcPr>
          <w:p>
            <w:pPr>
              <w:jc w:val="center"/>
              <w:ind w:right="377"/>
              <w:spacing w:after="0"/>
              <w:rPr>
                <w:sz w:val="20"/>
                <w:szCs w:val="20"/>
                <w:color w:val="auto"/>
              </w:rPr>
            </w:pPr>
            <w:r>
              <w:rPr>
                <w:rFonts w:ascii="Arial" w:cs="Arial" w:eastAsia="Arial" w:hAnsi="Arial"/>
                <w:sz w:val="13"/>
                <w:szCs w:val="13"/>
                <w:color w:val="auto"/>
                <w:w w:val="97"/>
              </w:rPr>
              <w:t>-10.9%</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10.9%</w:t>
            </w:r>
          </w:p>
        </w:tc>
        <w:tc>
          <w:tcPr>
            <w:tcW w:w="20" w:type="dxa"/>
            <w:vAlign w:val="bottom"/>
          </w:tcPr>
          <w:p>
            <w:pPr>
              <w:spacing w:after="0"/>
              <w:rPr>
                <w:sz w:val="16"/>
                <w:szCs w:val="16"/>
                <w:color w:val="auto"/>
              </w:rPr>
            </w:pPr>
          </w:p>
        </w:tc>
      </w:tr>
      <w:tr>
        <w:trPr>
          <w:trHeight w:val="189"/>
        </w:trPr>
        <w:tc>
          <w:tcPr>
            <w:tcW w:w="4940" w:type="dxa"/>
            <w:vAlign w:val="bottom"/>
          </w:tcPr>
          <w:p>
            <w:pPr>
              <w:ind w:left="340"/>
              <w:spacing w:after="0"/>
              <w:rPr>
                <w:sz w:val="20"/>
                <w:szCs w:val="20"/>
                <w:color w:val="auto"/>
              </w:rPr>
            </w:pPr>
            <w:r>
              <w:rPr>
                <w:rFonts w:ascii="Arial" w:cs="Arial" w:eastAsia="Arial" w:hAnsi="Arial"/>
                <w:sz w:val="13"/>
                <w:szCs w:val="13"/>
                <w:color w:val="auto"/>
              </w:rPr>
              <w:t>Interest on bonds and subordinated notes</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182,898</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152,960</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196,630</w:t>
            </w:r>
          </w:p>
        </w:tc>
        <w:tc>
          <w:tcPr>
            <w:tcW w:w="1320" w:type="dxa"/>
            <w:vAlign w:val="bottom"/>
          </w:tcPr>
          <w:p>
            <w:pPr>
              <w:jc w:val="center"/>
              <w:ind w:right="377"/>
              <w:spacing w:after="0"/>
              <w:rPr>
                <w:sz w:val="20"/>
                <w:szCs w:val="20"/>
                <w:color w:val="auto"/>
              </w:rPr>
            </w:pPr>
            <w:r>
              <w:rPr>
                <w:rFonts w:ascii="Arial" w:cs="Arial" w:eastAsia="Arial" w:hAnsi="Arial"/>
                <w:sz w:val="13"/>
                <w:szCs w:val="13"/>
                <w:color w:val="auto"/>
                <w:w w:val="97"/>
              </w:rPr>
              <w:t>28.5%</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4"/>
              </w:rPr>
              <w:t>7.5%</w:t>
            </w:r>
          </w:p>
        </w:tc>
        <w:tc>
          <w:tcPr>
            <w:tcW w:w="20" w:type="dxa"/>
            <w:vAlign w:val="bottom"/>
          </w:tcPr>
          <w:p>
            <w:pPr>
              <w:spacing w:after="0"/>
              <w:rPr>
                <w:sz w:val="16"/>
                <w:szCs w:val="16"/>
                <w:color w:val="auto"/>
              </w:rPr>
            </w:pPr>
          </w:p>
        </w:tc>
      </w:tr>
      <w:tr>
        <w:trPr>
          <w:trHeight w:val="189"/>
        </w:trPr>
        <w:tc>
          <w:tcPr>
            <w:tcW w:w="4940" w:type="dxa"/>
            <w:vAlign w:val="bottom"/>
          </w:tcPr>
          <w:p>
            <w:pPr>
              <w:ind w:left="340"/>
              <w:spacing w:after="0"/>
              <w:rPr>
                <w:sz w:val="20"/>
                <w:szCs w:val="20"/>
                <w:color w:val="auto"/>
              </w:rPr>
            </w:pPr>
            <w:r>
              <w:rPr>
                <w:rFonts w:ascii="Arial" w:cs="Arial" w:eastAsia="Arial" w:hAnsi="Arial"/>
                <w:sz w:val="13"/>
                <w:szCs w:val="13"/>
                <w:color w:val="auto"/>
              </w:rPr>
              <w:t>Other interest expense</w:t>
            </w:r>
          </w:p>
        </w:tc>
        <w:tc>
          <w:tcPr>
            <w:tcW w:w="1560" w:type="dxa"/>
            <w:vAlign w:val="bottom"/>
          </w:tcPr>
          <w:p>
            <w:pPr>
              <w:jc w:val="right"/>
              <w:ind w:right="176"/>
              <w:spacing w:after="0"/>
              <w:rPr>
                <w:sz w:val="20"/>
                <w:szCs w:val="20"/>
                <w:color w:val="auto"/>
              </w:rPr>
            </w:pPr>
            <w:r>
              <w:rPr>
                <w:rFonts w:ascii="Arial" w:cs="Arial" w:eastAsia="Arial" w:hAnsi="Arial"/>
                <w:sz w:val="13"/>
                <w:szCs w:val="13"/>
                <w:color w:val="auto"/>
              </w:rPr>
              <w:t>109,348</w:t>
            </w:r>
          </w:p>
        </w:tc>
        <w:tc>
          <w:tcPr>
            <w:tcW w:w="1380" w:type="dxa"/>
            <w:vAlign w:val="bottom"/>
          </w:tcPr>
          <w:p>
            <w:pPr>
              <w:jc w:val="right"/>
              <w:ind w:right="195"/>
              <w:spacing w:after="0"/>
              <w:rPr>
                <w:sz w:val="20"/>
                <w:szCs w:val="20"/>
                <w:color w:val="auto"/>
              </w:rPr>
            </w:pPr>
            <w:r>
              <w:rPr>
                <w:rFonts w:ascii="Arial" w:cs="Arial" w:eastAsia="Arial" w:hAnsi="Arial"/>
                <w:sz w:val="13"/>
                <w:szCs w:val="13"/>
                <w:color w:val="auto"/>
              </w:rPr>
              <w:t>125,581</w:t>
            </w:r>
          </w:p>
        </w:tc>
        <w:tc>
          <w:tcPr>
            <w:tcW w:w="1240" w:type="dxa"/>
            <w:vAlign w:val="bottom"/>
          </w:tcPr>
          <w:p>
            <w:pPr>
              <w:jc w:val="right"/>
              <w:ind w:right="117"/>
              <w:spacing w:after="0"/>
              <w:rPr>
                <w:sz w:val="20"/>
                <w:szCs w:val="20"/>
                <w:color w:val="auto"/>
              </w:rPr>
            </w:pPr>
            <w:r>
              <w:rPr>
                <w:rFonts w:ascii="Arial" w:cs="Arial" w:eastAsia="Arial" w:hAnsi="Arial"/>
                <w:sz w:val="13"/>
                <w:szCs w:val="13"/>
                <w:color w:val="auto"/>
              </w:rPr>
              <w:t>136,759</w:t>
            </w:r>
          </w:p>
        </w:tc>
        <w:tc>
          <w:tcPr>
            <w:tcW w:w="1320" w:type="dxa"/>
            <w:vAlign w:val="bottom"/>
          </w:tcPr>
          <w:p>
            <w:pPr>
              <w:jc w:val="center"/>
              <w:ind w:right="397"/>
              <w:spacing w:after="0"/>
              <w:rPr>
                <w:sz w:val="20"/>
                <w:szCs w:val="20"/>
                <w:color w:val="auto"/>
              </w:rPr>
            </w:pPr>
            <w:r>
              <w:rPr>
                <w:rFonts w:ascii="Arial" w:cs="Arial" w:eastAsia="Arial" w:hAnsi="Arial"/>
                <w:sz w:val="13"/>
                <w:szCs w:val="13"/>
                <w:color w:val="auto"/>
              </w:rPr>
              <w:t>8.9%</w:t>
            </w:r>
          </w:p>
        </w:tc>
        <w:tc>
          <w:tcPr>
            <w:tcW w:w="780" w:type="dxa"/>
            <w:vAlign w:val="bottom"/>
          </w:tcPr>
          <w:p>
            <w:pPr>
              <w:jc w:val="center"/>
              <w:ind w:right="277"/>
              <w:spacing w:after="0"/>
              <w:rPr>
                <w:sz w:val="20"/>
                <w:szCs w:val="20"/>
                <w:color w:val="auto"/>
              </w:rPr>
            </w:pPr>
            <w:r>
              <w:rPr>
                <w:rFonts w:ascii="Arial" w:cs="Arial" w:eastAsia="Arial" w:hAnsi="Arial"/>
                <w:sz w:val="13"/>
                <w:szCs w:val="13"/>
                <w:color w:val="auto"/>
                <w:w w:val="97"/>
              </w:rPr>
              <w:t>25.1%</w:t>
            </w:r>
          </w:p>
        </w:tc>
        <w:tc>
          <w:tcPr>
            <w:tcW w:w="20" w:type="dxa"/>
            <w:vAlign w:val="bottom"/>
          </w:tcPr>
          <w:p>
            <w:pPr>
              <w:spacing w:after="0"/>
              <w:rPr>
                <w:sz w:val="16"/>
                <w:szCs w:val="16"/>
                <w:color w:val="auto"/>
              </w:rPr>
            </w:pPr>
          </w:p>
        </w:tc>
      </w:tr>
      <w:tr>
        <w:trPr>
          <w:trHeight w:val="195"/>
        </w:trPr>
        <w:tc>
          <w:tcPr>
            <w:tcW w:w="4940" w:type="dxa"/>
            <w:vAlign w:val="bottom"/>
          </w:tcPr>
          <w:p>
            <w:pPr>
              <w:ind w:left="180"/>
              <w:spacing w:after="0"/>
              <w:rPr>
                <w:sz w:val="20"/>
                <w:szCs w:val="20"/>
                <w:color w:val="auto"/>
              </w:rPr>
            </w:pPr>
            <w:r>
              <w:rPr>
                <w:rFonts w:ascii="Arial" w:cs="Arial" w:eastAsia="Arial" w:hAnsi="Arial"/>
                <w:sz w:val="13"/>
                <w:szCs w:val="13"/>
                <w:b w:val="1"/>
                <w:bCs w:val="1"/>
                <w:color w:val="auto"/>
              </w:rPr>
              <w:t>Net Insurance Financial Expenses</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(115,750)</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(119,433)</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(122,004)</w:t>
            </w:r>
          </w:p>
        </w:tc>
        <w:tc>
          <w:tcPr>
            <w:tcW w:w="1320" w:type="dxa"/>
            <w:vAlign w:val="bottom"/>
          </w:tcPr>
          <w:p>
            <w:pPr>
              <w:jc w:val="center"/>
              <w:ind w:right="397"/>
              <w:spacing w:after="0"/>
              <w:rPr>
                <w:sz w:val="20"/>
                <w:szCs w:val="20"/>
                <w:color w:val="auto"/>
              </w:rPr>
            </w:pPr>
            <w:r>
              <w:rPr>
                <w:rFonts w:ascii="Arial" w:cs="Arial" w:eastAsia="Arial" w:hAnsi="Arial"/>
                <w:sz w:val="13"/>
                <w:szCs w:val="13"/>
                <w:b w:val="1"/>
                <w:bCs w:val="1"/>
                <w:color w:val="auto"/>
              </w:rPr>
              <w:t>2.2%</w:t>
            </w:r>
          </w:p>
        </w:tc>
        <w:tc>
          <w:tcPr>
            <w:tcW w:w="78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5.4%</w:t>
            </w:r>
          </w:p>
        </w:tc>
        <w:tc>
          <w:tcPr>
            <w:tcW w:w="20" w:type="dxa"/>
            <w:vAlign w:val="bottom"/>
          </w:tcPr>
          <w:p>
            <w:pPr>
              <w:spacing w:after="0"/>
              <w:rPr>
                <w:sz w:val="16"/>
                <w:szCs w:val="16"/>
                <w:color w:val="auto"/>
              </w:rPr>
            </w:pPr>
          </w:p>
        </w:tc>
      </w:tr>
      <w:tr>
        <w:trPr>
          <w:trHeight w:val="193"/>
        </w:trPr>
        <w:tc>
          <w:tcPr>
            <w:tcW w:w="4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Net interest income</w:t>
            </w: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3,132,089</w:t>
            </w: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3,347,684</w:t>
            </w: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3,426,123</w:t>
            </w:r>
          </w:p>
        </w:tc>
        <w:tc>
          <w:tcPr>
            <w:tcW w:w="1320" w:type="dxa"/>
            <w:vAlign w:val="bottom"/>
            <w:tcBorders>
              <w:bottom w:val="single" w:sz="8" w:color="auto"/>
            </w:tcBorders>
          </w:tcPr>
          <w:p>
            <w:pPr>
              <w:jc w:val="center"/>
              <w:ind w:right="397"/>
              <w:spacing w:after="0"/>
              <w:rPr>
                <w:sz w:val="20"/>
                <w:szCs w:val="20"/>
                <w:color w:val="auto"/>
              </w:rPr>
            </w:pPr>
            <w:r>
              <w:rPr>
                <w:rFonts w:ascii="Arial" w:cs="Arial" w:eastAsia="Arial" w:hAnsi="Arial"/>
                <w:sz w:val="13"/>
                <w:szCs w:val="13"/>
                <w:b w:val="1"/>
                <w:bCs w:val="1"/>
                <w:color w:val="auto"/>
              </w:rPr>
              <w:t>2.3%</w:t>
            </w:r>
          </w:p>
        </w:tc>
        <w:tc>
          <w:tcPr>
            <w:tcW w:w="78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color w:val="auto"/>
                <w:w w:val="94"/>
              </w:rPr>
              <w:t>9.4%</w:t>
            </w:r>
          </w:p>
        </w:tc>
        <w:tc>
          <w:tcPr>
            <w:tcW w:w="20" w:type="dxa"/>
            <w:vAlign w:val="bottom"/>
            <w:tcBorders>
              <w:bottom w:val="single" w:sz="8" w:color="auto"/>
            </w:tcBorders>
          </w:tcPr>
          <w:p>
            <w:pPr>
              <w:spacing w:after="0"/>
              <w:rPr>
                <w:sz w:val="16"/>
                <w:szCs w:val="16"/>
                <w:color w:val="auto"/>
              </w:rPr>
            </w:pPr>
          </w:p>
        </w:tc>
      </w:tr>
      <w:tr>
        <w:trPr>
          <w:trHeight w:val="183"/>
        </w:trPr>
        <w:tc>
          <w:tcPr>
            <w:tcW w:w="4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Risk-adjusted Net interest income</w:t>
            </w: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2,405,091</w:t>
            </w: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2,174,230</w:t>
            </w: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2,611,424</w:t>
            </w:r>
          </w:p>
        </w:tc>
        <w:tc>
          <w:tcPr>
            <w:tcW w:w="1320" w:type="dxa"/>
            <w:vAlign w:val="bottom"/>
            <w:tcBorders>
              <w:bottom w:val="single" w:sz="8" w:color="auto"/>
            </w:tcBorders>
          </w:tcPr>
          <w:p>
            <w:pPr>
              <w:jc w:val="center"/>
              <w:ind w:right="377"/>
              <w:spacing w:after="0"/>
              <w:rPr>
                <w:sz w:val="20"/>
                <w:szCs w:val="20"/>
                <w:color w:val="auto"/>
              </w:rPr>
            </w:pPr>
            <w:r>
              <w:rPr>
                <w:rFonts w:ascii="Arial" w:cs="Arial" w:eastAsia="Arial" w:hAnsi="Arial"/>
                <w:sz w:val="13"/>
                <w:szCs w:val="13"/>
                <w:b w:val="1"/>
                <w:bCs w:val="1"/>
                <w:color w:val="auto"/>
                <w:w w:val="97"/>
              </w:rPr>
              <w:t>20.1%</w:t>
            </w:r>
          </w:p>
        </w:tc>
        <w:tc>
          <w:tcPr>
            <w:tcW w:w="78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color w:val="auto"/>
                <w:w w:val="94"/>
              </w:rPr>
              <w:t>8.6%</w:t>
            </w:r>
          </w:p>
        </w:tc>
        <w:tc>
          <w:tcPr>
            <w:tcW w:w="20" w:type="dxa"/>
            <w:vAlign w:val="bottom"/>
            <w:tcBorders>
              <w:bottom w:val="single" w:sz="8" w:color="auto"/>
            </w:tcBorders>
          </w:tcPr>
          <w:p>
            <w:pPr>
              <w:spacing w:after="0"/>
              <w:rPr>
                <w:sz w:val="15"/>
                <w:szCs w:val="15"/>
                <w:color w:val="auto"/>
              </w:rPr>
            </w:pPr>
          </w:p>
        </w:tc>
      </w:tr>
      <w:tr>
        <w:trPr>
          <w:trHeight w:val="180"/>
        </w:trPr>
        <w:tc>
          <w:tcPr>
            <w:tcW w:w="49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Average interest earning assets</w:t>
            </w: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222,289,504</w:t>
            </w: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223,624,217</w:t>
            </w: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225,297,538</w:t>
            </w:r>
          </w:p>
        </w:tc>
        <w:tc>
          <w:tcPr>
            <w:tcW w:w="1320" w:type="dxa"/>
            <w:vAlign w:val="bottom"/>
            <w:tcBorders>
              <w:bottom w:val="single" w:sz="8" w:color="auto"/>
            </w:tcBorders>
          </w:tcPr>
          <w:p>
            <w:pPr>
              <w:jc w:val="center"/>
              <w:ind w:right="397"/>
              <w:spacing w:after="0"/>
              <w:rPr>
                <w:sz w:val="20"/>
                <w:szCs w:val="20"/>
                <w:color w:val="auto"/>
              </w:rPr>
            </w:pPr>
            <w:r>
              <w:rPr>
                <w:rFonts w:ascii="Arial" w:cs="Arial" w:eastAsia="Arial" w:hAnsi="Arial"/>
                <w:sz w:val="13"/>
                <w:szCs w:val="13"/>
                <w:color w:val="auto"/>
              </w:rPr>
              <w:t>0.7%</w:t>
            </w:r>
          </w:p>
        </w:tc>
        <w:tc>
          <w:tcPr>
            <w:tcW w:w="78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color w:val="auto"/>
                <w:w w:val="94"/>
              </w:rPr>
              <w:t>1.4%</w:t>
            </w:r>
          </w:p>
        </w:tc>
        <w:tc>
          <w:tcPr>
            <w:tcW w:w="20" w:type="dxa"/>
            <w:vAlign w:val="bottom"/>
            <w:tcBorders>
              <w:bottom w:val="single" w:sz="8" w:color="auto"/>
            </w:tcBorders>
          </w:tcPr>
          <w:p>
            <w:pPr>
              <w:spacing w:after="0"/>
              <w:rPr>
                <w:sz w:val="15"/>
                <w:szCs w:val="15"/>
                <w:color w:val="auto"/>
              </w:rPr>
            </w:pPr>
          </w:p>
        </w:tc>
      </w:tr>
      <w:tr>
        <w:trPr>
          <w:trHeight w:val="181"/>
        </w:trPr>
        <w:tc>
          <w:tcPr>
            <w:tcW w:w="4940" w:type="dxa"/>
            <w:vAlign w:val="bottom"/>
          </w:tcPr>
          <w:p>
            <w:pPr>
              <w:ind w:left="60"/>
              <w:spacing w:after="0"/>
              <w:rPr>
                <w:sz w:val="20"/>
                <w:szCs w:val="20"/>
                <w:color w:val="auto"/>
              </w:rPr>
            </w:pPr>
            <w:r>
              <w:rPr>
                <w:rFonts w:ascii="Arial" w:cs="Arial" w:eastAsia="Arial" w:hAnsi="Arial"/>
                <w:sz w:val="13"/>
                <w:szCs w:val="13"/>
                <w:b w:val="1"/>
                <w:bCs w:val="1"/>
                <w:color w:val="auto"/>
              </w:rPr>
              <w:t>Net interest margin (1)</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5.84%</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6.20%</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6.30%</w:t>
            </w:r>
          </w:p>
        </w:tc>
        <w:tc>
          <w:tcPr>
            <w:tcW w:w="1320" w:type="dxa"/>
            <w:vAlign w:val="bottom"/>
          </w:tcPr>
          <w:p>
            <w:pPr>
              <w:jc w:val="center"/>
              <w:ind w:right="377"/>
              <w:spacing w:after="0"/>
              <w:rPr>
                <w:sz w:val="20"/>
                <w:szCs w:val="20"/>
                <w:color w:val="auto"/>
              </w:rPr>
            </w:pPr>
            <w:r>
              <w:rPr>
                <w:rFonts w:ascii="Arial" w:cs="Arial" w:eastAsia="Arial" w:hAnsi="Arial"/>
                <w:sz w:val="13"/>
                <w:szCs w:val="13"/>
                <w:b w:val="1"/>
                <w:bCs w:val="1"/>
                <w:color w:val="auto"/>
                <w:w w:val="95"/>
              </w:rPr>
              <w:t>10bps</w:t>
            </w:r>
          </w:p>
        </w:tc>
        <w:tc>
          <w:tcPr>
            <w:tcW w:w="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46bps</w:t>
            </w:r>
          </w:p>
        </w:tc>
      </w:tr>
      <w:tr>
        <w:trPr>
          <w:trHeight w:val="189"/>
        </w:trPr>
        <w:tc>
          <w:tcPr>
            <w:tcW w:w="4940" w:type="dxa"/>
            <w:vAlign w:val="bottom"/>
          </w:tcPr>
          <w:p>
            <w:pPr>
              <w:ind w:left="60"/>
              <w:spacing w:after="0"/>
              <w:rPr>
                <w:sz w:val="20"/>
                <w:szCs w:val="20"/>
                <w:color w:val="auto"/>
              </w:rPr>
            </w:pPr>
            <w:r>
              <w:rPr>
                <w:rFonts w:ascii="Arial" w:cs="Arial" w:eastAsia="Arial" w:hAnsi="Arial"/>
                <w:sz w:val="13"/>
                <w:szCs w:val="13"/>
                <w:b w:val="1"/>
                <w:bCs w:val="1"/>
                <w:color w:val="auto"/>
              </w:rPr>
              <w:t>Risk-adjusted Net interest margin (1)</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4.54%</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4.10%</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4.85%</w:t>
            </w:r>
          </w:p>
        </w:tc>
        <w:tc>
          <w:tcPr>
            <w:tcW w:w="1320" w:type="dxa"/>
            <w:vAlign w:val="bottom"/>
          </w:tcPr>
          <w:p>
            <w:pPr>
              <w:jc w:val="center"/>
              <w:ind w:right="377"/>
              <w:spacing w:after="0"/>
              <w:rPr>
                <w:sz w:val="20"/>
                <w:szCs w:val="20"/>
                <w:color w:val="auto"/>
              </w:rPr>
            </w:pPr>
            <w:r>
              <w:rPr>
                <w:rFonts w:ascii="Arial" w:cs="Arial" w:eastAsia="Arial" w:hAnsi="Arial"/>
                <w:sz w:val="13"/>
                <w:szCs w:val="13"/>
                <w:b w:val="1"/>
                <w:bCs w:val="1"/>
                <w:color w:val="auto"/>
                <w:w w:val="95"/>
              </w:rPr>
              <w:t>75bps</w:t>
            </w:r>
          </w:p>
        </w:tc>
        <w:tc>
          <w:tcPr>
            <w:tcW w:w="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31bps</w:t>
            </w:r>
          </w:p>
        </w:tc>
      </w:tr>
      <w:tr>
        <w:trPr>
          <w:trHeight w:val="189"/>
        </w:trPr>
        <w:tc>
          <w:tcPr>
            <w:tcW w:w="4940" w:type="dxa"/>
            <w:vAlign w:val="bottom"/>
          </w:tcPr>
          <w:p>
            <w:pPr>
              <w:ind w:left="60"/>
              <w:spacing w:after="0"/>
              <w:rPr>
                <w:sz w:val="20"/>
                <w:szCs w:val="20"/>
                <w:color w:val="auto"/>
              </w:rPr>
            </w:pPr>
            <w:r>
              <w:rPr>
                <w:rFonts w:ascii="Arial" w:cs="Arial" w:eastAsia="Arial" w:hAnsi="Arial"/>
                <w:sz w:val="13"/>
                <w:szCs w:val="13"/>
                <w:b w:val="1"/>
                <w:bCs w:val="1"/>
                <w:color w:val="auto"/>
              </w:rPr>
              <w:t>Net provisions for loan losses / Net interest income</w:t>
            </w:r>
          </w:p>
        </w:tc>
        <w:tc>
          <w:tcPr>
            <w:tcW w:w="1560" w:type="dxa"/>
            <w:vAlign w:val="bottom"/>
          </w:tcPr>
          <w:p>
            <w:pPr>
              <w:jc w:val="right"/>
              <w:ind w:right="176"/>
              <w:spacing w:after="0"/>
              <w:rPr>
                <w:sz w:val="20"/>
                <w:szCs w:val="20"/>
                <w:color w:val="auto"/>
              </w:rPr>
            </w:pPr>
            <w:r>
              <w:rPr>
                <w:rFonts w:ascii="Arial" w:cs="Arial" w:eastAsia="Arial" w:hAnsi="Arial"/>
                <w:sz w:val="13"/>
                <w:szCs w:val="13"/>
                <w:b w:val="1"/>
                <w:bCs w:val="1"/>
                <w:color w:val="auto"/>
              </w:rPr>
              <w:t>23.21%</w:t>
            </w:r>
          </w:p>
        </w:tc>
        <w:tc>
          <w:tcPr>
            <w:tcW w:w="1380" w:type="dxa"/>
            <w:vAlign w:val="bottom"/>
          </w:tcPr>
          <w:p>
            <w:pPr>
              <w:jc w:val="right"/>
              <w:ind w:right="195"/>
              <w:spacing w:after="0"/>
              <w:rPr>
                <w:sz w:val="20"/>
                <w:szCs w:val="20"/>
                <w:color w:val="auto"/>
              </w:rPr>
            </w:pPr>
            <w:r>
              <w:rPr>
                <w:rFonts w:ascii="Arial" w:cs="Arial" w:eastAsia="Arial" w:hAnsi="Arial"/>
                <w:sz w:val="13"/>
                <w:szCs w:val="13"/>
                <w:b w:val="1"/>
                <w:bCs w:val="1"/>
                <w:color w:val="auto"/>
              </w:rPr>
              <w:t>35.05%</w:t>
            </w:r>
          </w:p>
        </w:tc>
        <w:tc>
          <w:tcPr>
            <w:tcW w:w="1240" w:type="dxa"/>
            <w:vAlign w:val="bottom"/>
          </w:tcPr>
          <w:p>
            <w:pPr>
              <w:jc w:val="right"/>
              <w:ind w:right="117"/>
              <w:spacing w:after="0"/>
              <w:rPr>
                <w:sz w:val="20"/>
                <w:szCs w:val="20"/>
                <w:color w:val="auto"/>
              </w:rPr>
            </w:pPr>
            <w:r>
              <w:rPr>
                <w:rFonts w:ascii="Arial" w:cs="Arial" w:eastAsia="Arial" w:hAnsi="Arial"/>
                <w:sz w:val="13"/>
                <w:szCs w:val="13"/>
                <w:b w:val="1"/>
                <w:bCs w:val="1"/>
                <w:color w:val="auto"/>
              </w:rPr>
              <w:t>23.78%</w:t>
            </w:r>
          </w:p>
        </w:tc>
        <w:tc>
          <w:tcPr>
            <w:tcW w:w="1320" w:type="dxa"/>
            <w:vAlign w:val="bottom"/>
          </w:tcPr>
          <w:p>
            <w:pPr>
              <w:jc w:val="center"/>
              <w:ind w:right="397"/>
              <w:spacing w:after="0"/>
              <w:rPr>
                <w:sz w:val="20"/>
                <w:szCs w:val="20"/>
                <w:color w:val="auto"/>
              </w:rPr>
            </w:pPr>
            <w:r>
              <w:rPr>
                <w:rFonts w:ascii="Arial" w:cs="Arial" w:eastAsia="Arial" w:hAnsi="Arial"/>
                <w:sz w:val="13"/>
                <w:szCs w:val="13"/>
                <w:b w:val="1"/>
                <w:bCs w:val="1"/>
                <w:color w:val="auto"/>
                <w:w w:val="95"/>
              </w:rPr>
              <w:t>-1127bps</w:t>
            </w:r>
          </w:p>
        </w:tc>
        <w:tc>
          <w:tcPr>
            <w:tcW w:w="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57bps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-2557145</wp:posOffset>
            </wp:positionV>
            <wp:extent cx="7132320" cy="2571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7175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-3886200</wp:posOffset>
            </wp:positionV>
            <wp:extent cx="128587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5875" cy="15430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 Annualized. For further detail on the new NIM calculation due to IFRS17, please refer to Annex 12.1.7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Net Interest Margin (NIM) and Risk Adjusted NIM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140970</wp:posOffset>
            </wp:positionV>
            <wp:extent cx="6412230" cy="5060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2230" cy="506095"/>
                    </a:xfrm>
                    <a:prstGeom prst="rect">
                      <a:avLst/>
                    </a:prstGeom>
                    <a:noFill/>
                  </pic:spPr>
                </pic:pic>
              </a:graphicData>
            </a:graphic>
          </wp:anchor>
        </w:drawing>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3400" w:type="dxa"/>
            <w:vAlign w:val="bottom"/>
            <w:tcBorders>
              <w:bottom w:val="single" w:sz="8" w:color="auto"/>
            </w:tcBorders>
            <w:shd w:val="clear" w:color="auto" w:fill="2AD2C9"/>
          </w:tcPr>
          <w:p>
            <w:pPr>
              <w:jc w:val="center"/>
              <w:ind w:left="577"/>
              <w:spacing w:after="0"/>
              <w:rPr>
                <w:sz w:val="20"/>
                <w:szCs w:val="20"/>
                <w:color w:val="auto"/>
              </w:rPr>
            </w:pPr>
            <w:r>
              <w:rPr>
                <w:rFonts w:ascii="Arial" w:cs="Arial" w:eastAsia="Arial" w:hAnsi="Arial"/>
                <w:sz w:val="13"/>
                <w:szCs w:val="13"/>
                <w:b w:val="1"/>
                <w:bCs w:val="1"/>
                <w:color w:val="FFFFFF"/>
                <w:w w:val="98"/>
              </w:rPr>
              <w:t>NIM Breakdown</w:t>
            </w:r>
          </w:p>
        </w:tc>
        <w:tc>
          <w:tcPr>
            <w:tcW w:w="2320" w:type="dxa"/>
            <w:vAlign w:val="bottom"/>
            <w:tcBorders>
              <w:bottom w:val="single" w:sz="8" w:color="auto"/>
            </w:tcBorders>
            <w:shd w:val="clear" w:color="auto" w:fill="2AD2C9"/>
          </w:tcPr>
          <w:p>
            <w:pPr>
              <w:jc w:val="center"/>
              <w:ind w:left="477"/>
              <w:spacing w:after="0"/>
              <w:rPr>
                <w:sz w:val="20"/>
                <w:szCs w:val="20"/>
                <w:color w:val="auto"/>
              </w:rPr>
            </w:pPr>
            <w:r>
              <w:rPr>
                <w:rFonts w:ascii="Arial" w:cs="Arial" w:eastAsia="Arial" w:hAnsi="Arial"/>
                <w:sz w:val="13"/>
                <w:szCs w:val="13"/>
                <w:b w:val="1"/>
                <w:bCs w:val="1"/>
                <w:color w:val="FFFFFF"/>
                <w:w w:val="96"/>
              </w:rPr>
              <w:t>BCP Stand-alone</w:t>
            </w:r>
          </w:p>
        </w:tc>
        <w:tc>
          <w:tcPr>
            <w:tcW w:w="1400" w:type="dxa"/>
            <w:vAlign w:val="bottom"/>
            <w:tcBorders>
              <w:bottom w:val="single" w:sz="8" w:color="auto"/>
            </w:tcBorders>
            <w:shd w:val="clear" w:color="auto" w:fill="2AD2C9"/>
          </w:tcPr>
          <w:p>
            <w:pPr>
              <w:jc w:val="center"/>
              <w:ind w:right="17"/>
              <w:spacing w:after="0"/>
              <w:rPr>
                <w:sz w:val="20"/>
                <w:szCs w:val="20"/>
                <w:color w:val="auto"/>
              </w:rPr>
            </w:pPr>
            <w:r>
              <w:rPr>
                <w:rFonts w:ascii="Arial" w:cs="Arial" w:eastAsia="Arial" w:hAnsi="Arial"/>
                <w:sz w:val="13"/>
                <w:szCs w:val="13"/>
                <w:b w:val="1"/>
                <w:bCs w:val="1"/>
                <w:color w:val="FFFFFF"/>
                <w:w w:val="98"/>
              </w:rPr>
              <w:t>Mibanco</w:t>
            </w:r>
          </w:p>
        </w:tc>
        <w:tc>
          <w:tcPr>
            <w:tcW w:w="15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7"/>
              </w:rPr>
              <w:t>BCP Bolivia</w:t>
            </w:r>
          </w:p>
        </w:tc>
        <w:tc>
          <w:tcPr>
            <w:tcW w:w="13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Credicorp</w:t>
            </w:r>
          </w:p>
        </w:tc>
        <w:tc>
          <w:tcPr>
            <w:tcW w:w="20" w:type="dxa"/>
            <w:vAlign w:val="bottom"/>
            <w:tcBorders>
              <w:bottom w:val="single" w:sz="8" w:color="auto"/>
            </w:tcBorders>
          </w:tcPr>
          <w:p>
            <w:pPr>
              <w:spacing w:after="0"/>
              <w:rPr>
                <w:sz w:val="17"/>
                <w:szCs w:val="17"/>
                <w:color w:val="auto"/>
              </w:rPr>
            </w:pPr>
          </w:p>
        </w:tc>
      </w:tr>
      <w:tr>
        <w:trPr>
          <w:trHeight w:val="179"/>
        </w:trPr>
        <w:tc>
          <w:tcPr>
            <w:tcW w:w="3400" w:type="dxa"/>
            <w:vAlign w:val="bottom"/>
          </w:tcPr>
          <w:p>
            <w:pPr>
              <w:jc w:val="center"/>
              <w:ind w:left="617"/>
              <w:spacing w:after="0"/>
              <w:rPr>
                <w:sz w:val="20"/>
                <w:szCs w:val="20"/>
                <w:color w:val="auto"/>
              </w:rPr>
            </w:pPr>
            <w:r>
              <w:rPr>
                <w:rFonts w:ascii="Arial" w:cs="Arial" w:eastAsia="Arial" w:hAnsi="Arial"/>
                <w:sz w:val="13"/>
                <w:szCs w:val="13"/>
                <w:b w:val="1"/>
                <w:bCs w:val="1"/>
                <w:color w:val="auto"/>
              </w:rPr>
              <w:t>1Q23</w:t>
            </w:r>
          </w:p>
        </w:tc>
        <w:tc>
          <w:tcPr>
            <w:tcW w:w="2320" w:type="dxa"/>
            <w:vAlign w:val="bottom"/>
          </w:tcPr>
          <w:p>
            <w:pPr>
              <w:jc w:val="center"/>
              <w:ind w:left="457"/>
              <w:spacing w:after="0"/>
              <w:rPr>
                <w:sz w:val="20"/>
                <w:szCs w:val="20"/>
                <w:color w:val="auto"/>
              </w:rPr>
            </w:pPr>
            <w:r>
              <w:rPr>
                <w:rFonts w:ascii="Arial" w:cs="Arial" w:eastAsia="Arial" w:hAnsi="Arial"/>
                <w:sz w:val="13"/>
                <w:szCs w:val="13"/>
                <w:color w:val="auto"/>
                <w:w w:val="97"/>
              </w:rPr>
              <w:t>5.55%</w:t>
            </w:r>
          </w:p>
        </w:tc>
        <w:tc>
          <w:tcPr>
            <w:tcW w:w="1400" w:type="dxa"/>
            <w:vAlign w:val="bottom"/>
          </w:tcPr>
          <w:p>
            <w:pPr>
              <w:jc w:val="center"/>
              <w:ind w:right="17"/>
              <w:spacing w:after="0"/>
              <w:rPr>
                <w:sz w:val="20"/>
                <w:szCs w:val="20"/>
                <w:color w:val="auto"/>
              </w:rPr>
            </w:pPr>
            <w:r>
              <w:rPr>
                <w:rFonts w:ascii="Arial" w:cs="Arial" w:eastAsia="Arial" w:hAnsi="Arial"/>
                <w:sz w:val="13"/>
                <w:szCs w:val="13"/>
                <w:color w:val="auto"/>
                <w:w w:val="99"/>
              </w:rPr>
              <w:t>12.52%</w:t>
            </w: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2.86%</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5.84%</w:t>
            </w:r>
          </w:p>
        </w:tc>
        <w:tc>
          <w:tcPr>
            <w:tcW w:w="20" w:type="dxa"/>
            <w:vAlign w:val="bottom"/>
          </w:tcPr>
          <w:p>
            <w:pPr>
              <w:spacing w:after="0"/>
              <w:rPr>
                <w:sz w:val="15"/>
                <w:szCs w:val="15"/>
                <w:color w:val="auto"/>
              </w:rPr>
            </w:pPr>
          </w:p>
        </w:tc>
      </w:tr>
      <w:tr>
        <w:trPr>
          <w:trHeight w:val="189"/>
        </w:trPr>
        <w:tc>
          <w:tcPr>
            <w:tcW w:w="3400" w:type="dxa"/>
            <w:vAlign w:val="bottom"/>
          </w:tcPr>
          <w:p>
            <w:pPr>
              <w:jc w:val="center"/>
              <w:ind w:left="617"/>
              <w:spacing w:after="0"/>
              <w:rPr>
                <w:sz w:val="20"/>
                <w:szCs w:val="20"/>
                <w:color w:val="auto"/>
              </w:rPr>
            </w:pPr>
            <w:r>
              <w:rPr>
                <w:rFonts w:ascii="Arial" w:cs="Arial" w:eastAsia="Arial" w:hAnsi="Arial"/>
                <w:sz w:val="13"/>
                <w:szCs w:val="13"/>
                <w:b w:val="1"/>
                <w:bCs w:val="1"/>
                <w:color w:val="auto"/>
              </w:rPr>
              <w:t>4Q23</w:t>
            </w:r>
          </w:p>
        </w:tc>
        <w:tc>
          <w:tcPr>
            <w:tcW w:w="2320" w:type="dxa"/>
            <w:vAlign w:val="bottom"/>
          </w:tcPr>
          <w:p>
            <w:pPr>
              <w:jc w:val="center"/>
              <w:ind w:left="457"/>
              <w:spacing w:after="0"/>
              <w:rPr>
                <w:sz w:val="20"/>
                <w:szCs w:val="20"/>
                <w:color w:val="auto"/>
              </w:rPr>
            </w:pPr>
            <w:r>
              <w:rPr>
                <w:rFonts w:ascii="Arial" w:cs="Arial" w:eastAsia="Arial" w:hAnsi="Arial"/>
                <w:sz w:val="13"/>
                <w:szCs w:val="13"/>
                <w:color w:val="auto"/>
                <w:w w:val="97"/>
              </w:rPr>
              <w:t>5.99%</w:t>
            </w:r>
          </w:p>
        </w:tc>
        <w:tc>
          <w:tcPr>
            <w:tcW w:w="1400" w:type="dxa"/>
            <w:vAlign w:val="bottom"/>
          </w:tcPr>
          <w:p>
            <w:pPr>
              <w:jc w:val="center"/>
              <w:ind w:right="17"/>
              <w:spacing w:after="0"/>
              <w:rPr>
                <w:sz w:val="20"/>
                <w:szCs w:val="20"/>
                <w:color w:val="auto"/>
              </w:rPr>
            </w:pPr>
            <w:r>
              <w:rPr>
                <w:rFonts w:ascii="Arial" w:cs="Arial" w:eastAsia="Arial" w:hAnsi="Arial"/>
                <w:sz w:val="13"/>
                <w:szCs w:val="13"/>
                <w:color w:val="auto"/>
                <w:w w:val="99"/>
              </w:rPr>
              <w:t>13.35%</w:t>
            </w: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2.87%</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6.20%</w:t>
            </w:r>
          </w:p>
        </w:tc>
        <w:tc>
          <w:tcPr>
            <w:tcW w:w="20" w:type="dxa"/>
            <w:vAlign w:val="bottom"/>
          </w:tcPr>
          <w:p>
            <w:pPr>
              <w:spacing w:after="0"/>
              <w:rPr>
                <w:sz w:val="16"/>
                <w:szCs w:val="16"/>
                <w:color w:val="auto"/>
              </w:rPr>
            </w:pPr>
          </w:p>
        </w:tc>
      </w:tr>
      <w:tr>
        <w:trPr>
          <w:trHeight w:val="189"/>
        </w:trPr>
        <w:tc>
          <w:tcPr>
            <w:tcW w:w="3400" w:type="dxa"/>
            <w:vAlign w:val="bottom"/>
          </w:tcPr>
          <w:p>
            <w:pPr>
              <w:jc w:val="center"/>
              <w:ind w:left="617"/>
              <w:spacing w:after="0"/>
              <w:rPr>
                <w:sz w:val="20"/>
                <w:szCs w:val="20"/>
                <w:color w:val="auto"/>
              </w:rPr>
            </w:pPr>
            <w:r>
              <w:rPr>
                <w:rFonts w:ascii="Arial" w:cs="Arial" w:eastAsia="Arial" w:hAnsi="Arial"/>
                <w:sz w:val="13"/>
                <w:szCs w:val="13"/>
                <w:b w:val="1"/>
                <w:bCs w:val="1"/>
                <w:color w:val="auto"/>
              </w:rPr>
              <w:t>1Q24</w:t>
            </w:r>
          </w:p>
        </w:tc>
        <w:tc>
          <w:tcPr>
            <w:tcW w:w="2320" w:type="dxa"/>
            <w:vAlign w:val="bottom"/>
          </w:tcPr>
          <w:p>
            <w:pPr>
              <w:jc w:val="center"/>
              <w:ind w:left="457"/>
              <w:spacing w:after="0"/>
              <w:rPr>
                <w:sz w:val="20"/>
                <w:szCs w:val="20"/>
                <w:color w:val="auto"/>
              </w:rPr>
            </w:pPr>
            <w:r>
              <w:rPr>
                <w:rFonts w:ascii="Arial" w:cs="Arial" w:eastAsia="Arial" w:hAnsi="Arial"/>
                <w:sz w:val="13"/>
                <w:szCs w:val="13"/>
                <w:color w:val="auto"/>
                <w:w w:val="97"/>
              </w:rPr>
              <w:t>6.04%</w:t>
            </w:r>
          </w:p>
        </w:tc>
        <w:tc>
          <w:tcPr>
            <w:tcW w:w="1400" w:type="dxa"/>
            <w:vAlign w:val="bottom"/>
          </w:tcPr>
          <w:p>
            <w:pPr>
              <w:jc w:val="center"/>
              <w:ind w:right="17"/>
              <w:spacing w:after="0"/>
              <w:rPr>
                <w:sz w:val="20"/>
                <w:szCs w:val="20"/>
                <w:color w:val="auto"/>
              </w:rPr>
            </w:pPr>
            <w:r>
              <w:rPr>
                <w:rFonts w:ascii="Arial" w:cs="Arial" w:eastAsia="Arial" w:hAnsi="Arial"/>
                <w:sz w:val="13"/>
                <w:szCs w:val="13"/>
                <w:color w:val="auto"/>
                <w:w w:val="99"/>
              </w:rPr>
              <w:t>13.42%</w:t>
            </w: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2.96%</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6.30%</w:t>
            </w:r>
          </w:p>
        </w:tc>
        <w:tc>
          <w:tcPr>
            <w:tcW w:w="20" w:type="dxa"/>
            <w:vAlign w:val="bottom"/>
          </w:tcPr>
          <w:p>
            <w:pPr>
              <w:spacing w:after="0"/>
              <w:rPr>
                <w:sz w:val="16"/>
                <w:szCs w:val="16"/>
                <w:color w:val="auto"/>
              </w:rPr>
            </w:pPr>
          </w:p>
        </w:tc>
      </w:tr>
    </w:tbl>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NIM: Annualized Net interest income (excluding Net Insurance Financial Expenses)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412230" cy="505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12230" cy="505460"/>
                    </a:xfrm>
                    <a:prstGeom prst="rect">
                      <a:avLst/>
                    </a:prstGeom>
                    <a:noFill/>
                  </pic:spPr>
                </pic:pic>
              </a:graphicData>
            </a:graphic>
          </wp:anchor>
        </w:drawing>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3620" w:type="dxa"/>
            <w:vAlign w:val="bottom"/>
            <w:tcBorders>
              <w:bottom w:val="single" w:sz="8" w:color="auto"/>
            </w:tcBorders>
            <w:shd w:val="clear" w:color="auto" w:fill="2AD2C9"/>
          </w:tcPr>
          <w:p>
            <w:pPr>
              <w:jc w:val="center"/>
              <w:ind w:left="357"/>
              <w:spacing w:after="0"/>
              <w:rPr>
                <w:sz w:val="20"/>
                <w:szCs w:val="20"/>
                <w:color w:val="auto"/>
              </w:rPr>
            </w:pPr>
            <w:r>
              <w:rPr>
                <w:rFonts w:ascii="Arial" w:cs="Arial" w:eastAsia="Arial" w:hAnsi="Arial"/>
                <w:sz w:val="13"/>
                <w:szCs w:val="13"/>
                <w:b w:val="1"/>
                <w:bCs w:val="1"/>
                <w:color w:val="FFFFFF"/>
                <w:w w:val="95"/>
              </w:rPr>
              <w:t>Risk Adjusted NIM Breakdown</w:t>
            </w:r>
          </w:p>
        </w:tc>
        <w:tc>
          <w:tcPr>
            <w:tcW w:w="2100" w:type="dxa"/>
            <w:vAlign w:val="bottom"/>
            <w:tcBorders>
              <w:bottom w:val="single" w:sz="8" w:color="auto"/>
            </w:tcBorders>
            <w:shd w:val="clear" w:color="auto" w:fill="2AD2C9"/>
          </w:tcPr>
          <w:p>
            <w:pPr>
              <w:jc w:val="center"/>
              <w:ind w:left="257"/>
              <w:spacing w:after="0"/>
              <w:rPr>
                <w:sz w:val="20"/>
                <w:szCs w:val="20"/>
                <w:color w:val="auto"/>
              </w:rPr>
            </w:pPr>
            <w:r>
              <w:rPr>
                <w:rFonts w:ascii="Arial" w:cs="Arial" w:eastAsia="Arial" w:hAnsi="Arial"/>
                <w:sz w:val="13"/>
                <w:szCs w:val="13"/>
                <w:b w:val="1"/>
                <w:bCs w:val="1"/>
                <w:color w:val="FFFFFF"/>
                <w:w w:val="96"/>
              </w:rPr>
              <w:t>BCP Stand-alone</w:t>
            </w:r>
          </w:p>
        </w:tc>
        <w:tc>
          <w:tcPr>
            <w:tcW w:w="1400" w:type="dxa"/>
            <w:vAlign w:val="bottom"/>
            <w:tcBorders>
              <w:bottom w:val="single" w:sz="8" w:color="auto"/>
            </w:tcBorders>
            <w:shd w:val="clear" w:color="auto" w:fill="2AD2C9"/>
          </w:tcPr>
          <w:p>
            <w:pPr>
              <w:jc w:val="center"/>
              <w:ind w:right="17"/>
              <w:spacing w:after="0"/>
              <w:rPr>
                <w:sz w:val="20"/>
                <w:szCs w:val="20"/>
                <w:color w:val="auto"/>
              </w:rPr>
            </w:pPr>
            <w:r>
              <w:rPr>
                <w:rFonts w:ascii="Arial" w:cs="Arial" w:eastAsia="Arial" w:hAnsi="Arial"/>
                <w:sz w:val="13"/>
                <w:szCs w:val="13"/>
                <w:b w:val="1"/>
                <w:bCs w:val="1"/>
                <w:color w:val="FFFFFF"/>
                <w:w w:val="98"/>
              </w:rPr>
              <w:t>Mibanco</w:t>
            </w:r>
          </w:p>
        </w:tc>
        <w:tc>
          <w:tcPr>
            <w:tcW w:w="15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7"/>
              </w:rPr>
              <w:t>BCP Bolivia</w:t>
            </w:r>
          </w:p>
        </w:tc>
        <w:tc>
          <w:tcPr>
            <w:tcW w:w="13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Credicorp</w:t>
            </w:r>
          </w:p>
        </w:tc>
        <w:tc>
          <w:tcPr>
            <w:tcW w:w="20" w:type="dxa"/>
            <w:vAlign w:val="bottom"/>
            <w:tcBorders>
              <w:bottom w:val="single" w:sz="8" w:color="auto"/>
            </w:tcBorders>
          </w:tcPr>
          <w:p>
            <w:pPr>
              <w:spacing w:after="0"/>
              <w:rPr>
                <w:sz w:val="17"/>
                <w:szCs w:val="17"/>
                <w:color w:val="auto"/>
              </w:rPr>
            </w:pPr>
          </w:p>
        </w:tc>
      </w:tr>
      <w:tr>
        <w:trPr>
          <w:trHeight w:val="178"/>
        </w:trPr>
        <w:tc>
          <w:tcPr>
            <w:tcW w:w="3620" w:type="dxa"/>
            <w:vAlign w:val="bottom"/>
          </w:tcPr>
          <w:p>
            <w:pPr>
              <w:jc w:val="center"/>
              <w:ind w:left="397"/>
              <w:spacing w:after="0"/>
              <w:rPr>
                <w:sz w:val="20"/>
                <w:szCs w:val="20"/>
                <w:color w:val="auto"/>
              </w:rPr>
            </w:pPr>
            <w:r>
              <w:rPr>
                <w:rFonts w:ascii="Arial" w:cs="Arial" w:eastAsia="Arial" w:hAnsi="Arial"/>
                <w:sz w:val="13"/>
                <w:szCs w:val="13"/>
                <w:b w:val="1"/>
                <w:bCs w:val="1"/>
                <w:color w:val="auto"/>
              </w:rPr>
              <w:t>1Q23</w:t>
            </w:r>
          </w:p>
        </w:tc>
        <w:tc>
          <w:tcPr>
            <w:tcW w:w="2100" w:type="dxa"/>
            <w:vAlign w:val="bottom"/>
          </w:tcPr>
          <w:p>
            <w:pPr>
              <w:jc w:val="center"/>
              <w:ind w:left="237"/>
              <w:spacing w:after="0"/>
              <w:rPr>
                <w:sz w:val="20"/>
                <w:szCs w:val="20"/>
                <w:color w:val="auto"/>
              </w:rPr>
            </w:pPr>
            <w:r>
              <w:rPr>
                <w:rFonts w:ascii="Arial" w:cs="Arial" w:eastAsia="Arial" w:hAnsi="Arial"/>
                <w:sz w:val="13"/>
                <w:szCs w:val="13"/>
                <w:color w:val="auto"/>
                <w:w w:val="97"/>
              </w:rPr>
              <w:t>4.42%</w:t>
            </w:r>
          </w:p>
        </w:tc>
        <w:tc>
          <w:tcPr>
            <w:tcW w:w="1400" w:type="dxa"/>
            <w:vAlign w:val="bottom"/>
          </w:tcPr>
          <w:p>
            <w:pPr>
              <w:jc w:val="center"/>
              <w:ind w:right="17"/>
              <w:spacing w:after="0"/>
              <w:rPr>
                <w:sz w:val="20"/>
                <w:szCs w:val="20"/>
                <w:color w:val="auto"/>
              </w:rPr>
            </w:pPr>
            <w:r>
              <w:rPr>
                <w:rFonts w:ascii="Arial" w:cs="Arial" w:eastAsia="Arial" w:hAnsi="Arial"/>
                <w:sz w:val="13"/>
                <w:szCs w:val="13"/>
                <w:color w:val="auto"/>
                <w:w w:val="97"/>
              </w:rPr>
              <w:t>7.03%</w:t>
            </w: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2.74%</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4.54%</w:t>
            </w:r>
          </w:p>
        </w:tc>
        <w:tc>
          <w:tcPr>
            <w:tcW w:w="20" w:type="dxa"/>
            <w:vAlign w:val="bottom"/>
          </w:tcPr>
          <w:p>
            <w:pPr>
              <w:spacing w:after="0"/>
              <w:rPr>
                <w:sz w:val="15"/>
                <w:szCs w:val="15"/>
                <w:color w:val="auto"/>
              </w:rPr>
            </w:pPr>
          </w:p>
        </w:tc>
      </w:tr>
      <w:tr>
        <w:trPr>
          <w:trHeight w:val="189"/>
        </w:trPr>
        <w:tc>
          <w:tcPr>
            <w:tcW w:w="3620" w:type="dxa"/>
            <w:vAlign w:val="bottom"/>
          </w:tcPr>
          <w:p>
            <w:pPr>
              <w:jc w:val="center"/>
              <w:ind w:left="397"/>
              <w:spacing w:after="0"/>
              <w:rPr>
                <w:sz w:val="20"/>
                <w:szCs w:val="20"/>
                <w:color w:val="auto"/>
              </w:rPr>
            </w:pPr>
            <w:r>
              <w:rPr>
                <w:rFonts w:ascii="Arial" w:cs="Arial" w:eastAsia="Arial" w:hAnsi="Arial"/>
                <w:sz w:val="13"/>
                <w:szCs w:val="13"/>
                <w:b w:val="1"/>
                <w:bCs w:val="1"/>
                <w:color w:val="auto"/>
              </w:rPr>
              <w:t>4Q23</w:t>
            </w:r>
          </w:p>
        </w:tc>
        <w:tc>
          <w:tcPr>
            <w:tcW w:w="2100" w:type="dxa"/>
            <w:vAlign w:val="bottom"/>
          </w:tcPr>
          <w:p>
            <w:pPr>
              <w:jc w:val="center"/>
              <w:ind w:left="237"/>
              <w:spacing w:after="0"/>
              <w:rPr>
                <w:sz w:val="20"/>
                <w:szCs w:val="20"/>
                <w:color w:val="auto"/>
              </w:rPr>
            </w:pPr>
            <w:r>
              <w:rPr>
                <w:rFonts w:ascii="Arial" w:cs="Arial" w:eastAsia="Arial" w:hAnsi="Arial"/>
                <w:sz w:val="13"/>
                <w:szCs w:val="13"/>
                <w:color w:val="auto"/>
                <w:w w:val="97"/>
              </w:rPr>
              <w:t>3.96%</w:t>
            </w:r>
          </w:p>
        </w:tc>
        <w:tc>
          <w:tcPr>
            <w:tcW w:w="1400" w:type="dxa"/>
            <w:vAlign w:val="bottom"/>
          </w:tcPr>
          <w:p>
            <w:pPr>
              <w:jc w:val="center"/>
              <w:ind w:right="17"/>
              <w:spacing w:after="0"/>
              <w:rPr>
                <w:sz w:val="20"/>
                <w:szCs w:val="20"/>
                <w:color w:val="auto"/>
              </w:rPr>
            </w:pPr>
            <w:r>
              <w:rPr>
                <w:rFonts w:ascii="Arial" w:cs="Arial" w:eastAsia="Arial" w:hAnsi="Arial"/>
                <w:sz w:val="13"/>
                <w:szCs w:val="13"/>
                <w:color w:val="auto"/>
                <w:w w:val="97"/>
              </w:rPr>
              <w:t>8.17%</w:t>
            </w: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1.93%</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4.10%</w:t>
            </w:r>
          </w:p>
        </w:tc>
        <w:tc>
          <w:tcPr>
            <w:tcW w:w="20" w:type="dxa"/>
            <w:vAlign w:val="bottom"/>
          </w:tcPr>
          <w:p>
            <w:pPr>
              <w:spacing w:after="0"/>
              <w:rPr>
                <w:sz w:val="16"/>
                <w:szCs w:val="16"/>
                <w:color w:val="auto"/>
              </w:rPr>
            </w:pPr>
          </w:p>
        </w:tc>
      </w:tr>
      <w:tr>
        <w:trPr>
          <w:trHeight w:val="189"/>
        </w:trPr>
        <w:tc>
          <w:tcPr>
            <w:tcW w:w="3620" w:type="dxa"/>
            <w:vAlign w:val="bottom"/>
          </w:tcPr>
          <w:p>
            <w:pPr>
              <w:jc w:val="center"/>
              <w:ind w:left="397"/>
              <w:spacing w:after="0"/>
              <w:rPr>
                <w:sz w:val="20"/>
                <w:szCs w:val="20"/>
                <w:color w:val="auto"/>
              </w:rPr>
            </w:pPr>
            <w:r>
              <w:rPr>
                <w:rFonts w:ascii="Arial" w:cs="Arial" w:eastAsia="Arial" w:hAnsi="Arial"/>
                <w:sz w:val="13"/>
                <w:szCs w:val="13"/>
                <w:b w:val="1"/>
                <w:bCs w:val="1"/>
                <w:color w:val="auto"/>
              </w:rPr>
              <w:t>1Q24</w:t>
            </w:r>
          </w:p>
        </w:tc>
        <w:tc>
          <w:tcPr>
            <w:tcW w:w="2100" w:type="dxa"/>
            <w:vAlign w:val="bottom"/>
          </w:tcPr>
          <w:p>
            <w:pPr>
              <w:jc w:val="center"/>
              <w:ind w:left="237"/>
              <w:spacing w:after="0"/>
              <w:rPr>
                <w:sz w:val="20"/>
                <w:szCs w:val="20"/>
                <w:color w:val="auto"/>
              </w:rPr>
            </w:pPr>
            <w:r>
              <w:rPr>
                <w:rFonts w:ascii="Arial" w:cs="Arial" w:eastAsia="Arial" w:hAnsi="Arial"/>
                <w:sz w:val="13"/>
                <w:szCs w:val="13"/>
                <w:color w:val="auto"/>
                <w:w w:val="97"/>
              </w:rPr>
              <w:t>4.64%</w:t>
            </w:r>
          </w:p>
        </w:tc>
        <w:tc>
          <w:tcPr>
            <w:tcW w:w="1400" w:type="dxa"/>
            <w:vAlign w:val="bottom"/>
          </w:tcPr>
          <w:p>
            <w:pPr>
              <w:jc w:val="center"/>
              <w:ind w:right="17"/>
              <w:spacing w:after="0"/>
              <w:rPr>
                <w:sz w:val="20"/>
                <w:szCs w:val="20"/>
                <w:color w:val="auto"/>
              </w:rPr>
            </w:pPr>
            <w:r>
              <w:rPr>
                <w:rFonts w:ascii="Arial" w:cs="Arial" w:eastAsia="Arial" w:hAnsi="Arial"/>
                <w:sz w:val="13"/>
                <w:szCs w:val="13"/>
                <w:color w:val="auto"/>
                <w:w w:val="97"/>
              </w:rPr>
              <w:t>9.71%</w:t>
            </w:r>
          </w:p>
        </w:tc>
        <w:tc>
          <w:tcPr>
            <w:tcW w:w="1580" w:type="dxa"/>
            <w:vAlign w:val="bottom"/>
          </w:tcPr>
          <w:p>
            <w:pPr>
              <w:jc w:val="center"/>
              <w:spacing w:after="0"/>
              <w:rPr>
                <w:sz w:val="20"/>
                <w:szCs w:val="20"/>
                <w:color w:val="auto"/>
              </w:rPr>
            </w:pPr>
            <w:r>
              <w:rPr>
                <w:rFonts w:ascii="Arial" w:cs="Arial" w:eastAsia="Arial" w:hAnsi="Arial"/>
                <w:sz w:val="13"/>
                <w:szCs w:val="13"/>
                <w:color w:val="auto"/>
                <w:w w:val="97"/>
              </w:rPr>
              <w:t>2.46%</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4.85%</w:t>
            </w:r>
          </w:p>
        </w:tc>
        <w:tc>
          <w:tcPr>
            <w:tcW w:w="20" w:type="dxa"/>
            <w:vAlign w:val="bottom"/>
          </w:tcPr>
          <w:p>
            <w:pPr>
              <w:spacing w:after="0"/>
              <w:rPr>
                <w:sz w:val="16"/>
                <w:szCs w:val="16"/>
                <w:color w:val="auto"/>
              </w:rPr>
            </w:pPr>
          </w:p>
        </w:tc>
      </w:tr>
    </w:tbl>
    <w:p>
      <w:pPr>
        <w:spacing w:after="0" w:line="4" w:lineRule="exact"/>
        <w:rPr>
          <w:sz w:val="20"/>
          <w:szCs w:val="20"/>
          <w:color w:val="auto"/>
        </w:rPr>
      </w:pPr>
    </w:p>
    <w:p>
      <w:pPr>
        <w:ind w:left="1300" w:right="1620"/>
        <w:spacing w:after="0" w:line="243" w:lineRule="auto"/>
        <w:rPr>
          <w:sz w:val="20"/>
          <w:szCs w:val="20"/>
          <w:color w:val="auto"/>
        </w:rPr>
      </w:pPr>
      <w:r>
        <w:rPr>
          <w:rFonts w:ascii="Arial" w:cs="Arial" w:eastAsia="Arial" w:hAnsi="Arial"/>
          <w:sz w:val="13"/>
          <w:szCs w:val="13"/>
          <w:color w:val="auto"/>
        </w:rPr>
        <w:t>Risk-Adjusted NIM: (Annualized Net interest income (excluding Net Insurance Financial Expenses) - annualized provisions) / Average period end and period beginning interest-earning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52" w:name="page53"/>
    <w:bookmarkEnd w:id="52"/>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Regulatory Capital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 Capital and Capital Adequacy Ratios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 Thousands, IFRS)</w:t>
      </w:r>
    </w:p>
    <w:p>
      <w:pPr>
        <w:spacing w:after="0" w:line="172" w:lineRule="exact"/>
        <w:rPr>
          <w:sz w:val="20"/>
          <w:szCs w:val="20"/>
          <w:color w:val="auto"/>
        </w:rPr>
      </w:pPr>
    </w:p>
    <w:tbl>
      <w:tblPr>
        <w:tblLayout w:type="fixed"/>
        <w:tblInd w:w="2050" w:type="dxa"/>
        <w:tblCellMar>
          <w:top w:w="0" w:type="dxa"/>
          <w:left w:w="0" w:type="dxa"/>
          <w:bottom w:w="0" w:type="dxa"/>
          <w:right w:w="0" w:type="dxa"/>
        </w:tblCellMar>
      </w:tblPr>
      <w:tr>
        <w:trPr>
          <w:trHeight w:val="249"/>
        </w:trPr>
        <w:tc>
          <w:tcPr>
            <w:tcW w:w="592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6"/>
                <w:szCs w:val="16"/>
                <w:b w:val="1"/>
                <w:bCs w:val="1"/>
                <w:color w:val="FFFFFF"/>
              </w:rPr>
              <w:t>Regulatory Capital and Capital Adequacy Ratios</w:t>
            </w:r>
          </w:p>
        </w:tc>
        <w:tc>
          <w:tcPr>
            <w:tcW w:w="1260" w:type="dxa"/>
            <w:vAlign w:val="bottom"/>
            <w:tcBorders>
              <w:top w:val="single" w:sz="8" w:color="auto"/>
              <w:right w:val="single" w:sz="8" w:color="auto"/>
            </w:tcBorders>
            <w:shd w:val="clear" w:color="auto" w:fill="2AD2C9"/>
          </w:tcPr>
          <w:p>
            <w:pPr>
              <w:jc w:val="right"/>
              <w:ind w:right="359"/>
              <w:spacing w:after="0"/>
              <w:rPr>
                <w:sz w:val="20"/>
                <w:szCs w:val="20"/>
                <w:color w:val="auto"/>
              </w:rPr>
            </w:pPr>
            <w:r>
              <w:rPr>
                <w:rFonts w:ascii="Arial" w:cs="Arial" w:eastAsia="Arial" w:hAnsi="Arial"/>
                <w:sz w:val="16"/>
                <w:szCs w:val="16"/>
                <w:b w:val="1"/>
                <w:bCs w:val="1"/>
                <w:color w:val="FFFFFF"/>
              </w:rPr>
              <w:t>As of</w:t>
            </w:r>
          </w:p>
        </w:tc>
      </w:tr>
      <w:tr>
        <w:trPr>
          <w:trHeight w:val="247"/>
        </w:trPr>
        <w:tc>
          <w:tcPr>
            <w:tcW w:w="592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6"/>
                <w:szCs w:val="16"/>
                <w:b w:val="1"/>
                <w:bCs w:val="1"/>
                <w:color w:val="FFFFFF"/>
              </w:rPr>
              <w:t>S/000</w:t>
            </w:r>
          </w:p>
        </w:tc>
        <w:tc>
          <w:tcPr>
            <w:tcW w:w="1260" w:type="dxa"/>
            <w:vAlign w:val="bottom"/>
            <w:tcBorders>
              <w:bottom w:val="single" w:sz="8" w:color="auto"/>
              <w:right w:val="single" w:sz="8" w:color="auto"/>
            </w:tcBorders>
            <w:shd w:val="clear" w:color="auto" w:fill="2AD2C9"/>
          </w:tcPr>
          <w:p>
            <w:pPr>
              <w:jc w:val="right"/>
              <w:ind w:right="299"/>
              <w:spacing w:after="0"/>
              <w:rPr>
                <w:sz w:val="20"/>
                <w:szCs w:val="20"/>
                <w:color w:val="auto"/>
              </w:rPr>
            </w:pPr>
            <w:r>
              <w:rPr>
                <w:rFonts w:ascii="Arial" w:cs="Arial" w:eastAsia="Arial" w:hAnsi="Arial"/>
                <w:sz w:val="16"/>
                <w:szCs w:val="16"/>
                <w:b w:val="1"/>
                <w:bCs w:val="1"/>
                <w:color w:val="FFFFFF"/>
              </w:rPr>
              <w:t>Mar 24</w:t>
            </w:r>
          </w:p>
        </w:tc>
      </w:tr>
      <w:tr>
        <w:trPr>
          <w:trHeight w:val="225"/>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Capital Stock</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1,318,993</w:t>
            </w:r>
          </w:p>
        </w:tc>
      </w:tr>
      <w:tr>
        <w:trPr>
          <w:trHeight w:val="243"/>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Treasury Stocks</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(208,343)</w:t>
            </w:r>
          </w:p>
        </w:tc>
      </w:tr>
      <w:tr>
        <w:trPr>
          <w:trHeight w:val="243"/>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Capital Surplus</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201,965</w:t>
            </w:r>
          </w:p>
        </w:tc>
      </w:tr>
      <w:tr>
        <w:trPr>
          <w:trHeight w:val="243"/>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Legal and Other Capital reserves</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26,213,432</w:t>
            </w:r>
          </w:p>
        </w:tc>
      </w:tr>
      <w:tr>
        <w:trPr>
          <w:trHeight w:val="243"/>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Minority interest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522,309</w:t>
            </w:r>
          </w:p>
        </w:tc>
      </w:tr>
      <w:tr>
        <w:trPr>
          <w:trHeight w:val="259"/>
        </w:trPr>
        <w:tc>
          <w:tcPr>
            <w:tcW w:w="5920" w:type="dxa"/>
            <w:vAlign w:val="bottom"/>
            <w:tcBorders>
              <w:left w:val="single" w:sz="8" w:color="auto"/>
              <w:right w:val="single" w:sz="8" w:color="auto"/>
            </w:tcBorders>
          </w:tcPr>
          <w:p>
            <w:pPr>
              <w:ind w:left="160"/>
              <w:spacing w:after="0" w:line="260" w:lineRule="exact"/>
              <w:rPr>
                <w:sz w:val="20"/>
                <w:szCs w:val="20"/>
                <w:color w:val="auto"/>
              </w:rPr>
            </w:pPr>
            <w:r>
              <w:rPr>
                <w:rFonts w:ascii="Arial" w:cs="Arial" w:eastAsia="Arial" w:hAnsi="Arial"/>
                <w:sz w:val="16"/>
                <w:szCs w:val="16"/>
                <w:color w:val="auto"/>
              </w:rPr>
              <w:t xml:space="preserve">Current and Accumulated Earnings </w:t>
            </w:r>
            <w:r>
              <w:rPr>
                <w:rFonts w:ascii="Arial" w:cs="Arial" w:eastAsia="Arial" w:hAnsi="Arial"/>
                <w:sz w:val="26"/>
                <w:szCs w:val="26"/>
                <w:color w:val="auto"/>
                <w:vertAlign w:val="superscript"/>
              </w:rPr>
              <w:t>(1)</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2,639,560</w:t>
            </w:r>
          </w:p>
        </w:tc>
      </w:tr>
      <w:tr>
        <w:trPr>
          <w:trHeight w:val="255"/>
        </w:trPr>
        <w:tc>
          <w:tcPr>
            <w:tcW w:w="5920" w:type="dxa"/>
            <w:vAlign w:val="bottom"/>
            <w:tcBorders>
              <w:left w:val="single" w:sz="8" w:color="auto"/>
              <w:right w:val="single" w:sz="8" w:color="auto"/>
            </w:tcBorders>
          </w:tcPr>
          <w:p>
            <w:pPr>
              <w:ind w:left="160"/>
              <w:spacing w:after="0" w:line="255" w:lineRule="exact"/>
              <w:rPr>
                <w:sz w:val="20"/>
                <w:szCs w:val="20"/>
                <w:color w:val="auto"/>
              </w:rPr>
            </w:pPr>
            <w:r>
              <w:rPr>
                <w:rFonts w:ascii="Arial" w:cs="Arial" w:eastAsia="Arial" w:hAnsi="Arial"/>
                <w:sz w:val="16"/>
                <w:szCs w:val="16"/>
                <w:color w:val="auto"/>
              </w:rPr>
              <w:t xml:space="preserve">Unrealized Gains or Losses </w:t>
            </w:r>
            <w:r>
              <w:rPr>
                <w:rFonts w:ascii="Arial" w:cs="Arial" w:eastAsia="Arial" w:hAnsi="Arial"/>
                <w:sz w:val="26"/>
                <w:szCs w:val="26"/>
                <w:color w:val="auto"/>
                <w:vertAlign w:val="superscript"/>
              </w:rPr>
              <w:t>(2)</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(991,283)</w:t>
            </w:r>
          </w:p>
        </w:tc>
      </w:tr>
      <w:tr>
        <w:trPr>
          <w:trHeight w:val="215"/>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Goodwill</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(768,869)</w:t>
            </w:r>
          </w:p>
        </w:tc>
      </w:tr>
      <w:tr>
        <w:trPr>
          <w:trHeight w:val="259"/>
        </w:trPr>
        <w:tc>
          <w:tcPr>
            <w:tcW w:w="5920" w:type="dxa"/>
            <w:vAlign w:val="bottom"/>
            <w:tcBorders>
              <w:left w:val="single" w:sz="8" w:color="auto"/>
              <w:right w:val="single" w:sz="8" w:color="auto"/>
            </w:tcBorders>
          </w:tcPr>
          <w:p>
            <w:pPr>
              <w:ind w:left="160"/>
              <w:spacing w:after="0" w:line="260"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6"/>
                <w:szCs w:val="26"/>
                <w:color w:val="auto"/>
                <w:vertAlign w:val="superscript"/>
              </w:rPr>
              <w:t>(3)</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(1,945,983)</w:t>
            </w:r>
          </w:p>
        </w:tc>
      </w:tr>
      <w:tr>
        <w:trPr>
          <w:trHeight w:val="255"/>
        </w:trPr>
        <w:tc>
          <w:tcPr>
            <w:tcW w:w="5920" w:type="dxa"/>
            <w:vAlign w:val="bottom"/>
            <w:tcBorders>
              <w:left w:val="single" w:sz="8" w:color="auto"/>
              <w:right w:val="single" w:sz="8" w:color="auto"/>
            </w:tcBorders>
          </w:tcPr>
          <w:p>
            <w:pPr>
              <w:ind w:left="160"/>
              <w:spacing w:after="0" w:line="255" w:lineRule="exact"/>
              <w:rPr>
                <w:sz w:val="20"/>
                <w:szCs w:val="20"/>
                <w:color w:val="auto"/>
              </w:rPr>
            </w:pPr>
            <w:r>
              <w:rPr>
                <w:rFonts w:ascii="Arial" w:cs="Arial" w:eastAsia="Arial" w:hAnsi="Arial"/>
                <w:sz w:val="16"/>
                <w:szCs w:val="16"/>
                <w:color w:val="auto"/>
              </w:rPr>
              <w:t xml:space="preserve">Deductions in Common Equity Tier 1 instruments </w:t>
            </w:r>
            <w:r>
              <w:rPr>
                <w:rFonts w:ascii="Arial" w:cs="Arial" w:eastAsia="Arial" w:hAnsi="Arial"/>
                <w:sz w:val="26"/>
                <w:szCs w:val="26"/>
                <w:color w:val="auto"/>
                <w:vertAlign w:val="superscript"/>
              </w:rPr>
              <w:t>(4)</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(73,914)</w:t>
            </w:r>
          </w:p>
        </w:tc>
      </w:tr>
      <w:tr>
        <w:trPr>
          <w:trHeight w:val="215"/>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Perpetual subordinated debt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Subordinated Debt</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5,733,691</w:t>
            </w:r>
          </w:p>
        </w:tc>
      </w:tr>
      <w:tr>
        <w:trPr>
          <w:trHeight w:val="259"/>
        </w:trPr>
        <w:tc>
          <w:tcPr>
            <w:tcW w:w="5920" w:type="dxa"/>
            <w:vAlign w:val="bottom"/>
            <w:tcBorders>
              <w:left w:val="single" w:sz="8" w:color="auto"/>
              <w:right w:val="single" w:sz="8" w:color="auto"/>
            </w:tcBorders>
          </w:tcPr>
          <w:p>
            <w:pPr>
              <w:ind w:left="160"/>
              <w:spacing w:after="0" w:line="260"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6"/>
                <w:szCs w:val="26"/>
                <w:color w:val="auto"/>
                <w:vertAlign w:val="superscript"/>
              </w:rPr>
              <w:t>(5)</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1,946,564</w:t>
            </w:r>
          </w:p>
        </w:tc>
      </w:tr>
      <w:tr>
        <w:trPr>
          <w:trHeight w:val="242"/>
        </w:trPr>
        <w:tc>
          <w:tcPr>
            <w:tcW w:w="5920" w:type="dxa"/>
            <w:vAlign w:val="bottom"/>
            <w:tcBorders>
              <w:left w:val="single" w:sz="8" w:color="auto"/>
              <w:bottom w:val="single" w:sz="8" w:color="auto"/>
              <w:right w:val="single" w:sz="8" w:color="auto"/>
            </w:tcBorders>
          </w:tcPr>
          <w:p>
            <w:pPr>
              <w:ind w:left="160"/>
              <w:spacing w:after="0" w:line="242" w:lineRule="exact"/>
              <w:rPr>
                <w:sz w:val="20"/>
                <w:szCs w:val="20"/>
                <w:color w:val="auto"/>
              </w:rPr>
            </w:pPr>
            <w:r>
              <w:rPr>
                <w:rFonts w:ascii="Arial" w:cs="Arial" w:eastAsia="Arial" w:hAnsi="Arial"/>
                <w:sz w:val="16"/>
                <w:szCs w:val="16"/>
                <w:color w:val="auto"/>
              </w:rPr>
              <w:t xml:space="preserve">Deductions in Tier 2 instruments </w:t>
            </w:r>
            <w:r>
              <w:rPr>
                <w:rFonts w:ascii="Arial" w:cs="Arial" w:eastAsia="Arial" w:hAnsi="Arial"/>
                <w:sz w:val="26"/>
                <w:szCs w:val="26"/>
                <w:color w:val="auto"/>
                <w:vertAlign w:val="superscript"/>
              </w:rPr>
              <w:t>(6)</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(946,825)</w:t>
            </w:r>
          </w:p>
        </w:tc>
      </w:tr>
      <w:tr>
        <w:trPr>
          <w:trHeight w:val="233"/>
        </w:trPr>
        <w:tc>
          <w:tcPr>
            <w:tcW w:w="5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Regulatory Capital (A)</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33,641,297</w:t>
            </w:r>
          </w:p>
        </w:tc>
      </w:tr>
      <w:tr>
        <w:trPr>
          <w:trHeight w:val="237"/>
        </w:trPr>
        <w:tc>
          <w:tcPr>
            <w:tcW w:w="5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Regulatory Common Equity Tier 1 Capital (B)</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26,907,867</w:t>
            </w:r>
          </w:p>
        </w:tc>
      </w:tr>
      <w:tr>
        <w:trPr>
          <w:trHeight w:val="237"/>
        </w:trPr>
        <w:tc>
          <w:tcPr>
            <w:tcW w:w="5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Regulatory Tier 1 Capital (C)</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26,907,867</w:t>
            </w:r>
          </w:p>
        </w:tc>
      </w:tr>
      <w:tr>
        <w:trPr>
          <w:trHeight w:val="234"/>
        </w:trPr>
        <w:tc>
          <w:tcPr>
            <w:tcW w:w="5920" w:type="dxa"/>
            <w:vAlign w:val="bottom"/>
            <w:tcBorders>
              <w:left w:val="single" w:sz="8" w:color="auto"/>
              <w:bottom w:val="single" w:sz="8" w:color="auto"/>
              <w:right w:val="single" w:sz="8" w:color="auto"/>
            </w:tcBorders>
            <w:shd w:val="clear" w:color="auto" w:fill="EDEDED"/>
          </w:tcPr>
          <w:p>
            <w:pPr>
              <w:ind w:left="60"/>
              <w:spacing w:after="0"/>
              <w:rPr>
                <w:sz w:val="20"/>
                <w:szCs w:val="20"/>
                <w:color w:val="auto"/>
              </w:rPr>
            </w:pPr>
            <w:r>
              <w:rPr>
                <w:rFonts w:ascii="Arial" w:cs="Arial" w:eastAsia="Arial" w:hAnsi="Arial"/>
                <w:sz w:val="16"/>
                <w:szCs w:val="16"/>
                <w:color w:val="auto"/>
              </w:rPr>
              <w:t>Total Regulatory Capital Requirement (D)</w:t>
            </w:r>
          </w:p>
        </w:tc>
        <w:tc>
          <w:tcPr>
            <w:tcW w:w="1260" w:type="dxa"/>
            <w:vAlign w:val="bottom"/>
            <w:tcBorders>
              <w:bottom w:val="single" w:sz="8" w:color="auto"/>
              <w:right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25,855,046</w:t>
            </w:r>
          </w:p>
        </w:tc>
      </w:tr>
      <w:tr>
        <w:trPr>
          <w:trHeight w:val="236"/>
        </w:trPr>
        <w:tc>
          <w:tcPr>
            <w:tcW w:w="5920" w:type="dxa"/>
            <w:vAlign w:val="bottom"/>
            <w:tcBorders>
              <w:left w:val="single" w:sz="8" w:color="auto"/>
              <w:bottom w:val="single" w:sz="8" w:color="auto"/>
              <w:right w:val="single" w:sz="8" w:color="auto"/>
            </w:tcBorders>
            <w:shd w:val="clear" w:color="auto" w:fill="EDEDED"/>
          </w:tcPr>
          <w:p>
            <w:pPr>
              <w:ind w:left="60"/>
              <w:spacing w:after="0"/>
              <w:rPr>
                <w:sz w:val="20"/>
                <w:szCs w:val="20"/>
                <w:color w:val="auto"/>
              </w:rPr>
            </w:pPr>
            <w:r>
              <w:rPr>
                <w:rFonts w:ascii="Arial" w:cs="Arial" w:eastAsia="Arial" w:hAnsi="Arial"/>
                <w:sz w:val="16"/>
                <w:szCs w:val="16"/>
                <w:color w:val="auto"/>
              </w:rPr>
              <w:t>Total Regulatory Common Equity Tier 1 Capital Requirement (E)</w:t>
            </w:r>
          </w:p>
        </w:tc>
        <w:tc>
          <w:tcPr>
            <w:tcW w:w="1260" w:type="dxa"/>
            <w:vAlign w:val="bottom"/>
            <w:tcBorders>
              <w:bottom w:val="single" w:sz="8" w:color="auto"/>
              <w:right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13,330,425</w:t>
            </w:r>
          </w:p>
        </w:tc>
      </w:tr>
      <w:tr>
        <w:trPr>
          <w:trHeight w:val="237"/>
        </w:trPr>
        <w:tc>
          <w:tcPr>
            <w:tcW w:w="5920" w:type="dxa"/>
            <w:vAlign w:val="bottom"/>
            <w:tcBorders>
              <w:left w:val="single" w:sz="8" w:color="auto"/>
              <w:bottom w:val="single" w:sz="8" w:color="auto"/>
              <w:right w:val="single" w:sz="8" w:color="auto"/>
            </w:tcBorders>
            <w:shd w:val="clear" w:color="auto" w:fill="EDEDED"/>
          </w:tcPr>
          <w:p>
            <w:pPr>
              <w:ind w:left="60"/>
              <w:spacing w:after="0"/>
              <w:rPr>
                <w:sz w:val="20"/>
                <w:szCs w:val="20"/>
                <w:color w:val="auto"/>
              </w:rPr>
            </w:pPr>
            <w:r>
              <w:rPr>
                <w:rFonts w:ascii="Arial" w:cs="Arial" w:eastAsia="Arial" w:hAnsi="Arial"/>
                <w:sz w:val="16"/>
                <w:szCs w:val="16"/>
                <w:color w:val="auto"/>
              </w:rPr>
              <w:t>Total Regulatory Tier 1 Capital Requirement (F)</w:t>
            </w:r>
          </w:p>
        </w:tc>
        <w:tc>
          <w:tcPr>
            <w:tcW w:w="1260" w:type="dxa"/>
            <w:vAlign w:val="bottom"/>
            <w:tcBorders>
              <w:bottom w:val="single" w:sz="8" w:color="auto"/>
              <w:right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16,309,166</w:t>
            </w:r>
          </w:p>
        </w:tc>
      </w:tr>
      <w:tr>
        <w:trPr>
          <w:trHeight w:val="239"/>
        </w:trPr>
        <w:tc>
          <w:tcPr>
            <w:tcW w:w="5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Regulatory Capital Ratio (A) / (D)</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r>
      <w:tr>
        <w:trPr>
          <w:trHeight w:val="236"/>
        </w:trPr>
        <w:tc>
          <w:tcPr>
            <w:tcW w:w="5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Regulatory Common Equity Tier 1 Capital Ratio (B) / (E)</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r>
      <w:tr>
        <w:trPr>
          <w:trHeight w:val="237"/>
        </w:trPr>
        <w:tc>
          <w:tcPr>
            <w:tcW w:w="5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Regulatory Tier 1 Capital Ratio (C) / (F)</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r>
    </w:tbl>
    <w:p>
      <w:pPr>
        <w:spacing w:after="0" w:line="192" w:lineRule="exact"/>
        <w:rPr>
          <w:sz w:val="20"/>
          <w:szCs w:val="20"/>
          <w:color w:val="auto"/>
        </w:rPr>
      </w:pPr>
    </w:p>
    <w:p>
      <w:pPr>
        <w:ind w:left="340" w:hanging="332"/>
        <w:spacing w:after="0"/>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Legal and other capital reserves include restricted capital reserves (PEN 14,745 million) and optonal capital reserves (PEN 6,661 million).</w:t>
      </w:r>
    </w:p>
    <w:p>
      <w:pPr>
        <w:ind w:left="340" w:hanging="332"/>
        <w:spacing w:after="0" w:line="22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Minority interest includes Tier I (PEN 421 million)</w:t>
      </w:r>
    </w:p>
    <w:p>
      <w:pPr>
        <w:ind w:left="340" w:hanging="332"/>
        <w:spacing w:after="0" w:line="22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Up to 1.25% of total risk-weighted assets of Banco de Credito del Peru, Solucion Empresa Administradora Hipotecaria, Mibanco and ASB Bank Corp.</w:t>
      </w:r>
    </w:p>
    <w:p>
      <w:pPr>
        <w:ind w:left="340" w:hanging="332"/>
        <w:spacing w:after="0" w:line="22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Tier II + Tier III cannot be more than 50% of total regulatory capital.</w:t>
      </w:r>
    </w:p>
    <w:p>
      <w:pPr>
        <w:spacing w:after="0" w:line="2" w:lineRule="exact"/>
        <w:rPr>
          <w:rFonts w:ascii="Calibri" w:cs="Calibri" w:eastAsia="Calibri" w:hAnsi="Calibri"/>
          <w:sz w:val="12"/>
          <w:szCs w:val="12"/>
          <w:color w:val="auto"/>
        </w:rPr>
      </w:pPr>
    </w:p>
    <w:p>
      <w:pPr>
        <w:ind w:left="340" w:hanging="332"/>
        <w:spacing w:after="0"/>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Tier I = capital + restricted capital reserves + Tier I minority interest - goodwill - (0.5 x investment in equity and subordinated debt of fnancial and insurance companies) + perpetual subordinated debt.</w:t>
      </w:r>
    </w:p>
    <w:p>
      <w:pPr>
        <w:spacing w:after="0" w:line="4" w:lineRule="exact"/>
        <w:rPr>
          <w:rFonts w:ascii="Calibri" w:cs="Calibri" w:eastAsia="Calibri" w:hAnsi="Calibri"/>
          <w:sz w:val="12"/>
          <w:szCs w:val="12"/>
          <w:color w:val="auto"/>
        </w:rPr>
      </w:pPr>
    </w:p>
    <w:p>
      <w:pPr>
        <w:ind w:left="340" w:hanging="332"/>
        <w:spacing w:after="0"/>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 xml:space="preserve">Tier II = subordinated debt + Tier II minority interest ter + loan loss reserves </w:t>
      </w:r>
      <w:r>
        <w:rPr>
          <w:rFonts w:ascii="Times New Roman" w:cs="Times New Roman" w:eastAsia="Times New Roman" w:hAnsi="Times New Roman"/>
          <w:sz w:val="12"/>
          <w:szCs w:val="12"/>
          <w:color w:val="auto"/>
        </w:rPr>
        <w:t>-</w:t>
      </w:r>
      <w:r>
        <w:rPr>
          <w:rFonts w:ascii="Calibri" w:cs="Calibri" w:eastAsia="Calibri" w:hAnsi="Calibri"/>
          <w:sz w:val="12"/>
          <w:szCs w:val="12"/>
          <w:color w:val="auto"/>
        </w:rPr>
        <w:t xml:space="preserve"> (0.5 x investment in equity and subordinated debt of fnancial and insurance companies).</w:t>
      </w:r>
    </w:p>
    <w:p>
      <w:pPr>
        <w:spacing w:after="0" w:line="3" w:lineRule="exact"/>
        <w:rPr>
          <w:rFonts w:ascii="Calibri" w:cs="Calibri" w:eastAsia="Calibri" w:hAnsi="Calibri"/>
          <w:sz w:val="12"/>
          <w:szCs w:val="12"/>
          <w:color w:val="auto"/>
        </w:rPr>
      </w:pPr>
    </w:p>
    <w:p>
      <w:pPr>
        <w:ind w:left="340" w:hanging="332"/>
        <w:spacing w:after="0" w:line="21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Tier III = Subordinated debt covering market risk only.</w:t>
      </w:r>
    </w:p>
    <w:p>
      <w:pPr>
        <w:ind w:left="340" w:hanging="332"/>
        <w:spacing w:after="0" w:line="22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Includes regulatory capital requirements of the fnancial consolidated group.</w:t>
      </w:r>
    </w:p>
    <w:p>
      <w:pPr>
        <w:ind w:left="340" w:hanging="332"/>
        <w:spacing w:after="0" w:line="22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Includes regulatory capital requirements of the insurance consolidated group.</w:t>
      </w:r>
    </w:p>
    <w:p>
      <w:pPr>
        <w:ind w:left="340" w:hanging="332"/>
        <w:spacing w:after="0" w:line="221" w:lineRule="auto"/>
        <w:tabs>
          <w:tab w:leader="none" w:pos="340" w:val="left"/>
        </w:tabs>
        <w:numPr>
          <w:ilvl w:val="0"/>
          <w:numId w:val="49"/>
        </w:numPr>
        <w:rPr>
          <w:rFonts w:ascii="Calibri" w:cs="Calibri" w:eastAsia="Calibri" w:hAnsi="Calibri"/>
          <w:sz w:val="12"/>
          <w:szCs w:val="12"/>
          <w:color w:val="auto"/>
        </w:rPr>
      </w:pPr>
      <w:r>
        <w:rPr>
          <w:rFonts w:ascii="Calibri" w:cs="Calibri" w:eastAsia="Calibri" w:hAnsi="Calibri"/>
          <w:sz w:val="12"/>
          <w:szCs w:val="12"/>
          <w:color w:val="auto"/>
        </w:rPr>
        <w:t>Regulatory Capital / Total Regulatory Capital Requirements (legal minimum = 1.00).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3" w:name="page54"/>
    <w:bookmarkEnd w:id="53"/>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Regulatory and Capital Adequacy Ratios at BCP Stand-alone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tbl>
      <w:tblPr>
        <w:tblLayout w:type="fixed"/>
        <w:tblInd w:w="1710" w:type="dxa"/>
        <w:tblCellMar>
          <w:top w:w="0" w:type="dxa"/>
          <w:left w:w="0" w:type="dxa"/>
          <w:bottom w:w="0" w:type="dxa"/>
          <w:right w:w="0" w:type="dxa"/>
        </w:tblCellMar>
      </w:tblPr>
      <w:tr>
        <w:trPr>
          <w:trHeight w:val="155"/>
        </w:trPr>
        <w:tc>
          <w:tcPr>
            <w:tcW w:w="2300" w:type="dxa"/>
            <w:vAlign w:val="bottom"/>
            <w:tcBorders>
              <w:top w:val="single" w:sz="8" w:color="auto"/>
              <w:lef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Regulatory Capital</w:t>
            </w:r>
          </w:p>
        </w:tc>
        <w:tc>
          <w:tcPr>
            <w:tcW w:w="500" w:type="dxa"/>
            <w:vAlign w:val="bottom"/>
            <w:tcBorders>
              <w:top w:val="single" w:sz="8" w:color="auto"/>
              <w:right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3"/>
                <w:szCs w:val="13"/>
                <w:color w:val="auto"/>
              </w:rPr>
            </w:pPr>
          </w:p>
        </w:tc>
        <w:tc>
          <w:tcPr>
            <w:tcW w:w="720" w:type="dxa"/>
            <w:vAlign w:val="bottom"/>
            <w:tcBorders>
              <w:top w:val="single" w:sz="8" w:color="auto"/>
            </w:tcBorders>
            <w:shd w:val="clear" w:color="auto" w:fill="2AD2C9"/>
          </w:tcPr>
          <w:p>
            <w:pPr>
              <w:spacing w:after="0"/>
              <w:rPr>
                <w:sz w:val="13"/>
                <w:szCs w:val="13"/>
                <w:color w:val="auto"/>
              </w:rPr>
            </w:pPr>
          </w:p>
        </w:tc>
        <w:tc>
          <w:tcPr>
            <w:tcW w:w="1280" w:type="dxa"/>
            <w:vAlign w:val="bottom"/>
            <w:tcBorders>
              <w:top w:val="single" w:sz="8" w:color="auto"/>
            </w:tcBorders>
            <w:shd w:val="clear" w:color="auto" w:fill="2AD2C9"/>
          </w:tcPr>
          <w:p>
            <w:pPr>
              <w:ind w:left="20"/>
              <w:spacing w:after="0"/>
              <w:rPr>
                <w:sz w:val="20"/>
                <w:szCs w:val="20"/>
                <w:color w:val="auto"/>
              </w:rPr>
            </w:pPr>
            <w:r>
              <w:rPr>
                <w:rFonts w:ascii="Arial" w:cs="Arial" w:eastAsia="Arial" w:hAnsi="Arial"/>
                <w:sz w:val="11"/>
                <w:szCs w:val="11"/>
                <w:b w:val="1"/>
                <w:bCs w:val="1"/>
                <w:color w:val="FFFFFF"/>
              </w:rPr>
              <w:t>Change %</w:t>
            </w: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tcBorders>
            <w:shd w:val="clear" w:color="auto" w:fill="2AD2C9"/>
          </w:tcPr>
          <w:p>
            <w:pPr>
              <w:ind w:left="80"/>
              <w:spacing w:after="0"/>
              <w:rPr>
                <w:sz w:val="20"/>
                <w:szCs w:val="20"/>
                <w:color w:val="auto"/>
              </w:rPr>
            </w:pPr>
            <w:r>
              <w:rPr>
                <w:rFonts w:ascii="Arial" w:cs="Arial" w:eastAsia="Arial" w:hAnsi="Arial"/>
                <w:sz w:val="11"/>
                <w:szCs w:val="11"/>
                <w:color w:val="FFFFFF"/>
              </w:rPr>
              <w:t>(S/ thousand)</w:t>
            </w:r>
          </w:p>
        </w:tc>
        <w:tc>
          <w:tcPr>
            <w:tcW w:w="500" w:type="dxa"/>
            <w:vAlign w:val="bottom"/>
            <w:tcBorders>
              <w:bottom w:val="single" w:sz="8" w:color="auto"/>
              <w:right w:val="single" w:sz="8" w:color="auto"/>
            </w:tcBorders>
            <w:shd w:val="clear" w:color="auto" w:fill="2AD2C9"/>
          </w:tcPr>
          <w:p>
            <w:pPr>
              <w:spacing w:after="0"/>
              <w:rPr>
                <w:sz w:val="24"/>
                <w:szCs w:val="24"/>
                <w:color w:val="auto"/>
              </w:rPr>
            </w:pP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Mar 23</w:t>
            </w: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10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Mar 24</w:t>
            </w:r>
          </w:p>
        </w:tc>
        <w:tc>
          <w:tcPr>
            <w:tcW w:w="720" w:type="dxa"/>
            <w:vAlign w:val="bottom"/>
            <w:tcBorders>
              <w:bottom w:val="single" w:sz="8" w:color="auto"/>
            </w:tcBorders>
            <w:shd w:val="clear" w:color="auto" w:fill="2AD2C9"/>
          </w:tcPr>
          <w:p>
            <w:pPr>
              <w:jc w:val="center"/>
              <w:ind w:left="206"/>
              <w:spacing w:after="0"/>
              <w:rPr>
                <w:sz w:val="20"/>
                <w:szCs w:val="20"/>
                <w:color w:val="auto"/>
              </w:rPr>
            </w:pPr>
            <w:r>
              <w:rPr>
                <w:rFonts w:ascii="Arial" w:cs="Arial" w:eastAsia="Arial" w:hAnsi="Arial"/>
                <w:sz w:val="11"/>
                <w:szCs w:val="11"/>
                <w:b w:val="1"/>
                <w:bCs w:val="1"/>
                <w:color w:val="FFFFFF"/>
                <w:w w:val="92"/>
              </w:rPr>
              <w:t>QoQ</w:t>
            </w:r>
          </w:p>
        </w:tc>
        <w:tc>
          <w:tcPr>
            <w:tcW w:w="1280" w:type="dxa"/>
            <w:vAlign w:val="bottom"/>
            <w:tcBorders>
              <w:bottom w:val="single" w:sz="8" w:color="auto"/>
            </w:tcBorders>
            <w:shd w:val="clear" w:color="auto" w:fill="2AD2C9"/>
          </w:tcPr>
          <w:p>
            <w:pPr>
              <w:jc w:val="center"/>
              <w:ind w:left="226"/>
              <w:spacing w:after="0"/>
              <w:rPr>
                <w:sz w:val="20"/>
                <w:szCs w:val="20"/>
                <w:color w:val="auto"/>
              </w:rPr>
            </w:pPr>
            <w:r>
              <w:rPr>
                <w:rFonts w:ascii="Arial" w:cs="Arial" w:eastAsia="Arial" w:hAnsi="Arial"/>
                <w:sz w:val="11"/>
                <w:szCs w:val="11"/>
                <w:b w:val="1"/>
                <w:bCs w:val="1"/>
                <w:color w:val="FFFFFF"/>
                <w:w w:val="93"/>
              </w:rPr>
              <w:t>YoY</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Capital Stock</w:t>
            </w:r>
          </w:p>
        </w:tc>
        <w:tc>
          <w:tcPr>
            <w:tcW w:w="500" w:type="dxa"/>
            <w:vAlign w:val="bottom"/>
            <w:tcBorders>
              <w:right w:val="single" w:sz="8" w:color="auto"/>
            </w:tcBorders>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12,973,175</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12,973,175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12,973,175</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0.0%</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rPr>
              <w:t>0.0%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Reserves</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7,038,881</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6,590,921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6,590,921</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0.0%</w:t>
            </w:r>
          </w:p>
        </w:tc>
        <w:tc>
          <w:tcPr>
            <w:tcW w:w="1280" w:type="dxa"/>
            <w:vAlign w:val="bottom"/>
          </w:tcPr>
          <w:p>
            <w:pPr>
              <w:jc w:val="center"/>
              <w:ind w:left="226"/>
              <w:spacing w:after="0"/>
              <w:rPr>
                <w:sz w:val="20"/>
                <w:szCs w:val="20"/>
                <w:color w:val="auto"/>
              </w:rPr>
            </w:pPr>
            <w:r>
              <w:rPr>
                <w:rFonts w:ascii="Arial" w:cs="Arial" w:eastAsia="Arial" w:hAnsi="Arial"/>
                <w:sz w:val="11"/>
                <w:szCs w:val="11"/>
                <w:color w:val="auto"/>
                <w:w w:val="97"/>
              </w:rPr>
              <w:t>-6.4%</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Accumulated earnings</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2,050,746</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5,383,865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2,644,894</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7"/>
              </w:rPr>
              <w:t>-50.9%</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6"/>
              </w:rPr>
              <w:t>29.0%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Loan loss reserves (1)</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1,634,876</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1,695,577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1,662,636</w:t>
            </w:r>
          </w:p>
        </w:tc>
        <w:tc>
          <w:tcPr>
            <w:tcW w:w="720" w:type="dxa"/>
            <w:vAlign w:val="bottom"/>
          </w:tcPr>
          <w:p>
            <w:pPr>
              <w:jc w:val="center"/>
              <w:ind w:left="186"/>
              <w:spacing w:after="0"/>
              <w:rPr>
                <w:sz w:val="20"/>
                <w:szCs w:val="20"/>
                <w:color w:val="auto"/>
              </w:rPr>
            </w:pPr>
            <w:r>
              <w:rPr>
                <w:rFonts w:ascii="Arial" w:cs="Arial" w:eastAsia="Arial" w:hAnsi="Arial"/>
                <w:sz w:val="11"/>
                <w:szCs w:val="11"/>
                <w:color w:val="auto"/>
                <w:w w:val="97"/>
              </w:rPr>
              <w:t>-1.9%</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rPr>
              <w:t>1.7%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Perpetual subordinated debt</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00" w:type="dxa"/>
            <w:vAlign w:val="bottom"/>
          </w:tcPr>
          <w:p>
            <w:pPr>
              <w:jc w:val="center"/>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1"/>
              </w:rPr>
              <w:t>n.a</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1"/>
              </w:rPr>
              <w:t>n.a</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Subordinated Debt</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5,078,700</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5,007,150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5,019,300</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0.2%</w:t>
            </w:r>
          </w:p>
        </w:tc>
        <w:tc>
          <w:tcPr>
            <w:tcW w:w="1280" w:type="dxa"/>
            <w:vAlign w:val="bottom"/>
          </w:tcPr>
          <w:p>
            <w:pPr>
              <w:jc w:val="center"/>
              <w:ind w:left="226"/>
              <w:spacing w:after="0"/>
              <w:rPr>
                <w:sz w:val="20"/>
                <w:szCs w:val="20"/>
                <w:color w:val="auto"/>
              </w:rPr>
            </w:pPr>
            <w:r>
              <w:rPr>
                <w:rFonts w:ascii="Arial" w:cs="Arial" w:eastAsia="Arial" w:hAnsi="Arial"/>
                <w:sz w:val="11"/>
                <w:szCs w:val="11"/>
                <w:color w:val="auto"/>
                <w:w w:val="97"/>
              </w:rPr>
              <w:t>-1.2%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Unrealized Profit or Losses</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(1,046,284)</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(668,717)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(691,921)</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3.5%</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7"/>
              </w:rPr>
              <w:t>-33.9%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1"/>
                <w:szCs w:val="11"/>
                <w:color w:val="auto"/>
              </w:rPr>
              <w:t>Investment in subsidiaries and others, net of unrealized</w:t>
            </w:r>
          </w:p>
        </w:tc>
        <w:tc>
          <w:tcPr>
            <w:tcW w:w="1000" w:type="dxa"/>
            <w:vAlign w:val="bottom"/>
            <w:vMerge w:val="restart"/>
          </w:tcPr>
          <w:p>
            <w:pPr>
              <w:jc w:val="center"/>
              <w:spacing w:after="0"/>
              <w:rPr>
                <w:sz w:val="20"/>
                <w:szCs w:val="20"/>
                <w:color w:val="auto"/>
              </w:rPr>
            </w:pPr>
            <w:r>
              <w:rPr>
                <w:rFonts w:ascii="Arial" w:cs="Arial" w:eastAsia="Arial" w:hAnsi="Arial"/>
                <w:sz w:val="11"/>
                <w:szCs w:val="11"/>
                <w:color w:val="auto"/>
                <w:w w:val="99"/>
              </w:rPr>
              <w:t>(2,613,563)</w:t>
            </w:r>
          </w:p>
        </w:tc>
        <w:tc>
          <w:tcPr>
            <w:tcW w:w="1000" w:type="dxa"/>
            <w:vAlign w:val="bottom"/>
            <w:vMerge w:val="restart"/>
          </w:tcPr>
          <w:p>
            <w:pPr>
              <w:jc w:val="center"/>
              <w:spacing w:after="0"/>
              <w:rPr>
                <w:sz w:val="20"/>
                <w:szCs w:val="20"/>
                <w:color w:val="auto"/>
              </w:rPr>
            </w:pPr>
            <w:r>
              <w:rPr>
                <w:rFonts w:ascii="Arial" w:cs="Arial" w:eastAsia="Arial" w:hAnsi="Arial"/>
                <w:sz w:val="11"/>
                <w:szCs w:val="11"/>
                <w:color w:val="auto"/>
                <w:w w:val="99"/>
              </w:rPr>
              <w:t>(2,772,786)</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5"/>
              </w:rPr>
              <w:t>(2,416,070)</w:t>
            </w:r>
          </w:p>
        </w:tc>
        <w:tc>
          <w:tcPr>
            <w:tcW w:w="720" w:type="dxa"/>
            <w:vAlign w:val="bottom"/>
            <w:vMerge w:val="restart"/>
          </w:tcPr>
          <w:p>
            <w:pPr>
              <w:jc w:val="center"/>
              <w:ind w:left="206"/>
              <w:spacing w:after="0"/>
              <w:rPr>
                <w:sz w:val="20"/>
                <w:szCs w:val="20"/>
                <w:color w:val="auto"/>
              </w:rPr>
            </w:pPr>
            <w:r>
              <w:rPr>
                <w:rFonts w:ascii="Arial" w:cs="Arial" w:eastAsia="Arial" w:hAnsi="Arial"/>
                <w:sz w:val="11"/>
                <w:szCs w:val="11"/>
                <w:color w:val="auto"/>
                <w:w w:val="97"/>
              </w:rPr>
              <w:t>-12.9%</w:t>
            </w:r>
          </w:p>
        </w:tc>
        <w:tc>
          <w:tcPr>
            <w:tcW w:w="1280" w:type="dxa"/>
            <w:vAlign w:val="bottom"/>
            <w:vMerge w:val="restart"/>
          </w:tcPr>
          <w:p>
            <w:pPr>
              <w:jc w:val="center"/>
              <w:ind w:left="226"/>
              <w:spacing w:after="0"/>
              <w:rPr>
                <w:sz w:val="20"/>
                <w:szCs w:val="20"/>
                <w:color w:val="auto"/>
              </w:rPr>
            </w:pPr>
            <w:r>
              <w:rPr>
                <w:rFonts w:ascii="Arial" w:cs="Arial" w:eastAsia="Arial" w:hAnsi="Arial"/>
                <w:sz w:val="11"/>
                <w:szCs w:val="11"/>
                <w:color w:val="auto"/>
                <w:w w:val="97"/>
              </w:rPr>
              <w:t>-7.6%</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300" w:type="dxa"/>
            <w:vAlign w:val="bottom"/>
            <w:tcBorders>
              <w:left w:val="single" w:sz="8" w:color="auto"/>
            </w:tcBorders>
            <w:vMerge w:val="restart"/>
          </w:tcPr>
          <w:p>
            <w:pPr>
              <w:ind w:left="40"/>
              <w:spacing w:after="0"/>
              <w:rPr>
                <w:sz w:val="20"/>
                <w:szCs w:val="20"/>
                <w:color w:val="auto"/>
              </w:rPr>
            </w:pPr>
            <w:r>
              <w:rPr>
                <w:rFonts w:ascii="Arial" w:cs="Arial" w:eastAsia="Arial" w:hAnsi="Arial"/>
                <w:sz w:val="11"/>
                <w:szCs w:val="11"/>
                <w:color w:val="auto"/>
              </w:rPr>
              <w:t>profit and net income in subsidiaries</w:t>
            </w:r>
          </w:p>
        </w:tc>
        <w:tc>
          <w:tcPr>
            <w:tcW w:w="50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300" w:type="dxa"/>
            <w:vAlign w:val="bottom"/>
            <w:tcBorders>
              <w:lef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Intangibles</w:t>
            </w:r>
          </w:p>
        </w:tc>
        <w:tc>
          <w:tcPr>
            <w:tcW w:w="500" w:type="dxa"/>
            <w:vAlign w:val="bottom"/>
            <w:tcBorders>
              <w:right w:val="single" w:sz="8" w:color="auto"/>
            </w:tcBorders>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(934,718)</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(1,294,279)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(1,209,735)</w:t>
            </w:r>
          </w:p>
        </w:tc>
        <w:tc>
          <w:tcPr>
            <w:tcW w:w="720" w:type="dxa"/>
            <w:vAlign w:val="bottom"/>
          </w:tcPr>
          <w:p>
            <w:pPr>
              <w:jc w:val="center"/>
              <w:ind w:left="186"/>
              <w:spacing w:after="0"/>
              <w:rPr>
                <w:sz w:val="20"/>
                <w:szCs w:val="20"/>
                <w:color w:val="auto"/>
              </w:rPr>
            </w:pPr>
            <w:r>
              <w:rPr>
                <w:rFonts w:ascii="Arial" w:cs="Arial" w:eastAsia="Arial" w:hAnsi="Arial"/>
                <w:sz w:val="11"/>
                <w:szCs w:val="11"/>
                <w:color w:val="auto"/>
                <w:w w:val="97"/>
              </w:rPr>
              <w:t>-6.5%</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6"/>
              </w:rPr>
              <w:t>29.4%</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Goodwill</w:t>
            </w:r>
          </w:p>
        </w:tc>
        <w:tc>
          <w:tcPr>
            <w:tcW w:w="5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(122,083)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(122,083)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(122,083)</w:t>
            </w:r>
          </w:p>
        </w:tc>
        <w:tc>
          <w:tcPr>
            <w:tcW w:w="72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0.0%</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0.0%</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Total Regulatory Capital</w:t>
            </w:r>
          </w:p>
        </w:tc>
        <w:tc>
          <w:tcPr>
            <w:tcW w:w="5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24,059,729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26,792,823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24,451,116</w:t>
            </w:r>
          </w:p>
        </w:tc>
        <w:tc>
          <w:tcPr>
            <w:tcW w:w="72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-8.7%</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1.6%</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Tier 1 Common Equity (2)</w:t>
            </w:r>
          </w:p>
        </w:tc>
        <w:tc>
          <w:tcPr>
            <w:tcW w:w="5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17,346,153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20,090,096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17,769,180</w:t>
            </w:r>
          </w:p>
        </w:tc>
        <w:tc>
          <w:tcPr>
            <w:tcW w:w="72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-11.6%</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2.4%</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Regulatory Tier 1 Capital (3)</w:t>
            </w:r>
          </w:p>
        </w:tc>
        <w:tc>
          <w:tcPr>
            <w:tcW w:w="5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17,346,153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20,090,096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17,769,180</w:t>
            </w:r>
          </w:p>
        </w:tc>
        <w:tc>
          <w:tcPr>
            <w:tcW w:w="72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-11.6%</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2.4%</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Regulatory Tier 2 Capital (4)</w:t>
            </w:r>
          </w:p>
        </w:tc>
        <w:tc>
          <w:tcPr>
            <w:tcW w:w="5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6,713,576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6,702,727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6,681,936</w:t>
            </w:r>
          </w:p>
        </w:tc>
        <w:tc>
          <w:tcPr>
            <w:tcW w:w="72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-0.3%</w:t>
            </w:r>
          </w:p>
        </w:tc>
        <w:tc>
          <w:tcPr>
            <w:tcW w:w="128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7"/>
              </w:rPr>
              <w:t>-0.5%</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00" w:type="dxa"/>
            <w:vAlign w:val="bottom"/>
            <w:tcBorders>
              <w:lef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Total risk-weighted assets</w:t>
            </w:r>
          </w:p>
        </w:tc>
        <w:tc>
          <w:tcPr>
            <w:tcW w:w="500" w:type="dxa"/>
            <w:vAlign w:val="bottom"/>
            <w:tcBorders>
              <w:right w:val="single" w:sz="8" w:color="auto"/>
            </w:tcBorders>
            <w:shd w:val="clear" w:color="auto" w:fill="2AD2C9"/>
          </w:tcPr>
          <w:p>
            <w:pPr>
              <w:spacing w:after="0"/>
              <w:rPr>
                <w:sz w:val="13"/>
                <w:szCs w:val="13"/>
                <w:color w:val="auto"/>
              </w:rPr>
            </w:pPr>
          </w:p>
        </w:tc>
        <w:tc>
          <w:tcPr>
            <w:tcW w:w="1000" w:type="dxa"/>
            <w:vAlign w:val="bottom"/>
            <w:shd w:val="clear" w:color="auto" w:fill="2AD2C9"/>
          </w:tcPr>
          <w:p>
            <w:pPr>
              <w:spacing w:after="0"/>
              <w:rPr>
                <w:sz w:val="13"/>
                <w:szCs w:val="13"/>
                <w:color w:val="auto"/>
              </w:rPr>
            </w:pPr>
          </w:p>
        </w:tc>
        <w:tc>
          <w:tcPr>
            <w:tcW w:w="1000" w:type="dxa"/>
            <w:vAlign w:val="bottom"/>
            <w:shd w:val="clear" w:color="auto" w:fill="2AD2C9"/>
          </w:tcPr>
          <w:p>
            <w:pPr>
              <w:ind w:left="320"/>
              <w:spacing w:after="0"/>
              <w:rPr>
                <w:sz w:val="20"/>
                <w:szCs w:val="20"/>
                <w:color w:val="auto"/>
              </w:rPr>
            </w:pPr>
            <w:r>
              <w:rPr>
                <w:rFonts w:ascii="Arial" w:cs="Arial" w:eastAsia="Arial" w:hAnsi="Arial"/>
                <w:sz w:val="11"/>
                <w:szCs w:val="11"/>
                <w:b w:val="1"/>
                <w:bCs w:val="1"/>
                <w:color w:val="FFFFFF"/>
              </w:rPr>
              <w:t>Quarter</w:t>
            </w:r>
          </w:p>
        </w:tc>
        <w:tc>
          <w:tcPr>
            <w:tcW w:w="1040" w:type="dxa"/>
            <w:vAlign w:val="bottom"/>
            <w:tcBorders>
              <w:right w:val="single" w:sz="8" w:color="auto"/>
            </w:tcBorders>
            <w:shd w:val="clear" w:color="auto" w:fill="2AD2C9"/>
          </w:tcPr>
          <w:p>
            <w:pPr>
              <w:spacing w:after="0"/>
              <w:rPr>
                <w:sz w:val="13"/>
                <w:szCs w:val="13"/>
                <w:color w:val="auto"/>
              </w:rPr>
            </w:pPr>
          </w:p>
        </w:tc>
        <w:tc>
          <w:tcPr>
            <w:tcW w:w="720" w:type="dxa"/>
            <w:vAlign w:val="bottom"/>
            <w:shd w:val="clear" w:color="auto" w:fill="2AD2C9"/>
          </w:tcPr>
          <w:p>
            <w:pPr>
              <w:spacing w:after="0"/>
              <w:rPr>
                <w:sz w:val="13"/>
                <w:szCs w:val="13"/>
                <w:color w:val="auto"/>
              </w:rPr>
            </w:pPr>
          </w:p>
        </w:tc>
        <w:tc>
          <w:tcPr>
            <w:tcW w:w="1280" w:type="dxa"/>
            <w:vAlign w:val="bottom"/>
            <w:shd w:val="clear" w:color="auto" w:fill="2AD2C9"/>
          </w:tcPr>
          <w:p>
            <w:pPr>
              <w:ind w:left="20"/>
              <w:spacing w:after="0"/>
              <w:rPr>
                <w:sz w:val="20"/>
                <w:szCs w:val="20"/>
                <w:color w:val="auto"/>
              </w:rPr>
            </w:pPr>
            <w:r>
              <w:rPr>
                <w:rFonts w:ascii="Arial" w:cs="Arial" w:eastAsia="Arial" w:hAnsi="Arial"/>
                <w:sz w:val="11"/>
                <w:szCs w:val="11"/>
                <w:b w:val="1"/>
                <w:bCs w:val="1"/>
                <w:color w:val="FFFFFF"/>
              </w:rPr>
              <w:t>Change %</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tcBorders>
            <w:shd w:val="clear" w:color="auto" w:fill="2AD2C9"/>
          </w:tcPr>
          <w:p>
            <w:pPr>
              <w:ind w:left="80"/>
              <w:spacing w:after="0"/>
              <w:rPr>
                <w:sz w:val="20"/>
                <w:szCs w:val="20"/>
                <w:color w:val="auto"/>
              </w:rPr>
            </w:pPr>
            <w:r>
              <w:rPr>
                <w:rFonts w:ascii="Arial" w:cs="Arial" w:eastAsia="Arial" w:hAnsi="Arial"/>
                <w:sz w:val="11"/>
                <w:szCs w:val="11"/>
                <w:color w:val="FFFFFF"/>
              </w:rPr>
              <w:t>(S/ thousand)</w:t>
            </w:r>
          </w:p>
        </w:tc>
        <w:tc>
          <w:tcPr>
            <w:tcW w:w="500" w:type="dxa"/>
            <w:vAlign w:val="bottom"/>
            <w:tcBorders>
              <w:bottom w:val="single" w:sz="8" w:color="auto"/>
              <w:right w:val="single" w:sz="8" w:color="auto"/>
            </w:tcBorders>
            <w:shd w:val="clear" w:color="auto" w:fill="2AD2C9"/>
          </w:tcPr>
          <w:p>
            <w:pPr>
              <w:spacing w:after="0"/>
              <w:rPr>
                <w:sz w:val="24"/>
                <w:szCs w:val="24"/>
                <w:color w:val="auto"/>
              </w:rPr>
            </w:pP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Mar 23</w:t>
            </w: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10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Mar 24</w:t>
            </w:r>
          </w:p>
        </w:tc>
        <w:tc>
          <w:tcPr>
            <w:tcW w:w="720" w:type="dxa"/>
            <w:vAlign w:val="bottom"/>
            <w:tcBorders>
              <w:bottom w:val="single" w:sz="8" w:color="auto"/>
            </w:tcBorders>
            <w:shd w:val="clear" w:color="auto" w:fill="2AD2C9"/>
          </w:tcPr>
          <w:p>
            <w:pPr>
              <w:jc w:val="center"/>
              <w:ind w:left="206"/>
              <w:spacing w:after="0"/>
              <w:rPr>
                <w:sz w:val="20"/>
                <w:szCs w:val="20"/>
                <w:color w:val="auto"/>
              </w:rPr>
            </w:pPr>
            <w:r>
              <w:rPr>
                <w:rFonts w:ascii="Arial" w:cs="Arial" w:eastAsia="Arial" w:hAnsi="Arial"/>
                <w:sz w:val="11"/>
                <w:szCs w:val="11"/>
                <w:b w:val="1"/>
                <w:bCs w:val="1"/>
                <w:color w:val="FFFFFF"/>
                <w:w w:val="92"/>
              </w:rPr>
              <w:t>QoQ</w:t>
            </w:r>
          </w:p>
        </w:tc>
        <w:tc>
          <w:tcPr>
            <w:tcW w:w="1280" w:type="dxa"/>
            <w:vAlign w:val="bottom"/>
            <w:tcBorders>
              <w:bottom w:val="single" w:sz="8" w:color="auto"/>
            </w:tcBorders>
            <w:shd w:val="clear" w:color="auto" w:fill="2AD2C9"/>
          </w:tcPr>
          <w:p>
            <w:pPr>
              <w:jc w:val="center"/>
              <w:ind w:left="226"/>
              <w:spacing w:after="0"/>
              <w:rPr>
                <w:sz w:val="20"/>
                <w:szCs w:val="20"/>
                <w:color w:val="auto"/>
              </w:rPr>
            </w:pPr>
            <w:r>
              <w:rPr>
                <w:rFonts w:ascii="Arial" w:cs="Arial" w:eastAsia="Arial" w:hAnsi="Arial"/>
                <w:sz w:val="11"/>
                <w:szCs w:val="11"/>
                <w:b w:val="1"/>
                <w:bCs w:val="1"/>
                <w:color w:val="FFFFFF"/>
                <w:w w:val="93"/>
              </w:rPr>
              <w:t>YoY</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Market risk-weighted assets (5)</w:t>
            </w:r>
          </w:p>
        </w:tc>
        <w:tc>
          <w:tcPr>
            <w:tcW w:w="500" w:type="dxa"/>
            <w:vAlign w:val="bottom"/>
            <w:tcBorders>
              <w:right w:val="single" w:sz="8" w:color="auto"/>
            </w:tcBorders>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1,715,934</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2,680,010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3,032,546</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13.2%</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6"/>
              </w:rPr>
              <w:t>76.7%</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Credit risk-weighted assets</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129,623,885</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134,427,146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131,793,619</w:t>
            </w:r>
          </w:p>
        </w:tc>
        <w:tc>
          <w:tcPr>
            <w:tcW w:w="720" w:type="dxa"/>
            <w:vAlign w:val="bottom"/>
          </w:tcPr>
          <w:p>
            <w:pPr>
              <w:jc w:val="center"/>
              <w:ind w:left="186"/>
              <w:spacing w:after="0"/>
              <w:rPr>
                <w:sz w:val="20"/>
                <w:szCs w:val="20"/>
                <w:color w:val="auto"/>
              </w:rPr>
            </w:pPr>
            <w:r>
              <w:rPr>
                <w:rFonts w:ascii="Arial" w:cs="Arial" w:eastAsia="Arial" w:hAnsi="Arial"/>
                <w:sz w:val="11"/>
                <w:szCs w:val="11"/>
                <w:color w:val="auto"/>
                <w:w w:val="97"/>
              </w:rPr>
              <w:t>-2.0%</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rPr>
              <w:t>1.7%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Operational risk-weighted assets</w:t>
            </w:r>
          </w:p>
        </w:tc>
        <w:tc>
          <w:tcPr>
            <w:tcW w:w="5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14,880,988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16,365,974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16,842,059</w:t>
            </w:r>
          </w:p>
        </w:tc>
        <w:tc>
          <w:tcPr>
            <w:tcW w:w="72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2.9%</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w w:val="96"/>
              </w:rPr>
              <w:t>13.2%</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Total</w:t>
            </w:r>
          </w:p>
        </w:tc>
        <w:tc>
          <w:tcPr>
            <w:tcW w:w="5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146,220,807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153,473,130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151,668,224</w:t>
            </w:r>
          </w:p>
        </w:tc>
        <w:tc>
          <w:tcPr>
            <w:tcW w:w="72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-1.2%</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rPr>
              <w:t>3.7%</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00" w:type="dxa"/>
            <w:vAlign w:val="bottom"/>
            <w:tcBorders>
              <w:lef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Capital requirement</w:t>
            </w:r>
          </w:p>
        </w:tc>
        <w:tc>
          <w:tcPr>
            <w:tcW w:w="500" w:type="dxa"/>
            <w:vAlign w:val="bottom"/>
            <w:tcBorders>
              <w:right w:val="single" w:sz="8" w:color="auto"/>
            </w:tcBorders>
            <w:shd w:val="clear" w:color="auto" w:fill="2AD2C9"/>
          </w:tcPr>
          <w:p>
            <w:pPr>
              <w:spacing w:after="0"/>
              <w:rPr>
                <w:sz w:val="13"/>
                <w:szCs w:val="13"/>
                <w:color w:val="auto"/>
              </w:rPr>
            </w:pPr>
          </w:p>
        </w:tc>
        <w:tc>
          <w:tcPr>
            <w:tcW w:w="1000" w:type="dxa"/>
            <w:vAlign w:val="bottom"/>
            <w:shd w:val="clear" w:color="auto" w:fill="2AD2C9"/>
          </w:tcPr>
          <w:p>
            <w:pPr>
              <w:spacing w:after="0"/>
              <w:rPr>
                <w:sz w:val="13"/>
                <w:szCs w:val="13"/>
                <w:color w:val="auto"/>
              </w:rPr>
            </w:pPr>
          </w:p>
        </w:tc>
        <w:tc>
          <w:tcPr>
            <w:tcW w:w="1000" w:type="dxa"/>
            <w:vAlign w:val="bottom"/>
            <w:shd w:val="clear" w:color="auto" w:fill="2AD2C9"/>
          </w:tcPr>
          <w:p>
            <w:pPr>
              <w:ind w:left="320"/>
              <w:spacing w:after="0"/>
              <w:rPr>
                <w:sz w:val="20"/>
                <w:szCs w:val="20"/>
                <w:color w:val="auto"/>
              </w:rPr>
            </w:pPr>
            <w:r>
              <w:rPr>
                <w:rFonts w:ascii="Arial" w:cs="Arial" w:eastAsia="Arial" w:hAnsi="Arial"/>
                <w:sz w:val="11"/>
                <w:szCs w:val="11"/>
                <w:b w:val="1"/>
                <w:bCs w:val="1"/>
                <w:color w:val="FFFFFF"/>
              </w:rPr>
              <w:t>Quarter</w:t>
            </w:r>
          </w:p>
        </w:tc>
        <w:tc>
          <w:tcPr>
            <w:tcW w:w="1040" w:type="dxa"/>
            <w:vAlign w:val="bottom"/>
            <w:tcBorders>
              <w:right w:val="single" w:sz="8" w:color="auto"/>
            </w:tcBorders>
            <w:shd w:val="clear" w:color="auto" w:fill="2AD2C9"/>
          </w:tcPr>
          <w:p>
            <w:pPr>
              <w:spacing w:after="0"/>
              <w:rPr>
                <w:sz w:val="13"/>
                <w:szCs w:val="13"/>
                <w:color w:val="auto"/>
              </w:rPr>
            </w:pPr>
          </w:p>
        </w:tc>
        <w:tc>
          <w:tcPr>
            <w:tcW w:w="720" w:type="dxa"/>
            <w:vAlign w:val="bottom"/>
            <w:shd w:val="clear" w:color="auto" w:fill="2AD2C9"/>
          </w:tcPr>
          <w:p>
            <w:pPr>
              <w:spacing w:after="0"/>
              <w:rPr>
                <w:sz w:val="13"/>
                <w:szCs w:val="13"/>
                <w:color w:val="auto"/>
              </w:rPr>
            </w:pPr>
          </w:p>
        </w:tc>
        <w:tc>
          <w:tcPr>
            <w:tcW w:w="1280" w:type="dxa"/>
            <w:vAlign w:val="bottom"/>
            <w:shd w:val="clear" w:color="auto" w:fill="2AD2C9"/>
          </w:tcPr>
          <w:p>
            <w:pPr>
              <w:ind w:left="20"/>
              <w:spacing w:after="0"/>
              <w:rPr>
                <w:sz w:val="20"/>
                <w:szCs w:val="20"/>
                <w:color w:val="auto"/>
              </w:rPr>
            </w:pPr>
            <w:r>
              <w:rPr>
                <w:rFonts w:ascii="Arial" w:cs="Arial" w:eastAsia="Arial" w:hAnsi="Arial"/>
                <w:sz w:val="11"/>
                <w:szCs w:val="11"/>
                <w:b w:val="1"/>
                <w:bCs w:val="1"/>
                <w:color w:val="FFFFFF"/>
              </w:rPr>
              <w:t>Change %</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auto"/>
              <w:bottom w:val="single" w:sz="8" w:color="auto"/>
            </w:tcBorders>
            <w:shd w:val="clear" w:color="auto" w:fill="2AD2C9"/>
          </w:tcPr>
          <w:p>
            <w:pPr>
              <w:ind w:left="80"/>
              <w:spacing w:after="0"/>
              <w:rPr>
                <w:sz w:val="20"/>
                <w:szCs w:val="20"/>
                <w:color w:val="auto"/>
              </w:rPr>
            </w:pPr>
            <w:r>
              <w:rPr>
                <w:rFonts w:ascii="Arial" w:cs="Arial" w:eastAsia="Arial" w:hAnsi="Arial"/>
                <w:sz w:val="11"/>
                <w:szCs w:val="11"/>
                <w:color w:val="FFFFFF"/>
              </w:rPr>
              <w:t>(S/ thousand)</w:t>
            </w:r>
          </w:p>
        </w:tc>
        <w:tc>
          <w:tcPr>
            <w:tcW w:w="500" w:type="dxa"/>
            <w:vAlign w:val="bottom"/>
            <w:tcBorders>
              <w:bottom w:val="single" w:sz="8" w:color="auto"/>
              <w:right w:val="single" w:sz="8" w:color="auto"/>
            </w:tcBorders>
            <w:shd w:val="clear" w:color="auto" w:fill="2AD2C9"/>
          </w:tcPr>
          <w:p>
            <w:pPr>
              <w:spacing w:after="0"/>
              <w:rPr>
                <w:sz w:val="24"/>
                <w:szCs w:val="24"/>
                <w:color w:val="auto"/>
              </w:rPr>
            </w:pP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Mar 23</w:t>
            </w: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10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Mar 24</w:t>
            </w:r>
          </w:p>
        </w:tc>
        <w:tc>
          <w:tcPr>
            <w:tcW w:w="720" w:type="dxa"/>
            <w:vAlign w:val="bottom"/>
            <w:tcBorders>
              <w:bottom w:val="single" w:sz="8" w:color="auto"/>
            </w:tcBorders>
            <w:shd w:val="clear" w:color="auto" w:fill="2AD2C9"/>
          </w:tcPr>
          <w:p>
            <w:pPr>
              <w:jc w:val="center"/>
              <w:ind w:left="206"/>
              <w:spacing w:after="0"/>
              <w:rPr>
                <w:sz w:val="20"/>
                <w:szCs w:val="20"/>
                <w:color w:val="auto"/>
              </w:rPr>
            </w:pPr>
            <w:r>
              <w:rPr>
                <w:rFonts w:ascii="Arial" w:cs="Arial" w:eastAsia="Arial" w:hAnsi="Arial"/>
                <w:sz w:val="11"/>
                <w:szCs w:val="11"/>
                <w:b w:val="1"/>
                <w:bCs w:val="1"/>
                <w:color w:val="FFFFFF"/>
                <w:w w:val="92"/>
              </w:rPr>
              <w:t>QoQ</w:t>
            </w:r>
          </w:p>
        </w:tc>
        <w:tc>
          <w:tcPr>
            <w:tcW w:w="1280" w:type="dxa"/>
            <w:vAlign w:val="bottom"/>
            <w:tcBorders>
              <w:bottom w:val="single" w:sz="8" w:color="auto"/>
            </w:tcBorders>
            <w:shd w:val="clear" w:color="auto" w:fill="2AD2C9"/>
          </w:tcPr>
          <w:p>
            <w:pPr>
              <w:jc w:val="center"/>
              <w:ind w:left="226"/>
              <w:spacing w:after="0"/>
              <w:rPr>
                <w:sz w:val="20"/>
                <w:szCs w:val="20"/>
                <w:color w:val="auto"/>
              </w:rPr>
            </w:pPr>
            <w:r>
              <w:rPr>
                <w:rFonts w:ascii="Arial" w:cs="Arial" w:eastAsia="Arial" w:hAnsi="Arial"/>
                <w:sz w:val="11"/>
                <w:szCs w:val="11"/>
                <w:b w:val="1"/>
                <w:bCs w:val="1"/>
                <w:color w:val="FFFFFF"/>
                <w:w w:val="93"/>
              </w:rPr>
              <w:t>YoY</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Market risk capital requirement (5)</w:t>
            </w:r>
          </w:p>
        </w:tc>
        <w:tc>
          <w:tcPr>
            <w:tcW w:w="500" w:type="dxa"/>
            <w:vAlign w:val="bottom"/>
            <w:tcBorders>
              <w:right w:val="single" w:sz="8" w:color="auto"/>
            </w:tcBorders>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171,589</w:t>
            </w:r>
          </w:p>
        </w:tc>
        <w:tc>
          <w:tcPr>
            <w:tcW w:w="1000" w:type="dxa"/>
            <w:vAlign w:val="bottom"/>
          </w:tcPr>
          <w:p>
            <w:pPr>
              <w:jc w:val="center"/>
              <w:spacing w:after="0"/>
              <w:rPr>
                <w:sz w:val="20"/>
                <w:szCs w:val="20"/>
                <w:color w:val="auto"/>
              </w:rPr>
            </w:pPr>
            <w:r>
              <w:rPr>
                <w:rFonts w:ascii="Arial" w:cs="Arial" w:eastAsia="Arial" w:hAnsi="Arial"/>
                <w:sz w:val="11"/>
                <w:szCs w:val="11"/>
                <w:color w:val="auto"/>
              </w:rPr>
              <w:t>268,001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303,255</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6"/>
              </w:rPr>
              <w:t>13.2%</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6"/>
              </w:rPr>
              <w:t>76.7%</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Credit risk capital requirement</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4"/>
              </w:rPr>
              <w:t>11,018,030</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12,098,443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11,861,426</w:t>
            </w:r>
          </w:p>
        </w:tc>
        <w:tc>
          <w:tcPr>
            <w:tcW w:w="720" w:type="dxa"/>
            <w:vAlign w:val="bottom"/>
          </w:tcPr>
          <w:p>
            <w:pPr>
              <w:jc w:val="center"/>
              <w:ind w:left="186"/>
              <w:spacing w:after="0"/>
              <w:rPr>
                <w:sz w:val="20"/>
                <w:szCs w:val="20"/>
                <w:color w:val="auto"/>
              </w:rPr>
            </w:pPr>
            <w:r>
              <w:rPr>
                <w:rFonts w:ascii="Arial" w:cs="Arial" w:eastAsia="Arial" w:hAnsi="Arial"/>
                <w:sz w:val="11"/>
                <w:szCs w:val="11"/>
                <w:color w:val="auto"/>
                <w:w w:val="97"/>
              </w:rPr>
              <w:t>-2.0%</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rPr>
              <w:t>7.7%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30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Operational risk capital requirement</w:t>
            </w:r>
          </w:p>
        </w:tc>
        <w:tc>
          <w:tcPr>
            <w:tcW w:w="500" w:type="dxa"/>
            <w:vAlign w:val="bottom"/>
            <w:tcBorders>
              <w:right w:val="single" w:sz="8" w:color="auto"/>
            </w:tcBorders>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1,488,062</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1,636,597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1,684,206</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rPr>
              <w:t>2.9%</w:t>
            </w:r>
          </w:p>
        </w:tc>
        <w:tc>
          <w:tcPr>
            <w:tcW w:w="1280" w:type="dxa"/>
            <w:vAlign w:val="bottom"/>
          </w:tcPr>
          <w:p>
            <w:pPr>
              <w:jc w:val="center"/>
              <w:ind w:left="206"/>
              <w:spacing w:after="0"/>
              <w:rPr>
                <w:sz w:val="20"/>
                <w:szCs w:val="20"/>
                <w:color w:val="auto"/>
              </w:rPr>
            </w:pPr>
            <w:r>
              <w:rPr>
                <w:rFonts w:ascii="Arial" w:cs="Arial" w:eastAsia="Arial" w:hAnsi="Arial"/>
                <w:sz w:val="11"/>
                <w:szCs w:val="11"/>
                <w:color w:val="auto"/>
                <w:w w:val="96"/>
              </w:rPr>
              <w:t>13.2%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color w:val="auto"/>
              </w:rPr>
              <w:t>Additional capital requirements</w:t>
            </w:r>
          </w:p>
        </w:tc>
        <w:tc>
          <w:tcPr>
            <w:tcW w:w="5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3,534,427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5,383,837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5,418,896</w:t>
            </w:r>
          </w:p>
        </w:tc>
        <w:tc>
          <w:tcPr>
            <w:tcW w:w="72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rPr>
              <w:t>0.7%</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w w:val="96"/>
              </w:rPr>
              <w:t>53.3%</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Total</w:t>
            </w:r>
          </w:p>
        </w:tc>
        <w:tc>
          <w:tcPr>
            <w:tcW w:w="5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16,212,108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19,386,878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19,267,782</w:t>
            </w:r>
          </w:p>
        </w:tc>
        <w:tc>
          <w:tcPr>
            <w:tcW w:w="72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-0.6%</w:t>
            </w:r>
          </w:p>
        </w:tc>
        <w:tc>
          <w:tcPr>
            <w:tcW w:w="12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18.8%</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2300" w:type="dxa"/>
            <w:vAlign w:val="bottom"/>
          </w:tcPr>
          <w:p>
            <w:pPr>
              <w:spacing w:after="0"/>
              <w:rPr>
                <w:sz w:val="24"/>
                <w:szCs w:val="24"/>
                <w:color w:val="auto"/>
              </w:rPr>
            </w:pPr>
          </w:p>
        </w:tc>
        <w:tc>
          <w:tcPr>
            <w:tcW w:w="3540" w:type="dxa"/>
            <w:vAlign w:val="bottom"/>
            <w:gridSpan w:val="4"/>
          </w:tcPr>
          <w:p>
            <w:pPr>
              <w:ind w:left="320"/>
              <w:spacing w:after="0"/>
              <w:rPr>
                <w:sz w:val="20"/>
                <w:szCs w:val="20"/>
                <w:color w:val="auto"/>
              </w:rPr>
            </w:pPr>
            <w:r>
              <w:rPr>
                <w:rFonts w:ascii="Arial" w:cs="Arial" w:eastAsia="Arial" w:hAnsi="Arial"/>
                <w:sz w:val="14"/>
                <w:szCs w:val="14"/>
                <w:b w:val="1"/>
                <w:bCs w:val="1"/>
                <w:color w:val="auto"/>
              </w:rPr>
              <w:t>Capital Ratios under Local Regulation</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00" w:type="dxa"/>
            <w:vAlign w:val="bottom"/>
            <w:tcBorders>
              <w:left w:val="single" w:sz="8" w:color="2AD2C9"/>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Capital ratios under Local Regulation</w:t>
            </w:r>
          </w:p>
        </w:tc>
        <w:tc>
          <w:tcPr>
            <w:tcW w:w="500" w:type="dxa"/>
            <w:vAlign w:val="bottom"/>
            <w:tcBorders>
              <w:right w:val="single" w:sz="8" w:color="2AD2C9"/>
            </w:tcBorders>
            <w:shd w:val="clear" w:color="auto" w:fill="2AD2C9"/>
          </w:tcPr>
          <w:p>
            <w:pPr>
              <w:spacing w:after="0"/>
              <w:rPr>
                <w:sz w:val="13"/>
                <w:szCs w:val="13"/>
                <w:color w:val="auto"/>
              </w:rPr>
            </w:pPr>
          </w:p>
        </w:tc>
        <w:tc>
          <w:tcPr>
            <w:tcW w:w="1000" w:type="dxa"/>
            <w:vAlign w:val="bottom"/>
            <w:shd w:val="clear" w:color="auto" w:fill="2AD2C9"/>
          </w:tcPr>
          <w:p>
            <w:pPr>
              <w:spacing w:after="0"/>
              <w:rPr>
                <w:sz w:val="13"/>
                <w:szCs w:val="13"/>
                <w:color w:val="auto"/>
              </w:rPr>
            </w:pPr>
          </w:p>
        </w:tc>
        <w:tc>
          <w:tcPr>
            <w:tcW w:w="1000" w:type="dxa"/>
            <w:vAlign w:val="bottom"/>
            <w:shd w:val="clear" w:color="auto" w:fill="2AD2C9"/>
          </w:tcPr>
          <w:p>
            <w:pPr>
              <w:ind w:left="320"/>
              <w:spacing w:after="0"/>
              <w:rPr>
                <w:sz w:val="20"/>
                <w:szCs w:val="20"/>
                <w:color w:val="auto"/>
              </w:rPr>
            </w:pPr>
            <w:r>
              <w:rPr>
                <w:rFonts w:ascii="Arial" w:cs="Arial" w:eastAsia="Arial" w:hAnsi="Arial"/>
                <w:sz w:val="11"/>
                <w:szCs w:val="11"/>
                <w:b w:val="1"/>
                <w:bCs w:val="1"/>
                <w:color w:val="FFFFFF"/>
              </w:rPr>
              <w:t>Quarter</w:t>
            </w:r>
          </w:p>
        </w:tc>
        <w:tc>
          <w:tcPr>
            <w:tcW w:w="1040" w:type="dxa"/>
            <w:vAlign w:val="bottom"/>
            <w:tcBorders>
              <w:right w:val="single" w:sz="8" w:color="2AD2C9"/>
            </w:tcBorders>
            <w:shd w:val="clear" w:color="auto" w:fill="2AD2C9"/>
          </w:tcPr>
          <w:p>
            <w:pPr>
              <w:spacing w:after="0"/>
              <w:rPr>
                <w:sz w:val="13"/>
                <w:szCs w:val="13"/>
                <w:color w:val="auto"/>
              </w:rPr>
            </w:pPr>
          </w:p>
        </w:tc>
        <w:tc>
          <w:tcPr>
            <w:tcW w:w="720" w:type="dxa"/>
            <w:vAlign w:val="bottom"/>
            <w:shd w:val="clear" w:color="auto" w:fill="2AD2C9"/>
          </w:tcPr>
          <w:p>
            <w:pPr>
              <w:spacing w:after="0"/>
              <w:rPr>
                <w:sz w:val="13"/>
                <w:szCs w:val="13"/>
                <w:color w:val="auto"/>
              </w:rPr>
            </w:pPr>
          </w:p>
        </w:tc>
        <w:tc>
          <w:tcPr>
            <w:tcW w:w="1280" w:type="dxa"/>
            <w:vAlign w:val="bottom"/>
            <w:shd w:val="clear" w:color="auto" w:fill="2AD2C9"/>
          </w:tcPr>
          <w:p>
            <w:pPr>
              <w:ind w:left="20"/>
              <w:spacing w:after="0"/>
              <w:rPr>
                <w:sz w:val="20"/>
                <w:szCs w:val="20"/>
                <w:color w:val="auto"/>
              </w:rPr>
            </w:pPr>
            <w:r>
              <w:rPr>
                <w:rFonts w:ascii="Arial" w:cs="Arial" w:eastAsia="Arial" w:hAnsi="Arial"/>
                <w:sz w:val="11"/>
                <w:szCs w:val="11"/>
                <w:b w:val="1"/>
                <w:bCs w:val="1"/>
                <w:color w:val="FFFFFF"/>
              </w:rPr>
              <w:t>% 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2AD2C9"/>
              <w:bottom w:val="single" w:sz="8" w:color="auto"/>
            </w:tcBorders>
            <w:shd w:val="clear" w:color="auto" w:fill="2AD2C9"/>
          </w:tcPr>
          <w:p>
            <w:pPr>
              <w:ind w:left="40"/>
              <w:spacing w:after="0"/>
              <w:rPr>
                <w:sz w:val="20"/>
                <w:szCs w:val="20"/>
                <w:color w:val="auto"/>
              </w:rPr>
            </w:pPr>
            <w:r>
              <w:rPr>
                <w:rFonts w:ascii="Arial" w:cs="Arial" w:eastAsia="Arial" w:hAnsi="Arial"/>
                <w:sz w:val="11"/>
                <w:szCs w:val="11"/>
                <w:color w:val="FFFFFF"/>
              </w:rPr>
              <w:t>(S/. thousand)</w:t>
            </w:r>
          </w:p>
        </w:tc>
        <w:tc>
          <w:tcPr>
            <w:tcW w:w="500" w:type="dxa"/>
            <w:vAlign w:val="bottom"/>
            <w:tcBorders>
              <w:bottom w:val="single" w:sz="8" w:color="auto"/>
              <w:right w:val="single" w:sz="8" w:color="2AD2C9"/>
            </w:tcBorders>
            <w:shd w:val="clear" w:color="auto" w:fill="2AD2C9"/>
          </w:tcPr>
          <w:p>
            <w:pPr>
              <w:spacing w:after="0"/>
              <w:rPr>
                <w:sz w:val="24"/>
                <w:szCs w:val="24"/>
                <w:color w:val="auto"/>
              </w:rPr>
            </w:pP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Mar 23</w:t>
            </w: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Dec 23</w:t>
            </w:r>
          </w:p>
        </w:tc>
        <w:tc>
          <w:tcPr>
            <w:tcW w:w="1040" w:type="dxa"/>
            <w:vAlign w:val="bottom"/>
            <w:tcBorders>
              <w:bottom w:val="single" w:sz="8" w:color="auto"/>
              <w:right w:val="single" w:sz="8" w:color="2AD2C9"/>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Mar 24</w:t>
            </w:r>
          </w:p>
        </w:tc>
        <w:tc>
          <w:tcPr>
            <w:tcW w:w="720" w:type="dxa"/>
            <w:vAlign w:val="bottom"/>
            <w:tcBorders>
              <w:bottom w:val="single" w:sz="8" w:color="auto"/>
            </w:tcBorders>
            <w:shd w:val="clear" w:color="auto" w:fill="2AD2C9"/>
          </w:tcPr>
          <w:p>
            <w:pPr>
              <w:jc w:val="center"/>
              <w:ind w:left="206"/>
              <w:spacing w:after="0"/>
              <w:rPr>
                <w:sz w:val="20"/>
                <w:szCs w:val="20"/>
                <w:color w:val="auto"/>
              </w:rPr>
            </w:pPr>
            <w:r>
              <w:rPr>
                <w:rFonts w:ascii="Arial" w:cs="Arial" w:eastAsia="Arial" w:hAnsi="Arial"/>
                <w:sz w:val="11"/>
                <w:szCs w:val="11"/>
                <w:b w:val="1"/>
                <w:bCs w:val="1"/>
                <w:color w:val="FFFFFF"/>
                <w:w w:val="92"/>
              </w:rPr>
              <w:t>QoQ</w:t>
            </w:r>
          </w:p>
        </w:tc>
        <w:tc>
          <w:tcPr>
            <w:tcW w:w="1280" w:type="dxa"/>
            <w:vAlign w:val="bottom"/>
            <w:tcBorders>
              <w:bottom w:val="single" w:sz="8" w:color="auto"/>
            </w:tcBorders>
            <w:shd w:val="clear" w:color="auto" w:fill="2AD2C9"/>
          </w:tcPr>
          <w:p>
            <w:pPr>
              <w:jc w:val="center"/>
              <w:ind w:left="226"/>
              <w:spacing w:after="0"/>
              <w:rPr>
                <w:sz w:val="20"/>
                <w:szCs w:val="20"/>
                <w:color w:val="auto"/>
              </w:rPr>
            </w:pPr>
            <w:r>
              <w:rPr>
                <w:rFonts w:ascii="Arial" w:cs="Arial" w:eastAsia="Arial" w:hAnsi="Arial"/>
                <w:sz w:val="11"/>
                <w:szCs w:val="11"/>
                <w:b w:val="1"/>
                <w:bCs w:val="1"/>
                <w:color w:val="FFFFFF"/>
                <w:w w:val="93"/>
              </w:rPr>
              <w:t>YoY</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00" w:type="dxa"/>
            <w:vAlign w:val="bottom"/>
          </w:tcPr>
          <w:p>
            <w:pPr>
              <w:ind w:left="40"/>
              <w:spacing w:after="0"/>
              <w:rPr>
                <w:sz w:val="20"/>
                <w:szCs w:val="20"/>
                <w:color w:val="auto"/>
              </w:rPr>
            </w:pPr>
            <w:r>
              <w:rPr>
                <w:rFonts w:ascii="Arial" w:cs="Arial" w:eastAsia="Arial" w:hAnsi="Arial"/>
                <w:sz w:val="11"/>
                <w:szCs w:val="11"/>
                <w:b w:val="1"/>
                <w:bCs w:val="1"/>
                <w:color w:val="auto"/>
              </w:rPr>
              <w:t>Common Equity Tier 1 ratio</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11.86%</w:t>
            </w: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13.09%</w:t>
            </w:r>
          </w:p>
        </w:tc>
        <w:tc>
          <w:tcPr>
            <w:tcW w:w="1040" w:type="dxa"/>
            <w:vAlign w:val="bottom"/>
          </w:tcPr>
          <w:p>
            <w:pPr>
              <w:jc w:val="center"/>
              <w:spacing w:after="0"/>
              <w:rPr>
                <w:sz w:val="20"/>
                <w:szCs w:val="20"/>
                <w:color w:val="auto"/>
              </w:rPr>
            </w:pPr>
            <w:r>
              <w:rPr>
                <w:rFonts w:ascii="Arial" w:cs="Arial" w:eastAsia="Arial" w:hAnsi="Arial"/>
                <w:sz w:val="11"/>
                <w:szCs w:val="11"/>
                <w:color w:val="auto"/>
                <w:w w:val="96"/>
              </w:rPr>
              <w:t>11.72%</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8"/>
              </w:rPr>
              <w:t>-137 bps</w:t>
            </w:r>
          </w:p>
        </w:tc>
        <w:tc>
          <w:tcPr>
            <w:tcW w:w="1280" w:type="dxa"/>
            <w:vAlign w:val="bottom"/>
          </w:tcPr>
          <w:p>
            <w:pPr>
              <w:jc w:val="center"/>
              <w:ind w:left="226"/>
              <w:spacing w:after="0"/>
              <w:rPr>
                <w:sz w:val="20"/>
                <w:szCs w:val="20"/>
                <w:color w:val="auto"/>
              </w:rPr>
            </w:pPr>
            <w:r>
              <w:rPr>
                <w:rFonts w:ascii="Arial" w:cs="Arial" w:eastAsia="Arial" w:hAnsi="Arial"/>
                <w:sz w:val="11"/>
                <w:szCs w:val="11"/>
                <w:color w:val="auto"/>
                <w:w w:val="97"/>
              </w:rPr>
              <w:t>-15 bps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300" w:type="dxa"/>
            <w:vAlign w:val="bottom"/>
          </w:tcPr>
          <w:p>
            <w:pPr>
              <w:ind w:left="40"/>
              <w:spacing w:after="0"/>
              <w:rPr>
                <w:sz w:val="20"/>
                <w:szCs w:val="20"/>
                <w:color w:val="auto"/>
              </w:rPr>
            </w:pPr>
            <w:r>
              <w:rPr>
                <w:rFonts w:ascii="Arial" w:cs="Arial" w:eastAsia="Arial" w:hAnsi="Arial"/>
                <w:sz w:val="11"/>
                <w:szCs w:val="11"/>
                <w:b w:val="1"/>
                <w:bCs w:val="1"/>
                <w:color w:val="auto"/>
              </w:rPr>
              <w:t>Tier 1 Capital ratio</w:t>
            </w:r>
          </w:p>
        </w:tc>
        <w:tc>
          <w:tcPr>
            <w:tcW w:w="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11.86%</w:t>
            </w: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13.09%</w:t>
            </w:r>
          </w:p>
        </w:tc>
        <w:tc>
          <w:tcPr>
            <w:tcW w:w="1040" w:type="dxa"/>
            <w:vAlign w:val="bottom"/>
          </w:tcPr>
          <w:p>
            <w:pPr>
              <w:jc w:val="center"/>
              <w:spacing w:after="0"/>
              <w:rPr>
                <w:sz w:val="20"/>
                <w:szCs w:val="20"/>
                <w:color w:val="auto"/>
              </w:rPr>
            </w:pPr>
            <w:r>
              <w:rPr>
                <w:rFonts w:ascii="Arial" w:cs="Arial" w:eastAsia="Arial" w:hAnsi="Arial"/>
                <w:sz w:val="11"/>
                <w:szCs w:val="11"/>
                <w:color w:val="auto"/>
                <w:w w:val="96"/>
              </w:rPr>
              <w:t>11.72%</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8"/>
              </w:rPr>
              <w:t>-137 bps</w:t>
            </w:r>
          </w:p>
        </w:tc>
        <w:tc>
          <w:tcPr>
            <w:tcW w:w="1280" w:type="dxa"/>
            <w:vAlign w:val="bottom"/>
          </w:tcPr>
          <w:p>
            <w:pPr>
              <w:jc w:val="center"/>
              <w:ind w:left="226"/>
              <w:spacing w:after="0"/>
              <w:rPr>
                <w:sz w:val="20"/>
                <w:szCs w:val="20"/>
                <w:color w:val="auto"/>
              </w:rPr>
            </w:pPr>
            <w:r>
              <w:rPr>
                <w:rFonts w:ascii="Arial" w:cs="Arial" w:eastAsia="Arial" w:hAnsi="Arial"/>
                <w:sz w:val="11"/>
                <w:szCs w:val="11"/>
                <w:color w:val="auto"/>
                <w:w w:val="97"/>
              </w:rPr>
              <w:t>-15 bps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00" w:type="dxa"/>
            <w:vAlign w:val="bottom"/>
          </w:tcPr>
          <w:p>
            <w:pPr>
              <w:ind w:left="40"/>
              <w:spacing w:after="0"/>
              <w:rPr>
                <w:sz w:val="20"/>
                <w:szCs w:val="20"/>
                <w:color w:val="auto"/>
              </w:rPr>
            </w:pPr>
            <w:r>
              <w:rPr>
                <w:rFonts w:ascii="Arial" w:cs="Arial" w:eastAsia="Arial" w:hAnsi="Arial"/>
                <w:sz w:val="11"/>
                <w:szCs w:val="11"/>
                <w:b w:val="1"/>
                <w:bCs w:val="1"/>
                <w:color w:val="auto"/>
              </w:rPr>
              <w:t>Regulatory Global Capital ratio</w:t>
            </w:r>
          </w:p>
        </w:tc>
        <w:tc>
          <w:tcPr>
            <w:tcW w:w="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16.45%</w:t>
            </w: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17.46%</w:t>
            </w:r>
          </w:p>
        </w:tc>
        <w:tc>
          <w:tcPr>
            <w:tcW w:w="1040" w:type="dxa"/>
            <w:vAlign w:val="bottom"/>
          </w:tcPr>
          <w:p>
            <w:pPr>
              <w:jc w:val="center"/>
              <w:spacing w:after="0"/>
              <w:rPr>
                <w:sz w:val="20"/>
                <w:szCs w:val="20"/>
                <w:color w:val="auto"/>
              </w:rPr>
            </w:pPr>
            <w:r>
              <w:rPr>
                <w:rFonts w:ascii="Arial" w:cs="Arial" w:eastAsia="Arial" w:hAnsi="Arial"/>
                <w:sz w:val="11"/>
                <w:szCs w:val="11"/>
                <w:color w:val="auto"/>
              </w:rPr>
              <w:t>16.12%</w:t>
            </w:r>
          </w:p>
        </w:tc>
        <w:tc>
          <w:tcPr>
            <w:tcW w:w="720" w:type="dxa"/>
            <w:vAlign w:val="bottom"/>
          </w:tcPr>
          <w:p>
            <w:pPr>
              <w:jc w:val="center"/>
              <w:ind w:left="206"/>
              <w:spacing w:after="0"/>
              <w:rPr>
                <w:sz w:val="20"/>
                <w:szCs w:val="20"/>
                <w:color w:val="auto"/>
              </w:rPr>
            </w:pPr>
            <w:r>
              <w:rPr>
                <w:rFonts w:ascii="Arial" w:cs="Arial" w:eastAsia="Arial" w:hAnsi="Arial"/>
                <w:sz w:val="11"/>
                <w:szCs w:val="11"/>
                <w:color w:val="auto"/>
                <w:w w:val="98"/>
              </w:rPr>
              <w:t>-134 bps</w:t>
            </w:r>
          </w:p>
        </w:tc>
        <w:tc>
          <w:tcPr>
            <w:tcW w:w="1280" w:type="dxa"/>
            <w:vAlign w:val="bottom"/>
          </w:tcPr>
          <w:p>
            <w:pPr>
              <w:jc w:val="center"/>
              <w:ind w:left="226"/>
              <w:spacing w:after="0"/>
              <w:rPr>
                <w:sz w:val="20"/>
                <w:szCs w:val="20"/>
                <w:color w:val="auto"/>
              </w:rPr>
            </w:pPr>
            <w:r>
              <w:rPr>
                <w:rFonts w:ascii="Arial" w:cs="Arial" w:eastAsia="Arial" w:hAnsi="Arial"/>
                <w:sz w:val="11"/>
                <w:szCs w:val="11"/>
                <w:color w:val="auto"/>
                <w:w w:val="97"/>
              </w:rPr>
              <w:t>-33 bps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-770890</wp:posOffset>
            </wp:positionV>
            <wp:extent cx="4989195" cy="7886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89195" cy="788670"/>
                    </a:xfrm>
                    <a:prstGeom prst="rect">
                      <a:avLst/>
                    </a:prstGeom>
                    <a:noFill/>
                  </pic:spPr>
                </pic:pic>
              </a:graphicData>
            </a:graphic>
          </wp:anchor>
        </w:drawing>
      </w:r>
    </w:p>
    <w:p>
      <w:pPr>
        <w:ind w:left="1940" w:hanging="155"/>
        <w:spacing w:after="0"/>
        <w:tabs>
          <w:tab w:leader="none" w:pos="1940" w:val="left"/>
        </w:tabs>
        <w:numPr>
          <w:ilvl w:val="0"/>
          <w:numId w:val="50"/>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spacing w:after="0" w:line="5" w:lineRule="exact"/>
        <w:rPr>
          <w:rFonts w:ascii="Arial" w:cs="Arial" w:eastAsia="Arial" w:hAnsi="Arial"/>
          <w:sz w:val="11"/>
          <w:szCs w:val="11"/>
          <w:color w:val="auto"/>
        </w:rPr>
      </w:pPr>
    </w:p>
    <w:p>
      <w:pPr>
        <w:ind w:left="1780" w:right="2020" w:firstLine="5"/>
        <w:spacing w:after="0" w:line="230" w:lineRule="auto"/>
        <w:tabs>
          <w:tab w:leader="none" w:pos="1930" w:val="left"/>
        </w:tabs>
        <w:numPr>
          <w:ilvl w:val="0"/>
          <w:numId w:val="50"/>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940" w:hanging="155"/>
        <w:spacing w:after="0" w:line="230" w:lineRule="auto"/>
        <w:tabs>
          <w:tab w:leader="none" w:pos="194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ind w:left="1940" w:hanging="155"/>
        <w:spacing w:after="0"/>
        <w:tabs>
          <w:tab w:leader="none" w:pos="194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4" w:name="page55"/>
    <w:bookmarkEnd w:id="54"/>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Regulatory Capital and Capital Adequacy Ratios at Mibanco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tbl>
      <w:tblPr>
        <w:tblLayout w:type="fixed"/>
        <w:tblInd w:w="870" w:type="dxa"/>
        <w:tblCellMar>
          <w:top w:w="0" w:type="dxa"/>
          <w:left w:w="0" w:type="dxa"/>
          <w:bottom w:w="0" w:type="dxa"/>
          <w:right w:w="0" w:type="dxa"/>
        </w:tblCellMar>
      </w:tblPr>
      <w:tr>
        <w:trPr>
          <w:trHeight w:val="208"/>
        </w:trPr>
        <w:tc>
          <w:tcPr>
            <w:tcW w:w="2860" w:type="dxa"/>
            <w:vAlign w:val="bottom"/>
            <w:tcBorders>
              <w:top w:val="single" w:sz="8" w:color="auto"/>
              <w:lef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Regulatory Capital</w:t>
            </w:r>
          </w:p>
        </w:tc>
        <w:tc>
          <w:tcPr>
            <w:tcW w:w="1080" w:type="dxa"/>
            <w:vAlign w:val="bottom"/>
            <w:tcBorders>
              <w:top w:val="single" w:sz="8" w:color="auto"/>
              <w:right w:val="single" w:sz="8" w:color="auto"/>
            </w:tcBorders>
            <w:shd w:val="clear" w:color="auto" w:fill="2AD2C9"/>
          </w:tcPr>
          <w:p>
            <w:pPr>
              <w:spacing w:after="0"/>
              <w:rPr>
                <w:sz w:val="18"/>
                <w:szCs w:val="18"/>
                <w:color w:val="auto"/>
              </w:rPr>
            </w:pPr>
          </w:p>
        </w:tc>
        <w:tc>
          <w:tcPr>
            <w:tcW w:w="110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Quarter</w:t>
            </w:r>
          </w:p>
        </w:tc>
        <w:tc>
          <w:tcPr>
            <w:tcW w:w="1140" w:type="dxa"/>
            <w:vAlign w:val="bottom"/>
            <w:tcBorders>
              <w:top w:val="single" w:sz="8" w:color="auto"/>
              <w:right w:val="single" w:sz="8" w:color="auto"/>
            </w:tcBorders>
            <w:shd w:val="clear" w:color="auto" w:fill="2AD2C9"/>
          </w:tcPr>
          <w:p>
            <w:pPr>
              <w:spacing w:after="0"/>
              <w:rPr>
                <w:sz w:val="18"/>
                <w:szCs w:val="18"/>
                <w:color w:val="auto"/>
              </w:rPr>
            </w:pPr>
          </w:p>
        </w:tc>
        <w:tc>
          <w:tcPr>
            <w:tcW w:w="2220" w:type="dxa"/>
            <w:vAlign w:val="bottom"/>
            <w:tcBorders>
              <w:top w:val="single" w:sz="8" w:color="auto"/>
            </w:tcBorders>
            <w:gridSpan w:val="2"/>
            <w:shd w:val="clear" w:color="auto" w:fill="2AD2C9"/>
          </w:tcPr>
          <w:p>
            <w:pPr>
              <w:ind w:left="760"/>
              <w:spacing w:after="0"/>
              <w:rPr>
                <w:sz w:val="20"/>
                <w:szCs w:val="20"/>
                <w:color w:val="auto"/>
              </w:rPr>
            </w:pPr>
            <w:r>
              <w:rPr>
                <w:rFonts w:ascii="Arial" w:cs="Arial" w:eastAsia="Arial" w:hAnsi="Arial"/>
                <w:sz w:val="14"/>
                <w:szCs w:val="14"/>
                <w:b w:val="1"/>
                <w:bCs w:val="1"/>
                <w:color w:val="FFFFFF"/>
              </w:rPr>
              <w:t>% Change</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860" w:type="dxa"/>
            <w:vAlign w:val="bottom"/>
            <w:tcBorders>
              <w:left w:val="single" w:sz="8" w:color="auto"/>
              <w:bottom w:val="single" w:sz="8" w:color="auto"/>
            </w:tcBorders>
            <w:shd w:val="clear" w:color="auto" w:fill="2AD2C9"/>
          </w:tcPr>
          <w:p>
            <w:pPr>
              <w:ind w:left="80"/>
              <w:spacing w:after="0"/>
              <w:rPr>
                <w:sz w:val="20"/>
                <w:szCs w:val="20"/>
                <w:color w:val="auto"/>
              </w:rPr>
            </w:pPr>
            <w:r>
              <w:rPr>
                <w:rFonts w:ascii="Arial" w:cs="Arial" w:eastAsia="Arial" w:hAnsi="Arial"/>
                <w:sz w:val="14"/>
                <w:szCs w:val="14"/>
                <w:color w:val="FFFFFF"/>
              </w:rPr>
              <w:t>(S/ thousand)</w:t>
            </w:r>
          </w:p>
        </w:tc>
        <w:tc>
          <w:tcPr>
            <w:tcW w:w="1080" w:type="dxa"/>
            <w:vAlign w:val="bottom"/>
            <w:tcBorders>
              <w:bottom w:val="single" w:sz="8" w:color="auto"/>
              <w:right w:val="single" w:sz="8" w:color="auto"/>
            </w:tcBorders>
            <w:shd w:val="clear" w:color="auto" w:fill="2AD2C9"/>
          </w:tcPr>
          <w:p>
            <w:pPr>
              <w:spacing w:after="0"/>
              <w:rPr>
                <w:sz w:val="24"/>
                <w:szCs w:val="24"/>
                <w:color w:val="auto"/>
              </w:rPr>
            </w:pPr>
          </w:p>
        </w:tc>
        <w:tc>
          <w:tcPr>
            <w:tcW w:w="11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23</w:t>
            </w:r>
          </w:p>
        </w:tc>
        <w:tc>
          <w:tcPr>
            <w:tcW w:w="11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Mar 24</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Capital Stock</w:t>
            </w:r>
          </w:p>
        </w:tc>
        <w:tc>
          <w:tcPr>
            <w:tcW w:w="1080" w:type="dxa"/>
            <w:vAlign w:val="bottom"/>
            <w:tcBorders>
              <w:right w:val="single" w:sz="8" w:color="auto"/>
            </w:tcBorders>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1,840,606</w:t>
            </w:r>
          </w:p>
        </w:tc>
        <w:tc>
          <w:tcPr>
            <w:tcW w:w="1120" w:type="dxa"/>
            <w:vAlign w:val="bottom"/>
          </w:tcPr>
          <w:p>
            <w:pPr>
              <w:jc w:val="center"/>
              <w:spacing w:after="0"/>
              <w:rPr>
                <w:sz w:val="20"/>
                <w:szCs w:val="20"/>
                <w:color w:val="auto"/>
              </w:rPr>
            </w:pPr>
            <w:r>
              <w:rPr>
                <w:rFonts w:ascii="Arial" w:cs="Arial" w:eastAsia="Arial" w:hAnsi="Arial"/>
                <w:sz w:val="14"/>
                <w:szCs w:val="14"/>
                <w:color w:val="auto"/>
              </w:rPr>
              <w:t>1,840,606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1,840,606</w:t>
            </w:r>
          </w:p>
        </w:tc>
        <w:tc>
          <w:tcPr>
            <w:tcW w:w="1120" w:type="dxa"/>
            <w:vAlign w:val="bottom"/>
          </w:tcPr>
          <w:p>
            <w:pPr>
              <w:jc w:val="center"/>
              <w:spacing w:after="0"/>
              <w:rPr>
                <w:sz w:val="20"/>
                <w:szCs w:val="20"/>
                <w:color w:val="auto"/>
              </w:rPr>
            </w:pPr>
            <w:r>
              <w:rPr>
                <w:rFonts w:ascii="Arial" w:cs="Arial" w:eastAsia="Arial" w:hAnsi="Arial"/>
                <w:sz w:val="14"/>
                <w:szCs w:val="14"/>
                <w:color w:val="auto"/>
              </w:rPr>
              <w:t>0.0%</w:t>
            </w:r>
          </w:p>
        </w:tc>
        <w:tc>
          <w:tcPr>
            <w:tcW w:w="1100" w:type="dxa"/>
            <w:vAlign w:val="bottom"/>
          </w:tcPr>
          <w:p>
            <w:pPr>
              <w:jc w:val="center"/>
              <w:spacing w:after="0"/>
              <w:rPr>
                <w:sz w:val="20"/>
                <w:szCs w:val="20"/>
                <w:color w:val="auto"/>
              </w:rPr>
            </w:pPr>
            <w:r>
              <w:rPr>
                <w:rFonts w:ascii="Arial" w:cs="Arial" w:eastAsia="Arial" w:hAnsi="Arial"/>
                <w:sz w:val="14"/>
                <w:szCs w:val="14"/>
                <w:color w:val="auto"/>
              </w:rPr>
              <w:t>0.0%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Reserves</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308,056</w:t>
            </w:r>
          </w:p>
        </w:tc>
        <w:tc>
          <w:tcPr>
            <w:tcW w:w="1120" w:type="dxa"/>
            <w:vAlign w:val="bottom"/>
          </w:tcPr>
          <w:p>
            <w:pPr>
              <w:jc w:val="center"/>
              <w:spacing w:after="0"/>
              <w:rPr>
                <w:sz w:val="20"/>
                <w:szCs w:val="20"/>
                <w:color w:val="auto"/>
              </w:rPr>
            </w:pPr>
            <w:r>
              <w:rPr>
                <w:rFonts w:ascii="Arial" w:cs="Arial" w:eastAsia="Arial" w:hAnsi="Arial"/>
                <w:sz w:val="14"/>
                <w:szCs w:val="14"/>
                <w:color w:val="auto"/>
              </w:rPr>
              <w:t>308,056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334,650</w:t>
            </w:r>
          </w:p>
        </w:tc>
        <w:tc>
          <w:tcPr>
            <w:tcW w:w="1120" w:type="dxa"/>
            <w:vAlign w:val="bottom"/>
          </w:tcPr>
          <w:p>
            <w:pPr>
              <w:jc w:val="center"/>
              <w:spacing w:after="0"/>
              <w:rPr>
                <w:sz w:val="20"/>
                <w:szCs w:val="20"/>
                <w:color w:val="auto"/>
              </w:rPr>
            </w:pPr>
            <w:r>
              <w:rPr>
                <w:rFonts w:ascii="Arial" w:cs="Arial" w:eastAsia="Arial" w:hAnsi="Arial"/>
                <w:sz w:val="14"/>
                <w:szCs w:val="14"/>
                <w:color w:val="auto"/>
              </w:rPr>
              <w:t>8.6%</w:t>
            </w:r>
          </w:p>
        </w:tc>
        <w:tc>
          <w:tcPr>
            <w:tcW w:w="1100" w:type="dxa"/>
            <w:vAlign w:val="bottom"/>
          </w:tcPr>
          <w:p>
            <w:pPr>
              <w:jc w:val="center"/>
              <w:spacing w:after="0"/>
              <w:rPr>
                <w:sz w:val="20"/>
                <w:szCs w:val="20"/>
                <w:color w:val="auto"/>
              </w:rPr>
            </w:pPr>
            <w:r>
              <w:rPr>
                <w:rFonts w:ascii="Arial" w:cs="Arial" w:eastAsia="Arial" w:hAnsi="Arial"/>
                <w:sz w:val="14"/>
                <w:szCs w:val="14"/>
                <w:color w:val="auto"/>
              </w:rPr>
              <w:t>8.6%</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Accumulated earnings</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556,972</w:t>
            </w:r>
          </w:p>
        </w:tc>
        <w:tc>
          <w:tcPr>
            <w:tcW w:w="1120" w:type="dxa"/>
            <w:vAlign w:val="bottom"/>
          </w:tcPr>
          <w:p>
            <w:pPr>
              <w:jc w:val="center"/>
              <w:spacing w:after="0"/>
              <w:rPr>
                <w:sz w:val="20"/>
                <w:szCs w:val="20"/>
                <w:color w:val="auto"/>
              </w:rPr>
            </w:pPr>
            <w:r>
              <w:rPr>
                <w:rFonts w:ascii="Arial" w:cs="Arial" w:eastAsia="Arial" w:hAnsi="Arial"/>
                <w:sz w:val="14"/>
                <w:szCs w:val="14"/>
                <w:color w:val="auto"/>
              </w:rPr>
              <w:t>717,919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310,119</w:t>
            </w:r>
          </w:p>
        </w:tc>
        <w:tc>
          <w:tcPr>
            <w:tcW w:w="1120" w:type="dxa"/>
            <w:vAlign w:val="bottom"/>
          </w:tcPr>
          <w:p>
            <w:pPr>
              <w:jc w:val="center"/>
              <w:spacing w:after="0"/>
              <w:rPr>
                <w:sz w:val="20"/>
                <w:szCs w:val="20"/>
                <w:color w:val="auto"/>
              </w:rPr>
            </w:pPr>
            <w:r>
              <w:rPr>
                <w:rFonts w:ascii="Arial" w:cs="Arial" w:eastAsia="Arial" w:hAnsi="Arial"/>
                <w:sz w:val="14"/>
                <w:szCs w:val="14"/>
                <w:color w:val="auto"/>
              </w:rPr>
              <w:t>-56.8%</w:t>
            </w:r>
          </w:p>
        </w:tc>
        <w:tc>
          <w:tcPr>
            <w:tcW w:w="1100" w:type="dxa"/>
            <w:vAlign w:val="bottom"/>
          </w:tcPr>
          <w:p>
            <w:pPr>
              <w:jc w:val="center"/>
              <w:spacing w:after="0"/>
              <w:rPr>
                <w:sz w:val="20"/>
                <w:szCs w:val="20"/>
                <w:color w:val="auto"/>
              </w:rPr>
            </w:pPr>
            <w:r>
              <w:rPr>
                <w:rFonts w:ascii="Arial" w:cs="Arial" w:eastAsia="Arial" w:hAnsi="Arial"/>
                <w:sz w:val="14"/>
                <w:szCs w:val="14"/>
                <w:color w:val="auto"/>
              </w:rPr>
              <w:t>-44.3%</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Loan loss reserves</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168,965</w:t>
            </w:r>
          </w:p>
        </w:tc>
        <w:tc>
          <w:tcPr>
            <w:tcW w:w="1120" w:type="dxa"/>
            <w:vAlign w:val="bottom"/>
          </w:tcPr>
          <w:p>
            <w:pPr>
              <w:jc w:val="center"/>
              <w:spacing w:after="0"/>
              <w:rPr>
                <w:sz w:val="20"/>
                <w:szCs w:val="20"/>
                <w:color w:val="auto"/>
              </w:rPr>
            </w:pPr>
            <w:r>
              <w:rPr>
                <w:rFonts w:ascii="Arial" w:cs="Arial" w:eastAsia="Arial" w:hAnsi="Arial"/>
                <w:sz w:val="14"/>
                <w:szCs w:val="14"/>
                <w:color w:val="auto"/>
              </w:rPr>
              <w:t>157,368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154,452</w:t>
            </w:r>
          </w:p>
        </w:tc>
        <w:tc>
          <w:tcPr>
            <w:tcW w:w="1120" w:type="dxa"/>
            <w:vAlign w:val="bottom"/>
          </w:tcPr>
          <w:p>
            <w:pPr>
              <w:jc w:val="center"/>
              <w:spacing w:after="0"/>
              <w:rPr>
                <w:sz w:val="20"/>
                <w:szCs w:val="20"/>
                <w:color w:val="auto"/>
              </w:rPr>
            </w:pPr>
            <w:r>
              <w:rPr>
                <w:rFonts w:ascii="Arial" w:cs="Arial" w:eastAsia="Arial" w:hAnsi="Arial"/>
                <w:sz w:val="14"/>
                <w:szCs w:val="14"/>
                <w:color w:val="auto"/>
              </w:rPr>
              <w:t>-1.9%</w:t>
            </w:r>
          </w:p>
        </w:tc>
        <w:tc>
          <w:tcPr>
            <w:tcW w:w="1100" w:type="dxa"/>
            <w:vAlign w:val="bottom"/>
          </w:tcPr>
          <w:p>
            <w:pPr>
              <w:jc w:val="center"/>
              <w:spacing w:after="0"/>
              <w:rPr>
                <w:sz w:val="20"/>
                <w:szCs w:val="20"/>
                <w:color w:val="auto"/>
              </w:rPr>
            </w:pPr>
            <w:r>
              <w:rPr>
                <w:rFonts w:ascii="Arial" w:cs="Arial" w:eastAsia="Arial" w:hAnsi="Arial"/>
                <w:sz w:val="14"/>
                <w:szCs w:val="14"/>
                <w:color w:val="auto"/>
              </w:rPr>
              <w:t>-8.6%</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Perpetual subordinated debt</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n.a</w:t>
            </w:r>
          </w:p>
        </w:tc>
        <w:tc>
          <w:tcPr>
            <w:tcW w:w="1100" w:type="dxa"/>
            <w:vAlign w:val="bottom"/>
          </w:tcPr>
          <w:p>
            <w:pPr>
              <w:jc w:val="center"/>
              <w:spacing w:after="0"/>
              <w:rPr>
                <w:sz w:val="20"/>
                <w:szCs w:val="20"/>
                <w:color w:val="auto"/>
              </w:rPr>
            </w:pPr>
            <w:r>
              <w:rPr>
                <w:rFonts w:ascii="Arial" w:cs="Arial" w:eastAsia="Arial" w:hAnsi="Arial"/>
                <w:sz w:val="14"/>
                <w:szCs w:val="14"/>
                <w:color w:val="auto"/>
              </w:rPr>
              <w:t>n.a.</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Subordinated debt</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179,000</w:t>
            </w:r>
          </w:p>
        </w:tc>
        <w:tc>
          <w:tcPr>
            <w:tcW w:w="1120" w:type="dxa"/>
            <w:vAlign w:val="bottom"/>
          </w:tcPr>
          <w:p>
            <w:pPr>
              <w:jc w:val="center"/>
              <w:spacing w:after="0"/>
              <w:rPr>
                <w:sz w:val="20"/>
                <w:szCs w:val="20"/>
                <w:color w:val="auto"/>
              </w:rPr>
            </w:pPr>
            <w:r>
              <w:rPr>
                <w:rFonts w:ascii="Arial" w:cs="Arial" w:eastAsia="Arial" w:hAnsi="Arial"/>
                <w:sz w:val="14"/>
                <w:szCs w:val="14"/>
                <w:color w:val="auto"/>
              </w:rPr>
              <w:t>173,000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173,000</w:t>
            </w:r>
          </w:p>
        </w:tc>
        <w:tc>
          <w:tcPr>
            <w:tcW w:w="1120" w:type="dxa"/>
            <w:vAlign w:val="bottom"/>
          </w:tcPr>
          <w:p>
            <w:pPr>
              <w:jc w:val="center"/>
              <w:spacing w:after="0"/>
              <w:rPr>
                <w:sz w:val="20"/>
                <w:szCs w:val="20"/>
                <w:color w:val="auto"/>
              </w:rPr>
            </w:pPr>
            <w:r>
              <w:rPr>
                <w:rFonts w:ascii="Arial" w:cs="Arial" w:eastAsia="Arial" w:hAnsi="Arial"/>
                <w:sz w:val="14"/>
                <w:szCs w:val="14"/>
                <w:color w:val="auto"/>
              </w:rPr>
              <w:t>0.0%</w:t>
            </w:r>
          </w:p>
        </w:tc>
        <w:tc>
          <w:tcPr>
            <w:tcW w:w="1100" w:type="dxa"/>
            <w:vAlign w:val="bottom"/>
          </w:tcPr>
          <w:p>
            <w:pPr>
              <w:jc w:val="center"/>
              <w:spacing w:after="0"/>
              <w:rPr>
                <w:sz w:val="20"/>
                <w:szCs w:val="20"/>
                <w:color w:val="auto"/>
              </w:rPr>
            </w:pPr>
            <w:r>
              <w:rPr>
                <w:rFonts w:ascii="Arial" w:cs="Arial" w:eastAsia="Arial" w:hAnsi="Arial"/>
                <w:sz w:val="14"/>
                <w:szCs w:val="14"/>
                <w:color w:val="auto"/>
              </w:rPr>
              <w:t>-3.4%</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Unrealidez Profit or Losses</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(15,467)</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(1,695)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(4,984)</w:t>
            </w:r>
          </w:p>
        </w:tc>
        <w:tc>
          <w:tcPr>
            <w:tcW w:w="1120" w:type="dxa"/>
            <w:vAlign w:val="bottom"/>
          </w:tcPr>
          <w:p>
            <w:pPr>
              <w:jc w:val="center"/>
              <w:spacing w:after="0"/>
              <w:rPr>
                <w:sz w:val="20"/>
                <w:szCs w:val="20"/>
                <w:color w:val="auto"/>
              </w:rPr>
            </w:pPr>
            <w:r>
              <w:rPr>
                <w:rFonts w:ascii="Arial" w:cs="Arial" w:eastAsia="Arial" w:hAnsi="Arial"/>
                <w:sz w:val="14"/>
                <w:szCs w:val="14"/>
                <w:color w:val="auto"/>
              </w:rPr>
              <w:t>194.1%</w:t>
            </w:r>
          </w:p>
        </w:tc>
        <w:tc>
          <w:tcPr>
            <w:tcW w:w="1100" w:type="dxa"/>
            <w:vAlign w:val="bottom"/>
          </w:tcPr>
          <w:p>
            <w:pPr>
              <w:jc w:val="center"/>
              <w:spacing w:after="0"/>
              <w:rPr>
                <w:sz w:val="20"/>
                <w:szCs w:val="20"/>
                <w:color w:val="auto"/>
              </w:rPr>
            </w:pPr>
            <w:r>
              <w:rPr>
                <w:rFonts w:ascii="Arial" w:cs="Arial" w:eastAsia="Arial" w:hAnsi="Arial"/>
                <w:sz w:val="14"/>
                <w:szCs w:val="14"/>
                <w:color w:val="auto"/>
              </w:rPr>
              <w:t>-67.8%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9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Investment in subsidiaries and others, net of unrealized</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(281)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7"/>
              </w:rPr>
              <w:t>(282)</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(283)</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0.4%</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8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profit and net income in subsidiaries</w:t>
            </w:r>
          </w:p>
        </w:tc>
        <w:tc>
          <w:tcPr>
            <w:tcW w:w="1080" w:type="dxa"/>
            <w:vAlign w:val="bottom"/>
            <w:tcBorders>
              <w:right w:val="single" w:sz="8" w:color="auto"/>
            </w:tcBorders>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860" w:type="dxa"/>
            <w:vAlign w:val="bottom"/>
            <w:tcBorders>
              <w:lef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Intangibles</w:t>
            </w:r>
          </w:p>
        </w:tc>
        <w:tc>
          <w:tcPr>
            <w:tcW w:w="1080" w:type="dxa"/>
            <w:vAlign w:val="bottom"/>
            <w:tcBorders>
              <w:right w:val="single" w:sz="8" w:color="auto"/>
            </w:tcBorders>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(135,202)</w:t>
            </w:r>
          </w:p>
        </w:tc>
        <w:tc>
          <w:tcPr>
            <w:tcW w:w="1120" w:type="dxa"/>
            <w:vAlign w:val="bottom"/>
          </w:tcPr>
          <w:p>
            <w:pPr>
              <w:jc w:val="center"/>
              <w:spacing w:after="0"/>
              <w:rPr>
                <w:sz w:val="20"/>
                <w:szCs w:val="20"/>
                <w:color w:val="auto"/>
              </w:rPr>
            </w:pPr>
            <w:r>
              <w:rPr>
                <w:rFonts w:ascii="Arial" w:cs="Arial" w:eastAsia="Arial" w:hAnsi="Arial"/>
                <w:sz w:val="14"/>
                <w:szCs w:val="14"/>
                <w:color w:val="auto"/>
              </w:rPr>
              <w:t>(156,884)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(150,274)</w:t>
            </w:r>
          </w:p>
        </w:tc>
        <w:tc>
          <w:tcPr>
            <w:tcW w:w="1120" w:type="dxa"/>
            <w:vAlign w:val="bottom"/>
          </w:tcPr>
          <w:p>
            <w:pPr>
              <w:jc w:val="center"/>
              <w:spacing w:after="0"/>
              <w:rPr>
                <w:sz w:val="20"/>
                <w:szCs w:val="20"/>
                <w:color w:val="auto"/>
              </w:rPr>
            </w:pPr>
            <w:r>
              <w:rPr>
                <w:rFonts w:ascii="Arial" w:cs="Arial" w:eastAsia="Arial" w:hAnsi="Arial"/>
                <w:sz w:val="14"/>
                <w:szCs w:val="14"/>
                <w:color w:val="auto"/>
              </w:rPr>
              <w:t>-4.2%</w:t>
            </w:r>
          </w:p>
        </w:tc>
        <w:tc>
          <w:tcPr>
            <w:tcW w:w="1100" w:type="dxa"/>
            <w:vAlign w:val="bottom"/>
          </w:tcPr>
          <w:p>
            <w:pPr>
              <w:jc w:val="center"/>
              <w:spacing w:after="0"/>
              <w:rPr>
                <w:sz w:val="20"/>
                <w:szCs w:val="20"/>
                <w:color w:val="auto"/>
              </w:rPr>
            </w:pPr>
            <w:r>
              <w:rPr>
                <w:rFonts w:ascii="Arial" w:cs="Arial" w:eastAsia="Arial" w:hAnsi="Arial"/>
                <w:sz w:val="14"/>
                <w:szCs w:val="14"/>
                <w:color w:val="auto"/>
              </w:rPr>
              <w:t>11.1%</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Goodwill</w:t>
            </w:r>
          </w:p>
        </w:tc>
        <w:tc>
          <w:tcPr>
            <w:tcW w:w="10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(139,180)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(139,180)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(139,180)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0.0%</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Regulatory Capital</w:t>
            </w: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2,763,469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2,898,907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2,518,105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-8.9%</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Tier Common Equity (2)</w:t>
            </w: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2,415,504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2,568,539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2,190,653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-14.7%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Regulatory Tier 1 Capital (3)</w:t>
            </w: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2,415,504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2,568,539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2,190,653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-14.7%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Regulatory Tier 2 Capital (4)</w:t>
            </w: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347,965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330,368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327,452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-0.9%</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-5.9%</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60" w:type="dxa"/>
            <w:vAlign w:val="bottom"/>
            <w:tcBorders>
              <w:lef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Total risk-weighted assets</w:t>
            </w:r>
          </w:p>
        </w:tc>
        <w:tc>
          <w:tcPr>
            <w:tcW w:w="1080" w:type="dxa"/>
            <w:vAlign w:val="bottom"/>
            <w:tcBorders>
              <w:right w:val="single" w:sz="8" w:color="auto"/>
            </w:tcBorders>
            <w:shd w:val="clear" w:color="auto" w:fill="2AD2C9"/>
          </w:tcPr>
          <w:p>
            <w:pPr>
              <w:spacing w:after="0"/>
              <w:rPr>
                <w:sz w:val="18"/>
                <w:szCs w:val="18"/>
                <w:color w:val="auto"/>
              </w:rPr>
            </w:pPr>
          </w:p>
        </w:tc>
        <w:tc>
          <w:tcPr>
            <w:tcW w:w="1100" w:type="dxa"/>
            <w:vAlign w:val="bottom"/>
            <w:shd w:val="clear" w:color="auto" w:fill="2AD2C9"/>
          </w:tcPr>
          <w:p>
            <w:pPr>
              <w:spacing w:after="0"/>
              <w:rPr>
                <w:sz w:val="18"/>
                <w:szCs w:val="18"/>
                <w:color w:val="auto"/>
              </w:rPr>
            </w:pPr>
          </w:p>
        </w:tc>
        <w:tc>
          <w:tcPr>
            <w:tcW w:w="112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Quarter</w:t>
            </w:r>
          </w:p>
        </w:tc>
        <w:tc>
          <w:tcPr>
            <w:tcW w:w="1140" w:type="dxa"/>
            <w:vAlign w:val="bottom"/>
            <w:tcBorders>
              <w:right w:val="single" w:sz="8" w:color="auto"/>
            </w:tcBorders>
            <w:shd w:val="clear" w:color="auto" w:fill="2AD2C9"/>
          </w:tcPr>
          <w:p>
            <w:pPr>
              <w:spacing w:after="0"/>
              <w:rPr>
                <w:sz w:val="18"/>
                <w:szCs w:val="18"/>
                <w:color w:val="auto"/>
              </w:rPr>
            </w:pPr>
          </w:p>
        </w:tc>
        <w:tc>
          <w:tcPr>
            <w:tcW w:w="2220" w:type="dxa"/>
            <w:vAlign w:val="bottom"/>
            <w:gridSpan w:val="2"/>
            <w:shd w:val="clear" w:color="auto" w:fill="2AD2C9"/>
          </w:tcPr>
          <w:p>
            <w:pPr>
              <w:ind w:left="780"/>
              <w:spacing w:after="0"/>
              <w:rPr>
                <w:sz w:val="20"/>
                <w:szCs w:val="20"/>
                <w:color w:val="auto"/>
              </w:rPr>
            </w:pPr>
            <w:r>
              <w:rPr>
                <w:rFonts w:ascii="Arial" w:cs="Arial" w:eastAsia="Arial" w:hAnsi="Arial"/>
                <w:sz w:val="14"/>
                <w:szCs w:val="14"/>
                <w:b w:val="1"/>
                <w:bCs w:val="1"/>
                <w:color w:val="FFFFFF"/>
              </w:rPr>
              <w:t>% change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tcBorders>
              <w:left w:val="single" w:sz="8" w:color="auto"/>
              <w:bottom w:val="single" w:sz="8" w:color="auto"/>
            </w:tcBorders>
            <w:shd w:val="clear" w:color="auto" w:fill="2AD2C9"/>
          </w:tcPr>
          <w:p>
            <w:pPr>
              <w:ind w:left="80"/>
              <w:spacing w:after="0"/>
              <w:rPr>
                <w:sz w:val="20"/>
                <w:szCs w:val="20"/>
                <w:color w:val="auto"/>
              </w:rPr>
            </w:pPr>
            <w:r>
              <w:rPr>
                <w:rFonts w:ascii="Arial" w:cs="Arial" w:eastAsia="Arial" w:hAnsi="Arial"/>
                <w:sz w:val="14"/>
                <w:szCs w:val="14"/>
                <w:color w:val="FFFFFF"/>
              </w:rPr>
              <w:t>(S/ thousand)</w:t>
            </w:r>
          </w:p>
        </w:tc>
        <w:tc>
          <w:tcPr>
            <w:tcW w:w="1080" w:type="dxa"/>
            <w:vAlign w:val="bottom"/>
            <w:tcBorders>
              <w:bottom w:val="single" w:sz="8" w:color="auto"/>
              <w:right w:val="single" w:sz="8" w:color="auto"/>
            </w:tcBorders>
            <w:shd w:val="clear" w:color="auto" w:fill="2AD2C9"/>
          </w:tcPr>
          <w:p>
            <w:pPr>
              <w:spacing w:after="0"/>
              <w:rPr>
                <w:sz w:val="18"/>
                <w:szCs w:val="18"/>
                <w:color w:val="auto"/>
              </w:rPr>
            </w:pPr>
          </w:p>
        </w:tc>
        <w:tc>
          <w:tcPr>
            <w:tcW w:w="11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23</w:t>
            </w:r>
          </w:p>
        </w:tc>
        <w:tc>
          <w:tcPr>
            <w:tcW w:w="11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Mar 24</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Market risk-weighted assets</w:t>
            </w:r>
          </w:p>
        </w:tc>
        <w:tc>
          <w:tcPr>
            <w:tcW w:w="1080" w:type="dxa"/>
            <w:vAlign w:val="bottom"/>
            <w:tcBorders>
              <w:right w:val="single" w:sz="8" w:color="auto"/>
            </w:tcBorders>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141,441</w:t>
            </w:r>
          </w:p>
        </w:tc>
        <w:tc>
          <w:tcPr>
            <w:tcW w:w="1120" w:type="dxa"/>
            <w:vAlign w:val="bottom"/>
          </w:tcPr>
          <w:p>
            <w:pPr>
              <w:jc w:val="center"/>
              <w:spacing w:after="0"/>
              <w:rPr>
                <w:sz w:val="20"/>
                <w:szCs w:val="20"/>
                <w:color w:val="auto"/>
              </w:rPr>
            </w:pPr>
            <w:r>
              <w:rPr>
                <w:rFonts w:ascii="Arial" w:cs="Arial" w:eastAsia="Arial" w:hAnsi="Arial"/>
                <w:sz w:val="14"/>
                <w:szCs w:val="14"/>
                <w:color w:val="auto"/>
              </w:rPr>
              <w:t>220,327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252,255</w:t>
            </w:r>
          </w:p>
        </w:tc>
        <w:tc>
          <w:tcPr>
            <w:tcW w:w="1120" w:type="dxa"/>
            <w:vAlign w:val="bottom"/>
          </w:tcPr>
          <w:p>
            <w:pPr>
              <w:jc w:val="center"/>
              <w:spacing w:after="0"/>
              <w:rPr>
                <w:sz w:val="20"/>
                <w:szCs w:val="20"/>
                <w:color w:val="auto"/>
              </w:rPr>
            </w:pPr>
            <w:r>
              <w:rPr>
                <w:rFonts w:ascii="Arial" w:cs="Arial" w:eastAsia="Arial" w:hAnsi="Arial"/>
                <w:sz w:val="14"/>
                <w:szCs w:val="14"/>
                <w:color w:val="auto"/>
              </w:rPr>
              <w:t>14.5%</w:t>
            </w:r>
          </w:p>
        </w:tc>
        <w:tc>
          <w:tcPr>
            <w:tcW w:w="1100" w:type="dxa"/>
            <w:vAlign w:val="bottom"/>
          </w:tcPr>
          <w:p>
            <w:pPr>
              <w:jc w:val="center"/>
              <w:spacing w:after="0"/>
              <w:rPr>
                <w:sz w:val="20"/>
                <w:szCs w:val="20"/>
                <w:color w:val="auto"/>
              </w:rPr>
            </w:pPr>
            <w:r>
              <w:rPr>
                <w:rFonts w:ascii="Arial" w:cs="Arial" w:eastAsia="Arial" w:hAnsi="Arial"/>
                <w:sz w:val="14"/>
                <w:szCs w:val="14"/>
                <w:color w:val="auto"/>
              </w:rPr>
              <w:t>78.3%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Credit risk-weighted assets</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13,160,337</w:t>
            </w:r>
          </w:p>
        </w:tc>
        <w:tc>
          <w:tcPr>
            <w:tcW w:w="1120" w:type="dxa"/>
            <w:vAlign w:val="bottom"/>
          </w:tcPr>
          <w:p>
            <w:pPr>
              <w:jc w:val="center"/>
              <w:spacing w:after="0"/>
              <w:rPr>
                <w:sz w:val="20"/>
                <w:szCs w:val="20"/>
                <w:color w:val="auto"/>
              </w:rPr>
            </w:pPr>
            <w:r>
              <w:rPr>
                <w:rFonts w:ascii="Arial" w:cs="Arial" w:eastAsia="Arial" w:hAnsi="Arial"/>
                <w:sz w:val="14"/>
                <w:szCs w:val="14"/>
                <w:color w:val="auto"/>
              </w:rPr>
              <w:t>12,349,400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12,151,596</w:t>
            </w:r>
          </w:p>
        </w:tc>
        <w:tc>
          <w:tcPr>
            <w:tcW w:w="1120" w:type="dxa"/>
            <w:vAlign w:val="bottom"/>
          </w:tcPr>
          <w:p>
            <w:pPr>
              <w:jc w:val="center"/>
              <w:spacing w:after="0"/>
              <w:rPr>
                <w:sz w:val="20"/>
                <w:szCs w:val="20"/>
                <w:color w:val="auto"/>
              </w:rPr>
            </w:pPr>
            <w:r>
              <w:rPr>
                <w:rFonts w:ascii="Arial" w:cs="Arial" w:eastAsia="Arial" w:hAnsi="Arial"/>
                <w:sz w:val="14"/>
                <w:szCs w:val="14"/>
                <w:color w:val="auto"/>
              </w:rPr>
              <w:t>-1.6%</w:t>
            </w:r>
          </w:p>
        </w:tc>
        <w:tc>
          <w:tcPr>
            <w:tcW w:w="1100" w:type="dxa"/>
            <w:vAlign w:val="bottom"/>
          </w:tcPr>
          <w:p>
            <w:pPr>
              <w:jc w:val="center"/>
              <w:spacing w:after="0"/>
              <w:rPr>
                <w:sz w:val="20"/>
                <w:szCs w:val="20"/>
                <w:color w:val="auto"/>
              </w:rPr>
            </w:pPr>
            <w:r>
              <w:rPr>
                <w:rFonts w:ascii="Arial" w:cs="Arial" w:eastAsia="Arial" w:hAnsi="Arial"/>
                <w:sz w:val="14"/>
                <w:szCs w:val="14"/>
                <w:color w:val="auto"/>
              </w:rPr>
              <w:t>-7.7%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Operational risk-weighted assets</w:t>
            </w:r>
          </w:p>
        </w:tc>
        <w:tc>
          <w:tcPr>
            <w:tcW w:w="10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1,427,428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1,527,140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1,559,737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9.3%</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14,729,206</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14,096,867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13,963,589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-0.9%</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-5.2%</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60" w:type="dxa"/>
            <w:vAlign w:val="bottom"/>
            <w:tcBorders>
              <w:lef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Capital requirement</w:t>
            </w:r>
          </w:p>
        </w:tc>
        <w:tc>
          <w:tcPr>
            <w:tcW w:w="1080" w:type="dxa"/>
            <w:vAlign w:val="bottom"/>
            <w:tcBorders>
              <w:right w:val="single" w:sz="8" w:color="auto"/>
            </w:tcBorders>
            <w:shd w:val="clear" w:color="auto" w:fill="2AD2C9"/>
          </w:tcPr>
          <w:p>
            <w:pPr>
              <w:spacing w:after="0"/>
              <w:rPr>
                <w:sz w:val="18"/>
                <w:szCs w:val="18"/>
                <w:color w:val="auto"/>
              </w:rPr>
            </w:pPr>
          </w:p>
        </w:tc>
        <w:tc>
          <w:tcPr>
            <w:tcW w:w="1100" w:type="dxa"/>
            <w:vAlign w:val="bottom"/>
            <w:shd w:val="clear" w:color="auto" w:fill="2AD2C9"/>
          </w:tcPr>
          <w:p>
            <w:pPr>
              <w:spacing w:after="0"/>
              <w:rPr>
                <w:sz w:val="18"/>
                <w:szCs w:val="18"/>
                <w:color w:val="auto"/>
              </w:rPr>
            </w:pPr>
          </w:p>
        </w:tc>
        <w:tc>
          <w:tcPr>
            <w:tcW w:w="112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Quarter</w:t>
            </w:r>
          </w:p>
        </w:tc>
        <w:tc>
          <w:tcPr>
            <w:tcW w:w="1140" w:type="dxa"/>
            <w:vAlign w:val="bottom"/>
            <w:tcBorders>
              <w:right w:val="single" w:sz="8" w:color="auto"/>
            </w:tcBorders>
            <w:shd w:val="clear" w:color="auto" w:fill="2AD2C9"/>
          </w:tcPr>
          <w:p>
            <w:pPr>
              <w:spacing w:after="0"/>
              <w:rPr>
                <w:sz w:val="18"/>
                <w:szCs w:val="18"/>
                <w:color w:val="auto"/>
              </w:rPr>
            </w:pPr>
          </w:p>
        </w:tc>
        <w:tc>
          <w:tcPr>
            <w:tcW w:w="2220" w:type="dxa"/>
            <w:vAlign w:val="bottom"/>
            <w:gridSpan w:val="2"/>
            <w:shd w:val="clear" w:color="auto" w:fill="2AD2C9"/>
          </w:tcPr>
          <w:p>
            <w:pPr>
              <w:ind w:left="780"/>
              <w:spacing w:after="0"/>
              <w:rPr>
                <w:sz w:val="20"/>
                <w:szCs w:val="20"/>
                <w:color w:val="auto"/>
              </w:rPr>
            </w:pPr>
            <w:r>
              <w:rPr>
                <w:rFonts w:ascii="Arial" w:cs="Arial" w:eastAsia="Arial" w:hAnsi="Arial"/>
                <w:sz w:val="14"/>
                <w:szCs w:val="14"/>
                <w:b w:val="1"/>
                <w:bCs w:val="1"/>
                <w:color w:val="FFFFFF"/>
              </w:rPr>
              <w:t>% change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tcBorders>
              <w:left w:val="single" w:sz="8" w:color="auto"/>
              <w:bottom w:val="single" w:sz="8" w:color="auto"/>
            </w:tcBorders>
            <w:shd w:val="clear" w:color="auto" w:fill="2AD2C9"/>
          </w:tcPr>
          <w:p>
            <w:pPr>
              <w:ind w:left="80"/>
              <w:spacing w:after="0"/>
              <w:rPr>
                <w:sz w:val="20"/>
                <w:szCs w:val="20"/>
                <w:color w:val="auto"/>
              </w:rPr>
            </w:pPr>
            <w:r>
              <w:rPr>
                <w:rFonts w:ascii="Arial" w:cs="Arial" w:eastAsia="Arial" w:hAnsi="Arial"/>
                <w:sz w:val="14"/>
                <w:szCs w:val="14"/>
                <w:color w:val="FFFFFF"/>
              </w:rPr>
              <w:t>(S/ thousand)</w:t>
            </w:r>
          </w:p>
        </w:tc>
        <w:tc>
          <w:tcPr>
            <w:tcW w:w="1080" w:type="dxa"/>
            <w:vAlign w:val="bottom"/>
            <w:tcBorders>
              <w:bottom w:val="single" w:sz="8" w:color="auto"/>
              <w:right w:val="single" w:sz="8" w:color="auto"/>
            </w:tcBorders>
            <w:shd w:val="clear" w:color="auto" w:fill="2AD2C9"/>
          </w:tcPr>
          <w:p>
            <w:pPr>
              <w:spacing w:after="0"/>
              <w:rPr>
                <w:sz w:val="18"/>
                <w:szCs w:val="18"/>
                <w:color w:val="auto"/>
              </w:rPr>
            </w:pPr>
          </w:p>
        </w:tc>
        <w:tc>
          <w:tcPr>
            <w:tcW w:w="11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23</w:t>
            </w:r>
          </w:p>
        </w:tc>
        <w:tc>
          <w:tcPr>
            <w:tcW w:w="11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Mar 24</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Market risk capital requirement (5)</w:t>
            </w:r>
          </w:p>
        </w:tc>
        <w:tc>
          <w:tcPr>
            <w:tcW w:w="1080" w:type="dxa"/>
            <w:vAlign w:val="bottom"/>
            <w:tcBorders>
              <w:right w:val="single" w:sz="8" w:color="auto"/>
            </w:tcBorders>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14,144</w:t>
            </w:r>
          </w:p>
        </w:tc>
        <w:tc>
          <w:tcPr>
            <w:tcW w:w="1120" w:type="dxa"/>
            <w:vAlign w:val="bottom"/>
          </w:tcPr>
          <w:p>
            <w:pPr>
              <w:jc w:val="center"/>
              <w:spacing w:after="0"/>
              <w:rPr>
                <w:sz w:val="20"/>
                <w:szCs w:val="20"/>
                <w:color w:val="auto"/>
              </w:rPr>
            </w:pPr>
            <w:r>
              <w:rPr>
                <w:rFonts w:ascii="Arial" w:cs="Arial" w:eastAsia="Arial" w:hAnsi="Arial"/>
                <w:sz w:val="14"/>
                <w:szCs w:val="14"/>
                <w:color w:val="auto"/>
              </w:rPr>
              <w:t>22,033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25,226</w:t>
            </w:r>
          </w:p>
        </w:tc>
        <w:tc>
          <w:tcPr>
            <w:tcW w:w="1120" w:type="dxa"/>
            <w:vAlign w:val="bottom"/>
          </w:tcPr>
          <w:p>
            <w:pPr>
              <w:jc w:val="center"/>
              <w:spacing w:after="0"/>
              <w:rPr>
                <w:sz w:val="20"/>
                <w:szCs w:val="20"/>
                <w:color w:val="auto"/>
              </w:rPr>
            </w:pPr>
            <w:r>
              <w:rPr>
                <w:rFonts w:ascii="Arial" w:cs="Arial" w:eastAsia="Arial" w:hAnsi="Arial"/>
                <w:sz w:val="14"/>
                <w:szCs w:val="14"/>
                <w:color w:val="auto"/>
              </w:rPr>
              <w:t>14.5%</w:t>
            </w:r>
          </w:p>
        </w:tc>
        <w:tc>
          <w:tcPr>
            <w:tcW w:w="1100" w:type="dxa"/>
            <w:vAlign w:val="bottom"/>
          </w:tcPr>
          <w:p>
            <w:pPr>
              <w:jc w:val="center"/>
              <w:spacing w:after="0"/>
              <w:rPr>
                <w:sz w:val="20"/>
                <w:szCs w:val="20"/>
                <w:color w:val="auto"/>
              </w:rPr>
            </w:pPr>
            <w:r>
              <w:rPr>
                <w:rFonts w:ascii="Arial" w:cs="Arial" w:eastAsia="Arial" w:hAnsi="Arial"/>
                <w:sz w:val="14"/>
                <w:szCs w:val="14"/>
                <w:color w:val="auto"/>
              </w:rPr>
              <w:t>78.3%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Credit risk capital requirement</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1,316,034</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1,111,446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1,093,644</w:t>
            </w:r>
          </w:p>
        </w:tc>
        <w:tc>
          <w:tcPr>
            <w:tcW w:w="1120" w:type="dxa"/>
            <w:vAlign w:val="bottom"/>
          </w:tcPr>
          <w:p>
            <w:pPr>
              <w:jc w:val="center"/>
              <w:spacing w:after="0"/>
              <w:rPr>
                <w:sz w:val="20"/>
                <w:szCs w:val="20"/>
                <w:color w:val="auto"/>
              </w:rPr>
            </w:pPr>
            <w:r>
              <w:rPr>
                <w:rFonts w:ascii="Arial" w:cs="Arial" w:eastAsia="Arial" w:hAnsi="Arial"/>
                <w:sz w:val="14"/>
                <w:szCs w:val="14"/>
                <w:color w:val="auto"/>
              </w:rPr>
              <w:t>-1.6%</w:t>
            </w:r>
          </w:p>
        </w:tc>
        <w:tc>
          <w:tcPr>
            <w:tcW w:w="1100" w:type="dxa"/>
            <w:vAlign w:val="bottom"/>
          </w:tcPr>
          <w:p>
            <w:pPr>
              <w:jc w:val="center"/>
              <w:spacing w:after="0"/>
              <w:rPr>
                <w:sz w:val="20"/>
                <w:szCs w:val="20"/>
                <w:color w:val="auto"/>
              </w:rPr>
            </w:pPr>
            <w:r>
              <w:rPr>
                <w:rFonts w:ascii="Arial" w:cs="Arial" w:eastAsia="Arial" w:hAnsi="Arial"/>
                <w:sz w:val="14"/>
                <w:szCs w:val="14"/>
                <w:color w:val="auto"/>
              </w:rPr>
              <w:t>-16.9%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6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Operational risk capital requirement</w:t>
            </w:r>
          </w:p>
        </w:tc>
        <w:tc>
          <w:tcPr>
            <w:tcW w:w="1080" w:type="dxa"/>
            <w:vAlign w:val="bottom"/>
            <w:tcBorders>
              <w:right w:val="single" w:sz="8" w:color="auto"/>
            </w:tcBorders>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142,743</w:t>
            </w:r>
          </w:p>
        </w:tc>
        <w:tc>
          <w:tcPr>
            <w:tcW w:w="1120" w:type="dxa"/>
            <w:vAlign w:val="bottom"/>
          </w:tcPr>
          <w:p>
            <w:pPr>
              <w:jc w:val="center"/>
              <w:spacing w:after="0"/>
              <w:rPr>
                <w:sz w:val="20"/>
                <w:szCs w:val="20"/>
                <w:color w:val="auto"/>
              </w:rPr>
            </w:pPr>
            <w:r>
              <w:rPr>
                <w:rFonts w:ascii="Arial" w:cs="Arial" w:eastAsia="Arial" w:hAnsi="Arial"/>
                <w:sz w:val="14"/>
                <w:szCs w:val="14"/>
                <w:color w:val="auto"/>
              </w:rPr>
              <w:t>152,714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155,974</w:t>
            </w:r>
          </w:p>
        </w:tc>
        <w:tc>
          <w:tcPr>
            <w:tcW w:w="1120" w:type="dxa"/>
            <w:vAlign w:val="bottom"/>
          </w:tcPr>
          <w:p>
            <w:pPr>
              <w:jc w:val="center"/>
              <w:spacing w:after="0"/>
              <w:rPr>
                <w:sz w:val="20"/>
                <w:szCs w:val="20"/>
                <w:color w:val="auto"/>
              </w:rPr>
            </w:pPr>
            <w:r>
              <w:rPr>
                <w:rFonts w:ascii="Arial" w:cs="Arial" w:eastAsia="Arial" w:hAnsi="Arial"/>
                <w:sz w:val="14"/>
                <w:szCs w:val="14"/>
                <w:color w:val="auto"/>
              </w:rPr>
              <w:t>2.1%</w:t>
            </w:r>
          </w:p>
        </w:tc>
        <w:tc>
          <w:tcPr>
            <w:tcW w:w="1100" w:type="dxa"/>
            <w:vAlign w:val="bottom"/>
          </w:tcPr>
          <w:p>
            <w:pPr>
              <w:jc w:val="center"/>
              <w:spacing w:after="0"/>
              <w:rPr>
                <w:sz w:val="20"/>
                <w:szCs w:val="20"/>
                <w:color w:val="auto"/>
              </w:rPr>
            </w:pPr>
            <w:r>
              <w:rPr>
                <w:rFonts w:ascii="Arial" w:cs="Arial" w:eastAsia="Arial" w:hAnsi="Arial"/>
                <w:sz w:val="14"/>
                <w:szCs w:val="14"/>
                <w:color w:val="auto"/>
              </w:rPr>
              <w:t>9.3%</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Additional capital requirements</w:t>
            </w:r>
          </w:p>
        </w:tc>
        <w:tc>
          <w:tcPr>
            <w:tcW w:w="10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398,603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568,059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164,047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-58.8%</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1,871,523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1,854,252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1,438,889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-22.4%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-23.1%</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60" w:type="dxa"/>
            <w:vAlign w:val="bottom"/>
          </w:tcPr>
          <w:p>
            <w:pPr>
              <w:spacing w:after="0"/>
              <w:rPr>
                <w:sz w:val="24"/>
                <w:szCs w:val="24"/>
                <w:color w:val="auto"/>
              </w:rPr>
            </w:pPr>
          </w:p>
        </w:tc>
        <w:tc>
          <w:tcPr>
            <w:tcW w:w="4440" w:type="dxa"/>
            <w:vAlign w:val="bottom"/>
            <w:gridSpan w:val="4"/>
          </w:tcPr>
          <w:p>
            <w:pPr>
              <w:ind w:left="280"/>
              <w:spacing w:after="0"/>
              <w:rPr>
                <w:sz w:val="20"/>
                <w:szCs w:val="20"/>
                <w:color w:val="auto"/>
              </w:rPr>
            </w:pPr>
            <w:r>
              <w:rPr>
                <w:rFonts w:ascii="Arial" w:cs="Arial" w:eastAsia="Arial" w:hAnsi="Arial"/>
                <w:sz w:val="18"/>
                <w:szCs w:val="18"/>
                <w:b w:val="1"/>
                <w:bCs w:val="1"/>
                <w:color w:val="auto"/>
              </w:rPr>
              <w:t>Capital Ratios under Local Regulation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860" w:type="dxa"/>
            <w:vAlign w:val="bottom"/>
            <w:tcBorders>
              <w:left w:val="single" w:sz="8" w:color="2AD2C9"/>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Capital ratios under Local Regulation</w:t>
            </w:r>
          </w:p>
        </w:tc>
        <w:tc>
          <w:tcPr>
            <w:tcW w:w="1080" w:type="dxa"/>
            <w:vAlign w:val="bottom"/>
            <w:tcBorders>
              <w:right w:val="single" w:sz="8" w:color="2AD2C9"/>
            </w:tcBorders>
            <w:shd w:val="clear" w:color="auto" w:fill="2AD2C9"/>
          </w:tcPr>
          <w:p>
            <w:pPr>
              <w:spacing w:after="0"/>
              <w:rPr>
                <w:sz w:val="18"/>
                <w:szCs w:val="18"/>
                <w:color w:val="auto"/>
              </w:rPr>
            </w:pPr>
          </w:p>
        </w:tc>
        <w:tc>
          <w:tcPr>
            <w:tcW w:w="1100" w:type="dxa"/>
            <w:vAlign w:val="bottom"/>
            <w:shd w:val="clear" w:color="auto" w:fill="2AD2C9"/>
          </w:tcPr>
          <w:p>
            <w:pPr>
              <w:spacing w:after="0"/>
              <w:rPr>
                <w:sz w:val="18"/>
                <w:szCs w:val="18"/>
                <w:color w:val="auto"/>
              </w:rPr>
            </w:pPr>
          </w:p>
        </w:tc>
        <w:tc>
          <w:tcPr>
            <w:tcW w:w="112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Quarter</w:t>
            </w:r>
          </w:p>
        </w:tc>
        <w:tc>
          <w:tcPr>
            <w:tcW w:w="1140" w:type="dxa"/>
            <w:vAlign w:val="bottom"/>
            <w:tcBorders>
              <w:right w:val="single" w:sz="8" w:color="2AD2C9"/>
            </w:tcBorders>
            <w:shd w:val="clear" w:color="auto" w:fill="2AD2C9"/>
          </w:tcPr>
          <w:p>
            <w:pPr>
              <w:spacing w:after="0"/>
              <w:rPr>
                <w:sz w:val="18"/>
                <w:szCs w:val="18"/>
                <w:color w:val="auto"/>
              </w:rPr>
            </w:pPr>
          </w:p>
        </w:tc>
        <w:tc>
          <w:tcPr>
            <w:tcW w:w="2220" w:type="dxa"/>
            <w:vAlign w:val="bottom"/>
            <w:gridSpan w:val="2"/>
            <w:shd w:val="clear" w:color="auto" w:fill="2AD2C9"/>
          </w:tcPr>
          <w:p>
            <w:pPr>
              <w:ind w:left="780"/>
              <w:spacing w:after="0"/>
              <w:rPr>
                <w:sz w:val="20"/>
                <w:szCs w:val="20"/>
                <w:color w:val="auto"/>
              </w:rPr>
            </w:pPr>
            <w:r>
              <w:rPr>
                <w:rFonts w:ascii="Arial" w:cs="Arial" w:eastAsia="Arial" w:hAnsi="Arial"/>
                <w:sz w:val="14"/>
                <w:szCs w:val="14"/>
                <w:b w:val="1"/>
                <w:bCs w:val="1"/>
                <w:color w:val="FFFFFF"/>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860" w:type="dxa"/>
            <w:vAlign w:val="bottom"/>
            <w:tcBorders>
              <w:left w:val="single" w:sz="8" w:color="2AD2C9"/>
              <w:bottom w:val="single" w:sz="8" w:color="auto"/>
            </w:tcBorders>
            <w:shd w:val="clear" w:color="auto" w:fill="2AD2C9"/>
          </w:tcPr>
          <w:p>
            <w:pPr>
              <w:spacing w:after="0"/>
              <w:rPr>
                <w:sz w:val="24"/>
                <w:szCs w:val="24"/>
                <w:color w:val="auto"/>
              </w:rPr>
            </w:pPr>
          </w:p>
        </w:tc>
        <w:tc>
          <w:tcPr>
            <w:tcW w:w="1080" w:type="dxa"/>
            <w:vAlign w:val="bottom"/>
            <w:tcBorders>
              <w:bottom w:val="single" w:sz="8" w:color="auto"/>
              <w:right w:val="single" w:sz="8" w:color="2AD2C9"/>
            </w:tcBorders>
            <w:shd w:val="clear" w:color="auto" w:fill="2AD2C9"/>
          </w:tcPr>
          <w:p>
            <w:pPr>
              <w:spacing w:after="0"/>
              <w:rPr>
                <w:sz w:val="24"/>
                <w:szCs w:val="24"/>
                <w:color w:val="auto"/>
              </w:rPr>
            </w:pPr>
          </w:p>
        </w:tc>
        <w:tc>
          <w:tcPr>
            <w:tcW w:w="11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23</w:t>
            </w:r>
          </w:p>
        </w:tc>
        <w:tc>
          <w:tcPr>
            <w:tcW w:w="1140" w:type="dxa"/>
            <w:vAlign w:val="bottom"/>
            <w:tcBorders>
              <w:bottom w:val="single" w:sz="8" w:color="auto"/>
              <w:right w:val="single" w:sz="8" w:color="2AD2C9"/>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Mar 24</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Common Equity Tier 1 Ratio</w:t>
            </w: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16.40%</w:t>
            </w:r>
          </w:p>
        </w:tc>
        <w:tc>
          <w:tcPr>
            <w:tcW w:w="1120" w:type="dxa"/>
            <w:vAlign w:val="bottom"/>
          </w:tcPr>
          <w:p>
            <w:pPr>
              <w:jc w:val="center"/>
              <w:spacing w:after="0"/>
              <w:rPr>
                <w:sz w:val="20"/>
                <w:szCs w:val="20"/>
                <w:color w:val="auto"/>
              </w:rPr>
            </w:pPr>
            <w:r>
              <w:rPr>
                <w:rFonts w:ascii="Arial" w:cs="Arial" w:eastAsia="Arial" w:hAnsi="Arial"/>
                <w:sz w:val="14"/>
                <w:szCs w:val="14"/>
                <w:color w:val="auto"/>
              </w:rPr>
              <w:t>18.22%</w:t>
            </w:r>
          </w:p>
        </w:tc>
        <w:tc>
          <w:tcPr>
            <w:tcW w:w="1140" w:type="dxa"/>
            <w:vAlign w:val="bottom"/>
          </w:tcPr>
          <w:p>
            <w:pPr>
              <w:jc w:val="center"/>
              <w:spacing w:after="0"/>
              <w:rPr>
                <w:sz w:val="20"/>
                <w:szCs w:val="20"/>
                <w:color w:val="auto"/>
              </w:rPr>
            </w:pPr>
            <w:r>
              <w:rPr>
                <w:rFonts w:ascii="Arial" w:cs="Arial" w:eastAsia="Arial" w:hAnsi="Arial"/>
                <w:sz w:val="14"/>
                <w:szCs w:val="14"/>
                <w:color w:val="auto"/>
              </w:rPr>
              <w:t>15.69%</w:t>
            </w:r>
          </w:p>
        </w:tc>
        <w:tc>
          <w:tcPr>
            <w:tcW w:w="1120" w:type="dxa"/>
            <w:vAlign w:val="bottom"/>
          </w:tcPr>
          <w:p>
            <w:pPr>
              <w:jc w:val="center"/>
              <w:spacing w:after="0"/>
              <w:rPr>
                <w:sz w:val="20"/>
                <w:szCs w:val="20"/>
                <w:color w:val="auto"/>
              </w:rPr>
            </w:pPr>
            <w:r>
              <w:rPr>
                <w:rFonts w:ascii="Arial" w:cs="Arial" w:eastAsia="Arial" w:hAnsi="Arial"/>
                <w:sz w:val="14"/>
                <w:szCs w:val="14"/>
                <w:color w:val="auto"/>
              </w:rPr>
              <w:t>-253 bps</w:t>
            </w:r>
          </w:p>
        </w:tc>
        <w:tc>
          <w:tcPr>
            <w:tcW w:w="1100" w:type="dxa"/>
            <w:vAlign w:val="bottom"/>
          </w:tcPr>
          <w:p>
            <w:pPr>
              <w:jc w:val="center"/>
              <w:spacing w:after="0"/>
              <w:rPr>
                <w:sz w:val="20"/>
                <w:szCs w:val="20"/>
                <w:color w:val="auto"/>
              </w:rPr>
            </w:pPr>
            <w:r>
              <w:rPr>
                <w:rFonts w:ascii="Arial" w:cs="Arial" w:eastAsia="Arial" w:hAnsi="Arial"/>
                <w:sz w:val="14"/>
                <w:szCs w:val="14"/>
                <w:color w:val="auto"/>
              </w:rPr>
              <w:t>-71 pbs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Tier 1 Capital ratio</w:t>
            </w:r>
          </w:p>
        </w:tc>
        <w:tc>
          <w:tcPr>
            <w:tcW w:w="10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16.40%</w:t>
            </w:r>
          </w:p>
        </w:tc>
        <w:tc>
          <w:tcPr>
            <w:tcW w:w="1120" w:type="dxa"/>
            <w:vAlign w:val="bottom"/>
          </w:tcPr>
          <w:p>
            <w:pPr>
              <w:jc w:val="center"/>
              <w:spacing w:after="0"/>
              <w:rPr>
                <w:sz w:val="20"/>
                <w:szCs w:val="20"/>
                <w:color w:val="auto"/>
              </w:rPr>
            </w:pPr>
            <w:r>
              <w:rPr>
                <w:rFonts w:ascii="Arial" w:cs="Arial" w:eastAsia="Arial" w:hAnsi="Arial"/>
                <w:sz w:val="14"/>
                <w:szCs w:val="14"/>
                <w:color w:val="auto"/>
              </w:rPr>
              <w:t>18.22%</w:t>
            </w:r>
          </w:p>
        </w:tc>
        <w:tc>
          <w:tcPr>
            <w:tcW w:w="1140" w:type="dxa"/>
            <w:vAlign w:val="bottom"/>
          </w:tcPr>
          <w:p>
            <w:pPr>
              <w:jc w:val="center"/>
              <w:spacing w:after="0"/>
              <w:rPr>
                <w:sz w:val="20"/>
                <w:szCs w:val="20"/>
                <w:color w:val="auto"/>
              </w:rPr>
            </w:pPr>
            <w:r>
              <w:rPr>
                <w:rFonts w:ascii="Arial" w:cs="Arial" w:eastAsia="Arial" w:hAnsi="Arial"/>
                <w:sz w:val="14"/>
                <w:szCs w:val="14"/>
                <w:color w:val="auto"/>
              </w:rPr>
              <w:t>15.69%</w:t>
            </w:r>
          </w:p>
        </w:tc>
        <w:tc>
          <w:tcPr>
            <w:tcW w:w="1120" w:type="dxa"/>
            <w:vAlign w:val="bottom"/>
          </w:tcPr>
          <w:p>
            <w:pPr>
              <w:jc w:val="center"/>
              <w:spacing w:after="0"/>
              <w:rPr>
                <w:sz w:val="20"/>
                <w:szCs w:val="20"/>
                <w:color w:val="auto"/>
              </w:rPr>
            </w:pPr>
            <w:r>
              <w:rPr>
                <w:rFonts w:ascii="Arial" w:cs="Arial" w:eastAsia="Arial" w:hAnsi="Arial"/>
                <w:sz w:val="14"/>
                <w:szCs w:val="14"/>
                <w:color w:val="auto"/>
              </w:rPr>
              <w:t>-253 bps</w:t>
            </w:r>
          </w:p>
        </w:tc>
        <w:tc>
          <w:tcPr>
            <w:tcW w:w="1100" w:type="dxa"/>
            <w:vAlign w:val="bottom"/>
          </w:tcPr>
          <w:p>
            <w:pPr>
              <w:jc w:val="center"/>
              <w:spacing w:after="0"/>
              <w:rPr>
                <w:sz w:val="20"/>
                <w:szCs w:val="20"/>
                <w:color w:val="auto"/>
              </w:rPr>
            </w:pPr>
            <w:r>
              <w:rPr>
                <w:rFonts w:ascii="Arial" w:cs="Arial" w:eastAsia="Arial" w:hAnsi="Arial"/>
                <w:sz w:val="14"/>
                <w:szCs w:val="14"/>
                <w:color w:val="auto"/>
              </w:rPr>
              <w:t>-71 pbs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60" w:type="dxa"/>
            <w:vAlign w:val="bottom"/>
          </w:tcPr>
          <w:p>
            <w:pPr>
              <w:ind w:left="40"/>
              <w:spacing w:after="0"/>
              <w:rPr>
                <w:sz w:val="20"/>
                <w:szCs w:val="20"/>
                <w:color w:val="auto"/>
              </w:rPr>
            </w:pPr>
            <w:r>
              <w:rPr>
                <w:rFonts w:ascii="Arial" w:cs="Arial" w:eastAsia="Arial" w:hAnsi="Arial"/>
                <w:sz w:val="14"/>
                <w:szCs w:val="14"/>
                <w:b w:val="1"/>
                <w:bCs w:val="1"/>
                <w:color w:val="auto"/>
              </w:rPr>
              <w:t>Regulatory Global Capital Ratio</w:t>
            </w:r>
          </w:p>
        </w:tc>
        <w:tc>
          <w:tcPr>
            <w:tcW w:w="10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18.76%</w:t>
            </w:r>
          </w:p>
        </w:tc>
        <w:tc>
          <w:tcPr>
            <w:tcW w:w="1120" w:type="dxa"/>
            <w:vAlign w:val="bottom"/>
          </w:tcPr>
          <w:p>
            <w:pPr>
              <w:jc w:val="center"/>
              <w:spacing w:after="0"/>
              <w:rPr>
                <w:sz w:val="20"/>
                <w:szCs w:val="20"/>
                <w:color w:val="auto"/>
              </w:rPr>
            </w:pPr>
            <w:r>
              <w:rPr>
                <w:rFonts w:ascii="Arial" w:cs="Arial" w:eastAsia="Arial" w:hAnsi="Arial"/>
                <w:sz w:val="14"/>
                <w:szCs w:val="14"/>
                <w:color w:val="auto"/>
              </w:rPr>
              <w:t>20.56%</w:t>
            </w:r>
          </w:p>
        </w:tc>
        <w:tc>
          <w:tcPr>
            <w:tcW w:w="1140" w:type="dxa"/>
            <w:vAlign w:val="bottom"/>
          </w:tcPr>
          <w:p>
            <w:pPr>
              <w:jc w:val="center"/>
              <w:spacing w:after="0"/>
              <w:rPr>
                <w:sz w:val="20"/>
                <w:szCs w:val="20"/>
                <w:color w:val="auto"/>
              </w:rPr>
            </w:pPr>
            <w:r>
              <w:rPr>
                <w:rFonts w:ascii="Arial" w:cs="Arial" w:eastAsia="Arial" w:hAnsi="Arial"/>
                <w:sz w:val="14"/>
                <w:szCs w:val="14"/>
                <w:color w:val="auto"/>
              </w:rPr>
              <w:t>18.03%</w:t>
            </w:r>
          </w:p>
        </w:tc>
        <w:tc>
          <w:tcPr>
            <w:tcW w:w="1120" w:type="dxa"/>
            <w:vAlign w:val="bottom"/>
          </w:tcPr>
          <w:p>
            <w:pPr>
              <w:jc w:val="center"/>
              <w:spacing w:after="0"/>
              <w:rPr>
                <w:sz w:val="20"/>
                <w:szCs w:val="20"/>
                <w:color w:val="auto"/>
              </w:rPr>
            </w:pPr>
            <w:r>
              <w:rPr>
                <w:rFonts w:ascii="Arial" w:cs="Arial" w:eastAsia="Arial" w:hAnsi="Arial"/>
                <w:sz w:val="14"/>
                <w:szCs w:val="14"/>
                <w:color w:val="auto"/>
              </w:rPr>
              <w:t>-253 bps</w:t>
            </w:r>
          </w:p>
        </w:tc>
        <w:tc>
          <w:tcPr>
            <w:tcW w:w="1100" w:type="dxa"/>
            <w:vAlign w:val="bottom"/>
          </w:tcPr>
          <w:p>
            <w:pPr>
              <w:jc w:val="center"/>
              <w:spacing w:after="0"/>
              <w:rPr>
                <w:sz w:val="20"/>
                <w:szCs w:val="20"/>
                <w:color w:val="auto"/>
              </w:rPr>
            </w:pPr>
            <w:r>
              <w:rPr>
                <w:rFonts w:ascii="Arial" w:cs="Arial" w:eastAsia="Arial" w:hAnsi="Arial"/>
                <w:sz w:val="14"/>
                <w:szCs w:val="14"/>
                <w:color w:val="auto"/>
              </w:rPr>
              <w:t>-73 pbs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-906780</wp:posOffset>
            </wp:positionV>
            <wp:extent cx="6060440" cy="916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0440" cy="916940"/>
                    </a:xfrm>
                    <a:prstGeom prst="rect">
                      <a:avLst/>
                    </a:prstGeom>
                    <a:noFill/>
                  </pic:spPr>
                </pic:pic>
              </a:graphicData>
            </a:graphic>
          </wp:anchor>
        </w:drawing>
      </w:r>
    </w:p>
    <w:p>
      <w:pPr>
        <w:ind w:left="1840" w:hanging="145"/>
        <w:spacing w:after="0"/>
        <w:tabs>
          <w:tab w:leader="none" w:pos="18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spacing w:after="0" w:line="5" w:lineRule="exact"/>
        <w:rPr>
          <w:rFonts w:ascii="Arial" w:cs="Arial" w:eastAsia="Arial" w:hAnsi="Arial"/>
          <w:sz w:val="11"/>
          <w:szCs w:val="11"/>
          <w:color w:val="auto"/>
        </w:rPr>
      </w:pPr>
    </w:p>
    <w:p>
      <w:pPr>
        <w:ind w:left="1700" w:right="2120" w:hanging="5"/>
        <w:spacing w:after="0" w:line="230" w:lineRule="auto"/>
        <w:tabs>
          <w:tab w:leader="none" w:pos="1850" w:val="left"/>
        </w:tabs>
        <w:numPr>
          <w:ilvl w:val="0"/>
          <w:numId w:val="51"/>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1840" w:hanging="145"/>
        <w:spacing w:after="0" w:line="230" w:lineRule="auto"/>
        <w:tabs>
          <w:tab w:leader="none" w:pos="18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ind w:left="1840" w:hanging="145"/>
        <w:spacing w:after="0"/>
        <w:tabs>
          <w:tab w:leader="none" w:pos="18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5" w:name="page56"/>
    <w:bookmarkEnd w:id="55"/>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Common Equity Tier 1 IFRS</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BCP Stand-alone</w:t>
      </w:r>
    </w:p>
    <w:tbl>
      <w:tblPr>
        <w:tblLayout w:type="fixed"/>
        <w:tblInd w:w="0" w:type="dxa"/>
        <w:tblCellMar>
          <w:top w:w="0" w:type="dxa"/>
          <w:left w:w="0" w:type="dxa"/>
          <w:bottom w:w="0" w:type="dxa"/>
          <w:right w:w="0" w:type="dxa"/>
        </w:tblCellMar>
      </w:tblPr>
      <w:tr>
        <w:trPr>
          <w:trHeight w:val="208"/>
        </w:trPr>
        <w:tc>
          <w:tcPr>
            <w:tcW w:w="880" w:type="dxa"/>
            <w:vAlign w:val="bottom"/>
            <w:tcBorders>
              <w:right w:val="single" w:sz="8" w:color="auto"/>
            </w:tcBorders>
          </w:tcPr>
          <w:p>
            <w:pPr>
              <w:spacing w:after="0"/>
              <w:rPr>
                <w:sz w:val="18"/>
                <w:szCs w:val="18"/>
                <w:color w:val="auto"/>
              </w:rPr>
            </w:pPr>
          </w:p>
        </w:tc>
        <w:tc>
          <w:tcPr>
            <w:tcW w:w="2640" w:type="dxa"/>
            <w:vAlign w:val="bottom"/>
            <w:tcBorders>
              <w:top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Common Equity Tier 1 IFRS</w:t>
            </w:r>
          </w:p>
        </w:tc>
        <w:tc>
          <w:tcPr>
            <w:tcW w:w="1280" w:type="dxa"/>
            <w:vAlign w:val="bottom"/>
            <w:tcBorders>
              <w:top w:val="single" w:sz="8" w:color="auto"/>
              <w:right w:val="single" w:sz="8" w:color="auto"/>
            </w:tcBorders>
            <w:shd w:val="clear" w:color="auto" w:fill="2AD2C9"/>
          </w:tcPr>
          <w:p>
            <w:pPr>
              <w:spacing w:after="0"/>
              <w:rPr>
                <w:sz w:val="18"/>
                <w:szCs w:val="18"/>
                <w:color w:val="auto"/>
              </w:rPr>
            </w:pPr>
          </w:p>
        </w:tc>
        <w:tc>
          <w:tcPr>
            <w:tcW w:w="120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center"/>
              <w:ind w:right="128"/>
              <w:spacing w:after="0"/>
              <w:rPr>
                <w:sz w:val="20"/>
                <w:szCs w:val="20"/>
                <w:color w:val="auto"/>
              </w:rPr>
            </w:pPr>
            <w:r>
              <w:rPr>
                <w:rFonts w:ascii="Arial" w:cs="Arial" w:eastAsia="Arial" w:hAnsi="Arial"/>
                <w:sz w:val="14"/>
                <w:szCs w:val="14"/>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8"/>
                <w:szCs w:val="18"/>
                <w:color w:val="auto"/>
              </w:rPr>
            </w:pPr>
          </w:p>
        </w:tc>
        <w:tc>
          <w:tcPr>
            <w:tcW w:w="2240" w:type="dxa"/>
            <w:vAlign w:val="bottom"/>
            <w:tcBorders>
              <w:top w:val="single" w:sz="8" w:color="auto"/>
              <w:right w:val="single" w:sz="8" w:color="auto"/>
            </w:tcBorders>
            <w:gridSpan w:val="2"/>
            <w:shd w:val="clear" w:color="auto" w:fill="2AD2C9"/>
          </w:tcPr>
          <w:p>
            <w:pPr>
              <w:ind w:left="760"/>
              <w:spacing w:after="0"/>
              <w:rPr>
                <w:sz w:val="20"/>
                <w:szCs w:val="20"/>
                <w:color w:val="auto"/>
              </w:rPr>
            </w:pPr>
            <w:r>
              <w:rPr>
                <w:rFonts w:ascii="Arial" w:cs="Arial" w:eastAsia="Arial" w:hAnsi="Arial"/>
                <w:sz w:val="14"/>
                <w:szCs w:val="14"/>
                <w:b w:val="1"/>
                <w:bCs w:val="1"/>
                <w:color w:val="FFFFFF"/>
              </w:rPr>
              <w:t>% Change</w:t>
            </w:r>
          </w:p>
        </w:tc>
        <w:tc>
          <w:tcPr>
            <w:tcW w:w="840" w:type="dxa"/>
            <w:vAlign w:val="bottom"/>
          </w:tcPr>
          <w:p>
            <w:pPr>
              <w:spacing w:after="0"/>
              <w:rPr>
                <w:sz w:val="18"/>
                <w:szCs w:val="18"/>
                <w:color w:val="auto"/>
              </w:rPr>
            </w:pPr>
          </w:p>
        </w:tc>
      </w:tr>
      <w:tr>
        <w:trPr>
          <w:trHeight w:val="312"/>
        </w:trPr>
        <w:tc>
          <w:tcPr>
            <w:tcW w:w="88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4"/>
                <w:szCs w:val="14"/>
                <w:color w:val="FFFFFF"/>
              </w:rPr>
              <w:t>(S/. thousand)</w:t>
            </w:r>
          </w:p>
        </w:tc>
        <w:tc>
          <w:tcPr>
            <w:tcW w:w="1280" w:type="dxa"/>
            <w:vAlign w:val="bottom"/>
            <w:tcBorders>
              <w:bottom w:val="single" w:sz="8" w:color="auto"/>
              <w:right w:val="single" w:sz="8" w:color="auto"/>
            </w:tcBorders>
            <w:shd w:val="clear" w:color="auto" w:fill="2AD2C9"/>
          </w:tcPr>
          <w:p>
            <w:pPr>
              <w:spacing w:after="0"/>
              <w:rPr>
                <w:sz w:val="24"/>
                <w:szCs w:val="24"/>
                <w:color w:val="auto"/>
              </w:rPr>
            </w:pPr>
          </w:p>
        </w:tc>
        <w:tc>
          <w:tcPr>
            <w:tcW w:w="1200" w:type="dxa"/>
            <w:vAlign w:val="bottom"/>
            <w:tcBorders>
              <w:bottom w:val="single" w:sz="8" w:color="auto"/>
            </w:tcBorders>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ind w:right="128"/>
              <w:spacing w:after="0"/>
              <w:rPr>
                <w:sz w:val="20"/>
                <w:szCs w:val="20"/>
                <w:color w:val="auto"/>
              </w:rPr>
            </w:pPr>
            <w:r>
              <w:rPr>
                <w:rFonts w:ascii="Arial" w:cs="Arial" w:eastAsia="Arial" w:hAnsi="Arial"/>
                <w:sz w:val="14"/>
                <w:szCs w:val="14"/>
                <w:b w:val="1"/>
                <w:bCs w:val="1"/>
                <w:color w:val="FFFFFF"/>
              </w:rPr>
              <w:t>Dec 23</w:t>
            </w:r>
          </w:p>
        </w:tc>
        <w:tc>
          <w:tcPr>
            <w:tcW w:w="1040" w:type="dxa"/>
            <w:vAlign w:val="bottom"/>
            <w:tcBorders>
              <w:bottom w:val="single" w:sz="8" w:color="auto"/>
              <w:right w:val="single" w:sz="8" w:color="auto"/>
            </w:tcBorders>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Mar 24</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840" w:type="dxa"/>
            <w:vAlign w:val="bottom"/>
          </w:tcPr>
          <w:p>
            <w:pPr>
              <w:spacing w:after="0"/>
              <w:rPr>
                <w:sz w:val="24"/>
                <w:szCs w:val="24"/>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Capital and reserves</w:t>
            </w:r>
          </w:p>
        </w:tc>
        <w:tc>
          <w:tcPr>
            <w:tcW w:w="1280" w:type="dxa"/>
            <w:vAlign w:val="bottom"/>
            <w:tcBorders>
              <w:right w:val="single" w:sz="8" w:color="auto"/>
            </w:tcBorders>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19,499,813</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19,051,853</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19,051,853</w:t>
            </w:r>
          </w:p>
        </w:tc>
        <w:tc>
          <w:tcPr>
            <w:tcW w:w="1120" w:type="dxa"/>
            <w:vAlign w:val="bottom"/>
          </w:tcPr>
          <w:p>
            <w:pPr>
              <w:jc w:val="center"/>
              <w:spacing w:after="0"/>
              <w:rPr>
                <w:sz w:val="20"/>
                <w:szCs w:val="20"/>
                <w:color w:val="auto"/>
              </w:rPr>
            </w:pPr>
            <w:r>
              <w:rPr>
                <w:rFonts w:ascii="Arial" w:cs="Arial" w:eastAsia="Arial" w:hAnsi="Arial"/>
                <w:sz w:val="14"/>
                <w:szCs w:val="14"/>
                <w:color w:val="auto"/>
              </w:rPr>
              <w:t>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840" w:type="dxa"/>
            <w:vAlign w:val="bottom"/>
          </w:tcPr>
          <w:p>
            <w:pPr>
              <w:spacing w:after="0"/>
              <w:rPr>
                <w:sz w:val="17"/>
                <w:szCs w:val="17"/>
                <w:color w:val="auto"/>
              </w:rPr>
            </w:pPr>
          </w:p>
        </w:tc>
      </w:tr>
      <w:tr>
        <w:trPr>
          <w:trHeight w:val="310"/>
        </w:trPr>
        <w:tc>
          <w:tcPr>
            <w:tcW w:w="880" w:type="dxa"/>
            <w:vAlign w:val="bottom"/>
            <w:tcBorders>
              <w:right w:val="single" w:sz="8" w:color="auto"/>
            </w:tcBorders>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1280" w:type="dxa"/>
            <w:vAlign w:val="bottom"/>
            <w:tcBorders>
              <w:right w:val="single" w:sz="8" w:color="auto"/>
            </w:tcBorders>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2,746,522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6,058,923</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3,429,163</w:t>
            </w:r>
          </w:p>
        </w:tc>
        <w:tc>
          <w:tcPr>
            <w:tcW w:w="1120" w:type="dxa"/>
            <w:vAlign w:val="bottom"/>
          </w:tcPr>
          <w:p>
            <w:pPr>
              <w:jc w:val="center"/>
              <w:spacing w:after="0"/>
              <w:rPr>
                <w:sz w:val="20"/>
                <w:szCs w:val="20"/>
                <w:color w:val="auto"/>
              </w:rPr>
            </w:pPr>
            <w:r>
              <w:rPr>
                <w:rFonts w:ascii="Arial" w:cs="Arial" w:eastAsia="Arial" w:hAnsi="Arial"/>
                <w:sz w:val="14"/>
                <w:szCs w:val="14"/>
                <w:color w:val="auto"/>
              </w:rPr>
              <w:t>-43.4%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24.9%</w:t>
            </w:r>
          </w:p>
        </w:tc>
        <w:tc>
          <w:tcPr>
            <w:tcW w:w="840" w:type="dxa"/>
            <w:vAlign w:val="bottom"/>
          </w:tcPr>
          <w:p>
            <w:pPr>
              <w:spacing w:after="0"/>
              <w:rPr>
                <w:sz w:val="24"/>
                <w:szCs w:val="24"/>
                <w:color w:val="auto"/>
              </w:rPr>
            </w:pPr>
          </w:p>
        </w:tc>
      </w:tr>
      <w:tr>
        <w:trPr>
          <w:trHeight w:val="311"/>
        </w:trPr>
        <w:tc>
          <w:tcPr>
            <w:tcW w:w="880" w:type="dxa"/>
            <w:vAlign w:val="bottom"/>
            <w:tcBorders>
              <w:right w:val="single" w:sz="8" w:color="auto"/>
            </w:tcBorders>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Unrealized gains (losses)</w:t>
            </w:r>
          </w:p>
        </w:tc>
        <w:tc>
          <w:tcPr>
            <w:tcW w:w="1280" w:type="dxa"/>
            <w:vAlign w:val="bottom"/>
            <w:tcBorders>
              <w:right w:val="single" w:sz="8" w:color="auto"/>
            </w:tcBorders>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(467,041)</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(109,202)</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(161,369)</w:t>
            </w:r>
          </w:p>
        </w:tc>
        <w:tc>
          <w:tcPr>
            <w:tcW w:w="1120" w:type="dxa"/>
            <w:vAlign w:val="bottom"/>
          </w:tcPr>
          <w:p>
            <w:pPr>
              <w:jc w:val="center"/>
              <w:spacing w:after="0"/>
              <w:rPr>
                <w:sz w:val="20"/>
                <w:szCs w:val="20"/>
                <w:color w:val="auto"/>
              </w:rPr>
            </w:pPr>
            <w:r>
              <w:rPr>
                <w:rFonts w:ascii="Arial" w:cs="Arial" w:eastAsia="Arial" w:hAnsi="Arial"/>
                <w:sz w:val="14"/>
                <w:szCs w:val="14"/>
                <w:color w:val="auto"/>
              </w:rPr>
              <w:t>47.8%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-65.4%</w:t>
            </w:r>
          </w:p>
        </w:tc>
        <w:tc>
          <w:tcPr>
            <w:tcW w:w="840" w:type="dxa"/>
            <w:vAlign w:val="bottom"/>
          </w:tcPr>
          <w:p>
            <w:pPr>
              <w:spacing w:after="0"/>
              <w:rPr>
                <w:sz w:val="24"/>
                <w:szCs w:val="24"/>
                <w:color w:val="auto"/>
              </w:rPr>
            </w:pPr>
          </w:p>
        </w:tc>
      </w:tr>
      <w:tr>
        <w:trPr>
          <w:trHeight w:val="310"/>
        </w:trPr>
        <w:tc>
          <w:tcPr>
            <w:tcW w:w="880" w:type="dxa"/>
            <w:vAlign w:val="bottom"/>
            <w:tcBorders>
              <w:right w:val="single" w:sz="8" w:color="auto"/>
            </w:tcBorders>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Goodwill and intangibles</w:t>
            </w:r>
          </w:p>
        </w:tc>
        <w:tc>
          <w:tcPr>
            <w:tcW w:w="1280" w:type="dxa"/>
            <w:vAlign w:val="bottom"/>
            <w:tcBorders>
              <w:right w:val="single" w:sz="8" w:color="auto"/>
            </w:tcBorders>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(1,454,205)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(1,670,116)</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(1,650,626)</w:t>
            </w:r>
          </w:p>
        </w:tc>
        <w:tc>
          <w:tcPr>
            <w:tcW w:w="1120" w:type="dxa"/>
            <w:vAlign w:val="bottom"/>
          </w:tcPr>
          <w:p>
            <w:pPr>
              <w:jc w:val="center"/>
              <w:spacing w:after="0"/>
              <w:rPr>
                <w:sz w:val="20"/>
                <w:szCs w:val="20"/>
                <w:color w:val="auto"/>
              </w:rPr>
            </w:pPr>
            <w:r>
              <w:rPr>
                <w:rFonts w:ascii="Arial" w:cs="Arial" w:eastAsia="Arial" w:hAnsi="Arial"/>
                <w:sz w:val="14"/>
                <w:szCs w:val="14"/>
                <w:color w:val="auto"/>
              </w:rPr>
              <w:t>-1.2%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13.5%</w:t>
            </w:r>
          </w:p>
        </w:tc>
        <w:tc>
          <w:tcPr>
            <w:tcW w:w="840" w:type="dxa"/>
            <w:vAlign w:val="bottom"/>
          </w:tcPr>
          <w:p>
            <w:pPr>
              <w:spacing w:after="0"/>
              <w:rPr>
                <w:sz w:val="24"/>
                <w:szCs w:val="24"/>
                <w:color w:val="auto"/>
              </w:rPr>
            </w:pPr>
          </w:p>
        </w:tc>
      </w:tr>
      <w:tr>
        <w:trPr>
          <w:trHeight w:val="315"/>
        </w:trPr>
        <w:tc>
          <w:tcPr>
            <w:tcW w:w="88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 in subsidiaries</w:t>
            </w:r>
          </w:p>
        </w:tc>
        <w:tc>
          <w:tcPr>
            <w:tcW w:w="12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(2,736,368)</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(2,917,670)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(2,570,974)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w:t>
            </w:r>
          </w:p>
        </w:tc>
        <w:tc>
          <w:tcPr>
            <w:tcW w:w="840" w:type="dxa"/>
            <w:vAlign w:val="bottom"/>
          </w:tcPr>
          <w:p>
            <w:pPr>
              <w:spacing w:after="0"/>
              <w:rPr>
                <w:sz w:val="24"/>
                <w:szCs w:val="24"/>
                <w:color w:val="auto"/>
              </w:rPr>
            </w:pPr>
          </w:p>
        </w:tc>
      </w:tr>
      <w:tr>
        <w:trPr>
          <w:trHeight w:val="212"/>
        </w:trPr>
        <w:tc>
          <w:tcPr>
            <w:tcW w:w="8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17,588,721</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20,413,787</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18,098,046</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-11.3%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2.9%</w:t>
            </w:r>
          </w:p>
        </w:tc>
        <w:tc>
          <w:tcPr>
            <w:tcW w:w="840" w:type="dxa"/>
            <w:vAlign w:val="bottom"/>
          </w:tcPr>
          <w:p>
            <w:pPr>
              <w:spacing w:after="0"/>
              <w:rPr>
                <w:sz w:val="18"/>
                <w:szCs w:val="18"/>
                <w:color w:val="auto"/>
              </w:rPr>
            </w:pPr>
          </w:p>
        </w:tc>
      </w:tr>
      <w:tr>
        <w:trPr>
          <w:trHeight w:val="211"/>
        </w:trPr>
        <w:tc>
          <w:tcPr>
            <w:tcW w:w="8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8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RWAs IFRS</w:t>
            </w:r>
          </w:p>
        </w:tc>
        <w:tc>
          <w:tcPr>
            <w:tcW w:w="12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147,477,433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154,627,042</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152,645,988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3.5%</w:t>
            </w:r>
          </w:p>
        </w:tc>
        <w:tc>
          <w:tcPr>
            <w:tcW w:w="840" w:type="dxa"/>
            <w:vAlign w:val="bottom"/>
          </w:tcPr>
          <w:p>
            <w:pPr>
              <w:spacing w:after="0"/>
              <w:rPr>
                <w:sz w:val="18"/>
                <w:szCs w:val="18"/>
                <w:color w:val="auto"/>
              </w:rPr>
            </w:pPr>
          </w:p>
        </w:tc>
      </w:tr>
      <w:tr>
        <w:trPr>
          <w:trHeight w:val="202"/>
        </w:trPr>
        <w:tc>
          <w:tcPr>
            <w:tcW w:w="880" w:type="dxa"/>
            <w:vAlign w:val="bottom"/>
            <w:tcBorders>
              <w:right w:val="single" w:sz="8" w:color="auto"/>
            </w:tcBorders>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Adjusted Credit RWAs IFRS</w:t>
            </w:r>
          </w:p>
        </w:tc>
        <w:tc>
          <w:tcPr>
            <w:tcW w:w="1280" w:type="dxa"/>
            <w:vAlign w:val="bottom"/>
            <w:tcBorders>
              <w:right w:val="single" w:sz="8" w:color="auto"/>
            </w:tcBorders>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130,880,511</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135,581,058</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132,771,383</w:t>
            </w:r>
          </w:p>
        </w:tc>
        <w:tc>
          <w:tcPr>
            <w:tcW w:w="1120" w:type="dxa"/>
            <w:vAlign w:val="bottom"/>
          </w:tcPr>
          <w:p>
            <w:pPr>
              <w:jc w:val="center"/>
              <w:spacing w:after="0"/>
              <w:rPr>
                <w:sz w:val="20"/>
                <w:szCs w:val="20"/>
                <w:color w:val="auto"/>
              </w:rPr>
            </w:pPr>
            <w:r>
              <w:rPr>
                <w:rFonts w:ascii="Arial" w:cs="Arial" w:eastAsia="Arial" w:hAnsi="Arial"/>
                <w:sz w:val="14"/>
                <w:szCs w:val="14"/>
                <w:color w:val="auto"/>
              </w:rPr>
              <w:t>-2.1%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840" w:type="dxa"/>
            <w:vAlign w:val="bottom"/>
          </w:tcPr>
          <w:p>
            <w:pPr>
              <w:spacing w:after="0"/>
              <w:rPr>
                <w:sz w:val="17"/>
                <w:szCs w:val="17"/>
                <w:color w:val="auto"/>
              </w:rPr>
            </w:pPr>
          </w:p>
        </w:tc>
      </w:tr>
      <w:tr>
        <w:trPr>
          <w:trHeight w:val="220"/>
        </w:trPr>
        <w:tc>
          <w:tcPr>
            <w:tcW w:w="880" w:type="dxa"/>
            <w:vAlign w:val="bottom"/>
            <w:tcBorders>
              <w:right w:val="single" w:sz="8" w:color="auto"/>
            </w:tcBorders>
          </w:tcPr>
          <w:p>
            <w:pPr>
              <w:spacing w:after="0"/>
              <w:rPr>
                <w:sz w:val="19"/>
                <w:szCs w:val="19"/>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Others</w:t>
            </w:r>
          </w:p>
        </w:tc>
        <w:tc>
          <w:tcPr>
            <w:tcW w:w="128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16,596,922</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19,045,984</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19,874,605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19.7%</w:t>
            </w:r>
          </w:p>
        </w:tc>
        <w:tc>
          <w:tcPr>
            <w:tcW w:w="840" w:type="dxa"/>
            <w:vAlign w:val="bottom"/>
          </w:tcPr>
          <w:p>
            <w:pPr>
              <w:spacing w:after="0"/>
              <w:rPr>
                <w:sz w:val="19"/>
                <w:szCs w:val="19"/>
                <w:color w:val="auto"/>
              </w:rPr>
            </w:pPr>
          </w:p>
        </w:tc>
      </w:tr>
      <w:tr>
        <w:trPr>
          <w:trHeight w:val="213"/>
        </w:trPr>
        <w:tc>
          <w:tcPr>
            <w:tcW w:w="8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CET1 ratio IFRS</w:t>
            </w:r>
          </w:p>
        </w:tc>
        <w:tc>
          <w:tcPr>
            <w:tcW w:w="12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11.93%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13.20%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11.86%</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-135 bps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-7 bps</w:t>
            </w:r>
          </w:p>
        </w:tc>
        <w:tc>
          <w:tcPr>
            <w:tcW w:w="840" w:type="dxa"/>
            <w:vAlign w:val="bottom"/>
          </w:tcPr>
          <w:p>
            <w:pPr>
              <w:spacing w:after="0"/>
              <w:rPr>
                <w:sz w:val="18"/>
                <w:szCs w:val="18"/>
                <w:color w:val="auto"/>
              </w:rPr>
            </w:pPr>
          </w:p>
        </w:tc>
      </w:tr>
      <w:tr>
        <w:trPr>
          <w:trHeight w:val="359"/>
        </w:trPr>
        <w:tc>
          <w:tcPr>
            <w:tcW w:w="88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Mibanco</w:t>
            </w: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07"/>
        </w:trPr>
        <w:tc>
          <w:tcPr>
            <w:tcW w:w="880" w:type="dxa"/>
            <w:vAlign w:val="bottom"/>
            <w:tcBorders>
              <w:right w:val="single" w:sz="8" w:color="auto"/>
            </w:tcBorders>
          </w:tcPr>
          <w:p>
            <w:pPr>
              <w:spacing w:after="0"/>
              <w:rPr>
                <w:sz w:val="18"/>
                <w:szCs w:val="18"/>
                <w:color w:val="auto"/>
              </w:rPr>
            </w:pPr>
          </w:p>
        </w:tc>
        <w:tc>
          <w:tcPr>
            <w:tcW w:w="2640" w:type="dxa"/>
            <w:vAlign w:val="bottom"/>
            <w:shd w:val="clear" w:color="auto" w:fill="2AD2C9"/>
          </w:tcPr>
          <w:p>
            <w:pPr>
              <w:ind w:left="20"/>
              <w:spacing w:after="0"/>
              <w:rPr>
                <w:sz w:val="20"/>
                <w:szCs w:val="20"/>
                <w:color w:val="auto"/>
              </w:rPr>
            </w:pPr>
            <w:r>
              <w:rPr>
                <w:rFonts w:ascii="Arial" w:cs="Arial" w:eastAsia="Arial" w:hAnsi="Arial"/>
                <w:sz w:val="14"/>
                <w:szCs w:val="14"/>
                <w:b w:val="1"/>
                <w:bCs w:val="1"/>
                <w:color w:val="FFFFFF"/>
              </w:rPr>
              <w:t>Common Equity Tier 1 IFRS</w:t>
            </w:r>
          </w:p>
        </w:tc>
        <w:tc>
          <w:tcPr>
            <w:tcW w:w="1280" w:type="dxa"/>
            <w:vAlign w:val="bottom"/>
            <w:tcBorders>
              <w:right w:val="single" w:sz="8" w:color="auto"/>
            </w:tcBorders>
            <w:shd w:val="clear" w:color="auto" w:fill="2AD2C9"/>
          </w:tcPr>
          <w:p>
            <w:pPr>
              <w:spacing w:after="0"/>
              <w:rPr>
                <w:sz w:val="18"/>
                <w:szCs w:val="18"/>
                <w:color w:val="auto"/>
              </w:rPr>
            </w:pPr>
          </w:p>
        </w:tc>
        <w:tc>
          <w:tcPr>
            <w:tcW w:w="1200" w:type="dxa"/>
            <w:vAlign w:val="bottom"/>
            <w:shd w:val="clear" w:color="auto" w:fill="2AD2C9"/>
          </w:tcPr>
          <w:p>
            <w:pPr>
              <w:spacing w:after="0"/>
              <w:rPr>
                <w:sz w:val="18"/>
                <w:szCs w:val="18"/>
                <w:color w:val="auto"/>
              </w:rPr>
            </w:pPr>
          </w:p>
        </w:tc>
        <w:tc>
          <w:tcPr>
            <w:tcW w:w="1120" w:type="dxa"/>
            <w:vAlign w:val="bottom"/>
            <w:shd w:val="clear" w:color="auto" w:fill="2AD2C9"/>
          </w:tcPr>
          <w:p>
            <w:pPr>
              <w:jc w:val="center"/>
              <w:ind w:right="128"/>
              <w:spacing w:after="0"/>
              <w:rPr>
                <w:sz w:val="20"/>
                <w:szCs w:val="20"/>
                <w:color w:val="auto"/>
              </w:rPr>
            </w:pPr>
            <w:r>
              <w:rPr>
                <w:rFonts w:ascii="Arial" w:cs="Arial" w:eastAsia="Arial" w:hAnsi="Arial"/>
                <w:sz w:val="14"/>
                <w:szCs w:val="14"/>
                <w:b w:val="1"/>
                <w:bCs w:val="1"/>
                <w:color w:val="FFFFFF"/>
              </w:rPr>
              <w:t>Quarter</w:t>
            </w:r>
          </w:p>
        </w:tc>
        <w:tc>
          <w:tcPr>
            <w:tcW w:w="1040" w:type="dxa"/>
            <w:vAlign w:val="bottom"/>
            <w:tcBorders>
              <w:right w:val="single" w:sz="8" w:color="auto"/>
            </w:tcBorders>
            <w:shd w:val="clear" w:color="auto" w:fill="2AD2C9"/>
          </w:tcPr>
          <w:p>
            <w:pPr>
              <w:spacing w:after="0"/>
              <w:rPr>
                <w:sz w:val="18"/>
                <w:szCs w:val="18"/>
                <w:color w:val="auto"/>
              </w:rPr>
            </w:pPr>
          </w:p>
        </w:tc>
        <w:tc>
          <w:tcPr>
            <w:tcW w:w="2240" w:type="dxa"/>
            <w:vAlign w:val="bottom"/>
            <w:tcBorders>
              <w:right w:val="single" w:sz="8" w:color="auto"/>
            </w:tcBorders>
            <w:gridSpan w:val="2"/>
            <w:shd w:val="clear" w:color="auto" w:fill="2AD2C9"/>
          </w:tcPr>
          <w:p>
            <w:pPr>
              <w:ind w:left="760"/>
              <w:spacing w:after="0"/>
              <w:rPr>
                <w:sz w:val="20"/>
                <w:szCs w:val="20"/>
                <w:color w:val="auto"/>
              </w:rPr>
            </w:pPr>
            <w:r>
              <w:rPr>
                <w:rFonts w:ascii="Arial" w:cs="Arial" w:eastAsia="Arial" w:hAnsi="Arial"/>
                <w:sz w:val="14"/>
                <w:szCs w:val="14"/>
                <w:b w:val="1"/>
                <w:bCs w:val="1"/>
                <w:color w:val="FFFFFF"/>
              </w:rPr>
              <w:t>% Change</w:t>
            </w:r>
          </w:p>
        </w:tc>
        <w:tc>
          <w:tcPr>
            <w:tcW w:w="840" w:type="dxa"/>
            <w:vAlign w:val="bottom"/>
          </w:tcPr>
          <w:p>
            <w:pPr>
              <w:spacing w:after="0"/>
              <w:rPr>
                <w:sz w:val="18"/>
                <w:szCs w:val="18"/>
                <w:color w:val="auto"/>
              </w:rPr>
            </w:pPr>
          </w:p>
        </w:tc>
      </w:tr>
      <w:tr>
        <w:trPr>
          <w:trHeight w:val="312"/>
        </w:trPr>
        <w:tc>
          <w:tcPr>
            <w:tcW w:w="88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4"/>
                <w:szCs w:val="14"/>
                <w:color w:val="FFFFFF"/>
              </w:rPr>
              <w:t>(S/. thousand)</w:t>
            </w:r>
          </w:p>
        </w:tc>
        <w:tc>
          <w:tcPr>
            <w:tcW w:w="1280" w:type="dxa"/>
            <w:vAlign w:val="bottom"/>
            <w:tcBorders>
              <w:bottom w:val="single" w:sz="8" w:color="auto"/>
              <w:right w:val="single" w:sz="8" w:color="auto"/>
            </w:tcBorders>
            <w:shd w:val="clear" w:color="auto" w:fill="2AD2C9"/>
          </w:tcPr>
          <w:p>
            <w:pPr>
              <w:spacing w:after="0"/>
              <w:rPr>
                <w:sz w:val="24"/>
                <w:szCs w:val="24"/>
                <w:color w:val="auto"/>
              </w:rPr>
            </w:pPr>
          </w:p>
        </w:tc>
        <w:tc>
          <w:tcPr>
            <w:tcW w:w="1200" w:type="dxa"/>
            <w:vAlign w:val="bottom"/>
            <w:tcBorders>
              <w:bottom w:val="single" w:sz="8" w:color="auto"/>
            </w:tcBorders>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ind w:right="128"/>
              <w:spacing w:after="0"/>
              <w:rPr>
                <w:sz w:val="20"/>
                <w:szCs w:val="20"/>
                <w:color w:val="auto"/>
              </w:rPr>
            </w:pPr>
            <w:r>
              <w:rPr>
                <w:rFonts w:ascii="Arial" w:cs="Arial" w:eastAsia="Arial" w:hAnsi="Arial"/>
                <w:sz w:val="14"/>
                <w:szCs w:val="14"/>
                <w:b w:val="1"/>
                <w:bCs w:val="1"/>
                <w:color w:val="FFFFFF"/>
              </w:rPr>
              <w:t>Sep 23</w:t>
            </w:r>
          </w:p>
        </w:tc>
        <w:tc>
          <w:tcPr>
            <w:tcW w:w="1040" w:type="dxa"/>
            <w:vAlign w:val="bottom"/>
            <w:tcBorders>
              <w:bottom w:val="single" w:sz="8" w:color="auto"/>
              <w:right w:val="single" w:sz="8" w:color="auto"/>
            </w:tcBorders>
            <w:shd w:val="clear" w:color="auto" w:fill="2AD2C9"/>
          </w:tcPr>
          <w:p>
            <w:pPr>
              <w:jc w:val="right"/>
              <w:ind w:right="268"/>
              <w:spacing w:after="0"/>
              <w:rPr>
                <w:sz w:val="20"/>
                <w:szCs w:val="20"/>
                <w:color w:val="auto"/>
              </w:rPr>
            </w:pPr>
            <w:r>
              <w:rPr>
                <w:rFonts w:ascii="Arial" w:cs="Arial" w:eastAsia="Arial" w:hAnsi="Arial"/>
                <w:sz w:val="14"/>
                <w:szCs w:val="14"/>
                <w:b w:val="1"/>
                <w:bCs w:val="1"/>
                <w:color w:val="FFFFFF"/>
              </w:rPr>
              <w:t>Dec 23</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840" w:type="dxa"/>
            <w:vAlign w:val="bottom"/>
          </w:tcPr>
          <w:p>
            <w:pPr>
              <w:spacing w:after="0"/>
              <w:rPr>
                <w:sz w:val="24"/>
                <w:szCs w:val="24"/>
                <w:color w:val="auto"/>
              </w:rPr>
            </w:pPr>
          </w:p>
        </w:tc>
      </w:tr>
      <w:tr>
        <w:trPr>
          <w:trHeight w:val="202"/>
        </w:trPr>
        <w:tc>
          <w:tcPr>
            <w:tcW w:w="880" w:type="dxa"/>
            <w:vAlign w:val="bottom"/>
            <w:tcBorders>
              <w:right w:val="single" w:sz="8" w:color="auto"/>
            </w:tcBorders>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Capital and reserves</w:t>
            </w:r>
          </w:p>
        </w:tc>
        <w:tc>
          <w:tcPr>
            <w:tcW w:w="1280" w:type="dxa"/>
            <w:vAlign w:val="bottom"/>
            <w:tcBorders>
              <w:right w:val="single" w:sz="8" w:color="auto"/>
            </w:tcBorders>
          </w:tcPr>
          <w:p>
            <w:pPr>
              <w:spacing w:after="0"/>
              <w:rPr>
                <w:sz w:val="17"/>
                <w:szCs w:val="17"/>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color w:val="auto"/>
              </w:rPr>
              <w:t>2,676,791</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2,676,791</w:t>
            </w:r>
          </w:p>
        </w:tc>
        <w:tc>
          <w:tcPr>
            <w:tcW w:w="10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rPr>
              <w:t>2,703,385</w:t>
            </w:r>
          </w:p>
        </w:tc>
        <w:tc>
          <w:tcPr>
            <w:tcW w:w="1120" w:type="dxa"/>
            <w:vAlign w:val="bottom"/>
          </w:tcPr>
          <w:p>
            <w:pPr>
              <w:jc w:val="center"/>
              <w:spacing w:after="0"/>
              <w:rPr>
                <w:sz w:val="20"/>
                <w:szCs w:val="20"/>
                <w:color w:val="auto"/>
              </w:rPr>
            </w:pPr>
            <w:r>
              <w:rPr>
                <w:rFonts w:ascii="Arial" w:cs="Arial" w:eastAsia="Arial" w:hAnsi="Arial"/>
                <w:sz w:val="14"/>
                <w:szCs w:val="14"/>
                <w:color w:val="auto"/>
              </w:rPr>
              <w:t>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840" w:type="dxa"/>
            <w:vAlign w:val="bottom"/>
          </w:tcPr>
          <w:p>
            <w:pPr>
              <w:spacing w:after="0"/>
              <w:rPr>
                <w:sz w:val="17"/>
                <w:szCs w:val="17"/>
                <w:color w:val="auto"/>
              </w:rPr>
            </w:pPr>
          </w:p>
        </w:tc>
      </w:tr>
      <w:tr>
        <w:trPr>
          <w:trHeight w:val="310"/>
        </w:trPr>
        <w:tc>
          <w:tcPr>
            <w:tcW w:w="880" w:type="dxa"/>
            <w:vAlign w:val="bottom"/>
            <w:tcBorders>
              <w:right w:val="single" w:sz="8" w:color="auto"/>
            </w:tcBorders>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1280" w:type="dxa"/>
            <w:vAlign w:val="bottom"/>
            <w:tcBorders>
              <w:right w:val="single" w:sz="8" w:color="auto"/>
            </w:tcBorders>
          </w:tcPr>
          <w:p>
            <w:pPr>
              <w:spacing w:after="0"/>
              <w:rPr>
                <w:sz w:val="24"/>
                <w:szCs w:val="24"/>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color w:val="auto"/>
              </w:rPr>
              <w:t>140,612</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321,235</w:t>
            </w:r>
          </w:p>
        </w:tc>
        <w:tc>
          <w:tcPr>
            <w:tcW w:w="10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9"/>
              </w:rPr>
              <w:t>(62,632)</w:t>
            </w:r>
          </w:p>
        </w:tc>
        <w:tc>
          <w:tcPr>
            <w:tcW w:w="1120" w:type="dxa"/>
            <w:vAlign w:val="bottom"/>
          </w:tcPr>
          <w:p>
            <w:pPr>
              <w:jc w:val="center"/>
              <w:spacing w:after="0"/>
              <w:rPr>
                <w:sz w:val="20"/>
                <w:szCs w:val="20"/>
                <w:color w:val="auto"/>
              </w:rPr>
            </w:pPr>
            <w:r>
              <w:rPr>
                <w:rFonts w:ascii="Arial" w:cs="Arial" w:eastAsia="Arial" w:hAnsi="Arial"/>
                <w:sz w:val="14"/>
                <w:szCs w:val="14"/>
                <w:color w:val="auto"/>
              </w:rPr>
              <w:t>-119.5%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-144.5%</w:t>
            </w:r>
          </w:p>
        </w:tc>
        <w:tc>
          <w:tcPr>
            <w:tcW w:w="840" w:type="dxa"/>
            <w:vAlign w:val="bottom"/>
          </w:tcPr>
          <w:p>
            <w:pPr>
              <w:spacing w:after="0"/>
              <w:rPr>
                <w:sz w:val="24"/>
                <w:szCs w:val="24"/>
                <w:color w:val="auto"/>
              </w:rPr>
            </w:pPr>
          </w:p>
        </w:tc>
      </w:tr>
      <w:tr>
        <w:trPr>
          <w:trHeight w:val="310"/>
        </w:trPr>
        <w:tc>
          <w:tcPr>
            <w:tcW w:w="880" w:type="dxa"/>
            <w:vAlign w:val="bottom"/>
            <w:tcBorders>
              <w:right w:val="single" w:sz="8" w:color="auto"/>
            </w:tcBorders>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Unrealized gains (losses)</w:t>
            </w:r>
          </w:p>
        </w:tc>
        <w:tc>
          <w:tcPr>
            <w:tcW w:w="1280" w:type="dxa"/>
            <w:vAlign w:val="bottom"/>
            <w:tcBorders>
              <w:right w:val="single" w:sz="8" w:color="auto"/>
            </w:tcBorders>
          </w:tcPr>
          <w:p>
            <w:pPr>
              <w:spacing w:after="0"/>
              <w:rPr>
                <w:sz w:val="24"/>
                <w:szCs w:val="24"/>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color w:val="auto"/>
                <w:w w:val="99"/>
              </w:rPr>
              <w:t>(16,118)</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w w:val="99"/>
              </w:rPr>
              <w:t>(1,403)</w:t>
            </w:r>
          </w:p>
        </w:tc>
        <w:tc>
          <w:tcPr>
            <w:tcW w:w="10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w w:val="99"/>
              </w:rPr>
              <w:t>(8,967)</w:t>
            </w:r>
          </w:p>
        </w:tc>
        <w:tc>
          <w:tcPr>
            <w:tcW w:w="1120" w:type="dxa"/>
            <w:vAlign w:val="bottom"/>
          </w:tcPr>
          <w:p>
            <w:pPr>
              <w:jc w:val="center"/>
              <w:spacing w:after="0"/>
              <w:rPr>
                <w:sz w:val="20"/>
                <w:szCs w:val="20"/>
                <w:color w:val="auto"/>
              </w:rPr>
            </w:pPr>
            <w:r>
              <w:rPr>
                <w:rFonts w:ascii="Arial" w:cs="Arial" w:eastAsia="Arial" w:hAnsi="Arial"/>
                <w:sz w:val="14"/>
                <w:szCs w:val="14"/>
                <w:color w:val="auto"/>
              </w:rPr>
              <w:t>538.9%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-44.4%</w:t>
            </w:r>
          </w:p>
        </w:tc>
        <w:tc>
          <w:tcPr>
            <w:tcW w:w="840" w:type="dxa"/>
            <w:vAlign w:val="bottom"/>
          </w:tcPr>
          <w:p>
            <w:pPr>
              <w:spacing w:after="0"/>
              <w:rPr>
                <w:sz w:val="24"/>
                <w:szCs w:val="24"/>
                <w:color w:val="auto"/>
              </w:rPr>
            </w:pPr>
          </w:p>
        </w:tc>
      </w:tr>
      <w:tr>
        <w:trPr>
          <w:trHeight w:val="310"/>
        </w:trPr>
        <w:tc>
          <w:tcPr>
            <w:tcW w:w="880" w:type="dxa"/>
            <w:vAlign w:val="bottom"/>
            <w:tcBorders>
              <w:right w:val="single" w:sz="8" w:color="auto"/>
            </w:tcBorders>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Goodwill and intangibles</w:t>
            </w:r>
          </w:p>
        </w:tc>
        <w:tc>
          <w:tcPr>
            <w:tcW w:w="1280" w:type="dxa"/>
            <w:vAlign w:val="bottom"/>
            <w:tcBorders>
              <w:right w:val="single" w:sz="8" w:color="auto"/>
            </w:tcBorders>
          </w:tcPr>
          <w:p>
            <w:pPr>
              <w:spacing w:after="0"/>
              <w:rPr>
                <w:sz w:val="24"/>
                <w:szCs w:val="2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color w:val="auto"/>
              </w:rPr>
              <w:t>(342,684)</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(360,171)</w:t>
            </w:r>
          </w:p>
        </w:tc>
        <w:tc>
          <w:tcPr>
            <w:tcW w:w="10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rPr>
              <w:t>(352,162)</w:t>
            </w:r>
          </w:p>
        </w:tc>
        <w:tc>
          <w:tcPr>
            <w:tcW w:w="1120" w:type="dxa"/>
            <w:vAlign w:val="bottom"/>
          </w:tcPr>
          <w:p>
            <w:pPr>
              <w:jc w:val="center"/>
              <w:spacing w:after="0"/>
              <w:rPr>
                <w:sz w:val="20"/>
                <w:szCs w:val="20"/>
                <w:color w:val="auto"/>
              </w:rPr>
            </w:pPr>
            <w:r>
              <w:rPr>
                <w:rFonts w:ascii="Arial" w:cs="Arial" w:eastAsia="Arial" w:hAnsi="Arial"/>
                <w:sz w:val="14"/>
                <w:szCs w:val="14"/>
                <w:color w:val="auto"/>
              </w:rPr>
              <w:t>-2.2%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w:t>
            </w:r>
          </w:p>
        </w:tc>
        <w:tc>
          <w:tcPr>
            <w:tcW w:w="840" w:type="dxa"/>
            <w:vAlign w:val="bottom"/>
          </w:tcPr>
          <w:p>
            <w:pPr>
              <w:spacing w:after="0"/>
              <w:rPr>
                <w:sz w:val="24"/>
                <w:szCs w:val="24"/>
                <w:color w:val="auto"/>
              </w:rPr>
            </w:pPr>
          </w:p>
        </w:tc>
      </w:tr>
      <w:tr>
        <w:trPr>
          <w:trHeight w:val="315"/>
        </w:trPr>
        <w:tc>
          <w:tcPr>
            <w:tcW w:w="88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 in subsidiaries</w:t>
            </w:r>
          </w:p>
        </w:tc>
        <w:tc>
          <w:tcPr>
            <w:tcW w:w="12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(281)</w:t>
            </w: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7"/>
              </w:rPr>
              <w:t>(271)</w:t>
            </w: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color w:val="auto"/>
                <w:w w:val="97"/>
              </w:rPr>
              <w:t>(275)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w:t>
            </w:r>
          </w:p>
        </w:tc>
        <w:tc>
          <w:tcPr>
            <w:tcW w:w="840" w:type="dxa"/>
            <w:vAlign w:val="bottom"/>
          </w:tcPr>
          <w:p>
            <w:pPr>
              <w:spacing w:after="0"/>
              <w:rPr>
                <w:sz w:val="24"/>
                <w:szCs w:val="24"/>
                <w:color w:val="auto"/>
              </w:rPr>
            </w:pPr>
          </w:p>
        </w:tc>
      </w:tr>
      <w:tr>
        <w:trPr>
          <w:trHeight w:val="213"/>
        </w:trPr>
        <w:tc>
          <w:tcPr>
            <w:tcW w:w="8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2,458,321</w:t>
            </w: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2,636,182</w:t>
            </w: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2,279,349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-7.3%</w:t>
            </w:r>
          </w:p>
        </w:tc>
        <w:tc>
          <w:tcPr>
            <w:tcW w:w="84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RWAs IFRS</w:t>
            </w:r>
          </w:p>
        </w:tc>
        <w:tc>
          <w:tcPr>
            <w:tcW w:w="12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15,005,498</w:t>
            </w: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14,349,534</w:t>
            </w: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14,188,737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-5.4%</w:t>
            </w:r>
          </w:p>
        </w:tc>
        <w:tc>
          <w:tcPr>
            <w:tcW w:w="840" w:type="dxa"/>
            <w:vAlign w:val="bottom"/>
          </w:tcPr>
          <w:p>
            <w:pPr>
              <w:spacing w:after="0"/>
              <w:rPr>
                <w:sz w:val="18"/>
                <w:szCs w:val="18"/>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Adjusted Credit RWAs IFRS</w:t>
            </w:r>
          </w:p>
        </w:tc>
        <w:tc>
          <w:tcPr>
            <w:tcW w:w="1280" w:type="dxa"/>
            <w:vAlign w:val="bottom"/>
            <w:tcBorders>
              <w:right w:val="single" w:sz="8" w:color="auto"/>
            </w:tcBorders>
          </w:tcPr>
          <w:p>
            <w:pPr>
              <w:spacing w:after="0"/>
              <w:rPr>
                <w:sz w:val="17"/>
                <w:szCs w:val="17"/>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color w:val="auto"/>
              </w:rPr>
              <w:t>15,005,498</w:t>
            </w:r>
          </w:p>
        </w:tc>
        <w:tc>
          <w:tcPr>
            <w:tcW w:w="1120" w:type="dxa"/>
            <w:vAlign w:val="bottom"/>
          </w:tcPr>
          <w:p>
            <w:pPr>
              <w:jc w:val="center"/>
              <w:ind w:right="128"/>
              <w:spacing w:after="0"/>
              <w:rPr>
                <w:sz w:val="20"/>
                <w:szCs w:val="20"/>
                <w:color w:val="auto"/>
              </w:rPr>
            </w:pPr>
            <w:r>
              <w:rPr>
                <w:rFonts w:ascii="Arial" w:cs="Arial" w:eastAsia="Arial" w:hAnsi="Arial"/>
                <w:sz w:val="14"/>
                <w:szCs w:val="14"/>
                <w:color w:val="auto"/>
              </w:rPr>
              <w:t>12,595,184</w:t>
            </w:r>
          </w:p>
        </w:tc>
        <w:tc>
          <w:tcPr>
            <w:tcW w:w="10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color w:val="auto"/>
              </w:rPr>
              <w:t>12,366,207</w:t>
            </w:r>
          </w:p>
        </w:tc>
        <w:tc>
          <w:tcPr>
            <w:tcW w:w="1120" w:type="dxa"/>
            <w:vAlign w:val="bottom"/>
          </w:tcPr>
          <w:p>
            <w:pPr>
              <w:jc w:val="center"/>
              <w:spacing w:after="0"/>
              <w:rPr>
                <w:sz w:val="20"/>
                <w:szCs w:val="20"/>
                <w:color w:val="auto"/>
              </w:rPr>
            </w:pPr>
            <w:r>
              <w:rPr>
                <w:rFonts w:ascii="Arial" w:cs="Arial" w:eastAsia="Arial" w:hAnsi="Arial"/>
                <w:sz w:val="14"/>
                <w:szCs w:val="14"/>
                <w:color w:val="auto"/>
              </w:rPr>
              <w:t>-1.8%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-17.6%</w:t>
            </w:r>
          </w:p>
        </w:tc>
        <w:tc>
          <w:tcPr>
            <w:tcW w:w="840" w:type="dxa"/>
            <w:vAlign w:val="bottom"/>
          </w:tcPr>
          <w:p>
            <w:pPr>
              <w:spacing w:after="0"/>
              <w:rPr>
                <w:sz w:val="17"/>
                <w:szCs w:val="17"/>
                <w:color w:val="auto"/>
              </w:rPr>
            </w:pPr>
          </w:p>
        </w:tc>
      </w:tr>
      <w:tr>
        <w:trPr>
          <w:trHeight w:val="315"/>
        </w:trPr>
        <w:tc>
          <w:tcPr>
            <w:tcW w:w="88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Others</w:t>
            </w:r>
          </w:p>
        </w:tc>
        <w:tc>
          <w:tcPr>
            <w:tcW w:w="12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1,754,350</w:t>
            </w: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color w:val="auto"/>
              </w:rPr>
              <w:t>1,822,530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40" w:type="dxa"/>
            <w:vAlign w:val="bottom"/>
          </w:tcPr>
          <w:p>
            <w:pPr>
              <w:spacing w:after="0"/>
              <w:rPr>
                <w:sz w:val="24"/>
                <w:szCs w:val="24"/>
                <w:color w:val="auto"/>
              </w:rPr>
            </w:pPr>
          </w:p>
        </w:tc>
      </w:tr>
      <w:tr>
        <w:trPr>
          <w:trHeight w:val="214"/>
        </w:trPr>
        <w:tc>
          <w:tcPr>
            <w:tcW w:w="8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CET1 ratio IFRS</w:t>
            </w:r>
          </w:p>
        </w:tc>
        <w:tc>
          <w:tcPr>
            <w:tcW w:w="12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16.38%</w:t>
            </w: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18.37%</w:t>
            </w: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16.06%</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-231 bps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-32 bps</w:t>
            </w:r>
          </w:p>
        </w:tc>
        <w:tc>
          <w:tcPr>
            <w:tcW w:w="840" w:type="dxa"/>
            <w:vAlign w:val="bottom"/>
          </w:tcPr>
          <w:p>
            <w:pPr>
              <w:spacing w:after="0"/>
              <w:rPr>
                <w:sz w:val="18"/>
                <w:szCs w:val="18"/>
                <w:color w:val="auto"/>
              </w:rPr>
            </w:pPr>
          </w:p>
        </w:tc>
      </w:tr>
      <w:tr>
        <w:trPr>
          <w:trHeight w:val="437"/>
        </w:trPr>
        <w:tc>
          <w:tcPr>
            <w:tcW w:w="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00" w:type="dxa"/>
            <w:vAlign w:val="bottom"/>
            <w:gridSpan w:val="3"/>
          </w:tcPr>
          <w:p>
            <w:pPr>
              <w:jc w:val="right"/>
              <w:ind w:right="8"/>
              <w:spacing w:after="0"/>
              <w:rPr>
                <w:sz w:val="20"/>
                <w:szCs w:val="20"/>
                <w:color w:val="auto"/>
              </w:rPr>
            </w:pPr>
            <w:r>
              <w:rPr>
                <w:rFonts w:ascii="Arial" w:cs="Arial" w:eastAsia="Arial" w:hAnsi="Arial"/>
                <w:sz w:val="14"/>
                <w:szCs w:val="14"/>
                <w:color w:val="0000FF"/>
              </w:rPr>
              <w:t>Datos elaborados por BCP para uso Interno</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20"/>
                <w:szCs w:val="20"/>
                <w:color w:val="auto"/>
              </w:rPr>
              <w:t>54</w:t>
            </w:r>
          </w:p>
        </w:tc>
      </w:tr>
      <w:tr>
        <w:trPr>
          <w:trHeight w:val="429"/>
        </w:trPr>
        <w:tc>
          <w:tcPr>
            <w:tcW w:w="8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6" w:name="page57"/>
    <w:bookmarkEnd w:id="56"/>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 Financial Statements and Ratios by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12.6.1. Credicorp Consolidated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tbl>
      <w:tblPr>
        <w:tblLayout w:type="fixed"/>
        <w:tblInd w:w="1030" w:type="dxa"/>
        <w:tblCellMar>
          <w:top w:w="0" w:type="dxa"/>
          <w:left w:w="0" w:type="dxa"/>
          <w:bottom w:w="0" w:type="dxa"/>
          <w:right w:w="0" w:type="dxa"/>
        </w:tblCellMar>
      </w:tblPr>
      <w:tr>
        <w:trPr>
          <w:trHeight w:val="142"/>
        </w:trPr>
        <w:tc>
          <w:tcPr>
            <w:tcW w:w="4400" w:type="dxa"/>
            <w:vAlign w:val="bottom"/>
            <w:tcBorders>
              <w:top w:val="single" w:sz="8" w:color="auto"/>
              <w:left w:val="single" w:sz="8" w:color="auto"/>
              <w:right w:val="single" w:sz="8" w:color="auto"/>
            </w:tcBorders>
            <w:shd w:val="clear" w:color="auto" w:fill="2AD2C9"/>
          </w:tcPr>
          <w:p>
            <w:pPr>
              <w:spacing w:after="0"/>
              <w:rPr>
                <w:sz w:val="12"/>
                <w:szCs w:val="12"/>
                <w:color w:val="auto"/>
              </w:rPr>
            </w:pPr>
          </w:p>
        </w:tc>
        <w:tc>
          <w:tcPr>
            <w:tcW w:w="980" w:type="dxa"/>
            <w:vAlign w:val="bottom"/>
            <w:tcBorders>
              <w:top w:val="single" w:sz="8" w:color="auto"/>
            </w:tcBorders>
            <w:shd w:val="clear" w:color="auto" w:fill="2AD2C9"/>
          </w:tcPr>
          <w:p>
            <w:pPr>
              <w:spacing w:after="0"/>
              <w:rPr>
                <w:sz w:val="12"/>
                <w:szCs w:val="12"/>
                <w:color w:val="auto"/>
              </w:rPr>
            </w:pPr>
          </w:p>
        </w:tc>
        <w:tc>
          <w:tcPr>
            <w:tcW w:w="10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4"/>
              </w:rPr>
              <w:t>As of</w:t>
            </w:r>
          </w:p>
        </w:tc>
        <w:tc>
          <w:tcPr>
            <w:tcW w:w="1040" w:type="dxa"/>
            <w:vAlign w:val="bottom"/>
            <w:tcBorders>
              <w:top w:val="single" w:sz="8" w:color="auto"/>
              <w:right w:val="single" w:sz="8" w:color="auto"/>
            </w:tcBorders>
            <w:shd w:val="clear" w:color="auto" w:fill="2AD2C9"/>
          </w:tcPr>
          <w:p>
            <w:pPr>
              <w:spacing w:after="0"/>
              <w:rPr>
                <w:sz w:val="12"/>
                <w:szCs w:val="12"/>
                <w:color w:val="auto"/>
              </w:rPr>
            </w:pPr>
          </w:p>
        </w:tc>
        <w:tc>
          <w:tcPr>
            <w:tcW w:w="620" w:type="dxa"/>
            <w:vAlign w:val="bottom"/>
            <w:tcBorders>
              <w:top w:val="single" w:sz="8" w:color="auto"/>
            </w:tcBorders>
            <w:shd w:val="clear" w:color="auto" w:fill="2AD2C9"/>
          </w:tcPr>
          <w:p>
            <w:pPr>
              <w:spacing w:after="0"/>
              <w:rPr>
                <w:sz w:val="12"/>
                <w:szCs w:val="12"/>
                <w:color w:val="auto"/>
              </w:rPr>
            </w:pPr>
          </w:p>
        </w:tc>
        <w:tc>
          <w:tcPr>
            <w:tcW w:w="118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1"/>
                <w:szCs w:val="11"/>
                <w:b w:val="1"/>
                <w:bCs w:val="1"/>
                <w:color w:val="FFFFFF"/>
              </w:rPr>
              <w:t>% change</w:t>
            </w:r>
          </w:p>
        </w:tc>
      </w:tr>
      <w:tr>
        <w:trPr>
          <w:trHeight w:val="148"/>
        </w:trPr>
        <w:tc>
          <w:tcPr>
            <w:tcW w:w="44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9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Mar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Dec 23</w:t>
            </w:r>
          </w:p>
        </w:tc>
        <w:tc>
          <w:tcPr>
            <w:tcW w:w="10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1"/>
                <w:szCs w:val="11"/>
                <w:b w:val="1"/>
                <w:bCs w:val="1"/>
                <w:color w:val="FFFFFF"/>
              </w:rPr>
              <w:t>Mar 24</w:t>
            </w:r>
          </w:p>
        </w:tc>
        <w:tc>
          <w:tcPr>
            <w:tcW w:w="62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1"/>
                <w:szCs w:val="11"/>
                <w:b w:val="1"/>
                <w:bCs w:val="1"/>
                <w:color w:val="FFFFFF"/>
              </w:rPr>
              <w:t>QoQ</w:t>
            </w:r>
          </w:p>
        </w:tc>
        <w:tc>
          <w:tcPr>
            <w:tcW w:w="1180" w:type="dxa"/>
            <w:vAlign w:val="bottom"/>
            <w:tcBorders>
              <w:bottom w:val="single" w:sz="8" w:color="auto"/>
              <w:right w:val="single" w:sz="8" w:color="auto"/>
            </w:tcBorders>
            <w:shd w:val="clear" w:color="auto" w:fill="2AD2C9"/>
          </w:tcPr>
          <w:p>
            <w:pPr>
              <w:ind w:left="600"/>
              <w:spacing w:after="0"/>
              <w:rPr>
                <w:sz w:val="20"/>
                <w:szCs w:val="20"/>
                <w:color w:val="auto"/>
              </w:rPr>
            </w:pPr>
            <w:r>
              <w:rPr>
                <w:rFonts w:ascii="Arial" w:cs="Arial" w:eastAsia="Arial" w:hAnsi="Arial"/>
                <w:sz w:val="11"/>
                <w:szCs w:val="11"/>
                <w:b w:val="1"/>
                <w:bCs w:val="1"/>
                <w:color w:val="FFFFFF"/>
              </w:rPr>
              <w:t>YoY</w:t>
            </w:r>
          </w:p>
        </w:tc>
      </w:tr>
      <w:tr>
        <w:trPr>
          <w:trHeight w:val="142"/>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ASSETS</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Cash and due from banks</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3"/>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Non-interest bearing</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6,946,112</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7,952,371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8,024,262</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0.9%</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rPr>
              <w:t>15.5%</w:t>
            </w:r>
          </w:p>
        </w:tc>
      </w:tr>
      <w:tr>
        <w:trPr>
          <w:trHeight w:val="148"/>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Interest bearing</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28,158,941</w:t>
            </w:r>
          </w:p>
        </w:tc>
        <w:tc>
          <w:tcPr>
            <w:tcW w:w="1000" w:type="dxa"/>
            <w:vAlign w:val="bottom"/>
          </w:tcPr>
          <w:p>
            <w:pPr>
              <w:jc w:val="center"/>
              <w:spacing w:after="0"/>
              <w:rPr>
                <w:sz w:val="20"/>
                <w:szCs w:val="20"/>
                <w:color w:val="auto"/>
              </w:rPr>
            </w:pPr>
            <w:r>
              <w:rPr>
                <w:rFonts w:ascii="Arial" w:cs="Arial" w:eastAsia="Arial" w:hAnsi="Arial"/>
                <w:sz w:val="11"/>
                <w:szCs w:val="11"/>
                <w:color w:val="auto"/>
              </w:rPr>
              <w:t>25,978,577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31,134,572</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6"/>
              </w:rPr>
              <w:t>19.8%</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rPr>
              <w:t>10.6%</w:t>
            </w:r>
          </w:p>
        </w:tc>
      </w:tr>
      <w:tr>
        <w:trPr>
          <w:trHeight w:val="303"/>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cash and due from banks</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35,105,053</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33,930,948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39,158,834</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w w:val="96"/>
              </w:rPr>
              <w:t>15.4%</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11.5%</w:t>
            </w:r>
          </w:p>
        </w:tc>
      </w:tr>
      <w:tr>
        <w:trPr>
          <w:trHeight w:val="291"/>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Cash collateral, reverse repurchase agreements and securities borrowing</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1,468,180</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1,410,647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1,526,232</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8.2%</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4.0%</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Fair value through profit or loss investments</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4,080,266</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4,982,661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4,448,122</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-10.7%</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9.0%</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Fair value through other comprehensive income investments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33,395,987</w:t>
            </w:r>
          </w:p>
        </w:tc>
        <w:tc>
          <w:tcPr>
            <w:tcW w:w="1000" w:type="dxa"/>
            <w:vAlign w:val="bottom"/>
          </w:tcPr>
          <w:p>
            <w:pPr>
              <w:jc w:val="center"/>
              <w:spacing w:after="0"/>
              <w:rPr>
                <w:sz w:val="20"/>
                <w:szCs w:val="20"/>
                <w:color w:val="auto"/>
              </w:rPr>
            </w:pPr>
            <w:r>
              <w:rPr>
                <w:rFonts w:ascii="Arial" w:cs="Arial" w:eastAsia="Arial" w:hAnsi="Arial"/>
                <w:sz w:val="11"/>
                <w:szCs w:val="11"/>
                <w:color w:val="auto"/>
              </w:rPr>
              <w:t>37,043,940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38,047,888</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2.7%</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rPr>
              <w:t>13.9%</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Amortized cost investments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10,253,251</w:t>
            </w:r>
          </w:p>
        </w:tc>
        <w:tc>
          <w:tcPr>
            <w:tcW w:w="1000" w:type="dxa"/>
            <w:vAlign w:val="bottom"/>
          </w:tcPr>
          <w:p>
            <w:pPr>
              <w:jc w:val="center"/>
              <w:spacing w:after="0"/>
              <w:rPr>
                <w:sz w:val="20"/>
                <w:szCs w:val="20"/>
                <w:color w:val="auto"/>
              </w:rPr>
            </w:pPr>
            <w:r>
              <w:rPr>
                <w:rFonts w:ascii="Arial" w:cs="Arial" w:eastAsia="Arial" w:hAnsi="Arial"/>
                <w:sz w:val="11"/>
                <w:szCs w:val="11"/>
                <w:color w:val="auto"/>
              </w:rPr>
              <w:t>10,188,927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10,059,376</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-1.3%</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-1.9%</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Loans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145,165,713</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144,976,051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140,798,083</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-2.9%</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-3.0%</w:t>
            </w:r>
          </w:p>
        </w:tc>
      </w:tr>
      <w:tr>
        <w:trPr>
          <w:trHeight w:val="148"/>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Current</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139,376,216</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138,849,564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134,593,059</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-3.1%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-3.4%</w:t>
            </w:r>
          </w:p>
        </w:tc>
      </w:tr>
      <w:tr>
        <w:trPr>
          <w:trHeight w:val="148"/>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Internal overdue loans</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5,789,497</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6,126,487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6,205,024</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1.3%</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7.2%</w:t>
            </w:r>
          </w:p>
        </w:tc>
      </w:tr>
      <w:tr>
        <w:trPr>
          <w:trHeight w:val="148"/>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Less - allowance for loan losses</w:t>
            </w:r>
          </w:p>
        </w:tc>
        <w:tc>
          <w:tcPr>
            <w:tcW w:w="980" w:type="dxa"/>
            <w:vAlign w:val="bottom"/>
          </w:tcPr>
          <w:p>
            <w:pPr>
              <w:jc w:val="center"/>
              <w:spacing w:after="0"/>
              <w:rPr>
                <w:sz w:val="20"/>
                <w:szCs w:val="20"/>
                <w:color w:val="auto"/>
              </w:rPr>
            </w:pPr>
            <w:r>
              <w:rPr>
                <w:rFonts w:ascii="Arial" w:cs="Arial" w:eastAsia="Arial" w:hAnsi="Arial"/>
                <w:sz w:val="11"/>
                <w:szCs w:val="11"/>
                <w:color w:val="auto"/>
                <w:w w:val="99"/>
              </w:rPr>
              <w:t>(7,915,350)</w:t>
            </w:r>
          </w:p>
        </w:tc>
        <w:tc>
          <w:tcPr>
            <w:tcW w:w="1000" w:type="dxa"/>
            <w:vAlign w:val="bottom"/>
          </w:tcPr>
          <w:p>
            <w:pPr>
              <w:jc w:val="center"/>
              <w:spacing w:after="0"/>
              <w:rPr>
                <w:sz w:val="20"/>
                <w:szCs w:val="20"/>
                <w:color w:val="auto"/>
              </w:rPr>
            </w:pPr>
            <w:r>
              <w:rPr>
                <w:rFonts w:ascii="Arial" w:cs="Arial" w:eastAsia="Arial" w:hAnsi="Arial"/>
                <w:sz w:val="11"/>
                <w:szCs w:val="11"/>
                <w:color w:val="auto"/>
                <w:w w:val="99"/>
              </w:rPr>
              <w:t>(8,277,916)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(8,190,343)</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-1.1%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3.5%</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Loans, net</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137,250,363</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136,698,135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132,607,740</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-3.0%</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-3.4%</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Financial assets designated at fair value through profit or loss</w:t>
            </w:r>
          </w:p>
        </w:tc>
        <w:tc>
          <w:tcPr>
            <w:tcW w:w="980" w:type="dxa"/>
            <w:vAlign w:val="bottom"/>
          </w:tcPr>
          <w:p>
            <w:pPr>
              <w:jc w:val="center"/>
              <w:spacing w:after="0"/>
              <w:rPr>
                <w:sz w:val="20"/>
                <w:szCs w:val="20"/>
                <w:color w:val="auto"/>
              </w:rPr>
            </w:pPr>
            <w:r>
              <w:rPr>
                <w:rFonts w:ascii="Arial" w:cs="Arial" w:eastAsia="Arial" w:hAnsi="Arial"/>
                <w:sz w:val="11"/>
                <w:szCs w:val="11"/>
                <w:color w:val="auto"/>
              </w:rPr>
              <w:t>795,225</w:t>
            </w:r>
          </w:p>
        </w:tc>
        <w:tc>
          <w:tcPr>
            <w:tcW w:w="1000" w:type="dxa"/>
            <w:vAlign w:val="bottom"/>
          </w:tcPr>
          <w:p>
            <w:pPr>
              <w:jc w:val="center"/>
              <w:spacing w:after="0"/>
              <w:rPr>
                <w:sz w:val="20"/>
                <w:szCs w:val="20"/>
                <w:color w:val="auto"/>
              </w:rPr>
            </w:pPr>
            <w:r>
              <w:rPr>
                <w:rFonts w:ascii="Arial" w:cs="Arial" w:eastAsia="Arial" w:hAnsi="Arial"/>
                <w:sz w:val="11"/>
                <w:szCs w:val="11"/>
                <w:color w:val="auto"/>
              </w:rPr>
              <w:t>810,932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868,239</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7.1%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9.2%</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Property, plant and equipment, net</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1,786,992</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1,857,240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1,815,570</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-2.2%</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1.6%</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Due from customers on acceptances</w:t>
            </w:r>
          </w:p>
        </w:tc>
        <w:tc>
          <w:tcPr>
            <w:tcW w:w="980" w:type="dxa"/>
            <w:vAlign w:val="bottom"/>
          </w:tcPr>
          <w:p>
            <w:pPr>
              <w:jc w:val="center"/>
              <w:spacing w:after="0"/>
              <w:rPr>
                <w:sz w:val="20"/>
                <w:szCs w:val="20"/>
                <w:color w:val="auto"/>
              </w:rPr>
            </w:pPr>
            <w:r>
              <w:rPr>
                <w:rFonts w:ascii="Arial" w:cs="Arial" w:eastAsia="Arial" w:hAnsi="Arial"/>
                <w:sz w:val="11"/>
                <w:szCs w:val="11"/>
                <w:color w:val="auto"/>
              </w:rPr>
              <w:t>496,170</w:t>
            </w:r>
          </w:p>
        </w:tc>
        <w:tc>
          <w:tcPr>
            <w:tcW w:w="1000" w:type="dxa"/>
            <w:vAlign w:val="bottom"/>
          </w:tcPr>
          <w:p>
            <w:pPr>
              <w:jc w:val="center"/>
              <w:spacing w:after="0"/>
              <w:rPr>
                <w:sz w:val="20"/>
                <w:szCs w:val="20"/>
                <w:color w:val="auto"/>
              </w:rPr>
            </w:pPr>
            <w:r>
              <w:rPr>
                <w:rFonts w:ascii="Arial" w:cs="Arial" w:eastAsia="Arial" w:hAnsi="Arial"/>
                <w:sz w:val="11"/>
                <w:szCs w:val="11"/>
                <w:color w:val="auto"/>
              </w:rPr>
              <w:t>412,401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322,346</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-21.8%</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-35.0%</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Investments in associates</w:t>
            </w:r>
          </w:p>
        </w:tc>
        <w:tc>
          <w:tcPr>
            <w:tcW w:w="980" w:type="dxa"/>
            <w:vAlign w:val="bottom"/>
          </w:tcPr>
          <w:p>
            <w:pPr>
              <w:jc w:val="center"/>
              <w:spacing w:after="0"/>
              <w:rPr>
                <w:sz w:val="20"/>
                <w:szCs w:val="20"/>
                <w:color w:val="auto"/>
              </w:rPr>
            </w:pPr>
            <w:r>
              <w:rPr>
                <w:rFonts w:ascii="Arial" w:cs="Arial" w:eastAsia="Arial" w:hAnsi="Arial"/>
                <w:sz w:val="11"/>
                <w:szCs w:val="11"/>
                <w:color w:val="auto"/>
              </w:rPr>
              <w:t>660,741</w:t>
            </w:r>
          </w:p>
        </w:tc>
        <w:tc>
          <w:tcPr>
            <w:tcW w:w="1000" w:type="dxa"/>
            <w:vAlign w:val="bottom"/>
          </w:tcPr>
          <w:p>
            <w:pPr>
              <w:jc w:val="center"/>
              <w:spacing w:after="0"/>
              <w:rPr>
                <w:sz w:val="20"/>
                <w:szCs w:val="20"/>
                <w:color w:val="auto"/>
              </w:rPr>
            </w:pPr>
            <w:r>
              <w:rPr>
                <w:rFonts w:ascii="Arial" w:cs="Arial" w:eastAsia="Arial" w:hAnsi="Arial"/>
                <w:sz w:val="11"/>
                <w:szCs w:val="11"/>
                <w:color w:val="auto"/>
              </w:rPr>
              <w:t>748,663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691,908</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-7.6%</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4.7%</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Intangible assets and goodwill, net</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2,942,367</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3,225,499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3,161,382</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-2.0%</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7.4%</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Reinsurance contract assets</w:t>
            </w:r>
          </w:p>
        </w:tc>
        <w:tc>
          <w:tcPr>
            <w:tcW w:w="980" w:type="dxa"/>
            <w:vAlign w:val="bottom"/>
          </w:tcPr>
          <w:p>
            <w:pPr>
              <w:jc w:val="center"/>
              <w:spacing w:after="0"/>
              <w:rPr>
                <w:sz w:val="20"/>
                <w:szCs w:val="20"/>
                <w:color w:val="auto"/>
              </w:rPr>
            </w:pPr>
            <w:r>
              <w:rPr>
                <w:rFonts w:ascii="Arial" w:cs="Arial" w:eastAsia="Arial" w:hAnsi="Arial"/>
                <w:sz w:val="11"/>
                <w:szCs w:val="11"/>
                <w:color w:val="auto"/>
              </w:rPr>
              <w:t>804,958</w:t>
            </w:r>
          </w:p>
        </w:tc>
        <w:tc>
          <w:tcPr>
            <w:tcW w:w="1000" w:type="dxa"/>
            <w:vAlign w:val="bottom"/>
          </w:tcPr>
          <w:p>
            <w:pPr>
              <w:jc w:val="center"/>
              <w:spacing w:after="0"/>
              <w:rPr>
                <w:sz w:val="20"/>
                <w:szCs w:val="20"/>
                <w:color w:val="auto"/>
              </w:rPr>
            </w:pPr>
            <w:r>
              <w:rPr>
                <w:rFonts w:ascii="Arial" w:cs="Arial" w:eastAsia="Arial" w:hAnsi="Arial"/>
                <w:sz w:val="11"/>
                <w:szCs w:val="11"/>
                <w:color w:val="auto"/>
              </w:rPr>
              <w:t>872,046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957,474</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9.8%</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rPr>
              <w:t>18.9%</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 assets (1)</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8,112,749</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6,658,149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7,506,630</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6"/>
              </w:rPr>
              <w:t>12.7%</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-7.5%</w:t>
            </w:r>
          </w:p>
        </w:tc>
      </w:tr>
      <w:tr>
        <w:trPr>
          <w:trHeight w:val="303"/>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Assets</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237,152,302</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238,840,188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241,171,741</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rPr>
              <w:t>1.0%</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5"/>
              </w:rPr>
              <w:t>1.7%</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LIABILITIES AND EQUITY</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Deposits and obligations</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3"/>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Non-interest bearing</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41,596,964</w:t>
            </w:r>
          </w:p>
        </w:tc>
        <w:tc>
          <w:tcPr>
            <w:tcW w:w="1000" w:type="dxa"/>
            <w:vAlign w:val="bottom"/>
          </w:tcPr>
          <w:p>
            <w:pPr>
              <w:jc w:val="center"/>
              <w:spacing w:after="0"/>
              <w:rPr>
                <w:sz w:val="20"/>
                <w:szCs w:val="20"/>
                <w:color w:val="auto"/>
              </w:rPr>
            </w:pPr>
            <w:r>
              <w:rPr>
                <w:rFonts w:ascii="Arial" w:cs="Arial" w:eastAsia="Arial" w:hAnsi="Arial"/>
                <w:sz w:val="11"/>
                <w:szCs w:val="11"/>
                <w:color w:val="auto"/>
              </w:rPr>
              <w:t>42,234,498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41,706,139</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-1.3%</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0.3%</w:t>
            </w:r>
          </w:p>
        </w:tc>
      </w:tr>
      <w:tr>
        <w:trPr>
          <w:trHeight w:val="149"/>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Interest bearing</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107,026,336</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105,470,496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106,150,988</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0.6%</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-0.8%</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 deposits and obligations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148,623,300</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147,704,994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147,857,127</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-0.5%</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Payables from repurchase agreements and securities lending</w:t>
            </w:r>
          </w:p>
        </w:tc>
        <w:tc>
          <w:tcPr>
            <w:tcW w:w="980" w:type="dxa"/>
            <w:vAlign w:val="bottom"/>
          </w:tcPr>
          <w:p>
            <w:pPr>
              <w:jc w:val="center"/>
              <w:spacing w:after="0"/>
              <w:rPr>
                <w:sz w:val="20"/>
                <w:szCs w:val="20"/>
                <w:color w:val="auto"/>
              </w:rPr>
            </w:pPr>
            <w:r>
              <w:rPr>
                <w:rFonts w:ascii="Arial" w:cs="Arial" w:eastAsia="Arial" w:hAnsi="Arial"/>
                <w:sz w:val="11"/>
                <w:szCs w:val="11"/>
                <w:color w:val="auto"/>
                <w:w w:val="94"/>
              </w:rPr>
              <w:t>11,686,495</w:t>
            </w:r>
          </w:p>
        </w:tc>
        <w:tc>
          <w:tcPr>
            <w:tcW w:w="1000" w:type="dxa"/>
            <w:vAlign w:val="bottom"/>
          </w:tcPr>
          <w:p>
            <w:pPr>
              <w:jc w:val="center"/>
              <w:spacing w:after="0"/>
              <w:rPr>
                <w:sz w:val="20"/>
                <w:szCs w:val="20"/>
                <w:color w:val="auto"/>
              </w:rPr>
            </w:pPr>
            <w:r>
              <w:rPr>
                <w:rFonts w:ascii="Arial" w:cs="Arial" w:eastAsia="Arial" w:hAnsi="Arial"/>
                <w:sz w:val="11"/>
                <w:szCs w:val="11"/>
                <w:color w:val="auto"/>
              </w:rPr>
              <w:t>10,168,427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9,491,276</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-6.7%</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-18.8%</w:t>
            </w:r>
          </w:p>
        </w:tc>
      </w:tr>
      <w:tr>
        <w:trPr>
          <w:trHeight w:val="148"/>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BCRP instruments</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9,780,540</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7,461,674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6,854,368</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-8.1%</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-29.9%</w:t>
            </w:r>
          </w:p>
        </w:tc>
      </w:tr>
      <w:tr>
        <w:trPr>
          <w:trHeight w:val="149"/>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Repurchase agreements with third parties</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1,206,574</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1,134,886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1,092,031</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-3.8%</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-9.5%</w:t>
            </w:r>
          </w:p>
        </w:tc>
      </w:tr>
      <w:tr>
        <w:trPr>
          <w:trHeight w:val="148"/>
        </w:trPr>
        <w:tc>
          <w:tcPr>
            <w:tcW w:w="440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1"/>
                <w:szCs w:val="11"/>
                <w:color w:val="auto"/>
              </w:rPr>
              <w:t>Repurchase agreements with customers</w:t>
            </w:r>
          </w:p>
        </w:tc>
        <w:tc>
          <w:tcPr>
            <w:tcW w:w="980" w:type="dxa"/>
            <w:vAlign w:val="bottom"/>
          </w:tcPr>
          <w:p>
            <w:pPr>
              <w:jc w:val="center"/>
              <w:spacing w:after="0"/>
              <w:rPr>
                <w:sz w:val="20"/>
                <w:szCs w:val="20"/>
                <w:color w:val="auto"/>
              </w:rPr>
            </w:pPr>
            <w:r>
              <w:rPr>
                <w:rFonts w:ascii="Arial" w:cs="Arial" w:eastAsia="Arial" w:hAnsi="Arial"/>
                <w:sz w:val="11"/>
                <w:szCs w:val="11"/>
                <w:color w:val="auto"/>
              </w:rPr>
              <w:t>699,381</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1,571,867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1,544,877</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-1.7%</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120.9%</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Due to banks and correspondents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10,199,650</w:t>
            </w:r>
          </w:p>
        </w:tc>
        <w:tc>
          <w:tcPr>
            <w:tcW w:w="1000" w:type="dxa"/>
            <w:vAlign w:val="bottom"/>
          </w:tcPr>
          <w:p>
            <w:pPr>
              <w:jc w:val="center"/>
              <w:spacing w:after="0"/>
              <w:rPr>
                <w:sz w:val="20"/>
                <w:szCs w:val="20"/>
                <w:color w:val="auto"/>
              </w:rPr>
            </w:pPr>
            <w:r>
              <w:rPr>
                <w:rFonts w:ascii="Arial" w:cs="Arial" w:eastAsia="Arial" w:hAnsi="Arial"/>
                <w:sz w:val="11"/>
                <w:szCs w:val="11"/>
                <w:color w:val="auto"/>
              </w:rPr>
              <w:t>12,278,681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10,684,673</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-13.0%</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4.8%</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Bonds and notes issued</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14,326,930</w:t>
            </w:r>
          </w:p>
        </w:tc>
        <w:tc>
          <w:tcPr>
            <w:tcW w:w="1000" w:type="dxa"/>
            <w:vAlign w:val="bottom"/>
          </w:tcPr>
          <w:p>
            <w:pPr>
              <w:jc w:val="center"/>
              <w:spacing w:after="0"/>
              <w:rPr>
                <w:sz w:val="20"/>
                <w:szCs w:val="20"/>
                <w:color w:val="auto"/>
              </w:rPr>
            </w:pPr>
            <w:r>
              <w:rPr>
                <w:rFonts w:ascii="Arial" w:cs="Arial" w:eastAsia="Arial" w:hAnsi="Arial"/>
                <w:sz w:val="11"/>
                <w:szCs w:val="11"/>
                <w:color w:val="auto"/>
              </w:rPr>
              <w:t>14,594,785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17,541,121</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6"/>
              </w:rPr>
              <w:t>20.2%</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rPr>
              <w:t>22.4%</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Banker’s acceptances outstanding</w:t>
            </w:r>
          </w:p>
        </w:tc>
        <w:tc>
          <w:tcPr>
            <w:tcW w:w="980" w:type="dxa"/>
            <w:vAlign w:val="bottom"/>
          </w:tcPr>
          <w:p>
            <w:pPr>
              <w:jc w:val="center"/>
              <w:spacing w:after="0"/>
              <w:rPr>
                <w:sz w:val="20"/>
                <w:szCs w:val="20"/>
                <w:color w:val="auto"/>
              </w:rPr>
            </w:pPr>
            <w:r>
              <w:rPr>
                <w:rFonts w:ascii="Arial" w:cs="Arial" w:eastAsia="Arial" w:hAnsi="Arial"/>
                <w:sz w:val="11"/>
                <w:szCs w:val="11"/>
                <w:color w:val="auto"/>
              </w:rPr>
              <w:t>496,170</w:t>
            </w:r>
          </w:p>
        </w:tc>
        <w:tc>
          <w:tcPr>
            <w:tcW w:w="1000" w:type="dxa"/>
            <w:vAlign w:val="bottom"/>
          </w:tcPr>
          <w:p>
            <w:pPr>
              <w:jc w:val="center"/>
              <w:spacing w:after="0"/>
              <w:rPr>
                <w:sz w:val="20"/>
                <w:szCs w:val="20"/>
                <w:color w:val="auto"/>
              </w:rPr>
            </w:pPr>
            <w:r>
              <w:rPr>
                <w:rFonts w:ascii="Arial" w:cs="Arial" w:eastAsia="Arial" w:hAnsi="Arial"/>
                <w:sz w:val="11"/>
                <w:szCs w:val="11"/>
                <w:color w:val="auto"/>
              </w:rPr>
              <w:t>412,401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322,346</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-21.8%</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-35.0%</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Insurance contract liability</w:t>
            </w:r>
          </w:p>
        </w:tc>
        <w:tc>
          <w:tcPr>
            <w:tcW w:w="980" w:type="dxa"/>
            <w:vAlign w:val="bottom"/>
          </w:tcPr>
          <w:p>
            <w:pPr>
              <w:jc w:val="center"/>
              <w:spacing w:after="0"/>
              <w:rPr>
                <w:sz w:val="20"/>
                <w:szCs w:val="20"/>
                <w:color w:val="auto"/>
              </w:rPr>
            </w:pPr>
            <w:r>
              <w:rPr>
                <w:rFonts w:ascii="Arial" w:cs="Arial" w:eastAsia="Arial" w:hAnsi="Arial"/>
                <w:sz w:val="11"/>
                <w:szCs w:val="11"/>
                <w:color w:val="auto"/>
                <w:w w:val="94"/>
              </w:rPr>
              <w:t>11,448,674</w:t>
            </w:r>
          </w:p>
        </w:tc>
        <w:tc>
          <w:tcPr>
            <w:tcW w:w="1000" w:type="dxa"/>
            <w:vAlign w:val="bottom"/>
          </w:tcPr>
          <w:p>
            <w:pPr>
              <w:jc w:val="center"/>
              <w:spacing w:after="0"/>
              <w:rPr>
                <w:sz w:val="20"/>
                <w:szCs w:val="20"/>
                <w:color w:val="auto"/>
              </w:rPr>
            </w:pPr>
            <w:r>
              <w:rPr>
                <w:rFonts w:ascii="Arial" w:cs="Arial" w:eastAsia="Arial" w:hAnsi="Arial"/>
                <w:sz w:val="11"/>
                <w:szCs w:val="11"/>
                <w:color w:val="auto"/>
              </w:rPr>
              <w:t>12,318,133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12,343,975</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0.2%</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7.8%</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Financial liabilities at fair value through profit or loss</w:t>
            </w:r>
          </w:p>
        </w:tc>
        <w:tc>
          <w:tcPr>
            <w:tcW w:w="980" w:type="dxa"/>
            <w:vAlign w:val="bottom"/>
          </w:tcPr>
          <w:p>
            <w:pPr>
              <w:jc w:val="center"/>
              <w:spacing w:after="0"/>
              <w:rPr>
                <w:sz w:val="20"/>
                <w:szCs w:val="20"/>
                <w:color w:val="auto"/>
              </w:rPr>
            </w:pPr>
            <w:r>
              <w:rPr>
                <w:rFonts w:ascii="Arial" w:cs="Arial" w:eastAsia="Arial" w:hAnsi="Arial"/>
                <w:sz w:val="11"/>
                <w:szCs w:val="11"/>
                <w:color w:val="auto"/>
              </w:rPr>
              <w:t>417,146</w:t>
            </w:r>
          </w:p>
        </w:tc>
        <w:tc>
          <w:tcPr>
            <w:tcW w:w="1000" w:type="dxa"/>
            <w:vAlign w:val="bottom"/>
          </w:tcPr>
          <w:p>
            <w:pPr>
              <w:jc w:val="center"/>
              <w:spacing w:after="0"/>
              <w:rPr>
                <w:sz w:val="20"/>
                <w:szCs w:val="20"/>
                <w:color w:val="auto"/>
              </w:rPr>
            </w:pPr>
            <w:r>
              <w:rPr>
                <w:rFonts w:ascii="Arial" w:cs="Arial" w:eastAsia="Arial" w:hAnsi="Arial"/>
                <w:sz w:val="11"/>
                <w:szCs w:val="11"/>
                <w:color w:val="auto"/>
              </w:rPr>
              <w:t>641,915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309,228</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-51.8%</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-25.9%</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 liabilities</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9,019,443</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7,613,787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8,185,785</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7.5%</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-9.2%</w:t>
            </w:r>
          </w:p>
        </w:tc>
      </w:tr>
      <w:tr>
        <w:trPr>
          <w:trHeight w:val="303"/>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Liabilities</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206,217,808</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205,733,123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206,735,531</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rPr>
              <w:t>0.5%</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5"/>
              </w:rPr>
              <w:t>0.3%</w:t>
            </w:r>
          </w:p>
        </w:tc>
      </w:tr>
      <w:tr>
        <w:trPr>
          <w:trHeight w:val="445"/>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Net equity</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30,359,898</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32,460,004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33,853,460</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4.3%</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11.5%</w:t>
            </w:r>
          </w:p>
        </w:tc>
      </w:tr>
      <w:tr>
        <w:trPr>
          <w:trHeight w:val="143"/>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Capital stock</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1,318,993</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1,318,993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1,318,993</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0.0%</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0.0%</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Treasury stock</w:t>
            </w:r>
          </w:p>
        </w:tc>
        <w:tc>
          <w:tcPr>
            <w:tcW w:w="980" w:type="dxa"/>
            <w:vAlign w:val="bottom"/>
          </w:tcPr>
          <w:p>
            <w:pPr>
              <w:jc w:val="center"/>
              <w:spacing w:after="0"/>
              <w:rPr>
                <w:sz w:val="20"/>
                <w:szCs w:val="20"/>
                <w:color w:val="auto"/>
              </w:rPr>
            </w:pPr>
            <w:r>
              <w:rPr>
                <w:rFonts w:ascii="Arial" w:cs="Arial" w:eastAsia="Arial" w:hAnsi="Arial"/>
                <w:sz w:val="11"/>
                <w:szCs w:val="11"/>
                <w:color w:val="auto"/>
              </w:rPr>
              <w:t>(208,041)</w:t>
            </w:r>
          </w:p>
        </w:tc>
        <w:tc>
          <w:tcPr>
            <w:tcW w:w="1000" w:type="dxa"/>
            <w:vAlign w:val="bottom"/>
          </w:tcPr>
          <w:p>
            <w:pPr>
              <w:jc w:val="center"/>
              <w:spacing w:after="0"/>
              <w:rPr>
                <w:sz w:val="20"/>
                <w:szCs w:val="20"/>
                <w:color w:val="auto"/>
              </w:rPr>
            </w:pPr>
            <w:r>
              <w:rPr>
                <w:rFonts w:ascii="Arial" w:cs="Arial" w:eastAsia="Arial" w:hAnsi="Arial"/>
                <w:sz w:val="11"/>
                <w:szCs w:val="11"/>
                <w:color w:val="auto"/>
              </w:rPr>
              <w:t>(208,033)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(208,343)</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0.1%</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Capital surplus</w:t>
            </w:r>
          </w:p>
        </w:tc>
        <w:tc>
          <w:tcPr>
            <w:tcW w:w="980" w:type="dxa"/>
            <w:vAlign w:val="bottom"/>
          </w:tcPr>
          <w:p>
            <w:pPr>
              <w:jc w:val="center"/>
              <w:spacing w:after="0"/>
              <w:rPr>
                <w:sz w:val="20"/>
                <w:szCs w:val="20"/>
                <w:color w:val="auto"/>
              </w:rPr>
            </w:pPr>
            <w:r>
              <w:rPr>
                <w:rFonts w:ascii="Arial" w:cs="Arial" w:eastAsia="Arial" w:hAnsi="Arial"/>
                <w:sz w:val="11"/>
                <w:szCs w:val="11"/>
                <w:color w:val="auto"/>
              </w:rPr>
              <w:t>226,189</w:t>
            </w:r>
          </w:p>
        </w:tc>
        <w:tc>
          <w:tcPr>
            <w:tcW w:w="1000" w:type="dxa"/>
            <w:vAlign w:val="bottom"/>
          </w:tcPr>
          <w:p>
            <w:pPr>
              <w:jc w:val="center"/>
              <w:spacing w:after="0"/>
              <w:rPr>
                <w:sz w:val="20"/>
                <w:szCs w:val="20"/>
                <w:color w:val="auto"/>
              </w:rPr>
            </w:pPr>
            <w:r>
              <w:rPr>
                <w:rFonts w:ascii="Arial" w:cs="Arial" w:eastAsia="Arial" w:hAnsi="Arial"/>
                <w:sz w:val="11"/>
                <w:szCs w:val="11"/>
                <w:color w:val="auto"/>
              </w:rPr>
              <w:t>228,239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201,965</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-11.5%</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-10.7%</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Reserves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23,603,001</w:t>
            </w:r>
          </w:p>
        </w:tc>
        <w:tc>
          <w:tcPr>
            <w:tcW w:w="1000" w:type="dxa"/>
            <w:vAlign w:val="bottom"/>
          </w:tcPr>
          <w:p>
            <w:pPr>
              <w:jc w:val="center"/>
              <w:spacing w:after="0"/>
              <w:rPr>
                <w:sz w:val="20"/>
                <w:szCs w:val="20"/>
                <w:color w:val="auto"/>
              </w:rPr>
            </w:pPr>
            <w:r>
              <w:rPr>
                <w:rFonts w:ascii="Arial" w:cs="Arial" w:eastAsia="Arial" w:hAnsi="Arial"/>
                <w:sz w:val="11"/>
                <w:szCs w:val="11"/>
                <w:color w:val="auto"/>
              </w:rPr>
              <w:t>26,252,578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26,213,432</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-0.1%</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11.1%</w:t>
            </w:r>
          </w:p>
        </w:tc>
      </w:tr>
      <w:tr>
        <w:trPr>
          <w:trHeight w:val="148"/>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Other reserves</w:t>
            </w:r>
          </w:p>
        </w:tc>
        <w:tc>
          <w:tcPr>
            <w:tcW w:w="980" w:type="dxa"/>
            <w:vAlign w:val="bottom"/>
          </w:tcPr>
          <w:p>
            <w:pPr>
              <w:jc w:val="center"/>
              <w:spacing w:after="0"/>
              <w:rPr>
                <w:sz w:val="20"/>
                <w:szCs w:val="20"/>
                <w:color w:val="auto"/>
              </w:rPr>
            </w:pPr>
            <w:r>
              <w:rPr>
                <w:rFonts w:ascii="Arial" w:cs="Arial" w:eastAsia="Arial" w:hAnsi="Arial"/>
                <w:sz w:val="11"/>
                <w:szCs w:val="11"/>
                <w:color w:val="auto"/>
              </w:rPr>
              <w:t>(244,725)</w:t>
            </w:r>
          </w:p>
        </w:tc>
        <w:tc>
          <w:tcPr>
            <w:tcW w:w="1000" w:type="dxa"/>
            <w:vAlign w:val="bottom"/>
          </w:tcPr>
          <w:p>
            <w:pPr>
              <w:jc w:val="center"/>
              <w:spacing w:after="0"/>
              <w:rPr>
                <w:sz w:val="20"/>
                <w:szCs w:val="20"/>
                <w:color w:val="auto"/>
              </w:rPr>
            </w:pPr>
            <w:r>
              <w:rPr>
                <w:rFonts w:ascii="Arial" w:cs="Arial" w:eastAsia="Arial" w:hAnsi="Arial"/>
                <w:sz w:val="11"/>
                <w:szCs w:val="11"/>
                <w:color w:val="auto"/>
              </w:rPr>
              <w:t>295,783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243,405</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7"/>
              </w:rPr>
              <w:t>-17.7%</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-199.5%</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Retained earnings</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5,664,481</w:t>
            </w: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4,572,444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6,084,008</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6"/>
              </w:rPr>
              <w:t>33.1%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7.4%</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Non-controlling interest</w:t>
            </w:r>
          </w:p>
        </w:tc>
        <w:tc>
          <w:tcPr>
            <w:tcW w:w="980" w:type="dxa"/>
            <w:vAlign w:val="bottom"/>
          </w:tcPr>
          <w:p>
            <w:pPr>
              <w:jc w:val="center"/>
              <w:spacing w:after="0"/>
              <w:rPr>
                <w:sz w:val="20"/>
                <w:szCs w:val="20"/>
                <w:color w:val="auto"/>
              </w:rPr>
            </w:pPr>
            <w:r>
              <w:rPr>
                <w:rFonts w:ascii="Arial" w:cs="Arial" w:eastAsia="Arial" w:hAnsi="Arial"/>
                <w:sz w:val="11"/>
                <w:szCs w:val="11"/>
                <w:color w:val="auto"/>
              </w:rPr>
              <w:t>574,596</w:t>
            </w:r>
          </w:p>
        </w:tc>
        <w:tc>
          <w:tcPr>
            <w:tcW w:w="1000" w:type="dxa"/>
            <w:vAlign w:val="bottom"/>
          </w:tcPr>
          <w:p>
            <w:pPr>
              <w:jc w:val="center"/>
              <w:spacing w:after="0"/>
              <w:rPr>
                <w:sz w:val="20"/>
                <w:szCs w:val="20"/>
                <w:color w:val="auto"/>
              </w:rPr>
            </w:pPr>
            <w:r>
              <w:rPr>
                <w:rFonts w:ascii="Arial" w:cs="Arial" w:eastAsia="Arial" w:hAnsi="Arial"/>
                <w:sz w:val="11"/>
                <w:szCs w:val="11"/>
                <w:color w:val="auto"/>
              </w:rPr>
              <w:t>647,061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582,750</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-9.9%</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1.4%</w:t>
            </w:r>
          </w:p>
        </w:tc>
      </w:tr>
      <w:tr>
        <w:trPr>
          <w:trHeight w:val="303"/>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Net Equity</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30,934,494</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33,107,065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34,436,210</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rPr>
              <w:t>4.0%</w:t>
            </w:r>
          </w:p>
        </w:tc>
        <w:tc>
          <w:tcPr>
            <w:tcW w:w="11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6"/>
              </w:rPr>
              <w:t>11.3%</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237,152,302</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238,840,188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241,171,741</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rPr>
              <w:t>1.0%</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5"/>
              </w:rPr>
              <w:t>1.7%</w:t>
            </w:r>
          </w:p>
        </w:tc>
      </w:tr>
      <w:tr>
        <w:trPr>
          <w:trHeight w:val="297"/>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Off-balance sheet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154,477,055</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8"/>
              </w:rPr>
              <w:t>149,769,480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162,365,717</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rPr>
              <w:t>8.4%</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5"/>
              </w:rPr>
              <w:t>5.1%</w:t>
            </w:r>
          </w:p>
        </w:tc>
      </w:tr>
      <w:tr>
        <w:trPr>
          <w:trHeight w:val="143"/>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 performance bonds, stand-by and L/Cs.</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18,731,789</w:t>
            </w:r>
          </w:p>
        </w:tc>
        <w:tc>
          <w:tcPr>
            <w:tcW w:w="1000" w:type="dxa"/>
            <w:vAlign w:val="bottom"/>
          </w:tcPr>
          <w:p>
            <w:pPr>
              <w:jc w:val="center"/>
              <w:spacing w:after="0"/>
              <w:rPr>
                <w:sz w:val="20"/>
                <w:szCs w:val="20"/>
                <w:color w:val="auto"/>
              </w:rPr>
            </w:pPr>
            <w:r>
              <w:rPr>
                <w:rFonts w:ascii="Arial" w:cs="Arial" w:eastAsia="Arial" w:hAnsi="Arial"/>
                <w:sz w:val="11"/>
                <w:szCs w:val="11"/>
                <w:color w:val="auto"/>
              </w:rPr>
              <w:t>20,051,616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20,466,103</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2.1%</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9.3%</w:t>
            </w:r>
          </w:p>
        </w:tc>
      </w:tr>
      <w:tr>
        <w:trPr>
          <w:trHeight w:val="14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Undrawn credit lines, advised but not committed</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87,232,214</w:t>
            </w:r>
          </w:p>
        </w:tc>
        <w:tc>
          <w:tcPr>
            <w:tcW w:w="1000" w:type="dxa"/>
            <w:vAlign w:val="bottom"/>
          </w:tcPr>
          <w:p>
            <w:pPr>
              <w:jc w:val="center"/>
              <w:spacing w:after="0"/>
              <w:rPr>
                <w:sz w:val="20"/>
                <w:szCs w:val="20"/>
                <w:color w:val="auto"/>
              </w:rPr>
            </w:pPr>
            <w:r>
              <w:rPr>
                <w:rFonts w:ascii="Arial" w:cs="Arial" w:eastAsia="Arial" w:hAnsi="Arial"/>
                <w:sz w:val="11"/>
                <w:szCs w:val="11"/>
                <w:color w:val="auto"/>
              </w:rPr>
              <w:t>87,091,701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88,546,531</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rPr>
              <w:t>1.7%</w:t>
            </w:r>
          </w:p>
        </w:tc>
        <w:tc>
          <w:tcPr>
            <w:tcW w:w="118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5"/>
              </w:rPr>
              <w:t>1.5%</w:t>
            </w:r>
          </w:p>
        </w:tc>
      </w:tr>
      <w:tr>
        <w:trPr>
          <w:trHeight w:val="152"/>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Total derivatives (notional) and others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48,513,052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42,626,163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53,353,083</w:t>
            </w:r>
          </w:p>
        </w:tc>
        <w:tc>
          <w:tcPr>
            <w:tcW w:w="62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color w:val="auto"/>
                <w:w w:val="96"/>
              </w:rPr>
              <w:t>25.2%</w:t>
            </w:r>
          </w:p>
        </w:tc>
        <w:tc>
          <w:tcPr>
            <w:tcW w:w="1180" w:type="dxa"/>
            <w:vAlign w:val="bottom"/>
            <w:tcBorders>
              <w:bottom w:val="single" w:sz="8" w:color="auto"/>
              <w:right w:val="single" w:sz="8" w:color="auto"/>
            </w:tcBorders>
          </w:tcPr>
          <w:p>
            <w:pPr>
              <w:jc w:val="center"/>
              <w:ind w:left="166"/>
              <w:spacing w:after="0"/>
              <w:rPr>
                <w:sz w:val="20"/>
                <w:szCs w:val="20"/>
                <w:color w:val="auto"/>
              </w:rPr>
            </w:pPr>
            <w:r>
              <w:rPr>
                <w:rFonts w:ascii="Arial" w:cs="Arial" w:eastAsia="Arial" w:hAnsi="Arial"/>
                <w:sz w:val="11"/>
                <w:szCs w:val="11"/>
                <w:color w:val="auto"/>
              </w:rPr>
              <w:t>10.0%</w:t>
            </w:r>
          </w:p>
        </w:tc>
      </w:tr>
    </w:tbl>
    <w:p>
      <w:pPr>
        <w:spacing w:after="0" w:line="189"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(1) Includes mainly accounts receivables from brokerage and others.</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 Due to reclassifications, the Balance Sheet may differ from those reported in previous quarters.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57" w:name="page58"/>
    <w:bookmarkEnd w:id="57"/>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Borders>
              <w:right w:val="single" w:sz="8" w:color="auto"/>
            </w:tcBorders>
          </w:tcPr>
          <w:p>
            <w:pPr>
              <w:spacing w:after="0"/>
              <w:rPr>
                <w:sz w:val="17"/>
                <w:szCs w:val="17"/>
                <w:color w:val="auto"/>
              </w:rPr>
            </w:pPr>
          </w:p>
        </w:tc>
        <w:tc>
          <w:tcPr>
            <w:tcW w:w="4380" w:type="dxa"/>
            <w:vAlign w:val="bottom"/>
            <w:tcBorders>
              <w:top w:val="single" w:sz="8" w:color="auto"/>
              <w:right w:val="single" w:sz="8" w:color="auto"/>
            </w:tcBorders>
            <w:shd w:val="clear" w:color="auto" w:fill="2AD2C9"/>
          </w:tcPr>
          <w:p>
            <w:pPr>
              <w:spacing w:after="0"/>
              <w:rPr>
                <w:sz w:val="17"/>
                <w:szCs w:val="17"/>
                <w:color w:val="auto"/>
              </w:rPr>
            </w:pPr>
          </w:p>
        </w:tc>
        <w:tc>
          <w:tcPr>
            <w:tcW w:w="1120" w:type="dxa"/>
            <w:vAlign w:val="bottom"/>
            <w:tcBorders>
              <w:top w:val="single" w:sz="8" w:color="auto"/>
            </w:tcBorders>
            <w:shd w:val="clear" w:color="auto" w:fill="2AD2C9"/>
          </w:tcPr>
          <w:p>
            <w:pPr>
              <w:spacing w:after="0"/>
              <w:rPr>
                <w:sz w:val="17"/>
                <w:szCs w:val="17"/>
                <w:color w:val="auto"/>
              </w:rPr>
            </w:pPr>
          </w:p>
        </w:tc>
        <w:tc>
          <w:tcPr>
            <w:tcW w:w="1020" w:type="dxa"/>
            <w:vAlign w:val="bottom"/>
            <w:tcBorders>
              <w:top w:val="single" w:sz="8" w:color="auto"/>
            </w:tcBorders>
            <w:shd w:val="clear" w:color="auto" w:fill="2AD2C9"/>
          </w:tcPr>
          <w:p>
            <w:pPr>
              <w:jc w:val="right"/>
              <w:ind w:right="417"/>
              <w:spacing w:after="0"/>
              <w:rPr>
                <w:sz w:val="20"/>
                <w:szCs w:val="20"/>
                <w:color w:val="auto"/>
              </w:rPr>
            </w:pPr>
            <w:r>
              <w:rPr>
                <w:rFonts w:ascii="Arial" w:cs="Arial" w:eastAsia="Arial" w:hAnsi="Arial"/>
                <w:sz w:val="13"/>
                <w:szCs w:val="13"/>
                <w:b w:val="1"/>
                <w:bCs w:val="1"/>
                <w:color w:val="FFFFFF"/>
              </w:rPr>
              <w:t>As of</w:t>
            </w:r>
          </w:p>
        </w:tc>
        <w:tc>
          <w:tcPr>
            <w:tcW w:w="880" w:type="dxa"/>
            <w:vAlign w:val="bottom"/>
            <w:tcBorders>
              <w:top w:val="single" w:sz="8" w:color="auto"/>
              <w:right w:val="single" w:sz="8" w:color="auto"/>
            </w:tcBorders>
            <w:shd w:val="clear" w:color="auto" w:fill="2AD2C9"/>
          </w:tcPr>
          <w:p>
            <w:pPr>
              <w:spacing w:after="0"/>
              <w:rPr>
                <w:sz w:val="17"/>
                <w:szCs w:val="17"/>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40" w:type="dxa"/>
            <w:vAlign w:val="bottom"/>
            <w:tcBorders>
              <w:right w:val="single" w:sz="8" w:color="auto"/>
            </w:tcBorders>
          </w:tcPr>
          <w:p>
            <w:pPr>
              <w:spacing w:after="0"/>
              <w:rPr>
                <w:sz w:val="16"/>
                <w:szCs w:val="16"/>
                <w:color w:val="auto"/>
              </w:rPr>
            </w:pPr>
          </w:p>
        </w:tc>
        <w:tc>
          <w:tcPr>
            <w:tcW w:w="4380" w:type="dxa"/>
            <w:vAlign w:val="bottom"/>
            <w:tcBorders>
              <w:bottom w:val="single" w:sz="8" w:color="auto"/>
              <w:right w:val="single" w:sz="8" w:color="auto"/>
            </w:tcBorders>
            <w:shd w:val="clear" w:color="auto" w:fill="2AD2C9"/>
          </w:tcPr>
          <w:p>
            <w:pPr>
              <w:spacing w:after="0"/>
              <w:rPr>
                <w:sz w:val="16"/>
                <w:szCs w:val="16"/>
                <w:color w:val="auto"/>
              </w:rPr>
            </w:pPr>
          </w:p>
        </w:tc>
        <w:tc>
          <w:tcPr>
            <w:tcW w:w="1120" w:type="dxa"/>
            <w:vAlign w:val="bottom"/>
            <w:tcBorders>
              <w:bottom w:val="single" w:sz="8" w:color="auto"/>
            </w:tcBorders>
            <w:shd w:val="clear" w:color="auto" w:fill="2AD2C9"/>
          </w:tcPr>
          <w:p>
            <w:pPr>
              <w:jc w:val="right"/>
              <w:ind w:right="417"/>
              <w:spacing w:after="0"/>
              <w:rPr>
                <w:sz w:val="20"/>
                <w:szCs w:val="20"/>
                <w:color w:val="auto"/>
              </w:rPr>
            </w:pPr>
            <w:r>
              <w:rPr>
                <w:rFonts w:ascii="Arial" w:cs="Arial" w:eastAsia="Arial" w:hAnsi="Arial"/>
                <w:sz w:val="13"/>
                <w:szCs w:val="13"/>
                <w:b w:val="1"/>
                <w:bCs w:val="1"/>
                <w:color w:val="FFFFFF"/>
              </w:rPr>
              <w:t>1Q23</w:t>
            </w:r>
          </w:p>
        </w:tc>
        <w:tc>
          <w:tcPr>
            <w:tcW w:w="1020" w:type="dxa"/>
            <w:vAlign w:val="bottom"/>
            <w:tcBorders>
              <w:bottom w:val="single" w:sz="8" w:color="auto"/>
            </w:tcBorders>
            <w:shd w:val="clear" w:color="auto" w:fill="2AD2C9"/>
          </w:tcPr>
          <w:p>
            <w:pPr>
              <w:jc w:val="right"/>
              <w:ind w:right="437"/>
              <w:spacing w:after="0"/>
              <w:rPr>
                <w:sz w:val="20"/>
                <w:szCs w:val="20"/>
                <w:color w:val="auto"/>
              </w:rPr>
            </w:pPr>
            <w:r>
              <w:rPr>
                <w:rFonts w:ascii="Arial" w:cs="Arial" w:eastAsia="Arial" w:hAnsi="Arial"/>
                <w:sz w:val="13"/>
                <w:szCs w:val="13"/>
                <w:b w:val="1"/>
                <w:bCs w:val="1"/>
                <w:color w:val="FFFFFF"/>
              </w:rPr>
              <w:t>4Q23</w:t>
            </w:r>
          </w:p>
        </w:tc>
        <w:tc>
          <w:tcPr>
            <w:tcW w:w="880" w:type="dxa"/>
            <w:vAlign w:val="bottom"/>
            <w:tcBorders>
              <w:bottom w:val="single" w:sz="8" w:color="auto"/>
              <w:right w:val="single" w:sz="8" w:color="auto"/>
            </w:tcBorders>
            <w:shd w:val="clear" w:color="auto" w:fill="2AD2C9"/>
          </w:tcPr>
          <w:p>
            <w:pPr>
              <w:jc w:val="right"/>
              <w:ind w:right="317"/>
              <w:spacing w:after="0"/>
              <w:rPr>
                <w:sz w:val="20"/>
                <w:szCs w:val="20"/>
                <w:color w:val="auto"/>
              </w:rPr>
            </w:pPr>
            <w:r>
              <w:rPr>
                <w:rFonts w:ascii="Arial" w:cs="Arial" w:eastAsia="Arial" w:hAnsi="Arial"/>
                <w:sz w:val="13"/>
                <w:szCs w:val="13"/>
                <w:b w:val="1"/>
                <w:bCs w:val="1"/>
                <w:color w:val="FFFFFF"/>
              </w:rPr>
              <w:t>1Q24</w:t>
            </w:r>
          </w:p>
        </w:tc>
        <w:tc>
          <w:tcPr>
            <w:tcW w:w="880" w:type="dxa"/>
            <w:vAlign w:val="bottom"/>
            <w:tcBorders>
              <w:bottom w:val="single" w:sz="8" w:color="auto"/>
            </w:tcBorders>
            <w:shd w:val="clear" w:color="auto" w:fill="1DD5CC"/>
          </w:tcPr>
          <w:p>
            <w:pPr>
              <w:jc w:val="center"/>
              <w:spacing w:after="0"/>
              <w:rPr>
                <w:sz w:val="20"/>
                <w:szCs w:val="20"/>
                <w:color w:val="auto"/>
              </w:rPr>
            </w:pPr>
            <w:r>
              <w:rPr>
                <w:rFonts w:ascii="Arial" w:cs="Arial" w:eastAsia="Arial" w:hAnsi="Arial"/>
                <w:sz w:val="13"/>
                <w:szCs w:val="13"/>
                <w:b w:val="1"/>
                <w:bCs w:val="1"/>
                <w:color w:val="FFFFFF"/>
                <w:w w:val="92"/>
              </w:rPr>
              <w:t>QoQ</w:t>
            </w:r>
          </w:p>
        </w:tc>
        <w:tc>
          <w:tcPr>
            <w:tcW w:w="920" w:type="dxa"/>
            <w:vAlign w:val="bottom"/>
            <w:tcBorders>
              <w:bottom w:val="single" w:sz="8" w:color="auto"/>
              <w:right w:val="single" w:sz="8" w:color="auto"/>
            </w:tcBorders>
            <w:shd w:val="clear" w:color="auto" w:fill="1DD5CC"/>
          </w:tcPr>
          <w:p>
            <w:pPr>
              <w:jc w:val="center"/>
              <w:spacing w:after="0"/>
              <w:rPr>
                <w:sz w:val="20"/>
                <w:szCs w:val="20"/>
                <w:color w:val="auto"/>
              </w:rPr>
            </w:pPr>
            <w:r>
              <w:rPr>
                <w:rFonts w:ascii="Arial" w:cs="Arial" w:eastAsia="Arial" w:hAnsi="Arial"/>
                <w:sz w:val="13"/>
                <w:szCs w:val="13"/>
                <w:b w:val="1"/>
                <w:bCs w:val="1"/>
                <w:color w:val="FFFFFF"/>
                <w:w w:val="94"/>
              </w:rPr>
              <w:t>YoY</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Interest income and expense</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 and similar income</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4,456,106</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4,870,042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4,925,926</w:t>
            </w:r>
          </w:p>
        </w:tc>
        <w:tc>
          <w:tcPr>
            <w:tcW w:w="880" w:type="dxa"/>
            <w:vAlign w:val="bottom"/>
          </w:tcPr>
          <w:p>
            <w:pPr>
              <w:jc w:val="center"/>
              <w:spacing w:after="0"/>
              <w:rPr>
                <w:sz w:val="20"/>
                <w:szCs w:val="20"/>
                <w:color w:val="auto"/>
              </w:rPr>
            </w:pPr>
            <w:r>
              <w:rPr>
                <w:rFonts w:ascii="Arial" w:cs="Arial" w:eastAsia="Arial" w:hAnsi="Arial"/>
                <w:sz w:val="13"/>
                <w:szCs w:val="13"/>
                <w:color w:val="auto"/>
              </w:rPr>
              <w:t>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10.5%</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 and similar expenses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(1,324,017)</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(1,522,358)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(1,499,803)</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-1.5%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13.3%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interest, similar income and expenses</w:t>
            </w:r>
          </w:p>
        </w:tc>
        <w:tc>
          <w:tcPr>
            <w:tcW w:w="1120" w:type="dxa"/>
            <w:vAlign w:val="bottom"/>
          </w:tcPr>
          <w:p>
            <w:pPr>
              <w:jc w:val="right"/>
              <w:ind w:right="117"/>
              <w:spacing w:after="0"/>
              <w:rPr>
                <w:sz w:val="20"/>
                <w:szCs w:val="20"/>
                <w:color w:val="auto"/>
              </w:rPr>
            </w:pPr>
            <w:r>
              <w:rPr>
                <w:rFonts w:ascii="Arial" w:cs="Arial" w:eastAsia="Arial" w:hAnsi="Arial"/>
                <w:sz w:val="13"/>
                <w:szCs w:val="13"/>
                <w:b w:val="1"/>
                <w:bCs w:val="1"/>
                <w:color w:val="auto"/>
              </w:rPr>
              <w:t>3,132,089</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auto"/>
              </w:rPr>
              <w:t>3,347,684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3,426,123</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9.4%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Gross provision for credit losses on loan portfolio</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(802,107)</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(1,260,163)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(910,189)</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-27.8%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13.5%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75,109</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86,709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95,490</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27.1%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1120" w:type="dxa"/>
            <w:vAlign w:val="bottom"/>
          </w:tcPr>
          <w:p>
            <w:pPr>
              <w:jc w:val="right"/>
              <w:ind w:right="117"/>
              <w:spacing w:after="0"/>
              <w:rPr>
                <w:sz w:val="20"/>
                <w:szCs w:val="20"/>
                <w:color w:val="auto"/>
              </w:rPr>
            </w:pPr>
            <w:r>
              <w:rPr>
                <w:rFonts w:ascii="Arial" w:cs="Arial" w:eastAsia="Arial" w:hAnsi="Arial"/>
                <w:sz w:val="13"/>
                <w:szCs w:val="13"/>
                <w:b w:val="1"/>
                <w:bCs w:val="1"/>
                <w:color w:val="auto"/>
              </w:rPr>
              <w:t>(726,998)</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auto"/>
              </w:rPr>
              <w:t>(1,173,454)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(814,699)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-30.6%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spacing w:after="0"/>
              <w:rPr>
                <w:sz w:val="15"/>
                <w:szCs w:val="15"/>
                <w:color w:val="auto"/>
              </w:rPr>
            </w:pP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0.0%</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40" w:type="dxa"/>
            <w:vAlign w:val="bottom"/>
            <w:tcBorders>
              <w:right w:val="single" w:sz="8" w:color="auto"/>
            </w:tcBorders>
          </w:tcPr>
          <w:p>
            <w:pPr>
              <w:spacing w:after="0"/>
              <w:rPr>
                <w:sz w:val="13"/>
                <w:szCs w:val="13"/>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interest, similar income and expenses, after provision for credit</w:t>
            </w:r>
          </w:p>
        </w:tc>
        <w:tc>
          <w:tcPr>
            <w:tcW w:w="11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2,405,091</w:t>
            </w:r>
          </w:p>
        </w:tc>
        <w:tc>
          <w:tcPr>
            <w:tcW w:w="10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2,174,230</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2,611,424</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20.1%</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8.6%</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4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losses on loan portfolio</w:t>
            </w:r>
          </w:p>
        </w:tc>
        <w:tc>
          <w:tcPr>
            <w:tcW w:w="11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40" w:type="dxa"/>
            <w:vAlign w:val="bottom"/>
            <w:tcBorders>
              <w:right w:val="single" w:sz="8" w:color="auto"/>
            </w:tcBorders>
          </w:tcPr>
          <w:p>
            <w:pPr>
              <w:spacing w:after="0"/>
              <w:rPr>
                <w:sz w:val="5"/>
                <w:szCs w:val="5"/>
                <w:color w:val="auto"/>
              </w:rPr>
            </w:pPr>
          </w:p>
        </w:tc>
        <w:tc>
          <w:tcPr>
            <w:tcW w:w="4380" w:type="dxa"/>
            <w:vAlign w:val="bottom"/>
            <w:tcBorders>
              <w:right w:val="single" w:sz="8" w:color="auto"/>
            </w:tcBorders>
            <w:vMerge w:val="continue"/>
          </w:tcPr>
          <w:p>
            <w:pPr>
              <w:spacing w:after="0"/>
              <w:rPr>
                <w:sz w:val="5"/>
                <w:szCs w:val="5"/>
                <w:color w:val="auto"/>
              </w:rPr>
            </w:pPr>
          </w:p>
        </w:tc>
        <w:tc>
          <w:tcPr>
            <w:tcW w:w="1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Other income</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Fee income</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881,781</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986,173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1,062,501</w:t>
            </w:r>
          </w:p>
        </w:tc>
        <w:tc>
          <w:tcPr>
            <w:tcW w:w="880" w:type="dxa"/>
            <w:vAlign w:val="bottom"/>
          </w:tcPr>
          <w:p>
            <w:pPr>
              <w:jc w:val="center"/>
              <w:spacing w:after="0"/>
              <w:rPr>
                <w:sz w:val="20"/>
                <w:szCs w:val="20"/>
                <w:color w:val="auto"/>
              </w:rPr>
            </w:pPr>
            <w:r>
              <w:rPr>
                <w:rFonts w:ascii="Arial" w:cs="Arial" w:eastAsia="Arial" w:hAnsi="Arial"/>
                <w:sz w:val="13"/>
                <w:szCs w:val="13"/>
                <w:color w:val="auto"/>
              </w:rPr>
              <w:t>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20.5%</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gain on foreign exchange transactions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248,515</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218,047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166,269</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-23.7%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loss on securities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70,036</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115,825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61,745</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-46.7%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gain from associates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27,212</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34,132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32,295</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-5.4%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18.7%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gain (loss) on derivatives held for trading</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(6,570)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5,019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39,984</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696.7%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-708.6%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gain (loss) from exchange differences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22,963</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15,255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(5,621)</w:t>
            </w:r>
          </w:p>
        </w:tc>
        <w:tc>
          <w:tcPr>
            <w:tcW w:w="880" w:type="dxa"/>
            <w:vAlign w:val="bottom"/>
          </w:tcPr>
          <w:p>
            <w:pPr>
              <w:jc w:val="center"/>
              <w:spacing w:after="0"/>
              <w:rPr>
                <w:sz w:val="20"/>
                <w:szCs w:val="20"/>
                <w:color w:val="auto"/>
              </w:rPr>
            </w:pPr>
            <w:r>
              <w:rPr>
                <w:rFonts w:ascii="Arial" w:cs="Arial" w:eastAsia="Arial" w:hAnsi="Arial"/>
                <w:sz w:val="13"/>
                <w:szCs w:val="13"/>
                <w:color w:val="auto"/>
                <w:w w:val="94"/>
              </w:rPr>
              <w:t>-136.8%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-124.5%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89,338</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112,372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102,221</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-9.0%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14.4%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other income</w:t>
            </w:r>
          </w:p>
        </w:tc>
        <w:tc>
          <w:tcPr>
            <w:tcW w:w="1120" w:type="dxa"/>
            <w:vAlign w:val="bottom"/>
          </w:tcPr>
          <w:p>
            <w:pPr>
              <w:jc w:val="right"/>
              <w:ind w:right="117"/>
              <w:spacing w:after="0"/>
              <w:rPr>
                <w:sz w:val="20"/>
                <w:szCs w:val="20"/>
                <w:color w:val="auto"/>
              </w:rPr>
            </w:pPr>
            <w:r>
              <w:rPr>
                <w:rFonts w:ascii="Arial" w:cs="Arial" w:eastAsia="Arial" w:hAnsi="Arial"/>
                <w:sz w:val="13"/>
                <w:szCs w:val="13"/>
                <w:b w:val="1"/>
                <w:bCs w:val="1"/>
                <w:color w:val="auto"/>
              </w:rPr>
              <w:t>1,333,275</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auto"/>
              </w:rPr>
              <w:t>1,486,823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1,459,394</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9.5%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Insurance underwriting result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Insurance Service Result</w:t>
            </w:r>
          </w:p>
        </w:tc>
        <w:tc>
          <w:tcPr>
            <w:tcW w:w="1120" w:type="dxa"/>
            <w:vAlign w:val="bottom"/>
          </w:tcPr>
          <w:p>
            <w:pPr>
              <w:jc w:val="right"/>
              <w:ind w:right="117"/>
              <w:spacing w:after="0"/>
              <w:rPr>
                <w:sz w:val="20"/>
                <w:szCs w:val="20"/>
                <w:color w:val="auto"/>
              </w:rPr>
            </w:pPr>
            <w:r>
              <w:rPr>
                <w:rFonts w:ascii="Arial" w:cs="Arial" w:eastAsia="Arial" w:hAnsi="Arial"/>
                <w:sz w:val="13"/>
                <w:szCs w:val="13"/>
                <w:b w:val="1"/>
                <w:bCs w:val="1"/>
                <w:color w:val="auto"/>
              </w:rPr>
              <w:t>406,877</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auto"/>
              </w:rPr>
              <w:t>385,043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458,997</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19.2%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12.8%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Reinsurance Result</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(110,536)</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(97,748)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(179,935)</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84.1%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62.8%</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insurance underwriting result</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296,341</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287,295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279,062</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-2.9%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Salaries and employee benefits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(1,029,558)</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(1,119,758)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(1,107,069)</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7.5%</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Administrative, general and tax expenses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(835,060)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(1,089,203)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(888,583)</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-18.4%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(161,079)</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(177,618)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(175,146)</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-1.4%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8.7%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Impairment loss on goodwill</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(71,959)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Association in participation</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(12,612)</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(9,109)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(8,847)</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-2.9%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-29.9%</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 expenses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(88,599)</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(193,895)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(99,672)</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-48.6%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(2,126,908)</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(2,661,542)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(2,279,317)</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-14.4%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1120" w:type="dxa"/>
            <w:vAlign w:val="bottom"/>
          </w:tcPr>
          <w:p>
            <w:pPr>
              <w:jc w:val="right"/>
              <w:ind w:right="117"/>
              <w:spacing w:after="0"/>
              <w:rPr>
                <w:sz w:val="20"/>
                <w:szCs w:val="20"/>
                <w:color w:val="auto"/>
              </w:rPr>
            </w:pPr>
            <w:r>
              <w:rPr>
                <w:rFonts w:ascii="Arial" w:cs="Arial" w:eastAsia="Arial" w:hAnsi="Arial"/>
                <w:sz w:val="13"/>
                <w:szCs w:val="13"/>
                <w:b w:val="1"/>
                <w:bCs w:val="1"/>
                <w:color w:val="auto"/>
              </w:rPr>
              <w:t>1,907,799</w:t>
            </w: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auto"/>
              </w:rPr>
              <w:t>1,286,806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2,070,563</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60.9%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8.5%</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Income tax</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(493,466)</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(434,648)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(528,466)</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21.6%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1,414,333</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852,158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1,542,097</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81.0%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120" w:type="dxa"/>
            <w:vAlign w:val="bottom"/>
          </w:tcPr>
          <w:p>
            <w:pPr>
              <w:jc w:val="right"/>
              <w:ind w:right="117"/>
              <w:spacing w:after="0"/>
              <w:rPr>
                <w:sz w:val="20"/>
                <w:szCs w:val="20"/>
                <w:color w:val="auto"/>
              </w:rPr>
            </w:pPr>
            <w:r>
              <w:rPr>
                <w:rFonts w:ascii="Arial" w:cs="Arial" w:eastAsia="Arial" w:hAnsi="Arial"/>
                <w:sz w:val="13"/>
                <w:szCs w:val="13"/>
                <w:color w:val="auto"/>
              </w:rPr>
              <w:t>30,060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10,331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30,440</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194.6%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1.3%</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 attributable to Credicorp</w:t>
            </w: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1,384,273</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841,827</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1,511,657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79.6%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9.2%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1040" w:type="dxa"/>
            <w:vAlign w:val="bottom"/>
          </w:tcPr>
          <w:p>
            <w:pPr>
              <w:spacing w:after="0"/>
              <w:rPr>
                <w:sz w:val="24"/>
                <w:szCs w:val="24"/>
                <w:color w:val="auto"/>
              </w:rPr>
            </w:pPr>
          </w:p>
        </w:tc>
        <w:tc>
          <w:tcPr>
            <w:tcW w:w="6520" w:type="dxa"/>
            <w:vAlign w:val="bottom"/>
            <w:gridSpan w:val="3"/>
          </w:tcPr>
          <w:p>
            <w:pPr>
              <w:ind w:left="3200"/>
              <w:spacing w:after="0"/>
              <w:rPr>
                <w:sz w:val="20"/>
                <w:szCs w:val="20"/>
                <w:color w:val="auto"/>
              </w:rPr>
            </w:pPr>
            <w:r>
              <w:rPr>
                <w:rFonts w:ascii="Arial" w:cs="Arial" w:eastAsia="Arial" w:hAnsi="Arial"/>
                <w:sz w:val="14"/>
                <w:szCs w:val="14"/>
                <w:color w:val="0000FF"/>
              </w:rPr>
              <w:t>Datos elaborados por BCP para uso Interno</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429"/>
        </w:trPr>
        <w:tc>
          <w:tcPr>
            <w:tcW w:w="1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19"/>
        </w:trPr>
        <w:tc>
          <w:tcPr>
            <w:tcW w:w="1040" w:type="dxa"/>
            <w:vAlign w:val="bottom"/>
            <w:tcBorders>
              <w:right w:val="single" w:sz="8" w:color="auto"/>
            </w:tcBorders>
            <w:shd w:val="clear" w:color="auto" w:fill="000000"/>
          </w:tcPr>
          <w:p>
            <w:pPr>
              <w:spacing w:after="0"/>
              <w:rPr>
                <w:sz w:val="24"/>
                <w:szCs w:val="24"/>
                <w:color w:val="auto"/>
              </w:rPr>
            </w:pPr>
          </w:p>
        </w:tc>
        <w:tc>
          <w:tcPr>
            <w:tcW w:w="4460" w:type="dxa"/>
            <w:vAlign w:val="bottom"/>
            <w:gridSpan w:val="2"/>
            <w:shd w:val="clear" w:color="auto" w:fill="000000"/>
          </w:tcPr>
          <w:p>
            <w:pPr>
              <w:ind w:left="1680"/>
              <w:spacing w:after="0"/>
              <w:rPr>
                <w:sz w:val="20"/>
                <w:szCs w:val="20"/>
                <w:color w:val="auto"/>
              </w:rPr>
            </w:pPr>
            <w:r>
              <w:rPr>
                <w:rFonts w:ascii="Arial" w:cs="Arial" w:eastAsia="Arial" w:hAnsi="Arial"/>
                <w:sz w:val="20"/>
                <w:szCs w:val="20"/>
                <w:color w:val="A6A6A6"/>
              </w:rPr>
              <w:t xml:space="preserve">|  </w:t>
            </w:r>
            <w:r>
              <w:rPr>
                <w:rFonts w:ascii="Arial" w:cs="Arial" w:eastAsia="Arial" w:hAnsi="Arial"/>
                <w:sz w:val="20"/>
                <w:szCs w:val="20"/>
                <w:b w:val="1"/>
                <w:bCs w:val="1"/>
                <w:color w:val="A6A6A6"/>
              </w:rPr>
              <w:t>Earning Release 1Q / 2024</w:t>
            </w:r>
          </w:p>
        </w:tc>
        <w:tc>
          <w:tcPr>
            <w:tcW w:w="220" w:type="dxa"/>
            <w:vAlign w:val="bottom"/>
            <w:tcBorders>
              <w:right w:val="single" w:sz="8" w:color="auto"/>
            </w:tcBorders>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820" w:type="dxa"/>
            <w:vAlign w:val="bottom"/>
            <w:shd w:val="clear" w:color="auto" w:fill="000000"/>
          </w:tcPr>
          <w:p>
            <w:pPr>
              <w:spacing w:after="0"/>
              <w:rPr>
                <w:sz w:val="24"/>
                <w:szCs w:val="24"/>
                <w:color w:val="auto"/>
              </w:rPr>
            </w:pPr>
          </w:p>
        </w:tc>
        <w:tc>
          <w:tcPr>
            <w:tcW w:w="3900" w:type="dxa"/>
            <w:vAlign w:val="bottom"/>
            <w:gridSpan w:val="5"/>
            <w:shd w:val="clear" w:color="auto" w:fill="000000"/>
          </w:tcPr>
          <w:p>
            <w:pPr>
              <w:spacing w:after="0"/>
              <w:rPr>
                <w:sz w:val="20"/>
                <w:szCs w:val="20"/>
                <w:color w:val="auto"/>
              </w:rPr>
            </w:pPr>
            <w:r>
              <w:rPr>
                <w:rFonts w:ascii="Arial" w:cs="Arial" w:eastAsia="Arial" w:hAnsi="Arial"/>
                <w:sz w:val="20"/>
                <w:szCs w:val="20"/>
                <w:b w:val="1"/>
                <w:bCs w:val="1"/>
                <w:color w:val="E93BAC"/>
              </w:rPr>
              <w:t>Analysis of 1Q24 Consolidated Results</w:t>
            </w:r>
          </w:p>
        </w:tc>
      </w:tr>
      <w:tr>
        <w:trPr>
          <w:trHeight w:val="237"/>
        </w:trPr>
        <w:tc>
          <w:tcPr>
            <w:tcW w:w="1040" w:type="dxa"/>
            <w:vAlign w:val="bottom"/>
            <w:tcBorders>
              <w:right w:val="single" w:sz="8" w:color="auto"/>
            </w:tcBorders>
            <w:shd w:val="clear" w:color="auto" w:fill="000000"/>
          </w:tcPr>
          <w:p>
            <w:pPr>
              <w:spacing w:after="0"/>
              <w:rPr>
                <w:sz w:val="20"/>
                <w:szCs w:val="20"/>
                <w:color w:val="auto"/>
              </w:rPr>
            </w:pPr>
          </w:p>
        </w:tc>
        <w:tc>
          <w:tcPr>
            <w:tcW w:w="4380" w:type="dxa"/>
            <w:vAlign w:val="bottom"/>
            <w:tcBorders>
              <w:right w:val="single" w:sz="8" w:color="auto"/>
            </w:tcBorders>
            <w:shd w:val="clear" w:color="auto" w:fill="000000"/>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220" w:type="dxa"/>
            <w:vAlign w:val="bottom"/>
            <w:tcBorders>
              <w:right w:val="single" w:sz="8" w:color="auto"/>
            </w:tcBorders>
            <w:shd w:val="clear" w:color="auto" w:fill="000000"/>
          </w:tcPr>
          <w:p>
            <w:pPr>
              <w:spacing w:after="0"/>
              <w:rPr>
                <w:sz w:val="20"/>
                <w:szCs w:val="20"/>
                <w:color w:val="auto"/>
              </w:rPr>
            </w:pPr>
          </w:p>
        </w:tc>
        <w:tc>
          <w:tcPr>
            <w:tcW w:w="800" w:type="dxa"/>
            <w:vAlign w:val="bottom"/>
            <w:shd w:val="clear" w:color="auto" w:fill="000000"/>
          </w:tcPr>
          <w:p>
            <w:pPr>
              <w:spacing w:after="0"/>
              <w:rPr>
                <w:sz w:val="20"/>
                <w:szCs w:val="20"/>
                <w:color w:val="auto"/>
              </w:rPr>
            </w:pPr>
          </w:p>
        </w:tc>
        <w:tc>
          <w:tcPr>
            <w:tcW w:w="820" w:type="dxa"/>
            <w:vAlign w:val="bottom"/>
            <w:shd w:val="clear" w:color="auto" w:fill="000000"/>
          </w:tcPr>
          <w:p>
            <w:pPr>
              <w:spacing w:after="0"/>
              <w:rPr>
                <w:sz w:val="20"/>
                <w:szCs w:val="20"/>
                <w:color w:val="auto"/>
              </w:rPr>
            </w:pPr>
          </w:p>
        </w:tc>
        <w:tc>
          <w:tcPr>
            <w:tcW w:w="1100" w:type="dxa"/>
            <w:vAlign w:val="bottom"/>
            <w:tcBorders>
              <w:right w:val="single" w:sz="8" w:color="auto"/>
            </w:tcBorders>
            <w:shd w:val="clear" w:color="auto" w:fill="000000"/>
          </w:tcPr>
          <w:p>
            <w:pPr>
              <w:spacing w:after="0"/>
              <w:rPr>
                <w:sz w:val="20"/>
                <w:szCs w:val="20"/>
                <w:color w:val="auto"/>
              </w:rPr>
            </w:pPr>
          </w:p>
        </w:tc>
        <w:tc>
          <w:tcPr>
            <w:tcW w:w="100" w:type="dxa"/>
            <w:vAlign w:val="bottom"/>
            <w:tcBorders>
              <w:right w:val="single" w:sz="8" w:color="auto"/>
            </w:tcBorders>
            <w:shd w:val="clear" w:color="auto" w:fill="000000"/>
          </w:tcPr>
          <w:p>
            <w:pPr>
              <w:spacing w:after="0"/>
              <w:rPr>
                <w:sz w:val="20"/>
                <w:szCs w:val="20"/>
                <w:color w:val="auto"/>
              </w:rPr>
            </w:pPr>
          </w:p>
        </w:tc>
        <w:tc>
          <w:tcPr>
            <w:tcW w:w="80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c>
          <w:tcPr>
            <w:tcW w:w="980" w:type="dxa"/>
            <w:vAlign w:val="bottom"/>
            <w:shd w:val="clear" w:color="auto" w:fill="000000"/>
          </w:tcPr>
          <w:p>
            <w:pPr>
              <w:spacing w:after="0"/>
              <w:rPr>
                <w:sz w:val="20"/>
                <w:szCs w:val="20"/>
                <w:color w:val="auto"/>
              </w:rPr>
            </w:pPr>
          </w:p>
        </w:tc>
      </w:tr>
      <w:tr>
        <w:trPr>
          <w:trHeight w:val="425"/>
        </w:trPr>
        <w:tc>
          <w:tcPr>
            <w:tcW w:w="5500" w:type="dxa"/>
            <w:vAlign w:val="bottom"/>
            <w:gridSpan w:val="3"/>
            <w:shd w:val="clear" w:color="auto" w:fill="E93BAC"/>
          </w:tcPr>
          <w:p>
            <w:pPr>
              <w:ind w:left="100"/>
              <w:spacing w:after="0"/>
              <w:rPr>
                <w:sz w:val="20"/>
                <w:szCs w:val="20"/>
                <w:color w:val="auto"/>
              </w:rPr>
            </w:pPr>
            <w:r>
              <w:rPr>
                <w:rFonts w:ascii="Arial" w:cs="Arial" w:eastAsia="Arial" w:hAnsi="Arial"/>
                <w:sz w:val="20"/>
                <w:szCs w:val="20"/>
                <w:b w:val="1"/>
                <w:bCs w:val="1"/>
                <w:color w:val="FFFFFF"/>
              </w:rPr>
              <w:t>12. Appendix</w:t>
            </w:r>
          </w:p>
        </w:tc>
        <w:tc>
          <w:tcPr>
            <w:tcW w:w="220" w:type="dxa"/>
            <w:vAlign w:val="bottom"/>
            <w:tcBorders>
              <w:right w:val="single" w:sz="8" w:color="E93BAC"/>
            </w:tcBorders>
            <w:shd w:val="clear" w:color="auto" w:fill="E93BAC"/>
          </w:tcPr>
          <w:p>
            <w:pPr>
              <w:spacing w:after="0"/>
              <w:rPr>
                <w:sz w:val="24"/>
                <w:szCs w:val="24"/>
                <w:color w:val="auto"/>
              </w:rPr>
            </w:pPr>
          </w:p>
        </w:tc>
        <w:tc>
          <w:tcPr>
            <w:tcW w:w="800" w:type="dxa"/>
            <w:vAlign w:val="bottom"/>
            <w:shd w:val="clear" w:color="auto" w:fill="E93BAC"/>
          </w:tcPr>
          <w:p>
            <w:pPr>
              <w:spacing w:after="0"/>
              <w:rPr>
                <w:sz w:val="24"/>
                <w:szCs w:val="24"/>
                <w:color w:val="auto"/>
              </w:rPr>
            </w:pPr>
          </w:p>
        </w:tc>
        <w:tc>
          <w:tcPr>
            <w:tcW w:w="820" w:type="dxa"/>
            <w:vAlign w:val="bottom"/>
            <w:shd w:val="clear" w:color="auto" w:fill="E93BAC"/>
          </w:tcPr>
          <w:p>
            <w:pPr>
              <w:spacing w:after="0"/>
              <w:rPr>
                <w:sz w:val="24"/>
                <w:szCs w:val="24"/>
                <w:color w:val="auto"/>
              </w:rPr>
            </w:pPr>
          </w:p>
        </w:tc>
        <w:tc>
          <w:tcPr>
            <w:tcW w:w="1100" w:type="dxa"/>
            <w:vAlign w:val="bottom"/>
            <w:tcBorders>
              <w:right w:val="single" w:sz="8" w:color="E93BAC"/>
            </w:tcBorders>
            <w:shd w:val="clear" w:color="auto" w:fill="E93BAC"/>
          </w:tcPr>
          <w:p>
            <w:pPr>
              <w:spacing w:after="0"/>
              <w:rPr>
                <w:sz w:val="24"/>
                <w:szCs w:val="24"/>
                <w:color w:val="auto"/>
              </w:rPr>
            </w:pPr>
          </w:p>
        </w:tc>
        <w:tc>
          <w:tcPr>
            <w:tcW w:w="100" w:type="dxa"/>
            <w:vAlign w:val="bottom"/>
            <w:tcBorders>
              <w:right w:val="single" w:sz="8" w:color="E93BAC"/>
            </w:tcBorders>
            <w:shd w:val="clear" w:color="auto" w:fill="E93BAC"/>
          </w:tcPr>
          <w:p>
            <w:pPr>
              <w:spacing w:after="0"/>
              <w:rPr>
                <w:sz w:val="24"/>
                <w:szCs w:val="24"/>
                <w:color w:val="auto"/>
              </w:rPr>
            </w:pPr>
          </w:p>
        </w:tc>
        <w:tc>
          <w:tcPr>
            <w:tcW w:w="800" w:type="dxa"/>
            <w:vAlign w:val="bottom"/>
            <w:shd w:val="clear" w:color="auto" w:fill="E93BAC"/>
          </w:tcPr>
          <w:p>
            <w:pPr>
              <w:spacing w:after="0"/>
              <w:rPr>
                <w:sz w:val="24"/>
                <w:szCs w:val="24"/>
                <w:color w:val="auto"/>
              </w:rPr>
            </w:pPr>
          </w:p>
        </w:tc>
        <w:tc>
          <w:tcPr>
            <w:tcW w:w="920" w:type="dxa"/>
            <w:vAlign w:val="bottom"/>
            <w:tcBorders>
              <w:right w:val="single" w:sz="8" w:color="E93BAC"/>
            </w:tcBorders>
            <w:shd w:val="clear" w:color="auto" w:fill="E93BAC"/>
          </w:tcPr>
          <w:p>
            <w:pPr>
              <w:spacing w:after="0"/>
              <w:rPr>
                <w:sz w:val="24"/>
                <w:szCs w:val="24"/>
                <w:color w:val="auto"/>
              </w:rPr>
            </w:pPr>
          </w:p>
        </w:tc>
        <w:tc>
          <w:tcPr>
            <w:tcW w:w="980" w:type="dxa"/>
            <w:vAlign w:val="bottom"/>
            <w:shd w:val="clear" w:color="auto" w:fill="E93BAC"/>
          </w:tcPr>
          <w:p>
            <w:pPr>
              <w:spacing w:after="0"/>
              <w:rPr>
                <w:sz w:val="24"/>
                <w:szCs w:val="24"/>
                <w:color w:val="auto"/>
              </w:rPr>
            </w:pPr>
          </w:p>
        </w:tc>
      </w:tr>
      <w:tr>
        <w:trPr>
          <w:trHeight w:val="142"/>
        </w:trPr>
        <w:tc>
          <w:tcPr>
            <w:tcW w:w="1040" w:type="dxa"/>
            <w:vAlign w:val="bottom"/>
            <w:tcBorders>
              <w:right w:val="single" w:sz="8" w:color="E93BAC"/>
            </w:tcBorders>
            <w:shd w:val="clear" w:color="auto" w:fill="E93BAC"/>
          </w:tcPr>
          <w:p>
            <w:pPr>
              <w:spacing w:after="0"/>
              <w:rPr>
                <w:sz w:val="12"/>
                <w:szCs w:val="12"/>
                <w:color w:val="auto"/>
              </w:rPr>
            </w:pPr>
          </w:p>
        </w:tc>
        <w:tc>
          <w:tcPr>
            <w:tcW w:w="4380" w:type="dxa"/>
            <w:vAlign w:val="bottom"/>
            <w:tcBorders>
              <w:right w:val="single" w:sz="8" w:color="E93BAC"/>
            </w:tcBorders>
            <w:shd w:val="clear" w:color="auto" w:fill="E93BAC"/>
          </w:tcPr>
          <w:p>
            <w:pPr>
              <w:spacing w:after="0"/>
              <w:rPr>
                <w:sz w:val="12"/>
                <w:szCs w:val="12"/>
                <w:color w:val="auto"/>
              </w:rPr>
            </w:pPr>
          </w:p>
        </w:tc>
        <w:tc>
          <w:tcPr>
            <w:tcW w:w="80" w:type="dxa"/>
            <w:vAlign w:val="bottom"/>
            <w:shd w:val="clear" w:color="auto" w:fill="E93BAC"/>
          </w:tcPr>
          <w:p>
            <w:pPr>
              <w:spacing w:after="0"/>
              <w:rPr>
                <w:sz w:val="12"/>
                <w:szCs w:val="12"/>
                <w:color w:val="auto"/>
              </w:rPr>
            </w:pPr>
          </w:p>
        </w:tc>
        <w:tc>
          <w:tcPr>
            <w:tcW w:w="220" w:type="dxa"/>
            <w:vAlign w:val="bottom"/>
            <w:tcBorders>
              <w:right w:val="single" w:sz="8" w:color="E93BAC"/>
            </w:tcBorders>
            <w:shd w:val="clear" w:color="auto" w:fill="E93BAC"/>
          </w:tcPr>
          <w:p>
            <w:pPr>
              <w:spacing w:after="0"/>
              <w:rPr>
                <w:sz w:val="12"/>
                <w:szCs w:val="12"/>
                <w:color w:val="auto"/>
              </w:rPr>
            </w:pPr>
          </w:p>
        </w:tc>
        <w:tc>
          <w:tcPr>
            <w:tcW w:w="800" w:type="dxa"/>
            <w:vAlign w:val="bottom"/>
            <w:shd w:val="clear" w:color="auto" w:fill="E93BAC"/>
          </w:tcPr>
          <w:p>
            <w:pPr>
              <w:spacing w:after="0"/>
              <w:rPr>
                <w:sz w:val="12"/>
                <w:szCs w:val="12"/>
                <w:color w:val="auto"/>
              </w:rPr>
            </w:pPr>
          </w:p>
        </w:tc>
        <w:tc>
          <w:tcPr>
            <w:tcW w:w="820" w:type="dxa"/>
            <w:vAlign w:val="bottom"/>
            <w:shd w:val="clear" w:color="auto" w:fill="E93BAC"/>
          </w:tcPr>
          <w:p>
            <w:pPr>
              <w:spacing w:after="0"/>
              <w:rPr>
                <w:sz w:val="12"/>
                <w:szCs w:val="12"/>
                <w:color w:val="auto"/>
              </w:rPr>
            </w:pPr>
          </w:p>
        </w:tc>
        <w:tc>
          <w:tcPr>
            <w:tcW w:w="1100" w:type="dxa"/>
            <w:vAlign w:val="bottom"/>
            <w:tcBorders>
              <w:right w:val="single" w:sz="8" w:color="E93BAC"/>
            </w:tcBorders>
            <w:shd w:val="clear" w:color="auto" w:fill="E93BAC"/>
          </w:tcPr>
          <w:p>
            <w:pPr>
              <w:spacing w:after="0"/>
              <w:rPr>
                <w:sz w:val="12"/>
                <w:szCs w:val="12"/>
                <w:color w:val="auto"/>
              </w:rPr>
            </w:pPr>
          </w:p>
        </w:tc>
        <w:tc>
          <w:tcPr>
            <w:tcW w:w="100" w:type="dxa"/>
            <w:vAlign w:val="bottom"/>
            <w:tcBorders>
              <w:right w:val="single" w:sz="8" w:color="E93BAC"/>
            </w:tcBorders>
            <w:shd w:val="clear" w:color="auto" w:fill="E93BAC"/>
          </w:tcPr>
          <w:p>
            <w:pPr>
              <w:spacing w:after="0"/>
              <w:rPr>
                <w:sz w:val="12"/>
                <w:szCs w:val="12"/>
                <w:color w:val="auto"/>
              </w:rPr>
            </w:pPr>
          </w:p>
        </w:tc>
        <w:tc>
          <w:tcPr>
            <w:tcW w:w="800" w:type="dxa"/>
            <w:vAlign w:val="bottom"/>
            <w:shd w:val="clear" w:color="auto" w:fill="E93BAC"/>
          </w:tcPr>
          <w:p>
            <w:pPr>
              <w:spacing w:after="0"/>
              <w:rPr>
                <w:sz w:val="12"/>
                <w:szCs w:val="12"/>
                <w:color w:val="auto"/>
              </w:rPr>
            </w:pPr>
          </w:p>
        </w:tc>
        <w:tc>
          <w:tcPr>
            <w:tcW w:w="920" w:type="dxa"/>
            <w:vAlign w:val="bottom"/>
            <w:tcBorders>
              <w:right w:val="single" w:sz="8" w:color="E93BAC"/>
            </w:tcBorders>
            <w:shd w:val="clear" w:color="auto" w:fill="E93BAC"/>
          </w:tcPr>
          <w:p>
            <w:pPr>
              <w:spacing w:after="0"/>
              <w:rPr>
                <w:sz w:val="12"/>
                <w:szCs w:val="12"/>
                <w:color w:val="auto"/>
              </w:rPr>
            </w:pPr>
          </w:p>
        </w:tc>
        <w:tc>
          <w:tcPr>
            <w:tcW w:w="980" w:type="dxa"/>
            <w:vAlign w:val="bottom"/>
            <w:shd w:val="clear" w:color="auto" w:fill="E93BAC"/>
          </w:tcPr>
          <w:p>
            <w:pPr>
              <w:spacing w:after="0"/>
              <w:rPr>
                <w:sz w:val="12"/>
                <w:szCs w:val="12"/>
                <w:color w:val="auto"/>
              </w:rPr>
            </w:pPr>
          </w:p>
        </w:tc>
      </w:tr>
      <w:tr>
        <w:trPr>
          <w:trHeight w:val="431"/>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12.6.2. Credicorp Stand-alone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1"/>
        </w:trPr>
        <w:tc>
          <w:tcPr>
            <w:tcW w:w="1040" w:type="dxa"/>
            <w:vAlign w:val="bottom"/>
          </w:tcPr>
          <w:p>
            <w:pPr>
              <w:spacing w:after="0"/>
              <w:rPr>
                <w:sz w:val="24"/>
                <w:szCs w:val="24"/>
                <w:color w:val="auto"/>
              </w:rPr>
            </w:pPr>
          </w:p>
        </w:tc>
        <w:tc>
          <w:tcPr>
            <w:tcW w:w="7400" w:type="dxa"/>
            <w:vAlign w:val="bottom"/>
            <w:gridSpan w:val="6"/>
          </w:tcPr>
          <w:p>
            <w:pPr>
              <w:jc w:val="center"/>
              <w:ind w:left="1694"/>
              <w:spacing w:after="0"/>
              <w:rPr>
                <w:sz w:val="20"/>
                <w:szCs w:val="20"/>
                <w:color w:val="auto"/>
              </w:rPr>
            </w:pPr>
            <w:r>
              <w:rPr>
                <w:rFonts w:ascii="Arial" w:cs="Arial" w:eastAsia="Arial" w:hAnsi="Arial"/>
                <w:sz w:val="18"/>
                <w:szCs w:val="18"/>
                <w:b w:val="1"/>
                <w:bCs w:val="1"/>
                <w:color w:val="auto"/>
                <w:w w:val="99"/>
              </w:rPr>
              <w:t>Separate Statement of Financial Position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1"/>
        </w:trPr>
        <w:tc>
          <w:tcPr>
            <w:tcW w:w="1040" w:type="dxa"/>
            <w:vAlign w:val="bottom"/>
          </w:tcPr>
          <w:p>
            <w:pPr>
              <w:spacing w:after="0"/>
              <w:rPr>
                <w:sz w:val="19"/>
                <w:szCs w:val="19"/>
                <w:color w:val="auto"/>
              </w:rPr>
            </w:pPr>
          </w:p>
        </w:tc>
        <w:tc>
          <w:tcPr>
            <w:tcW w:w="6300" w:type="dxa"/>
            <w:vAlign w:val="bottom"/>
            <w:tcBorders>
              <w:bottom w:val="single" w:sz="8" w:color="auto"/>
            </w:tcBorders>
            <w:gridSpan w:val="5"/>
          </w:tcPr>
          <w:p>
            <w:pPr>
              <w:jc w:val="center"/>
              <w:ind w:left="2794"/>
              <w:spacing w:after="0"/>
              <w:rPr>
                <w:sz w:val="20"/>
                <w:szCs w:val="20"/>
                <w:color w:val="auto"/>
              </w:rPr>
            </w:pPr>
            <w:r>
              <w:rPr>
                <w:rFonts w:ascii="Arial" w:cs="Arial" w:eastAsia="Arial" w:hAnsi="Arial"/>
                <w:sz w:val="18"/>
                <w:szCs w:val="18"/>
                <w:b w:val="1"/>
                <w:bCs w:val="1"/>
                <w:color w:val="auto"/>
                <w:w w:val="99"/>
              </w:rPr>
              <w:t>(In S/ thousands, IFRS)</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r>
      <w:tr>
        <w:trPr>
          <w:trHeight w:val="156"/>
        </w:trPr>
        <w:tc>
          <w:tcPr>
            <w:tcW w:w="1040" w:type="dxa"/>
            <w:vAlign w:val="bottom"/>
            <w:tcBorders>
              <w:right w:val="single" w:sz="8" w:color="auto"/>
            </w:tcBorders>
          </w:tcPr>
          <w:p>
            <w:pPr>
              <w:spacing w:after="0"/>
              <w:rPr>
                <w:sz w:val="13"/>
                <w:szCs w:val="13"/>
                <w:color w:val="auto"/>
              </w:rPr>
            </w:pPr>
          </w:p>
        </w:tc>
        <w:tc>
          <w:tcPr>
            <w:tcW w:w="4380" w:type="dxa"/>
            <w:vAlign w:val="bottom"/>
            <w:tcBorders>
              <w:right w:val="single" w:sz="8" w:color="auto"/>
            </w:tcBorders>
            <w:shd w:val="clear" w:color="auto" w:fill="2AD2C9"/>
          </w:tcPr>
          <w:p>
            <w:pPr>
              <w:spacing w:after="0"/>
              <w:rPr>
                <w:sz w:val="13"/>
                <w:szCs w:val="13"/>
                <w:color w:val="auto"/>
              </w:rPr>
            </w:pPr>
          </w:p>
        </w:tc>
        <w:tc>
          <w:tcPr>
            <w:tcW w:w="80" w:type="dxa"/>
            <w:vAlign w:val="bottom"/>
            <w:shd w:val="clear" w:color="auto" w:fill="2AD2C9"/>
          </w:tcPr>
          <w:p>
            <w:pPr>
              <w:spacing w:after="0"/>
              <w:rPr>
                <w:sz w:val="13"/>
                <w:szCs w:val="13"/>
                <w:color w:val="auto"/>
              </w:rPr>
            </w:pPr>
          </w:p>
        </w:tc>
        <w:tc>
          <w:tcPr>
            <w:tcW w:w="220" w:type="dxa"/>
            <w:vAlign w:val="bottom"/>
            <w:tcBorders>
              <w:right w:val="single" w:sz="8" w:color="2AD2C9"/>
            </w:tcBorders>
            <w:shd w:val="clear" w:color="auto" w:fill="2AD2C9"/>
          </w:tcPr>
          <w:p>
            <w:pPr>
              <w:spacing w:after="0"/>
              <w:rPr>
                <w:sz w:val="13"/>
                <w:szCs w:val="13"/>
                <w:color w:val="auto"/>
              </w:rPr>
            </w:pPr>
          </w:p>
        </w:tc>
        <w:tc>
          <w:tcPr>
            <w:tcW w:w="800" w:type="dxa"/>
            <w:vAlign w:val="bottom"/>
            <w:shd w:val="clear" w:color="auto" w:fill="2AD2C9"/>
          </w:tcPr>
          <w:p>
            <w:pPr>
              <w:spacing w:after="0"/>
              <w:rPr>
                <w:sz w:val="13"/>
                <w:szCs w:val="13"/>
                <w:color w:val="auto"/>
              </w:rPr>
            </w:pPr>
          </w:p>
        </w:tc>
        <w:tc>
          <w:tcPr>
            <w:tcW w:w="820" w:type="dxa"/>
            <w:vAlign w:val="bottom"/>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As of</w:t>
            </w:r>
          </w:p>
        </w:tc>
        <w:tc>
          <w:tcPr>
            <w:tcW w:w="1100" w:type="dxa"/>
            <w:vAlign w:val="bottom"/>
            <w:tcBorders>
              <w:right w:val="single" w:sz="8" w:color="auto"/>
            </w:tcBorders>
            <w:shd w:val="clear" w:color="auto" w:fill="2AD2C9"/>
          </w:tcPr>
          <w:p>
            <w:pPr>
              <w:spacing w:after="0"/>
              <w:rPr>
                <w:sz w:val="13"/>
                <w:szCs w:val="13"/>
                <w:color w:val="auto"/>
              </w:rPr>
            </w:pPr>
          </w:p>
        </w:tc>
        <w:tc>
          <w:tcPr>
            <w:tcW w:w="100" w:type="dxa"/>
            <w:vAlign w:val="bottom"/>
            <w:tcBorders>
              <w:right w:val="single" w:sz="8" w:color="2AD2C9"/>
            </w:tcBorders>
            <w:shd w:val="clear" w:color="auto" w:fill="2AD2C9"/>
          </w:tcPr>
          <w:p>
            <w:pPr>
              <w:spacing w:after="0"/>
              <w:rPr>
                <w:sz w:val="13"/>
                <w:szCs w:val="13"/>
                <w:color w:val="auto"/>
              </w:rPr>
            </w:pPr>
          </w:p>
        </w:tc>
        <w:tc>
          <w:tcPr>
            <w:tcW w:w="1720" w:type="dxa"/>
            <w:vAlign w:val="bottom"/>
            <w:tcBorders>
              <w:right w:val="single" w:sz="8" w:color="auto"/>
            </w:tcBorders>
            <w:gridSpan w:val="2"/>
            <w:shd w:val="clear" w:color="auto" w:fill="2AD2C9"/>
          </w:tcPr>
          <w:p>
            <w:pPr>
              <w:jc w:val="right"/>
              <w:ind w:right="576"/>
              <w:spacing w:after="0"/>
              <w:rPr>
                <w:sz w:val="20"/>
                <w:szCs w:val="20"/>
                <w:color w:val="auto"/>
              </w:rPr>
            </w:pPr>
            <w:r>
              <w:rPr>
                <w:rFonts w:ascii="Arial" w:cs="Arial" w:eastAsia="Arial" w:hAnsi="Arial"/>
                <w:sz w:val="13"/>
                <w:szCs w:val="13"/>
                <w:b w:val="1"/>
                <w:bCs w:val="1"/>
                <w:color w:val="FFFFFF"/>
              </w:rPr>
              <w:t>% change</w:t>
            </w:r>
          </w:p>
        </w:tc>
        <w:tc>
          <w:tcPr>
            <w:tcW w:w="980" w:type="dxa"/>
            <w:vAlign w:val="bottom"/>
          </w:tcPr>
          <w:p>
            <w:pPr>
              <w:spacing w:after="0"/>
              <w:rPr>
                <w:sz w:val="13"/>
                <w:szCs w:val="13"/>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bottom w:val="single" w:sz="8" w:color="auto"/>
              <w:right w:val="single" w:sz="8" w:color="auto"/>
            </w:tcBorders>
            <w:shd w:val="clear" w:color="auto" w:fill="2AD2C9"/>
          </w:tcPr>
          <w:p>
            <w:pPr>
              <w:spacing w:after="0"/>
              <w:rPr>
                <w:sz w:val="14"/>
                <w:szCs w:val="14"/>
                <w:color w:val="auto"/>
              </w:rPr>
            </w:pPr>
          </w:p>
        </w:tc>
        <w:tc>
          <w:tcPr>
            <w:tcW w:w="80" w:type="dxa"/>
            <w:vAlign w:val="bottom"/>
            <w:tcBorders>
              <w:bottom w:val="single" w:sz="8" w:color="auto"/>
            </w:tcBorders>
            <w:shd w:val="clear" w:color="auto" w:fill="2AD2C9"/>
          </w:tcPr>
          <w:p>
            <w:pPr>
              <w:spacing w:after="0"/>
              <w:rPr>
                <w:sz w:val="14"/>
                <w:szCs w:val="14"/>
                <w:color w:val="auto"/>
              </w:rPr>
            </w:pPr>
          </w:p>
        </w:tc>
        <w:tc>
          <w:tcPr>
            <w:tcW w:w="220" w:type="dxa"/>
            <w:vAlign w:val="bottom"/>
            <w:tcBorders>
              <w:bottom w:val="single" w:sz="8" w:color="auto"/>
              <w:right w:val="single" w:sz="8" w:color="2AD2C9"/>
            </w:tcBorders>
            <w:shd w:val="clear" w:color="auto" w:fill="2AD2C9"/>
          </w:tcPr>
          <w:p>
            <w:pPr>
              <w:spacing w:after="0"/>
              <w:rPr>
                <w:sz w:val="14"/>
                <w:szCs w:val="14"/>
                <w:color w:val="auto"/>
              </w:rPr>
            </w:pPr>
          </w:p>
        </w:tc>
        <w:tc>
          <w:tcPr>
            <w:tcW w:w="800" w:type="dxa"/>
            <w:vAlign w:val="bottom"/>
            <w:tcBorders>
              <w:bottom w:val="single" w:sz="8" w:color="auto"/>
            </w:tcBorders>
            <w:shd w:val="clear" w:color="auto" w:fill="2AD2C9"/>
          </w:tcPr>
          <w:p>
            <w:pPr>
              <w:spacing w:after="0"/>
              <w:rPr>
                <w:sz w:val="20"/>
                <w:szCs w:val="20"/>
                <w:color w:val="auto"/>
              </w:rPr>
            </w:pPr>
            <w:r>
              <w:rPr>
                <w:rFonts w:ascii="Arial" w:cs="Arial" w:eastAsia="Arial" w:hAnsi="Arial"/>
                <w:sz w:val="13"/>
                <w:szCs w:val="13"/>
                <w:b w:val="1"/>
                <w:bCs w:val="1"/>
                <w:color w:val="FFFFFF"/>
              </w:rPr>
              <w:t>Mar 23</w:t>
            </w:r>
          </w:p>
        </w:tc>
        <w:tc>
          <w:tcPr>
            <w:tcW w:w="8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5"/>
              </w:rPr>
              <w:t>Dec 23</w:t>
            </w:r>
          </w:p>
        </w:tc>
        <w:tc>
          <w:tcPr>
            <w:tcW w:w="110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3"/>
                <w:szCs w:val="13"/>
                <w:b w:val="1"/>
                <w:bCs w:val="1"/>
                <w:color w:val="FFFFFF"/>
              </w:rPr>
              <w:t>Mar 24</w:t>
            </w:r>
          </w:p>
        </w:tc>
        <w:tc>
          <w:tcPr>
            <w:tcW w:w="100" w:type="dxa"/>
            <w:vAlign w:val="bottom"/>
            <w:tcBorders>
              <w:bottom w:val="single" w:sz="8" w:color="auto"/>
              <w:right w:val="single" w:sz="8" w:color="2AD2C9"/>
            </w:tcBorders>
            <w:shd w:val="clear" w:color="auto" w:fill="2AD2C9"/>
          </w:tcPr>
          <w:p>
            <w:pPr>
              <w:spacing w:after="0"/>
              <w:rPr>
                <w:sz w:val="14"/>
                <w:szCs w:val="14"/>
                <w:color w:val="auto"/>
              </w:rPr>
            </w:pPr>
          </w:p>
        </w:tc>
        <w:tc>
          <w:tcPr>
            <w:tcW w:w="800" w:type="dxa"/>
            <w:vAlign w:val="bottom"/>
            <w:tcBorders>
              <w:bottom w:val="single" w:sz="8" w:color="auto"/>
            </w:tcBorders>
            <w:shd w:val="clear" w:color="auto" w:fill="2AD2C9"/>
          </w:tcPr>
          <w:p>
            <w:pPr>
              <w:jc w:val="center"/>
              <w:ind w:right="77"/>
              <w:spacing w:after="0"/>
              <w:rPr>
                <w:sz w:val="20"/>
                <w:szCs w:val="20"/>
                <w:color w:val="auto"/>
              </w:rPr>
            </w:pPr>
            <w:r>
              <w:rPr>
                <w:rFonts w:ascii="Arial" w:cs="Arial" w:eastAsia="Arial" w:hAnsi="Arial"/>
                <w:sz w:val="13"/>
                <w:szCs w:val="13"/>
                <w:b w:val="1"/>
                <w:bCs w:val="1"/>
                <w:color w:val="FFFFFF"/>
                <w:w w:val="92"/>
              </w:rPr>
              <w:t>QoQ</w:t>
            </w:r>
          </w:p>
        </w:tc>
        <w:tc>
          <w:tcPr>
            <w:tcW w:w="920" w:type="dxa"/>
            <w:vAlign w:val="bottom"/>
            <w:tcBorders>
              <w:bottom w:val="single" w:sz="8" w:color="auto"/>
              <w:right w:val="single" w:sz="8" w:color="auto"/>
            </w:tcBorders>
            <w:shd w:val="clear" w:color="auto" w:fill="2AD2C9"/>
          </w:tcPr>
          <w:p>
            <w:pPr>
              <w:jc w:val="right"/>
              <w:ind w:right="316"/>
              <w:spacing w:after="0"/>
              <w:rPr>
                <w:sz w:val="20"/>
                <w:szCs w:val="20"/>
                <w:color w:val="auto"/>
              </w:rPr>
            </w:pPr>
            <w:r>
              <w:rPr>
                <w:rFonts w:ascii="Arial" w:cs="Arial" w:eastAsia="Arial" w:hAnsi="Arial"/>
                <w:sz w:val="13"/>
                <w:szCs w:val="13"/>
                <w:b w:val="1"/>
                <w:bCs w:val="1"/>
                <w:color w:val="FFFFFF"/>
              </w:rPr>
              <w:t>YoY</w:t>
            </w:r>
          </w:p>
        </w:tc>
        <w:tc>
          <w:tcPr>
            <w:tcW w:w="980" w:type="dxa"/>
            <w:vAlign w:val="bottom"/>
          </w:tcPr>
          <w:p>
            <w:pPr>
              <w:spacing w:after="0"/>
              <w:rPr>
                <w:sz w:val="14"/>
                <w:szCs w:val="14"/>
                <w:color w:val="auto"/>
              </w:rPr>
            </w:pPr>
          </w:p>
        </w:tc>
      </w:tr>
      <w:tr>
        <w:trPr>
          <w:trHeight w:val="151"/>
        </w:trPr>
        <w:tc>
          <w:tcPr>
            <w:tcW w:w="1040" w:type="dxa"/>
            <w:vAlign w:val="bottom"/>
            <w:tcBorders>
              <w:right w:val="single" w:sz="8" w:color="auto"/>
            </w:tcBorders>
          </w:tcPr>
          <w:p>
            <w:pPr>
              <w:spacing w:after="0"/>
              <w:rPr>
                <w:sz w:val="13"/>
                <w:szCs w:val="13"/>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ASSETS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3"/>
              </w:rPr>
              <w:t>131,218</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529,773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510,036</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9"/>
              </w:rPr>
              <w:t>-3.7%</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9"/>
              </w:rPr>
              <w:t>288.7%</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At fair value through profit or loss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3"/>
              </w:rPr>
              <w:t>949,378</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501,026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color w:val="auto"/>
                <w:w w:val="99"/>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Fair value through other comprehensive income investments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3"/>
              </w:rPr>
              <w:t>318,962</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1,418,293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1,427,450</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0.6%</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9"/>
              </w:rPr>
              <w:t>347.5%</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 subsidiaries and associates investments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8"/>
              </w:rPr>
              <w:t>35,207,564</w:t>
            </w: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36,150,565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37,392,797</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3.4%</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4"/>
              </w:rPr>
              <w:t>6.2%</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Held to maturity</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166,977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640,723</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5"/>
              </w:rPr>
              <w:t>283.7%</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980" w:type="dxa"/>
            <w:vAlign w:val="bottom"/>
          </w:tcPr>
          <w:p>
            <w:pPr>
              <w:spacing w:after="0"/>
              <w:rPr>
                <w:sz w:val="14"/>
                <w:szCs w:val="14"/>
                <w:color w:val="auto"/>
              </w:rPr>
            </w:pPr>
          </w:p>
        </w:tc>
      </w:tr>
      <w:tr>
        <w:trPr>
          <w:trHeight w:val="166"/>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rPr>
              <w:t>69,217</w:t>
            </w:r>
          </w:p>
        </w:tc>
        <w:tc>
          <w:tcPr>
            <w:tcW w:w="820" w:type="dxa"/>
            <w:vAlign w:val="bottom"/>
          </w:tcPr>
          <w:p>
            <w:pPr>
              <w:jc w:val="center"/>
              <w:ind w:right="17"/>
              <w:spacing w:after="0"/>
              <w:rPr>
                <w:sz w:val="20"/>
                <w:szCs w:val="20"/>
                <w:color w:val="auto"/>
              </w:rPr>
            </w:pPr>
            <w:r>
              <w:rPr>
                <w:rFonts w:ascii="Arial" w:cs="Arial" w:eastAsia="Arial" w:hAnsi="Arial"/>
                <w:sz w:val="13"/>
                <w:szCs w:val="13"/>
                <w:color w:val="auto"/>
                <w:w w:val="96"/>
              </w:rPr>
              <w:t>99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294,639</w:t>
            </w:r>
          </w:p>
        </w:tc>
        <w:tc>
          <w:tcPr>
            <w:tcW w:w="10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color w:val="auto"/>
                <w:w w:val="99"/>
              </w:rPr>
              <w:t>n.a</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9"/>
              </w:rPr>
              <w:t>325.7%</w:t>
            </w:r>
          </w:p>
        </w:tc>
        <w:tc>
          <w:tcPr>
            <w:tcW w:w="980" w:type="dxa"/>
            <w:vAlign w:val="bottom"/>
          </w:tcPr>
          <w:p>
            <w:pPr>
              <w:spacing w:after="0"/>
              <w:rPr>
                <w:sz w:val="14"/>
                <w:szCs w:val="14"/>
                <w:color w:val="auto"/>
              </w:rPr>
            </w:pPr>
          </w:p>
        </w:tc>
      </w:tr>
      <w:tr>
        <w:trPr>
          <w:trHeight w:val="330"/>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Assets</w:t>
            </w:r>
          </w:p>
        </w:tc>
        <w:tc>
          <w:tcPr>
            <w:tcW w:w="80" w:type="dxa"/>
            <w:vAlign w:val="bottom"/>
          </w:tcPr>
          <w:p>
            <w:pPr>
              <w:spacing w:after="0"/>
              <w:rPr>
                <w:sz w:val="24"/>
                <w:szCs w:val="2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b w:val="1"/>
                <w:bCs w:val="1"/>
                <w:color w:val="auto"/>
                <w:w w:val="98"/>
              </w:rPr>
              <w:t>36,676,339</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38,766,733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40,265,645</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3.9%</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4"/>
              </w:rPr>
              <w:t>9.8%</w:t>
            </w:r>
          </w:p>
        </w:tc>
        <w:tc>
          <w:tcPr>
            <w:tcW w:w="980" w:type="dxa"/>
            <w:vAlign w:val="bottom"/>
          </w:tcPr>
          <w:p>
            <w:pPr>
              <w:spacing w:after="0"/>
              <w:rPr>
                <w:sz w:val="24"/>
                <w:szCs w:val="24"/>
                <w:color w:val="auto"/>
              </w:rPr>
            </w:pPr>
          </w:p>
        </w:tc>
      </w:tr>
      <w:tr>
        <w:trPr>
          <w:trHeight w:val="314"/>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NET SHAREHOLDERS’ EQUITY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Due to banks, correspondents and other entities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30,866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color w:val="auto"/>
                <w:w w:val="99"/>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Dividends payable</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6"/>
              </w:rPr>
              <w:t>1,885,839</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1,798,858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1,816,584</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1.0%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4"/>
              </w:rPr>
              <w:t>-3.7%</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Bonds and notes issued</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3"/>
              </w:rPr>
              <w:t>267,558</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255,707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296,682</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2"/>
              </w:rPr>
              <w:t>16.0%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7"/>
              </w:rPr>
              <w:t>10.9%</w:t>
            </w:r>
          </w:p>
        </w:tc>
        <w:tc>
          <w:tcPr>
            <w:tcW w:w="980" w:type="dxa"/>
            <w:vAlign w:val="bottom"/>
          </w:tcPr>
          <w:p>
            <w:pPr>
              <w:spacing w:after="0"/>
              <w:rPr>
                <w:sz w:val="14"/>
                <w:szCs w:val="14"/>
                <w:color w:val="auto"/>
              </w:rPr>
            </w:pPr>
          </w:p>
        </w:tc>
      </w:tr>
      <w:tr>
        <w:trPr>
          <w:trHeight w:val="166"/>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4"/>
              </w:rPr>
              <w:t>0.0%</w:t>
            </w:r>
          </w:p>
        </w:tc>
        <w:tc>
          <w:tcPr>
            <w:tcW w:w="980" w:type="dxa"/>
            <w:vAlign w:val="bottom"/>
          </w:tcPr>
          <w:p>
            <w:pPr>
              <w:spacing w:after="0"/>
              <w:rPr>
                <w:sz w:val="14"/>
                <w:szCs w:val="14"/>
                <w:color w:val="auto"/>
              </w:rPr>
            </w:pPr>
          </w:p>
        </w:tc>
      </w:tr>
      <w:tr>
        <w:trPr>
          <w:trHeight w:val="330"/>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Liabilities</w:t>
            </w:r>
          </w:p>
        </w:tc>
        <w:tc>
          <w:tcPr>
            <w:tcW w:w="80" w:type="dxa"/>
            <w:vAlign w:val="bottom"/>
          </w:tcPr>
          <w:p>
            <w:pPr>
              <w:spacing w:after="0"/>
              <w:rPr>
                <w:sz w:val="24"/>
                <w:szCs w:val="2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b w:val="1"/>
                <w:bCs w:val="1"/>
                <w:color w:val="auto"/>
                <w:w w:val="96"/>
              </w:rPr>
              <w:t>2,153,397</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2,085,431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2,113,266</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1.3%</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4"/>
              </w:rPr>
              <w:t>-1.9%</w:t>
            </w:r>
          </w:p>
        </w:tc>
        <w:tc>
          <w:tcPr>
            <w:tcW w:w="980" w:type="dxa"/>
            <w:vAlign w:val="bottom"/>
          </w:tcPr>
          <w:p>
            <w:pPr>
              <w:spacing w:after="0"/>
              <w:rPr>
                <w:sz w:val="24"/>
                <w:szCs w:val="24"/>
                <w:color w:val="auto"/>
              </w:rPr>
            </w:pPr>
          </w:p>
        </w:tc>
      </w:tr>
      <w:tr>
        <w:trPr>
          <w:trHeight w:val="314"/>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Capital stock</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6"/>
              </w:rPr>
              <w:t>1,318,993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1,318,993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1,318,993</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4"/>
              </w:rPr>
              <w:t>0.0%</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Capital Surplus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3"/>
              </w:rPr>
              <w:t>384,542</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384,542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384,542</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4"/>
              </w:rPr>
              <w:t>0.0%</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Reserve</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8"/>
              </w:rPr>
              <w:t>23,300,350</w:t>
            </w: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25,905,526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25,910,975</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7"/>
              </w:rPr>
              <w:t>11.2%</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Unrealized results</w:t>
            </w:r>
          </w:p>
        </w:tc>
        <w:tc>
          <w:tcPr>
            <w:tcW w:w="80" w:type="dxa"/>
            <w:vAlign w:val="bottom"/>
          </w:tcPr>
          <w:p>
            <w:pPr>
              <w:spacing w:after="0"/>
              <w:rPr>
                <w:sz w:val="14"/>
                <w:szCs w:val="14"/>
                <w:color w:val="auto"/>
              </w:rPr>
            </w:pPr>
          </w:p>
        </w:tc>
        <w:tc>
          <w:tcPr>
            <w:tcW w:w="1020" w:type="dxa"/>
            <w:vAlign w:val="bottom"/>
            <w:gridSpan w:val="2"/>
          </w:tcPr>
          <w:p>
            <w:pPr>
              <w:jc w:val="center"/>
              <w:ind w:right="137"/>
              <w:spacing w:after="0"/>
              <w:rPr>
                <w:sz w:val="20"/>
                <w:szCs w:val="20"/>
                <w:color w:val="auto"/>
              </w:rPr>
            </w:pPr>
            <w:r>
              <w:rPr>
                <w:rFonts w:ascii="Arial" w:cs="Arial" w:eastAsia="Arial" w:hAnsi="Arial"/>
                <w:sz w:val="13"/>
                <w:szCs w:val="13"/>
                <w:color w:val="auto"/>
                <w:w w:val="96"/>
              </w:rPr>
              <w:t>(592,006)</w:t>
            </w:r>
          </w:p>
        </w:tc>
        <w:tc>
          <w:tcPr>
            <w:tcW w:w="820" w:type="dxa"/>
            <w:vAlign w:val="bottom"/>
          </w:tcPr>
          <w:p>
            <w:pPr>
              <w:jc w:val="center"/>
              <w:spacing w:after="0"/>
              <w:rPr>
                <w:sz w:val="20"/>
                <w:szCs w:val="20"/>
                <w:color w:val="auto"/>
              </w:rPr>
            </w:pPr>
            <w:r>
              <w:rPr>
                <w:rFonts w:ascii="Arial" w:cs="Arial" w:eastAsia="Arial" w:hAnsi="Arial"/>
                <w:sz w:val="13"/>
                <w:szCs w:val="13"/>
                <w:color w:val="auto"/>
              </w:rPr>
              <w:t>68,056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17,616</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7"/>
              </w:rPr>
              <w:t>-74.1%</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980" w:type="dxa"/>
            <w:vAlign w:val="bottom"/>
          </w:tcPr>
          <w:p>
            <w:pPr>
              <w:spacing w:after="0"/>
              <w:rPr>
                <w:sz w:val="14"/>
                <w:szCs w:val="14"/>
                <w:color w:val="auto"/>
              </w:rPr>
            </w:pPr>
          </w:p>
        </w:tc>
      </w:tr>
      <w:tr>
        <w:trPr>
          <w:trHeight w:val="166"/>
        </w:trPr>
        <w:tc>
          <w:tcPr>
            <w:tcW w:w="104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80" w:type="dxa"/>
            <w:vAlign w:val="bottom"/>
          </w:tcPr>
          <w:p>
            <w:pPr>
              <w:spacing w:after="0"/>
              <w:rPr>
                <w:sz w:val="14"/>
                <w:szCs w:val="1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color w:val="auto"/>
                <w:w w:val="92"/>
              </w:rPr>
              <w:t>10,111,063</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9,004,185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10,520,253</w:t>
            </w: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92"/>
              </w:rPr>
              <w:t>16.8%</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color w:val="auto"/>
                <w:w w:val="94"/>
              </w:rPr>
              <w:t>4.0%</w:t>
            </w:r>
          </w:p>
        </w:tc>
        <w:tc>
          <w:tcPr>
            <w:tcW w:w="980" w:type="dxa"/>
            <w:vAlign w:val="bottom"/>
          </w:tcPr>
          <w:p>
            <w:pPr>
              <w:spacing w:after="0"/>
              <w:rPr>
                <w:sz w:val="14"/>
                <w:szCs w:val="14"/>
                <w:color w:val="auto"/>
              </w:rPr>
            </w:pPr>
          </w:p>
        </w:tc>
      </w:tr>
      <w:tr>
        <w:trPr>
          <w:trHeight w:val="330"/>
        </w:trPr>
        <w:tc>
          <w:tcPr>
            <w:tcW w:w="104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net equity</w:t>
            </w:r>
          </w:p>
        </w:tc>
        <w:tc>
          <w:tcPr>
            <w:tcW w:w="80" w:type="dxa"/>
            <w:vAlign w:val="bottom"/>
          </w:tcPr>
          <w:p>
            <w:pPr>
              <w:spacing w:after="0"/>
              <w:rPr>
                <w:sz w:val="24"/>
                <w:szCs w:val="24"/>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b w:val="1"/>
                <w:bCs w:val="1"/>
                <w:color w:val="auto"/>
                <w:w w:val="98"/>
              </w:rPr>
              <w:t>34,522,942</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36,681,302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38,152,379</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4.0%</w:t>
            </w:r>
          </w:p>
        </w:tc>
        <w:tc>
          <w:tcPr>
            <w:tcW w:w="920" w:type="dxa"/>
            <w:vAlign w:val="bottom"/>
            <w:tcBorders>
              <w:right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7"/>
              </w:rPr>
              <w:t>10.5%</w:t>
            </w:r>
          </w:p>
        </w:tc>
        <w:tc>
          <w:tcPr>
            <w:tcW w:w="980" w:type="dxa"/>
            <w:vAlign w:val="bottom"/>
          </w:tcPr>
          <w:p>
            <w:pPr>
              <w:spacing w:after="0"/>
              <w:rPr>
                <w:sz w:val="24"/>
                <w:szCs w:val="24"/>
                <w:color w:val="auto"/>
              </w:rPr>
            </w:pPr>
          </w:p>
        </w:tc>
      </w:tr>
      <w:tr>
        <w:trPr>
          <w:trHeight w:val="319"/>
        </w:trPr>
        <w:tc>
          <w:tcPr>
            <w:tcW w:w="1040" w:type="dxa"/>
            <w:vAlign w:val="bottom"/>
            <w:tcBorders>
              <w:right w:val="single" w:sz="8" w:color="auto"/>
            </w:tcBorders>
          </w:tcPr>
          <w:p>
            <w:pPr>
              <w:spacing w:after="0"/>
              <w:rPr>
                <w:sz w:val="24"/>
                <w:szCs w:val="24"/>
                <w:color w:val="auto"/>
              </w:rPr>
            </w:pPr>
          </w:p>
        </w:tc>
        <w:tc>
          <w:tcPr>
            <w:tcW w:w="4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157"/>
              <w:spacing w:after="0"/>
              <w:rPr>
                <w:sz w:val="20"/>
                <w:szCs w:val="20"/>
                <w:color w:val="auto"/>
              </w:rPr>
            </w:pPr>
            <w:r>
              <w:rPr>
                <w:rFonts w:ascii="Arial" w:cs="Arial" w:eastAsia="Arial" w:hAnsi="Arial"/>
                <w:sz w:val="13"/>
                <w:szCs w:val="13"/>
                <w:b w:val="1"/>
                <w:bCs w:val="1"/>
                <w:color w:val="auto"/>
                <w:w w:val="98"/>
              </w:rPr>
              <w:t>36,676,339</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38,766,733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40,265,645</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3.9%</w:t>
            </w:r>
          </w:p>
        </w:tc>
        <w:tc>
          <w:tcPr>
            <w:tcW w:w="920" w:type="dxa"/>
            <w:vAlign w:val="bottom"/>
            <w:tcBorders>
              <w:bottom w:val="single" w:sz="8" w:color="auto"/>
              <w:right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4"/>
              </w:rPr>
              <w:t>9.8%</w:t>
            </w:r>
          </w:p>
        </w:tc>
        <w:tc>
          <w:tcPr>
            <w:tcW w:w="980" w:type="dxa"/>
            <w:vAlign w:val="bottom"/>
          </w:tcPr>
          <w:p>
            <w:pPr>
              <w:spacing w:after="0"/>
              <w:rPr>
                <w:sz w:val="24"/>
                <w:szCs w:val="24"/>
                <w:color w:val="auto"/>
              </w:rPr>
            </w:pPr>
          </w:p>
        </w:tc>
      </w:tr>
      <w:tr>
        <w:trPr>
          <w:trHeight w:val="371"/>
        </w:trPr>
        <w:tc>
          <w:tcPr>
            <w:tcW w:w="1040" w:type="dxa"/>
            <w:vAlign w:val="bottom"/>
          </w:tcPr>
          <w:p>
            <w:pPr>
              <w:spacing w:after="0"/>
              <w:rPr>
                <w:sz w:val="24"/>
                <w:szCs w:val="24"/>
                <w:color w:val="auto"/>
              </w:rPr>
            </w:pPr>
          </w:p>
        </w:tc>
        <w:tc>
          <w:tcPr>
            <w:tcW w:w="5480" w:type="dxa"/>
            <w:vAlign w:val="bottom"/>
            <w:gridSpan w:val="4"/>
          </w:tcPr>
          <w:p>
            <w:pPr>
              <w:ind w:left="3760"/>
              <w:spacing w:after="0"/>
              <w:rPr>
                <w:sz w:val="20"/>
                <w:szCs w:val="20"/>
                <w:color w:val="auto"/>
              </w:rPr>
            </w:pPr>
            <w:r>
              <w:rPr>
                <w:rFonts w:ascii="Arial" w:cs="Arial" w:eastAsia="Arial" w:hAnsi="Arial"/>
                <w:sz w:val="16"/>
                <w:szCs w:val="16"/>
                <w:b w:val="1"/>
                <w:bCs w:val="1"/>
                <w:color w:val="auto"/>
              </w:rPr>
              <w:t>Statement of Income</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5480" w:type="dxa"/>
            <w:vAlign w:val="bottom"/>
            <w:gridSpan w:val="4"/>
          </w:tcPr>
          <w:p>
            <w:pPr>
              <w:jc w:val="center"/>
              <w:ind w:left="3614"/>
              <w:spacing w:after="0"/>
              <w:rPr>
                <w:sz w:val="20"/>
                <w:szCs w:val="20"/>
                <w:color w:val="auto"/>
              </w:rPr>
            </w:pPr>
            <w:r>
              <w:rPr>
                <w:rFonts w:ascii="Arial" w:cs="Arial" w:eastAsia="Arial" w:hAnsi="Arial"/>
                <w:sz w:val="16"/>
                <w:szCs w:val="16"/>
                <w:b w:val="1"/>
                <w:bCs w:val="1"/>
                <w:color w:val="auto"/>
              </w:rPr>
              <w:t>(S/ Thousands, IFRS)</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3"/>
        </w:trPr>
        <w:tc>
          <w:tcPr>
            <w:tcW w:w="10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r>
      <w:tr>
        <w:trPr>
          <w:trHeight w:val="151"/>
        </w:trPr>
        <w:tc>
          <w:tcPr>
            <w:tcW w:w="10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0" w:type="dxa"/>
            <w:vAlign w:val="bottom"/>
            <w:tcBorders>
              <w:top w:val="single" w:sz="8" w:color="auto"/>
            </w:tcBorders>
            <w:shd w:val="clear" w:color="auto" w:fill="2AD2C9"/>
          </w:tcPr>
          <w:p>
            <w:pPr>
              <w:spacing w:after="0"/>
              <w:rPr>
                <w:sz w:val="13"/>
                <w:szCs w:val="13"/>
                <w:color w:val="auto"/>
              </w:rPr>
            </w:pPr>
          </w:p>
        </w:tc>
        <w:tc>
          <w:tcPr>
            <w:tcW w:w="820" w:type="dxa"/>
            <w:vAlign w:val="bottom"/>
            <w:tcBorders>
              <w:top w:val="single" w:sz="8" w:color="auto"/>
            </w:tcBorders>
            <w:shd w:val="clear" w:color="auto" w:fill="2AD2C9"/>
          </w:tcPr>
          <w:p>
            <w:pPr>
              <w:ind w:left="360"/>
              <w:spacing w:after="0"/>
              <w:rPr>
                <w:sz w:val="20"/>
                <w:szCs w:val="20"/>
                <w:color w:val="auto"/>
              </w:rPr>
            </w:pPr>
            <w:r>
              <w:rPr>
                <w:rFonts w:ascii="Arial" w:cs="Arial" w:eastAsia="Arial" w:hAnsi="Arial"/>
                <w:sz w:val="13"/>
                <w:szCs w:val="13"/>
                <w:b w:val="1"/>
                <w:bCs w:val="1"/>
                <w:color w:val="FFFFFF"/>
                <w:w w:val="93"/>
              </w:rPr>
              <w:t>Quarter</w:t>
            </w:r>
          </w:p>
        </w:tc>
        <w:tc>
          <w:tcPr>
            <w:tcW w:w="1100" w:type="dxa"/>
            <w:vAlign w:val="bottom"/>
            <w:tcBorders>
              <w:top w:val="single" w:sz="8" w:color="auto"/>
              <w:right w:val="single" w:sz="8" w:color="2AD2C9"/>
            </w:tcBorders>
            <w:shd w:val="clear" w:color="auto" w:fill="2AD2C9"/>
          </w:tcPr>
          <w:p>
            <w:pPr>
              <w:spacing w:after="0"/>
              <w:rPr>
                <w:sz w:val="13"/>
                <w:szCs w:val="13"/>
                <w:color w:val="auto"/>
              </w:rPr>
            </w:pPr>
          </w:p>
        </w:tc>
        <w:tc>
          <w:tcPr>
            <w:tcW w:w="100" w:type="dxa"/>
            <w:vAlign w:val="bottom"/>
            <w:tcBorders>
              <w:top w:val="single" w:sz="8" w:color="auto"/>
              <w:right w:val="single" w:sz="8" w:color="auto"/>
            </w:tcBorders>
            <w:shd w:val="clear" w:color="auto" w:fill="2AD2C9"/>
          </w:tcPr>
          <w:p>
            <w:pPr>
              <w:spacing w:after="0"/>
              <w:rPr>
                <w:sz w:val="13"/>
                <w:szCs w:val="13"/>
                <w:color w:val="auto"/>
              </w:rPr>
            </w:pPr>
          </w:p>
        </w:tc>
        <w:tc>
          <w:tcPr>
            <w:tcW w:w="1720" w:type="dxa"/>
            <w:vAlign w:val="bottom"/>
            <w:tcBorders>
              <w:top w:val="single" w:sz="8" w:color="auto"/>
              <w:right w:val="single" w:sz="8" w:color="auto"/>
            </w:tcBorders>
            <w:gridSpan w:val="2"/>
            <w:shd w:val="clear" w:color="auto" w:fill="2AD2C9"/>
          </w:tcPr>
          <w:p>
            <w:pPr>
              <w:jc w:val="right"/>
              <w:ind w:right="536"/>
              <w:spacing w:after="0"/>
              <w:rPr>
                <w:sz w:val="20"/>
                <w:szCs w:val="20"/>
                <w:color w:val="auto"/>
              </w:rPr>
            </w:pPr>
            <w:r>
              <w:rPr>
                <w:rFonts w:ascii="Arial" w:cs="Arial" w:eastAsia="Arial" w:hAnsi="Arial"/>
                <w:sz w:val="13"/>
                <w:szCs w:val="13"/>
                <w:b w:val="1"/>
                <w:bCs w:val="1"/>
                <w:color w:val="FFFFFF"/>
              </w:rPr>
              <w:t>% change</w:t>
            </w:r>
          </w:p>
        </w:tc>
        <w:tc>
          <w:tcPr>
            <w:tcW w:w="980" w:type="dxa"/>
            <w:vAlign w:val="bottom"/>
          </w:tcPr>
          <w:p>
            <w:pPr>
              <w:spacing w:after="0"/>
              <w:rPr>
                <w:sz w:val="13"/>
                <w:szCs w:val="13"/>
                <w:color w:val="auto"/>
              </w:rPr>
            </w:pPr>
          </w:p>
        </w:tc>
      </w:tr>
      <w:tr>
        <w:trPr>
          <w:trHeight w:val="166"/>
        </w:trPr>
        <w:tc>
          <w:tcPr>
            <w:tcW w:w="1040" w:type="dxa"/>
            <w:vAlign w:val="bottom"/>
          </w:tcPr>
          <w:p>
            <w:pPr>
              <w:spacing w:after="0"/>
              <w:rPr>
                <w:sz w:val="14"/>
                <w:szCs w:val="14"/>
                <w:color w:val="auto"/>
              </w:rPr>
            </w:pPr>
          </w:p>
        </w:tc>
        <w:tc>
          <w:tcPr>
            <w:tcW w:w="4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shd w:val="clear" w:color="auto" w:fill="2AD2C9"/>
          </w:tcPr>
          <w:p>
            <w:pPr>
              <w:jc w:val="center"/>
              <w:ind w:left="17"/>
              <w:spacing w:after="0"/>
              <w:rPr>
                <w:sz w:val="20"/>
                <w:szCs w:val="20"/>
                <w:color w:val="auto"/>
              </w:rPr>
            </w:pPr>
            <w:r>
              <w:rPr>
                <w:rFonts w:ascii="Arial" w:cs="Arial" w:eastAsia="Arial" w:hAnsi="Arial"/>
                <w:sz w:val="13"/>
                <w:szCs w:val="13"/>
                <w:b w:val="1"/>
                <w:bCs w:val="1"/>
                <w:color w:val="FFFFFF"/>
              </w:rPr>
              <w:t>1Q23</w:t>
            </w:r>
          </w:p>
        </w:tc>
        <w:tc>
          <w:tcPr>
            <w:tcW w:w="820" w:type="dxa"/>
            <w:vAlign w:val="bottom"/>
            <w:tcBorders>
              <w:bottom w:val="single" w:sz="8" w:color="auto"/>
            </w:tcBorders>
            <w:shd w:val="clear" w:color="auto" w:fill="2AD2C9"/>
          </w:tcPr>
          <w:p>
            <w:pPr>
              <w:jc w:val="center"/>
              <w:ind w:left="257"/>
              <w:spacing w:after="0"/>
              <w:rPr>
                <w:sz w:val="20"/>
                <w:szCs w:val="20"/>
                <w:color w:val="auto"/>
              </w:rPr>
            </w:pPr>
            <w:r>
              <w:rPr>
                <w:rFonts w:ascii="Arial" w:cs="Arial" w:eastAsia="Arial" w:hAnsi="Arial"/>
                <w:sz w:val="13"/>
                <w:szCs w:val="13"/>
                <w:b w:val="1"/>
                <w:bCs w:val="1"/>
                <w:color w:val="FFFFFF"/>
                <w:w w:val="94"/>
              </w:rPr>
              <w:t>4Q23</w:t>
            </w:r>
          </w:p>
        </w:tc>
        <w:tc>
          <w:tcPr>
            <w:tcW w:w="1100" w:type="dxa"/>
            <w:vAlign w:val="bottom"/>
            <w:tcBorders>
              <w:bottom w:val="single" w:sz="8" w:color="auto"/>
              <w:right w:val="single" w:sz="8" w:color="2AD2C9"/>
            </w:tcBorders>
            <w:shd w:val="clear" w:color="auto" w:fill="2AD2C9"/>
          </w:tcPr>
          <w:p>
            <w:pPr>
              <w:jc w:val="center"/>
              <w:ind w:left="236"/>
              <w:spacing w:after="0"/>
              <w:rPr>
                <w:sz w:val="20"/>
                <w:szCs w:val="20"/>
                <w:color w:val="auto"/>
              </w:rPr>
            </w:pPr>
            <w:r>
              <w:rPr>
                <w:rFonts w:ascii="Arial" w:cs="Arial" w:eastAsia="Arial" w:hAnsi="Arial"/>
                <w:sz w:val="13"/>
                <w:szCs w:val="13"/>
                <w:b w:val="1"/>
                <w:bCs w:val="1"/>
                <w:color w:val="FFFFFF"/>
              </w:rPr>
              <w:t>1Q24</w:t>
            </w:r>
          </w:p>
        </w:tc>
        <w:tc>
          <w:tcPr>
            <w:tcW w:w="100" w:type="dxa"/>
            <w:vAlign w:val="bottom"/>
            <w:tcBorders>
              <w:bottom w:val="single" w:sz="8" w:color="auto"/>
              <w:right w:val="single" w:sz="8" w:color="auto"/>
            </w:tcBorders>
            <w:shd w:val="clear" w:color="auto" w:fill="2AD2C9"/>
          </w:tcPr>
          <w:p>
            <w:pPr>
              <w:spacing w:after="0"/>
              <w:rPr>
                <w:sz w:val="14"/>
                <w:szCs w:val="14"/>
                <w:color w:val="auto"/>
              </w:rPr>
            </w:pP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YoY</w:t>
            </w:r>
          </w:p>
        </w:tc>
        <w:tc>
          <w:tcPr>
            <w:tcW w:w="980" w:type="dxa"/>
            <w:vAlign w:val="bottom"/>
          </w:tcPr>
          <w:p>
            <w:pPr>
              <w:spacing w:after="0"/>
              <w:rPr>
                <w:sz w:val="14"/>
                <w:szCs w:val="14"/>
                <w:color w:val="auto"/>
              </w:rPr>
            </w:pPr>
          </w:p>
        </w:tc>
      </w:tr>
      <w:tr>
        <w:trPr>
          <w:trHeight w:val="151"/>
        </w:trPr>
        <w:tc>
          <w:tcPr>
            <w:tcW w:w="1040" w:type="dxa"/>
            <w:vAlign w:val="bottom"/>
            <w:tcBorders>
              <w:right w:val="single" w:sz="8" w:color="auto"/>
            </w:tcBorders>
          </w:tcPr>
          <w:p>
            <w:pPr>
              <w:spacing w:after="0"/>
              <w:rPr>
                <w:sz w:val="13"/>
                <w:szCs w:val="13"/>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 income</w:t>
            </w:r>
          </w:p>
        </w:tc>
        <w:tc>
          <w:tcPr>
            <w:tcW w:w="2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share of the income from investments in subsidiaries and associates</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6"/>
              </w:rPr>
              <w:t>1,439,211</w:t>
            </w:r>
          </w:p>
        </w:tc>
        <w:tc>
          <w:tcPr>
            <w:tcW w:w="820" w:type="dxa"/>
            <w:vAlign w:val="bottom"/>
          </w:tcPr>
          <w:p>
            <w:pPr>
              <w:jc w:val="center"/>
              <w:ind w:left="257"/>
              <w:spacing w:after="0"/>
              <w:rPr>
                <w:sz w:val="20"/>
                <w:szCs w:val="20"/>
                <w:color w:val="auto"/>
              </w:rPr>
            </w:pPr>
            <w:r>
              <w:rPr>
                <w:rFonts w:ascii="Arial" w:cs="Arial" w:eastAsia="Arial" w:hAnsi="Arial"/>
                <w:sz w:val="13"/>
                <w:szCs w:val="13"/>
                <w:color w:val="auto"/>
                <w:w w:val="97"/>
              </w:rPr>
              <w:t>906,901</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w w:val="96"/>
              </w:rPr>
              <w:t>1,557,394</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71.7%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8.2%</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Interest and similar income</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2"/>
              </w:rPr>
              <w:t>300</w:t>
            </w:r>
          </w:p>
        </w:tc>
        <w:tc>
          <w:tcPr>
            <w:tcW w:w="820" w:type="dxa"/>
            <w:vAlign w:val="bottom"/>
          </w:tcPr>
          <w:p>
            <w:pPr>
              <w:jc w:val="center"/>
              <w:ind w:left="277"/>
              <w:spacing w:after="0"/>
              <w:rPr>
                <w:sz w:val="20"/>
                <w:szCs w:val="20"/>
                <w:color w:val="auto"/>
              </w:rPr>
            </w:pPr>
            <w:r>
              <w:rPr>
                <w:rFonts w:ascii="Arial" w:cs="Arial" w:eastAsia="Arial" w:hAnsi="Arial"/>
                <w:sz w:val="13"/>
                <w:szCs w:val="13"/>
                <w:color w:val="auto"/>
                <w:w w:val="98"/>
              </w:rPr>
              <w:t>1,170</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rPr>
              <w:t>18,725</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920" w:type="dxa"/>
            <w:vAlign w:val="bottom"/>
            <w:tcBorders>
              <w:right w:val="single" w:sz="8" w:color="auto"/>
            </w:tcBorders>
          </w:tcPr>
          <w:p>
            <w:pPr>
              <w:jc w:val="right"/>
              <w:ind w:right="316"/>
              <w:spacing w:after="0"/>
              <w:rPr>
                <w:sz w:val="20"/>
                <w:szCs w:val="20"/>
                <w:color w:val="auto"/>
              </w:rPr>
            </w:pPr>
            <w:r>
              <w:rPr>
                <w:rFonts w:ascii="Arial" w:cs="Arial" w:eastAsia="Arial" w:hAnsi="Arial"/>
                <w:sz w:val="13"/>
                <w:szCs w:val="13"/>
                <w:color w:val="auto"/>
              </w:rPr>
              <w:t>n.a</w:t>
            </w:r>
          </w:p>
        </w:tc>
        <w:tc>
          <w:tcPr>
            <w:tcW w:w="980" w:type="dxa"/>
            <w:vAlign w:val="bottom"/>
          </w:tcPr>
          <w:p>
            <w:pPr>
              <w:spacing w:after="0"/>
              <w:rPr>
                <w:sz w:val="14"/>
                <w:szCs w:val="1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gain on financial assets at fair value through profit or loss</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8"/>
              </w:rPr>
              <w:t>3,759</w:t>
            </w:r>
          </w:p>
        </w:tc>
        <w:tc>
          <w:tcPr>
            <w:tcW w:w="820" w:type="dxa"/>
            <w:vAlign w:val="bottom"/>
          </w:tcPr>
          <w:p>
            <w:pPr>
              <w:jc w:val="center"/>
              <w:ind w:left="257"/>
              <w:spacing w:after="0"/>
              <w:rPr>
                <w:sz w:val="20"/>
                <w:szCs w:val="20"/>
                <w:color w:val="auto"/>
              </w:rPr>
            </w:pPr>
            <w:r>
              <w:rPr>
                <w:rFonts w:ascii="Arial" w:cs="Arial" w:eastAsia="Arial" w:hAnsi="Arial"/>
                <w:sz w:val="13"/>
                <w:szCs w:val="13"/>
                <w:color w:val="auto"/>
                <w:w w:val="95"/>
              </w:rPr>
              <w:t>32,430</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w w:val="98"/>
              </w:rPr>
              <w:t>1,234</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-96.2%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-67.2%</w:t>
            </w:r>
          </w:p>
        </w:tc>
        <w:tc>
          <w:tcPr>
            <w:tcW w:w="980" w:type="dxa"/>
            <w:vAlign w:val="bottom"/>
          </w:tcPr>
          <w:p>
            <w:pPr>
              <w:spacing w:after="0"/>
              <w:rPr>
                <w:sz w:val="14"/>
                <w:szCs w:val="14"/>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income</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1,443,270</w:t>
            </w:r>
          </w:p>
        </w:tc>
        <w:tc>
          <w:tcPr>
            <w:tcW w:w="820" w:type="dxa"/>
            <w:vAlign w:val="bottom"/>
          </w:tcPr>
          <w:p>
            <w:pPr>
              <w:jc w:val="center"/>
              <w:ind w:left="257"/>
              <w:spacing w:after="0"/>
              <w:rPr>
                <w:sz w:val="20"/>
                <w:szCs w:val="20"/>
                <w:color w:val="auto"/>
              </w:rPr>
            </w:pPr>
            <w:r>
              <w:rPr>
                <w:rFonts w:ascii="Arial" w:cs="Arial" w:eastAsia="Arial" w:hAnsi="Arial"/>
                <w:sz w:val="13"/>
                <w:szCs w:val="13"/>
                <w:b w:val="1"/>
                <w:bCs w:val="1"/>
                <w:color w:val="auto"/>
                <w:w w:val="97"/>
              </w:rPr>
              <w:t>940,501</w:t>
            </w:r>
          </w:p>
        </w:tc>
        <w:tc>
          <w:tcPr>
            <w:tcW w:w="11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1,577,353</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67.7%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9.3%</w:t>
            </w:r>
          </w:p>
        </w:tc>
        <w:tc>
          <w:tcPr>
            <w:tcW w:w="980" w:type="dxa"/>
            <w:vAlign w:val="bottom"/>
          </w:tcPr>
          <w:p>
            <w:pPr>
              <w:spacing w:after="0"/>
              <w:rPr>
                <w:sz w:val="14"/>
                <w:szCs w:val="14"/>
                <w:color w:val="auto"/>
              </w:rPr>
            </w:pPr>
          </w:p>
        </w:tc>
      </w:tr>
      <w:tr>
        <w:trPr>
          <w:trHeight w:val="314"/>
        </w:trPr>
        <w:tc>
          <w:tcPr>
            <w:tcW w:w="1040" w:type="dxa"/>
            <w:vAlign w:val="bottom"/>
            <w:tcBorders>
              <w:right w:val="single" w:sz="8" w:color="auto"/>
            </w:tcBorders>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Interest and similar expense</w:t>
            </w:r>
          </w:p>
        </w:tc>
        <w:tc>
          <w:tcPr>
            <w:tcW w:w="220" w:type="dxa"/>
            <w:vAlign w:val="bottom"/>
            <w:tcBorders>
              <w:right w:val="single" w:sz="8" w:color="auto"/>
            </w:tcBorders>
          </w:tcPr>
          <w:p>
            <w:pPr>
              <w:spacing w:after="0"/>
              <w:rPr>
                <w:sz w:val="24"/>
                <w:szCs w:val="2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9"/>
              </w:rPr>
              <w:t>(13,796)</w:t>
            </w:r>
          </w:p>
        </w:tc>
        <w:tc>
          <w:tcPr>
            <w:tcW w:w="820" w:type="dxa"/>
            <w:vAlign w:val="bottom"/>
          </w:tcPr>
          <w:p>
            <w:pPr>
              <w:jc w:val="center"/>
              <w:ind w:left="277"/>
              <w:spacing w:after="0"/>
              <w:rPr>
                <w:sz w:val="20"/>
                <w:szCs w:val="20"/>
                <w:color w:val="auto"/>
              </w:rPr>
            </w:pPr>
            <w:r>
              <w:rPr>
                <w:rFonts w:ascii="Arial" w:cs="Arial" w:eastAsia="Arial" w:hAnsi="Arial"/>
                <w:sz w:val="13"/>
                <w:szCs w:val="13"/>
                <w:color w:val="auto"/>
                <w:w w:val="99"/>
              </w:rPr>
              <w:t>(14,444)</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w w:val="99"/>
              </w:rPr>
              <w:t>(13,565)</w:t>
            </w:r>
          </w:p>
        </w:tc>
        <w:tc>
          <w:tcPr>
            <w:tcW w:w="100" w:type="dxa"/>
            <w:vAlign w:val="bottom"/>
            <w:tcBorders>
              <w:right w:val="single" w:sz="8" w:color="auto"/>
            </w:tcBorders>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-6.1%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-1.7%</w:t>
            </w:r>
          </w:p>
        </w:tc>
        <w:tc>
          <w:tcPr>
            <w:tcW w:w="980" w:type="dxa"/>
            <w:vAlign w:val="bottom"/>
          </w:tcPr>
          <w:p>
            <w:pPr>
              <w:spacing w:after="0"/>
              <w:rPr>
                <w:sz w:val="24"/>
                <w:szCs w:val="2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Administrative and general expenses</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7"/>
              </w:rPr>
              <w:t>(4,407)</w:t>
            </w:r>
          </w:p>
        </w:tc>
        <w:tc>
          <w:tcPr>
            <w:tcW w:w="820" w:type="dxa"/>
            <w:vAlign w:val="bottom"/>
          </w:tcPr>
          <w:p>
            <w:pPr>
              <w:jc w:val="center"/>
              <w:ind w:left="277"/>
              <w:spacing w:after="0"/>
              <w:rPr>
                <w:sz w:val="20"/>
                <w:szCs w:val="20"/>
                <w:color w:val="auto"/>
              </w:rPr>
            </w:pPr>
            <w:r>
              <w:rPr>
                <w:rFonts w:ascii="Arial" w:cs="Arial" w:eastAsia="Arial" w:hAnsi="Arial"/>
                <w:sz w:val="13"/>
                <w:szCs w:val="13"/>
                <w:color w:val="auto"/>
                <w:w w:val="97"/>
              </w:rPr>
              <w:t>(9,274)</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w w:val="97"/>
              </w:rPr>
              <w:t>(4,802)</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-48.2%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9.0%</w:t>
            </w:r>
          </w:p>
        </w:tc>
        <w:tc>
          <w:tcPr>
            <w:tcW w:w="980" w:type="dxa"/>
            <w:vAlign w:val="bottom"/>
          </w:tcPr>
          <w:p>
            <w:pPr>
              <w:spacing w:after="0"/>
              <w:rPr>
                <w:sz w:val="14"/>
                <w:szCs w:val="14"/>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expenses</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b w:val="1"/>
                <w:bCs w:val="1"/>
                <w:color w:val="auto"/>
                <w:w w:val="99"/>
              </w:rPr>
              <w:t>(18,203)</w:t>
            </w:r>
          </w:p>
        </w:tc>
        <w:tc>
          <w:tcPr>
            <w:tcW w:w="820" w:type="dxa"/>
            <w:vAlign w:val="bottom"/>
          </w:tcPr>
          <w:p>
            <w:pPr>
              <w:jc w:val="center"/>
              <w:ind w:left="277"/>
              <w:spacing w:after="0"/>
              <w:rPr>
                <w:sz w:val="20"/>
                <w:szCs w:val="20"/>
                <w:color w:val="auto"/>
              </w:rPr>
            </w:pPr>
            <w:r>
              <w:rPr>
                <w:rFonts w:ascii="Arial" w:cs="Arial" w:eastAsia="Arial" w:hAnsi="Arial"/>
                <w:sz w:val="13"/>
                <w:szCs w:val="13"/>
                <w:b w:val="1"/>
                <w:bCs w:val="1"/>
                <w:color w:val="auto"/>
                <w:w w:val="99"/>
              </w:rPr>
              <w:t>(23,718)</w:t>
            </w:r>
          </w:p>
        </w:tc>
        <w:tc>
          <w:tcPr>
            <w:tcW w:w="1100" w:type="dxa"/>
            <w:vAlign w:val="bottom"/>
          </w:tcPr>
          <w:p>
            <w:pPr>
              <w:jc w:val="center"/>
              <w:ind w:left="236"/>
              <w:spacing w:after="0"/>
              <w:rPr>
                <w:sz w:val="20"/>
                <w:szCs w:val="20"/>
                <w:color w:val="auto"/>
              </w:rPr>
            </w:pPr>
            <w:r>
              <w:rPr>
                <w:rFonts w:ascii="Arial" w:cs="Arial" w:eastAsia="Arial" w:hAnsi="Arial"/>
                <w:sz w:val="13"/>
                <w:szCs w:val="13"/>
                <w:b w:val="1"/>
                <w:bCs w:val="1"/>
                <w:color w:val="auto"/>
                <w:w w:val="99"/>
              </w:rPr>
              <w:t>(18,367)</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-22.6%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0.9%</w:t>
            </w:r>
          </w:p>
        </w:tc>
        <w:tc>
          <w:tcPr>
            <w:tcW w:w="980" w:type="dxa"/>
            <w:vAlign w:val="bottom"/>
          </w:tcPr>
          <w:p>
            <w:pPr>
              <w:spacing w:after="0"/>
              <w:rPr>
                <w:sz w:val="14"/>
                <w:szCs w:val="14"/>
                <w:color w:val="auto"/>
              </w:rPr>
            </w:pPr>
          </w:p>
        </w:tc>
      </w:tr>
      <w:tr>
        <w:trPr>
          <w:trHeight w:val="324"/>
        </w:trPr>
        <w:tc>
          <w:tcPr>
            <w:tcW w:w="1040" w:type="dxa"/>
            <w:vAlign w:val="bottom"/>
            <w:tcBorders>
              <w:right w:val="single" w:sz="8" w:color="auto"/>
            </w:tcBorders>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 income</w:t>
            </w:r>
          </w:p>
        </w:tc>
        <w:tc>
          <w:tcPr>
            <w:tcW w:w="220" w:type="dxa"/>
            <w:vAlign w:val="bottom"/>
            <w:tcBorders>
              <w:right w:val="single" w:sz="8" w:color="auto"/>
            </w:tcBorders>
          </w:tcPr>
          <w:p>
            <w:pPr>
              <w:spacing w:after="0"/>
              <w:rPr>
                <w:sz w:val="24"/>
                <w:szCs w:val="2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1,425,067</w:t>
            </w:r>
          </w:p>
        </w:tc>
        <w:tc>
          <w:tcPr>
            <w:tcW w:w="820" w:type="dxa"/>
            <w:vAlign w:val="bottom"/>
          </w:tcPr>
          <w:p>
            <w:pPr>
              <w:jc w:val="center"/>
              <w:ind w:left="257"/>
              <w:spacing w:after="0"/>
              <w:rPr>
                <w:sz w:val="20"/>
                <w:szCs w:val="20"/>
                <w:color w:val="auto"/>
              </w:rPr>
            </w:pPr>
            <w:r>
              <w:rPr>
                <w:rFonts w:ascii="Arial" w:cs="Arial" w:eastAsia="Arial" w:hAnsi="Arial"/>
                <w:sz w:val="13"/>
                <w:szCs w:val="13"/>
                <w:b w:val="1"/>
                <w:bCs w:val="1"/>
                <w:color w:val="auto"/>
                <w:w w:val="97"/>
              </w:rPr>
              <w:t>916,783</w:t>
            </w:r>
          </w:p>
        </w:tc>
        <w:tc>
          <w:tcPr>
            <w:tcW w:w="11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1,558,986</w:t>
            </w:r>
          </w:p>
        </w:tc>
        <w:tc>
          <w:tcPr>
            <w:tcW w:w="100" w:type="dxa"/>
            <w:vAlign w:val="bottom"/>
            <w:tcBorders>
              <w:right w:val="single" w:sz="8" w:color="auto"/>
            </w:tcBorders>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70.0%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9.4%</w:t>
            </w:r>
          </w:p>
        </w:tc>
        <w:tc>
          <w:tcPr>
            <w:tcW w:w="980" w:type="dxa"/>
            <w:vAlign w:val="bottom"/>
          </w:tcPr>
          <w:p>
            <w:pPr>
              <w:spacing w:after="0"/>
              <w:rPr>
                <w:sz w:val="24"/>
                <w:szCs w:val="24"/>
                <w:color w:val="auto"/>
              </w:rPr>
            </w:pPr>
          </w:p>
        </w:tc>
      </w:tr>
      <w:tr>
        <w:trPr>
          <w:trHeight w:val="314"/>
        </w:trPr>
        <w:tc>
          <w:tcPr>
            <w:tcW w:w="1040" w:type="dxa"/>
            <w:vAlign w:val="bottom"/>
            <w:tcBorders>
              <w:right w:val="single" w:sz="8" w:color="auto"/>
            </w:tcBorders>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gain (losses) from exchange differences</w:t>
            </w:r>
          </w:p>
        </w:tc>
        <w:tc>
          <w:tcPr>
            <w:tcW w:w="220" w:type="dxa"/>
            <w:vAlign w:val="bottom"/>
            <w:tcBorders>
              <w:right w:val="single" w:sz="8" w:color="auto"/>
            </w:tcBorders>
          </w:tcPr>
          <w:p>
            <w:pPr>
              <w:spacing w:after="0"/>
              <w:rPr>
                <w:sz w:val="24"/>
                <w:szCs w:val="2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2"/>
              </w:rPr>
              <w:t>(158)</w:t>
            </w:r>
          </w:p>
        </w:tc>
        <w:tc>
          <w:tcPr>
            <w:tcW w:w="820" w:type="dxa"/>
            <w:vAlign w:val="bottom"/>
          </w:tcPr>
          <w:p>
            <w:pPr>
              <w:jc w:val="center"/>
              <w:ind w:left="277"/>
              <w:spacing w:after="0"/>
              <w:rPr>
                <w:sz w:val="20"/>
                <w:szCs w:val="20"/>
                <w:color w:val="auto"/>
              </w:rPr>
            </w:pPr>
            <w:r>
              <w:rPr>
                <w:rFonts w:ascii="Arial" w:cs="Arial" w:eastAsia="Arial" w:hAnsi="Arial"/>
                <w:sz w:val="13"/>
                <w:szCs w:val="13"/>
                <w:color w:val="auto"/>
                <w:w w:val="92"/>
              </w:rPr>
              <w:t>510</w:t>
            </w:r>
          </w:p>
        </w:tc>
        <w:tc>
          <w:tcPr>
            <w:tcW w:w="1100" w:type="dxa"/>
            <w:vAlign w:val="bottom"/>
          </w:tcPr>
          <w:p>
            <w:pPr>
              <w:jc w:val="center"/>
              <w:ind w:left="256"/>
              <w:spacing w:after="0"/>
              <w:rPr>
                <w:sz w:val="20"/>
                <w:szCs w:val="20"/>
                <w:color w:val="auto"/>
              </w:rPr>
            </w:pPr>
            <w:r>
              <w:rPr>
                <w:rFonts w:ascii="Arial" w:cs="Arial" w:eastAsia="Arial" w:hAnsi="Arial"/>
                <w:sz w:val="13"/>
                <w:szCs w:val="13"/>
                <w:color w:val="auto"/>
                <w:w w:val="96"/>
              </w:rPr>
              <w:t>93</w:t>
            </w:r>
          </w:p>
        </w:tc>
        <w:tc>
          <w:tcPr>
            <w:tcW w:w="100" w:type="dxa"/>
            <w:vAlign w:val="bottom"/>
            <w:tcBorders>
              <w:right w:val="single" w:sz="8" w:color="auto"/>
            </w:tcBorders>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-81.8%</w:t>
            </w:r>
          </w:p>
        </w:tc>
        <w:tc>
          <w:tcPr>
            <w:tcW w:w="920" w:type="dxa"/>
            <w:vAlign w:val="bottom"/>
            <w:tcBorders>
              <w:right w:val="single" w:sz="8" w:color="auto"/>
            </w:tcBorders>
          </w:tcPr>
          <w:p>
            <w:pPr>
              <w:jc w:val="right"/>
              <w:ind w:right="316"/>
              <w:spacing w:after="0"/>
              <w:rPr>
                <w:sz w:val="20"/>
                <w:szCs w:val="20"/>
                <w:color w:val="auto"/>
              </w:rPr>
            </w:pPr>
            <w:r>
              <w:rPr>
                <w:rFonts w:ascii="Arial" w:cs="Arial" w:eastAsia="Arial" w:hAnsi="Arial"/>
                <w:sz w:val="13"/>
                <w:szCs w:val="13"/>
                <w:color w:val="auto"/>
              </w:rPr>
              <w:t>n.a</w:t>
            </w:r>
          </w:p>
        </w:tc>
        <w:tc>
          <w:tcPr>
            <w:tcW w:w="980" w:type="dxa"/>
            <w:vAlign w:val="bottom"/>
          </w:tcPr>
          <w:p>
            <w:pPr>
              <w:spacing w:after="0"/>
              <w:rPr>
                <w:sz w:val="24"/>
                <w:szCs w:val="24"/>
                <w:color w:val="auto"/>
              </w:rPr>
            </w:pPr>
          </w:p>
        </w:tc>
      </w:tr>
      <w:tr>
        <w:trPr>
          <w:trHeight w:val="166"/>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Other, net</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2"/>
              </w:rPr>
              <w:t>102</w:t>
            </w:r>
          </w:p>
        </w:tc>
        <w:tc>
          <w:tcPr>
            <w:tcW w:w="820" w:type="dxa"/>
            <w:vAlign w:val="bottom"/>
          </w:tcPr>
          <w:p>
            <w:pPr>
              <w:jc w:val="center"/>
              <w:ind w:left="277"/>
              <w:spacing w:after="0"/>
              <w:rPr>
                <w:sz w:val="20"/>
                <w:szCs w:val="20"/>
                <w:color w:val="auto"/>
              </w:rPr>
            </w:pPr>
            <w:r>
              <w:rPr>
                <w:rFonts w:ascii="Arial" w:cs="Arial" w:eastAsia="Arial" w:hAnsi="Arial"/>
                <w:sz w:val="13"/>
                <w:szCs w:val="13"/>
                <w:color w:val="auto"/>
                <w:w w:val="92"/>
              </w:rPr>
              <w:t>111</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w w:val="92"/>
              </w:rPr>
              <w:t>111</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8.8%</w:t>
            </w:r>
          </w:p>
        </w:tc>
        <w:tc>
          <w:tcPr>
            <w:tcW w:w="980" w:type="dxa"/>
            <w:vAlign w:val="bottom"/>
          </w:tcPr>
          <w:p>
            <w:pPr>
              <w:spacing w:after="0"/>
              <w:rPr>
                <w:sz w:val="14"/>
                <w:szCs w:val="14"/>
                <w:color w:val="auto"/>
              </w:rPr>
            </w:pPr>
          </w:p>
        </w:tc>
      </w:tr>
      <w:tr>
        <w:trPr>
          <w:trHeight w:val="320"/>
        </w:trPr>
        <w:tc>
          <w:tcPr>
            <w:tcW w:w="1040" w:type="dxa"/>
            <w:vAlign w:val="bottom"/>
            <w:tcBorders>
              <w:right w:val="single" w:sz="8" w:color="auto"/>
            </w:tcBorders>
          </w:tcPr>
          <w:p>
            <w:pPr>
              <w:spacing w:after="0"/>
              <w:rPr>
                <w:sz w:val="24"/>
                <w:szCs w:val="2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220" w:type="dxa"/>
            <w:vAlign w:val="bottom"/>
            <w:tcBorders>
              <w:right w:val="single" w:sz="8" w:color="auto"/>
            </w:tcBorders>
          </w:tcPr>
          <w:p>
            <w:pPr>
              <w:spacing w:after="0"/>
              <w:rPr>
                <w:sz w:val="24"/>
                <w:szCs w:val="2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1,425,011</w:t>
            </w:r>
          </w:p>
        </w:tc>
        <w:tc>
          <w:tcPr>
            <w:tcW w:w="820" w:type="dxa"/>
            <w:vAlign w:val="bottom"/>
          </w:tcPr>
          <w:p>
            <w:pPr>
              <w:jc w:val="center"/>
              <w:ind w:left="257"/>
              <w:spacing w:after="0"/>
              <w:rPr>
                <w:sz w:val="20"/>
                <w:szCs w:val="20"/>
                <w:color w:val="auto"/>
              </w:rPr>
            </w:pPr>
            <w:r>
              <w:rPr>
                <w:rFonts w:ascii="Arial" w:cs="Arial" w:eastAsia="Arial" w:hAnsi="Arial"/>
                <w:sz w:val="13"/>
                <w:szCs w:val="13"/>
                <w:b w:val="1"/>
                <w:bCs w:val="1"/>
                <w:color w:val="auto"/>
                <w:w w:val="97"/>
              </w:rPr>
              <w:t>917,404</w:t>
            </w:r>
          </w:p>
        </w:tc>
        <w:tc>
          <w:tcPr>
            <w:tcW w:w="1100" w:type="dxa"/>
            <w:vAlign w:val="bottom"/>
          </w:tcPr>
          <w:p>
            <w:pPr>
              <w:jc w:val="center"/>
              <w:ind w:left="236"/>
              <w:spacing w:after="0"/>
              <w:rPr>
                <w:sz w:val="20"/>
                <w:szCs w:val="20"/>
                <w:color w:val="auto"/>
              </w:rPr>
            </w:pPr>
            <w:r>
              <w:rPr>
                <w:rFonts w:ascii="Arial" w:cs="Arial" w:eastAsia="Arial" w:hAnsi="Arial"/>
                <w:sz w:val="13"/>
                <w:szCs w:val="13"/>
                <w:b w:val="1"/>
                <w:bCs w:val="1"/>
                <w:color w:val="auto"/>
                <w:w w:val="96"/>
              </w:rPr>
              <w:t>1,559,190</w:t>
            </w:r>
          </w:p>
        </w:tc>
        <w:tc>
          <w:tcPr>
            <w:tcW w:w="100" w:type="dxa"/>
            <w:vAlign w:val="bottom"/>
            <w:tcBorders>
              <w:right w:val="single" w:sz="8" w:color="auto"/>
            </w:tcBorders>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70.0%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9.4%</w:t>
            </w:r>
          </w:p>
        </w:tc>
        <w:tc>
          <w:tcPr>
            <w:tcW w:w="980" w:type="dxa"/>
            <w:vAlign w:val="bottom"/>
          </w:tcPr>
          <w:p>
            <w:pPr>
              <w:spacing w:after="0"/>
              <w:rPr>
                <w:sz w:val="24"/>
                <w:szCs w:val="24"/>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Income tax</w:t>
            </w:r>
          </w:p>
        </w:tc>
        <w:tc>
          <w:tcPr>
            <w:tcW w:w="220" w:type="dxa"/>
            <w:vAlign w:val="bottom"/>
            <w:tcBorders>
              <w:right w:val="single" w:sz="8" w:color="auto"/>
            </w:tcBorders>
          </w:tcPr>
          <w:p>
            <w:pPr>
              <w:spacing w:after="0"/>
              <w:rPr>
                <w:sz w:val="14"/>
                <w:szCs w:val="14"/>
                <w:color w:val="auto"/>
              </w:rPr>
            </w:pPr>
          </w:p>
        </w:tc>
        <w:tc>
          <w:tcPr>
            <w:tcW w:w="800" w:type="dxa"/>
            <w:vAlign w:val="bottom"/>
          </w:tcPr>
          <w:p>
            <w:pPr>
              <w:jc w:val="center"/>
              <w:ind w:left="17"/>
              <w:spacing w:after="0"/>
              <w:rPr>
                <w:sz w:val="20"/>
                <w:szCs w:val="20"/>
                <w:color w:val="auto"/>
              </w:rPr>
            </w:pPr>
            <w:r>
              <w:rPr>
                <w:rFonts w:ascii="Arial" w:cs="Arial" w:eastAsia="Arial" w:hAnsi="Arial"/>
                <w:sz w:val="13"/>
                <w:szCs w:val="13"/>
                <w:color w:val="auto"/>
                <w:w w:val="99"/>
              </w:rPr>
              <w:t>(46,795)</w:t>
            </w:r>
          </w:p>
        </w:tc>
        <w:tc>
          <w:tcPr>
            <w:tcW w:w="820" w:type="dxa"/>
            <w:vAlign w:val="bottom"/>
          </w:tcPr>
          <w:p>
            <w:pPr>
              <w:jc w:val="center"/>
              <w:ind w:left="277"/>
              <w:spacing w:after="0"/>
              <w:rPr>
                <w:sz w:val="20"/>
                <w:szCs w:val="20"/>
                <w:color w:val="auto"/>
              </w:rPr>
            </w:pPr>
            <w:r>
              <w:rPr>
                <w:rFonts w:ascii="Arial" w:cs="Arial" w:eastAsia="Arial" w:hAnsi="Arial"/>
                <w:sz w:val="13"/>
                <w:szCs w:val="13"/>
                <w:color w:val="auto"/>
                <w:w w:val="99"/>
              </w:rPr>
              <w:t>(68,500)</w:t>
            </w:r>
          </w:p>
        </w:tc>
        <w:tc>
          <w:tcPr>
            <w:tcW w:w="1100" w:type="dxa"/>
            <w:vAlign w:val="bottom"/>
          </w:tcPr>
          <w:p>
            <w:pPr>
              <w:jc w:val="center"/>
              <w:ind w:left="236"/>
              <w:spacing w:after="0"/>
              <w:rPr>
                <w:sz w:val="20"/>
                <w:szCs w:val="20"/>
                <w:color w:val="auto"/>
              </w:rPr>
            </w:pPr>
            <w:r>
              <w:rPr>
                <w:rFonts w:ascii="Arial" w:cs="Arial" w:eastAsia="Arial" w:hAnsi="Arial"/>
                <w:sz w:val="13"/>
                <w:szCs w:val="13"/>
                <w:color w:val="auto"/>
                <w:w w:val="99"/>
              </w:rPr>
              <w:t>(43,104)</w:t>
            </w:r>
          </w:p>
        </w:tc>
        <w:tc>
          <w:tcPr>
            <w:tcW w:w="10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-37.1%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-7.9%</w:t>
            </w:r>
          </w:p>
        </w:tc>
        <w:tc>
          <w:tcPr>
            <w:tcW w:w="980" w:type="dxa"/>
            <w:vAlign w:val="bottom"/>
          </w:tcPr>
          <w:p>
            <w:pPr>
              <w:spacing w:after="0"/>
              <w:rPr>
                <w:sz w:val="14"/>
                <w:szCs w:val="14"/>
                <w:color w:val="auto"/>
              </w:rPr>
            </w:pPr>
          </w:p>
        </w:tc>
      </w:tr>
      <w:tr>
        <w:trPr>
          <w:trHeight w:val="166"/>
        </w:trPr>
        <w:tc>
          <w:tcPr>
            <w:tcW w:w="1040" w:type="dxa"/>
            <w:vAlign w:val="bottom"/>
            <w:tcBorders>
              <w:right w:val="single" w:sz="8" w:color="auto"/>
            </w:tcBorders>
          </w:tcPr>
          <w:p>
            <w:pPr>
              <w:spacing w:after="0"/>
              <w:rPr>
                <w:sz w:val="14"/>
                <w:szCs w:val="14"/>
                <w:color w:val="auto"/>
              </w:rPr>
            </w:pP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Net income</w:t>
            </w:r>
          </w:p>
        </w:tc>
        <w:tc>
          <w:tcPr>
            <w:tcW w:w="2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6"/>
              </w:rPr>
              <w:t>1,378,216</w:t>
            </w:r>
          </w:p>
        </w:tc>
        <w:tc>
          <w:tcPr>
            <w:tcW w:w="82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97"/>
              </w:rPr>
              <w:t>848,904</w:t>
            </w:r>
          </w:p>
        </w:tc>
        <w:tc>
          <w:tcPr>
            <w:tcW w:w="1100" w:type="dxa"/>
            <w:vAlign w:val="bottom"/>
            <w:tcBorders>
              <w:bottom w:val="single" w:sz="8" w:color="auto"/>
            </w:tcBorders>
          </w:tcPr>
          <w:p>
            <w:pPr>
              <w:jc w:val="center"/>
              <w:ind w:left="236"/>
              <w:spacing w:after="0"/>
              <w:rPr>
                <w:sz w:val="20"/>
                <w:szCs w:val="20"/>
                <w:color w:val="auto"/>
              </w:rPr>
            </w:pPr>
            <w:r>
              <w:rPr>
                <w:rFonts w:ascii="Arial" w:cs="Arial" w:eastAsia="Arial" w:hAnsi="Arial"/>
                <w:sz w:val="13"/>
                <w:szCs w:val="13"/>
                <w:b w:val="1"/>
                <w:bCs w:val="1"/>
                <w:color w:val="auto"/>
                <w:w w:val="96"/>
              </w:rPr>
              <w:t>1,516,086</w:t>
            </w:r>
          </w:p>
        </w:tc>
        <w:tc>
          <w:tcPr>
            <w:tcW w:w="1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78.6%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10.0%</w:t>
            </w:r>
          </w:p>
        </w:tc>
        <w:tc>
          <w:tcPr>
            <w:tcW w:w="98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4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r>
      <w:tr>
        <w:trPr>
          <w:trHeight w:val="155"/>
        </w:trPr>
        <w:tc>
          <w:tcPr>
            <w:tcW w:w="1040" w:type="dxa"/>
            <w:vAlign w:val="bottom"/>
            <w:tcBorders>
              <w:right w:val="single" w:sz="8" w:color="auto"/>
            </w:tcBorders>
          </w:tcPr>
          <w:p>
            <w:pPr>
              <w:spacing w:after="0"/>
              <w:rPr>
                <w:sz w:val="13"/>
                <w:szCs w:val="13"/>
                <w:color w:val="auto"/>
              </w:rPr>
            </w:pP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Double Leverage Ratio</w:t>
            </w:r>
          </w:p>
        </w:tc>
        <w:tc>
          <w:tcPr>
            <w:tcW w:w="2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9"/>
              </w:rPr>
              <w:t>102.0%</w:t>
            </w:r>
          </w:p>
        </w:tc>
        <w:tc>
          <w:tcPr>
            <w:tcW w:w="8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7"/>
              </w:rPr>
              <w:t>98.6%</w:t>
            </w:r>
          </w:p>
        </w:tc>
        <w:tc>
          <w:tcPr>
            <w:tcW w:w="1100" w:type="dxa"/>
            <w:vAlign w:val="bottom"/>
            <w:tcBorders>
              <w:bottom w:val="single" w:sz="8" w:color="auto"/>
            </w:tcBorders>
          </w:tcPr>
          <w:p>
            <w:pPr>
              <w:jc w:val="center"/>
              <w:ind w:left="236"/>
              <w:spacing w:after="0"/>
              <w:rPr>
                <w:sz w:val="20"/>
                <w:szCs w:val="20"/>
                <w:color w:val="auto"/>
              </w:rPr>
            </w:pPr>
            <w:r>
              <w:rPr>
                <w:rFonts w:ascii="Arial" w:cs="Arial" w:eastAsia="Arial" w:hAnsi="Arial"/>
                <w:sz w:val="13"/>
                <w:szCs w:val="13"/>
                <w:b w:val="1"/>
                <w:bCs w:val="1"/>
                <w:color w:val="auto"/>
                <w:w w:val="97"/>
              </w:rPr>
              <w:t>98.0%</w:t>
            </w:r>
          </w:p>
        </w:tc>
        <w:tc>
          <w:tcPr>
            <w:tcW w:w="1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-50 bps</w:t>
            </w:r>
          </w:p>
        </w:tc>
        <w:tc>
          <w:tcPr>
            <w:tcW w:w="9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-400 bps</w:t>
            </w:r>
          </w:p>
        </w:tc>
        <w:tc>
          <w:tcPr>
            <w:tcW w:w="980" w:type="dxa"/>
            <w:vAlign w:val="bottom"/>
          </w:tcPr>
          <w:p>
            <w:pPr>
              <w:spacing w:after="0"/>
              <w:rPr>
                <w:sz w:val="13"/>
                <w:szCs w:val="13"/>
                <w:color w:val="auto"/>
              </w:rPr>
            </w:pPr>
          </w:p>
        </w:tc>
      </w:tr>
      <w:tr>
        <w:trPr>
          <w:trHeight w:val="435"/>
        </w:trPr>
        <w:tc>
          <w:tcPr>
            <w:tcW w:w="1040" w:type="dxa"/>
            <w:vAlign w:val="bottom"/>
          </w:tcPr>
          <w:p>
            <w:pPr>
              <w:spacing w:after="0"/>
              <w:rPr>
                <w:sz w:val="24"/>
                <w:szCs w:val="24"/>
                <w:color w:val="auto"/>
              </w:rPr>
            </w:pPr>
          </w:p>
        </w:tc>
        <w:tc>
          <w:tcPr>
            <w:tcW w:w="6300" w:type="dxa"/>
            <w:vAlign w:val="bottom"/>
            <w:gridSpan w:val="5"/>
          </w:tcPr>
          <w:p>
            <w:pPr>
              <w:jc w:val="center"/>
              <w:ind w:left="2834"/>
              <w:spacing w:after="0"/>
              <w:rPr>
                <w:sz w:val="20"/>
                <w:szCs w:val="20"/>
                <w:color w:val="auto"/>
              </w:rPr>
            </w:pPr>
            <w:r>
              <w:rPr>
                <w:rFonts w:ascii="Arial" w:cs="Arial" w:eastAsia="Arial" w:hAnsi="Arial"/>
                <w:sz w:val="14"/>
                <w:szCs w:val="14"/>
                <w:color w:val="0000FF"/>
              </w:rPr>
              <w:t>Datos elaborados por BCP para uso Interno</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00" w:type="dxa"/>
            <w:vAlign w:val="bottom"/>
            <w:gridSpan w:val="2"/>
          </w:tcPr>
          <w:p>
            <w:pPr>
              <w:ind w:left="1680"/>
              <w:spacing w:after="0"/>
              <w:rPr>
                <w:sz w:val="20"/>
                <w:szCs w:val="20"/>
                <w:color w:val="auto"/>
              </w:rPr>
            </w:pPr>
            <w:r>
              <w:rPr>
                <w:rFonts w:ascii="Arial" w:cs="Arial" w:eastAsia="Arial" w:hAnsi="Arial"/>
                <w:sz w:val="20"/>
                <w:szCs w:val="20"/>
                <w:color w:val="auto"/>
                <w:w w:val="89"/>
              </w:rPr>
              <w:t>57</w:t>
            </w:r>
          </w:p>
        </w:tc>
      </w:tr>
      <w:tr>
        <w:trPr>
          <w:trHeight w:val="429"/>
        </w:trPr>
        <w:tc>
          <w:tcPr>
            <w:tcW w:w="1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-7817485</wp:posOffset>
            </wp:positionV>
            <wp:extent cx="128587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5875" cy="15430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9" w:name="page60"/>
    <w:bookmarkEnd w:id="59"/>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12.6.3 BCP Consolidated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Condolidated Statement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3" w:lineRule="exact"/>
        <w:rPr>
          <w:sz w:val="20"/>
          <w:szCs w:val="20"/>
          <w:color w:val="auto"/>
        </w:rPr>
      </w:pPr>
    </w:p>
    <w:tbl>
      <w:tblPr>
        <w:tblLayout w:type="fixed"/>
        <w:tblInd w:w="1030" w:type="dxa"/>
        <w:tblCellMar>
          <w:top w:w="0" w:type="dxa"/>
          <w:left w:w="0" w:type="dxa"/>
          <w:bottom w:w="0" w:type="dxa"/>
          <w:right w:w="0" w:type="dxa"/>
        </w:tblCellMar>
      </w:tblPr>
      <w:tr>
        <w:trPr>
          <w:trHeight w:val="155"/>
        </w:trPr>
        <w:tc>
          <w:tcPr>
            <w:tcW w:w="4720" w:type="dxa"/>
            <w:vAlign w:val="bottom"/>
            <w:tcBorders>
              <w:top w:val="single" w:sz="8" w:color="auto"/>
              <w:left w:val="single" w:sz="8" w:color="auto"/>
              <w:right w:val="single" w:sz="8" w:color="auto"/>
            </w:tcBorders>
            <w:shd w:val="clear" w:color="auto" w:fill="2AD2C9"/>
          </w:tcPr>
          <w:p>
            <w:pPr>
              <w:spacing w:after="0"/>
              <w:rPr>
                <w:sz w:val="13"/>
                <w:szCs w:val="13"/>
                <w:color w:val="auto"/>
              </w:rPr>
            </w:pPr>
          </w:p>
        </w:tc>
        <w:tc>
          <w:tcPr>
            <w:tcW w:w="920" w:type="dxa"/>
            <w:vAlign w:val="bottom"/>
            <w:tcBorders>
              <w:top w:val="single" w:sz="8" w:color="auto"/>
            </w:tcBorders>
            <w:shd w:val="clear" w:color="auto" w:fill="2AD2C9"/>
          </w:tcPr>
          <w:p>
            <w:pPr>
              <w:spacing w:after="0"/>
              <w:rPr>
                <w:sz w:val="13"/>
                <w:szCs w:val="13"/>
                <w:color w:val="auto"/>
              </w:rPr>
            </w:pPr>
          </w:p>
        </w:tc>
        <w:tc>
          <w:tcPr>
            <w:tcW w:w="9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8"/>
              </w:rPr>
              <w:t>As of</w:t>
            </w:r>
          </w:p>
        </w:tc>
        <w:tc>
          <w:tcPr>
            <w:tcW w:w="960" w:type="dxa"/>
            <w:vAlign w:val="bottom"/>
            <w:tcBorders>
              <w:top w:val="single" w:sz="8" w:color="auto"/>
              <w:right w:val="single" w:sz="8" w:color="auto"/>
            </w:tcBorders>
            <w:shd w:val="clear" w:color="auto" w:fill="2AD2C9"/>
          </w:tcPr>
          <w:p>
            <w:pPr>
              <w:spacing w:after="0"/>
              <w:rPr>
                <w:sz w:val="13"/>
                <w:szCs w:val="13"/>
                <w:color w:val="auto"/>
              </w:rPr>
            </w:pPr>
          </w:p>
        </w:tc>
        <w:tc>
          <w:tcPr>
            <w:tcW w:w="1680" w:type="dxa"/>
            <w:vAlign w:val="bottom"/>
            <w:tcBorders>
              <w:top w:val="single" w:sz="8" w:color="auto"/>
              <w:right w:val="single" w:sz="8" w:color="auto"/>
            </w:tcBorders>
            <w:gridSpan w:val="2"/>
            <w:shd w:val="clear" w:color="auto" w:fill="2AD2C9"/>
          </w:tcPr>
          <w:p>
            <w:pPr>
              <w:ind w:left="540"/>
              <w:spacing w:after="0"/>
              <w:rPr>
                <w:sz w:val="20"/>
                <w:szCs w:val="20"/>
                <w:color w:val="auto"/>
              </w:rPr>
            </w:pPr>
            <w:r>
              <w:rPr>
                <w:rFonts w:ascii="Arial" w:cs="Arial" w:eastAsia="Arial" w:hAnsi="Arial"/>
                <w:sz w:val="13"/>
                <w:szCs w:val="13"/>
                <w:b w:val="1"/>
                <w:bCs w:val="1"/>
                <w:color w:val="FFFFFF"/>
              </w:rPr>
              <w:t>% change</w:t>
            </w:r>
          </w:p>
        </w:tc>
      </w:tr>
      <w:tr>
        <w:trPr>
          <w:trHeight w:val="162"/>
        </w:trPr>
        <w:tc>
          <w:tcPr>
            <w:tcW w:w="472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92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Mar 23</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5"/>
              </w:rPr>
              <w:t>Dec 23</w:t>
            </w:r>
          </w:p>
        </w:tc>
        <w:tc>
          <w:tcPr>
            <w:tcW w:w="96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Mar 24</w:t>
            </w:r>
          </w:p>
        </w:tc>
        <w:tc>
          <w:tcPr>
            <w:tcW w:w="8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r>
      <w:tr>
        <w:trPr>
          <w:trHeight w:val="151"/>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ASSETS</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Cash and due from banks</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Non-interest bearing</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5,456,302</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6,025,352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5,842,595</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-3.0%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7.1%</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Interest bearing</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26,924,509</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24,668,794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30,040,974</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21.8%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11.6%</w:t>
            </w:r>
          </w:p>
        </w:tc>
      </w:tr>
      <w:tr>
        <w:trPr>
          <w:trHeight w:val="16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cash and due from banks</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32,380,811</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30,694,146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35,883,569</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16.9%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10.8%</w:t>
            </w:r>
          </w:p>
        </w:tc>
      </w:tr>
      <w:tr>
        <w:trPr>
          <w:trHeight w:val="324"/>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Cash collateral, reverse repurchase agreements and securities borrowing</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232,059</w:t>
            </w:r>
          </w:p>
        </w:tc>
        <w:tc>
          <w:tcPr>
            <w:tcW w:w="940" w:type="dxa"/>
            <w:vAlign w:val="bottom"/>
          </w:tcPr>
          <w:p>
            <w:pPr>
              <w:jc w:val="center"/>
              <w:spacing w:after="0"/>
              <w:rPr>
                <w:sz w:val="20"/>
                <w:szCs w:val="20"/>
                <w:color w:val="auto"/>
              </w:rPr>
            </w:pPr>
            <w:r>
              <w:rPr>
                <w:rFonts w:ascii="Arial" w:cs="Arial" w:eastAsia="Arial" w:hAnsi="Arial"/>
                <w:sz w:val="13"/>
                <w:szCs w:val="13"/>
                <w:color w:val="auto"/>
                <w:w w:val="93"/>
              </w:rPr>
              <w:t>100,211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415,202</w:t>
            </w:r>
          </w:p>
        </w:tc>
        <w:tc>
          <w:tcPr>
            <w:tcW w:w="820" w:type="dxa"/>
            <w:vAlign w:val="bottom"/>
          </w:tcPr>
          <w:p>
            <w:pPr>
              <w:jc w:val="center"/>
              <w:spacing w:after="0"/>
              <w:rPr>
                <w:sz w:val="20"/>
                <w:szCs w:val="20"/>
                <w:color w:val="auto"/>
              </w:rPr>
            </w:pPr>
            <w:r>
              <w:rPr>
                <w:rFonts w:ascii="Arial" w:cs="Arial" w:eastAsia="Arial" w:hAnsi="Arial"/>
                <w:sz w:val="13"/>
                <w:szCs w:val="13"/>
                <w:color w:val="auto"/>
                <w:w w:val="95"/>
              </w:rPr>
              <w:t>314.3%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78.9%</w:t>
            </w:r>
          </w:p>
        </w:tc>
      </w:tr>
      <w:tr>
        <w:trPr>
          <w:trHeight w:val="320"/>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Fair value through profit or loss investments</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39,638</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362,360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465,261</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28.4%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Fair value through other comprehensive income investments</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17,702,831</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20,592,731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21,739,359</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5.6%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22.8%</w:t>
            </w:r>
          </w:p>
        </w:tc>
      </w:tr>
      <w:tr>
        <w:trPr>
          <w:trHeight w:val="16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Amortized cost investments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9,661,389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9,557,451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9,389,695</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-1.8%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-2.8%</w:t>
            </w:r>
          </w:p>
        </w:tc>
      </w:tr>
      <w:tr>
        <w:trPr>
          <w:trHeight w:val="320"/>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Loans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132,290,495</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131,767,137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127,359,955</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-3.3%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-3.7%</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Current</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126,846,139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125,948,604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121,494,564</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-3.5%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-4.2%</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Internal overdue loans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5,444,356</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5,818,533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5,865,391</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0.8%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7.7%</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Less - allowance for loan losses</w:t>
            </w: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(7,450,091)</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(7,772,720)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(7,663,849)</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-1.4%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2.9%</w:t>
            </w:r>
          </w:p>
        </w:tc>
      </w:tr>
      <w:tr>
        <w:trPr>
          <w:trHeight w:val="16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Loans, net</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124,840,404</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123,994,417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119,696,106</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-3.5%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-4.1%</w:t>
            </w:r>
          </w:p>
        </w:tc>
      </w:tr>
      <w:tr>
        <w:trPr>
          <w:trHeight w:val="320"/>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xml:space="preserve">Property, furniture and equipment, net </w:t>
            </w:r>
            <w:r>
              <w:rPr>
                <w:rFonts w:ascii="Arial" w:cs="Arial" w:eastAsia="Arial" w:hAnsi="Arial"/>
                <w:sz w:val="20"/>
                <w:szCs w:val="20"/>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1,489,392</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1,559,485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1,512,734</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-3.0%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1.6%</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Due from customers on acceptances</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496,170</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412,401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322,346</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-21.8%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-35.0%</w:t>
            </w:r>
          </w:p>
        </w:tc>
      </w:tr>
      <w:tr>
        <w:trPr>
          <w:trHeight w:val="15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Investments in associates</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18,246</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21,426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23,270</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8.6%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27.5%</w:t>
            </w:r>
          </w:p>
        </w:tc>
      </w:tr>
      <w:tr>
        <w:trPr>
          <w:trHeight w:val="279"/>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xml:space="preserve">Other assets </w:t>
            </w:r>
            <w:r>
              <w:rPr>
                <w:rFonts w:ascii="Arial" w:cs="Arial" w:eastAsia="Arial" w:hAnsi="Arial"/>
                <w:sz w:val="20"/>
                <w:szCs w:val="20"/>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6,873,005</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6,510,227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6,955,937</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6.8%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1.2%</w:t>
            </w:r>
          </w:p>
        </w:tc>
      </w:tr>
      <w:tr>
        <w:trPr>
          <w:trHeight w:val="223"/>
        </w:trPr>
        <w:tc>
          <w:tcPr>
            <w:tcW w:w="4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Assets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193,733,945</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193,804,855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196,403,479</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1.3%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1.4%</w:t>
            </w:r>
          </w:p>
        </w:tc>
      </w:tr>
      <w:tr>
        <w:trPr>
          <w:trHeight w:val="314"/>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Liabilities and Equity</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15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Deposits and obligations</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r>
      <w:tr>
        <w:trPr>
          <w:trHeight w:val="162"/>
        </w:trPr>
        <w:tc>
          <w:tcPr>
            <w:tcW w:w="472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2"/>
                <w:szCs w:val="12"/>
                <w:color w:val="auto"/>
              </w:rPr>
              <w:t xml:space="preserve">Non-interest bearing </w:t>
            </w:r>
            <w:r>
              <w:rPr>
                <w:rFonts w:ascii="Arial" w:cs="Arial" w:eastAsia="Arial" w:hAnsi="Arial"/>
                <w:sz w:val="18"/>
                <w:szCs w:val="18"/>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37,978,204</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39,377,289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38,519,886</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-2.2%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1.4%</w:t>
            </w:r>
          </w:p>
        </w:tc>
      </w:tr>
      <w:tr>
        <w:trPr>
          <w:trHeight w:val="168"/>
        </w:trPr>
        <w:tc>
          <w:tcPr>
            <w:tcW w:w="4720" w:type="dxa"/>
            <w:vAlign w:val="bottom"/>
            <w:tcBorders>
              <w:left w:val="single" w:sz="8" w:color="auto"/>
              <w:right w:val="single" w:sz="8" w:color="auto"/>
            </w:tcBorders>
          </w:tcPr>
          <w:p>
            <w:pPr>
              <w:ind w:left="40"/>
              <w:spacing w:after="0" w:line="168" w:lineRule="exact"/>
              <w:rPr>
                <w:sz w:val="20"/>
                <w:szCs w:val="20"/>
                <w:color w:val="auto"/>
              </w:rPr>
            </w:pPr>
            <w:r>
              <w:rPr>
                <w:rFonts w:ascii="Arial" w:cs="Arial" w:eastAsia="Arial" w:hAnsi="Arial"/>
                <w:sz w:val="12"/>
                <w:szCs w:val="12"/>
                <w:color w:val="auto"/>
              </w:rPr>
              <w:t xml:space="preserve">Interest bearing </w:t>
            </w:r>
            <w:r>
              <w:rPr>
                <w:rFonts w:ascii="Arial" w:cs="Arial" w:eastAsia="Arial" w:hAnsi="Arial"/>
                <w:sz w:val="19"/>
                <w:szCs w:val="19"/>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93,952,305</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92,931,227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94,436,692</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1.6%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0.5%</w:t>
            </w:r>
          </w:p>
        </w:tc>
      </w:tr>
      <w:tr>
        <w:trPr>
          <w:trHeight w:val="16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deposits and obligations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131,930,509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132,308,516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132,956,578</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0.5%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0.8%</w:t>
            </w:r>
          </w:p>
        </w:tc>
      </w:tr>
      <w:tr>
        <w:trPr>
          <w:trHeight w:val="320"/>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Payables from repurchase agreements and securities lending</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10,318,686</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8,005,844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7,388,795</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-7.7%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-28.4%</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BCRP instruments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9,780,540</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7,461,674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6,854,368</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-8.1%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-29.9%</w:t>
            </w:r>
          </w:p>
        </w:tc>
      </w:tr>
      <w:tr>
        <w:trPr>
          <w:trHeight w:val="16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Repurchase agreements with third parties</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538,146</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544,170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534,427</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-1.8%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-0.7%</w:t>
            </w:r>
          </w:p>
        </w:tc>
      </w:tr>
      <w:tr>
        <w:trPr>
          <w:trHeight w:val="320"/>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Due to banks and correspondents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9,647,935</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11,870,116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10,160,253</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-14.4%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5.3%</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Bonds and notes issued</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10,972,861</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10,961,427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13,833,480</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26.2%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26.1%</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Banker’s acceptances outstanding</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496,170</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412,401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322,346</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-21.8%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-35.0%</w:t>
            </w:r>
          </w:p>
        </w:tc>
      </w:tr>
      <w:tr>
        <w:trPr>
          <w:trHeight w:val="156"/>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Financial liabilities at fair value through profit or loss</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193,031</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91,966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n.a.</w:t>
            </w:r>
          </w:p>
        </w:tc>
      </w:tr>
      <w:tr>
        <w:trPr>
          <w:trHeight w:val="168"/>
        </w:trPr>
        <w:tc>
          <w:tcPr>
            <w:tcW w:w="4720" w:type="dxa"/>
            <w:vAlign w:val="bottom"/>
            <w:tcBorders>
              <w:left w:val="single" w:sz="8" w:color="auto"/>
              <w:right w:val="single" w:sz="8" w:color="auto"/>
            </w:tcBorders>
          </w:tcPr>
          <w:p>
            <w:pPr>
              <w:ind w:left="40"/>
              <w:spacing w:after="0" w:line="168" w:lineRule="exact"/>
              <w:rPr>
                <w:sz w:val="20"/>
                <w:szCs w:val="20"/>
                <w:color w:val="auto"/>
              </w:rPr>
            </w:pPr>
            <w:r>
              <w:rPr>
                <w:rFonts w:ascii="Arial" w:cs="Arial" w:eastAsia="Arial" w:hAnsi="Arial"/>
                <w:sz w:val="12"/>
                <w:szCs w:val="12"/>
                <w:color w:val="auto"/>
              </w:rPr>
              <w:t xml:space="preserve">Other liabilities </w:t>
            </w:r>
            <w:r>
              <w:rPr>
                <w:rFonts w:ascii="Arial" w:cs="Arial" w:eastAsia="Arial" w:hAnsi="Arial"/>
                <w:sz w:val="19"/>
                <w:szCs w:val="19"/>
                <w:color w:val="auto"/>
                <w:vertAlign w:val="superscript"/>
              </w:rPr>
              <w:t>(3)</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8,245,729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4,995,178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9,283,873</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85.9%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12.6%</w:t>
            </w:r>
          </w:p>
        </w:tc>
      </w:tr>
      <w:tr>
        <w:trPr>
          <w:trHeight w:val="162"/>
        </w:trPr>
        <w:tc>
          <w:tcPr>
            <w:tcW w:w="4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Liabilities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171,804,921</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168,645,448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173,945,325</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3.1%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1.2%</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 equity</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21,777,751</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24,998,419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22,315,713</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2.5%</w:t>
            </w:r>
          </w:p>
        </w:tc>
      </w:tr>
      <w:tr>
        <w:trPr>
          <w:trHeight w:val="162"/>
        </w:trPr>
        <w:tc>
          <w:tcPr>
            <w:tcW w:w="47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Capital stock</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12,679,794</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12,679,794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12,679,794</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0.0%</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Reserves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6,820,019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6,372,059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6,372,059</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-6.6%</w:t>
            </w:r>
          </w:p>
        </w:tc>
      </w:tr>
      <w:tr>
        <w:trPr>
          <w:trHeight w:val="162"/>
        </w:trPr>
        <w:tc>
          <w:tcPr>
            <w:tcW w:w="47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Unrealized gains and losses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(467,041)</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(108,012)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(159,740)</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47.9%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-65.8%</w:t>
            </w:r>
          </w:p>
        </w:tc>
      </w:tr>
      <w:tr>
        <w:trPr>
          <w:trHeight w:val="166"/>
        </w:trPr>
        <w:tc>
          <w:tcPr>
            <w:tcW w:w="47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Retained earnings</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2,744,979</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6,054,578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3,423,600</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-43.5%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24.7%</w:t>
            </w:r>
          </w:p>
        </w:tc>
      </w:tr>
      <w:tr>
        <w:trPr>
          <w:trHeight w:val="324"/>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151,273</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160,988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142,441</w:t>
            </w: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-11.5%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w:t>
            </w:r>
          </w:p>
        </w:tc>
      </w:tr>
      <w:tr>
        <w:trPr>
          <w:trHeight w:val="330"/>
        </w:trPr>
        <w:tc>
          <w:tcPr>
            <w:tcW w:w="4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 Net Equity</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21,929,024</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8"/>
              </w:rPr>
              <w:t>25,159,407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22,458,154</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7"/>
              </w:rPr>
              <w:t>-10.7%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2.4%</w:t>
            </w:r>
          </w:p>
        </w:tc>
      </w:tr>
      <w:tr>
        <w:trPr>
          <w:trHeight w:val="324"/>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193,733,945</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193,804,855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196,403,479</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1.3%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1.4%</w:t>
            </w:r>
          </w:p>
        </w:tc>
      </w:tr>
      <w:tr>
        <w:trPr>
          <w:trHeight w:val="314"/>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Off-balance sheet</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142,247,161</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138,140,917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151,042,451</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9.3%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6.2%</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performance bonds, stand-by and L/Cs.</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17,932,260</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19,328,506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19,720,490</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2.0%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10.0%</w:t>
            </w:r>
          </w:p>
        </w:tc>
      </w:tr>
      <w:tr>
        <w:trPr>
          <w:trHeight w:val="162"/>
        </w:trPr>
        <w:tc>
          <w:tcPr>
            <w:tcW w:w="4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Undrawn credit lines, advised but not committed</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76,157,911</w:t>
            </w: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76,719,565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78,799,124</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3.5%</w:t>
            </w:r>
          </w:p>
        </w:tc>
      </w:tr>
      <w:tr>
        <w:trPr>
          <w:trHeight w:val="166"/>
        </w:trPr>
        <w:tc>
          <w:tcPr>
            <w:tcW w:w="4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derivatives (notional) and others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48,156,990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42,092,846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52,522,837</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24.8%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9.1%</w:t>
            </w:r>
          </w:p>
        </w:tc>
      </w:tr>
    </w:tbl>
    <w:p>
      <w:pPr>
        <w:spacing w:after="0" w:line="149" w:lineRule="exact"/>
        <w:rPr>
          <w:sz w:val="20"/>
          <w:szCs w:val="20"/>
          <w:color w:val="auto"/>
        </w:rPr>
      </w:pPr>
    </w:p>
    <w:p>
      <w:pPr>
        <w:ind w:left="1180" w:hanging="160"/>
        <w:spacing w:after="0"/>
        <w:tabs>
          <w:tab w:leader="none" w:pos="11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Right of use asset of lease contracts is included by application of IFRS 16.</w:t>
      </w:r>
    </w:p>
    <w:p>
      <w:pPr>
        <w:spacing w:after="0" w:line="5" w:lineRule="exact"/>
        <w:rPr>
          <w:rFonts w:ascii="Arial" w:cs="Arial" w:eastAsia="Arial" w:hAnsi="Arial"/>
          <w:sz w:val="11"/>
          <w:szCs w:val="11"/>
          <w:color w:val="auto"/>
        </w:rPr>
      </w:pPr>
    </w:p>
    <w:p>
      <w:pPr>
        <w:ind w:left="1180" w:hanging="160"/>
        <w:spacing w:after="0" w:line="230" w:lineRule="auto"/>
        <w:tabs>
          <w:tab w:leader="none" w:pos="11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Mainly includes intangible assets, other accounts receivable and tax credit.</w:t>
      </w:r>
    </w:p>
    <w:p>
      <w:pPr>
        <w:ind w:left="1180" w:hanging="160"/>
        <w:spacing w:after="0"/>
        <w:tabs>
          <w:tab w:leader="none" w:pos="11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Mainly includes other accounts payable.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0" w:name="page61"/>
    <w:bookmarkEnd w:id="60"/>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179" w:lineRule="exact"/>
        <w:rPr>
          <w:sz w:val="20"/>
          <w:szCs w:val="20"/>
          <w:color w:val="auto"/>
        </w:rPr>
      </w:pPr>
    </w:p>
    <w:tbl>
      <w:tblPr>
        <w:tblLayout w:type="fixed"/>
        <w:tblInd w:w="1030" w:type="dxa"/>
        <w:tblCellMar>
          <w:top w:w="0" w:type="dxa"/>
          <w:left w:w="0" w:type="dxa"/>
          <w:bottom w:w="0" w:type="dxa"/>
          <w:right w:w="0" w:type="dxa"/>
        </w:tblCellMar>
      </w:tblPr>
      <w:tr>
        <w:trPr>
          <w:trHeight w:val="176"/>
        </w:trPr>
        <w:tc>
          <w:tcPr>
            <w:tcW w:w="4500" w:type="dxa"/>
            <w:vAlign w:val="bottom"/>
            <w:tcBorders>
              <w:top w:val="single" w:sz="8" w:color="auto"/>
              <w:left w:val="single" w:sz="8" w:color="auto"/>
              <w:right w:val="single" w:sz="8" w:color="auto"/>
            </w:tcBorders>
            <w:shd w:val="clear" w:color="auto" w:fill="2AD2C9"/>
          </w:tcPr>
          <w:p>
            <w:pPr>
              <w:spacing w:after="0"/>
              <w:rPr>
                <w:sz w:val="15"/>
                <w:szCs w:val="15"/>
                <w:color w:val="auto"/>
              </w:rPr>
            </w:pPr>
          </w:p>
        </w:tc>
        <w:tc>
          <w:tcPr>
            <w:tcW w:w="980" w:type="dxa"/>
            <w:vAlign w:val="bottom"/>
            <w:tcBorders>
              <w:top w:val="single" w:sz="8" w:color="auto"/>
            </w:tcBorders>
            <w:shd w:val="clear" w:color="auto" w:fill="2AD2C9"/>
          </w:tcPr>
          <w:p>
            <w:pPr>
              <w:spacing w:after="0"/>
              <w:rPr>
                <w:sz w:val="15"/>
                <w:szCs w:val="15"/>
                <w:color w:val="auto"/>
              </w:rPr>
            </w:pPr>
          </w:p>
        </w:tc>
        <w:tc>
          <w:tcPr>
            <w:tcW w:w="980" w:type="dxa"/>
            <w:vAlign w:val="bottom"/>
            <w:tcBorders>
              <w:top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15"/>
                <w:szCs w:val="15"/>
                <w:color w:val="auto"/>
              </w:rPr>
            </w:pPr>
          </w:p>
        </w:tc>
        <w:tc>
          <w:tcPr>
            <w:tcW w:w="176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3"/>
                <w:szCs w:val="13"/>
                <w:b w:val="1"/>
                <w:bCs w:val="1"/>
                <w:color w:val="FFFFFF"/>
              </w:rPr>
              <w:t>% change</w:t>
            </w:r>
          </w:p>
        </w:tc>
      </w:tr>
      <w:tr>
        <w:trPr>
          <w:trHeight w:val="162"/>
        </w:trPr>
        <w:tc>
          <w:tcPr>
            <w:tcW w:w="450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1Q23</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4Q23</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1Q24</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0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r>
      <w:tr>
        <w:trPr>
          <w:trHeight w:val="151"/>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Interest income and expense</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Interest and dividend income</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3,902,811</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4,265,959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4,278,901</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0.3%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9.6%</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Interest expense</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(994,836)</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(1,153,770)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(1,119,658)</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12.5%</w:t>
            </w:r>
          </w:p>
        </w:tc>
      </w:tr>
      <w:tr>
        <w:trPr>
          <w:trHeight w:val="17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Net interest income</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2,907,975</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3,112,189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3,159,243</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1.5%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8.6%</w:t>
            </w:r>
          </w:p>
        </w:tc>
      </w:tr>
      <w:tr>
        <w:trPr>
          <w:trHeight w:val="314"/>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Provision for credit losses on loan portfolio</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(782,079)</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(1,160,527)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(844,151)</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-27.3%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7.9%</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Recoveries of written-off loans</w:t>
            </w:r>
          </w:p>
        </w:tc>
        <w:tc>
          <w:tcPr>
            <w:tcW w:w="980" w:type="dxa"/>
            <w:vAlign w:val="bottom"/>
          </w:tcPr>
          <w:p>
            <w:pPr>
              <w:jc w:val="center"/>
              <w:spacing w:after="0"/>
              <w:rPr>
                <w:sz w:val="20"/>
                <w:szCs w:val="20"/>
                <w:color w:val="auto"/>
              </w:rPr>
            </w:pPr>
            <w:r>
              <w:rPr>
                <w:rFonts w:ascii="Arial" w:cs="Arial" w:eastAsia="Arial" w:hAnsi="Arial"/>
                <w:sz w:val="13"/>
                <w:szCs w:val="13"/>
                <w:color w:val="auto"/>
              </w:rPr>
              <w:t>69,694</w:t>
            </w:r>
          </w:p>
        </w:tc>
        <w:tc>
          <w:tcPr>
            <w:tcW w:w="980" w:type="dxa"/>
            <w:vAlign w:val="bottom"/>
          </w:tcPr>
          <w:p>
            <w:pPr>
              <w:jc w:val="center"/>
              <w:spacing w:after="0"/>
              <w:rPr>
                <w:sz w:val="20"/>
                <w:szCs w:val="20"/>
                <w:color w:val="auto"/>
              </w:rPr>
            </w:pPr>
            <w:r>
              <w:rPr>
                <w:rFonts w:ascii="Arial" w:cs="Arial" w:eastAsia="Arial" w:hAnsi="Arial"/>
                <w:sz w:val="13"/>
                <w:szCs w:val="13"/>
                <w:color w:val="auto"/>
              </w:rPr>
              <w:t>81,398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90,798</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11.5%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30.3%</w:t>
            </w:r>
          </w:p>
        </w:tc>
      </w:tr>
      <w:tr>
        <w:trPr>
          <w:trHeight w:val="17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(712,385)</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(1,079,129)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(753,353)</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-30.2%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5.8%</w:t>
            </w:r>
          </w:p>
        </w:tc>
      </w:tr>
      <w:tr>
        <w:trPr>
          <w:trHeight w:val="324"/>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Risk-adjusted net interest income</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2,195,590</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2,033,060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2,405,890</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18.3%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9.6%</w:t>
            </w:r>
          </w:p>
        </w:tc>
      </w:tr>
      <w:tr>
        <w:trPr>
          <w:trHeight w:val="314"/>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Non-financial income</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Fee income</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727,489</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773,261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796,536</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9.5%</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Net gain on foreign exchange transactions</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242,570</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268,615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261,882</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-2.5%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8.0%</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Net gain (loss) on securities</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(2,584)</w:t>
            </w:r>
          </w:p>
        </w:tc>
        <w:tc>
          <w:tcPr>
            <w:tcW w:w="980" w:type="dxa"/>
            <w:vAlign w:val="bottom"/>
          </w:tcPr>
          <w:p>
            <w:pPr>
              <w:jc w:val="center"/>
              <w:spacing w:after="0"/>
              <w:rPr>
                <w:sz w:val="20"/>
                <w:szCs w:val="20"/>
                <w:color w:val="auto"/>
              </w:rPr>
            </w:pPr>
            <w:r>
              <w:rPr>
                <w:rFonts w:ascii="Arial" w:cs="Arial" w:eastAsia="Arial" w:hAnsi="Arial"/>
                <w:sz w:val="13"/>
                <w:szCs w:val="13"/>
                <w:color w:val="auto"/>
              </w:rPr>
              <w:t>10,759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(10,529)</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n.a</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307.5%</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Net gain (loss) on derivatives held for trading</w:t>
            </w:r>
          </w:p>
        </w:tc>
        <w:tc>
          <w:tcPr>
            <w:tcW w:w="980" w:type="dxa"/>
            <w:vAlign w:val="bottom"/>
          </w:tcPr>
          <w:p>
            <w:pPr>
              <w:jc w:val="center"/>
              <w:spacing w:after="0"/>
              <w:rPr>
                <w:sz w:val="20"/>
                <w:szCs w:val="20"/>
                <w:color w:val="auto"/>
              </w:rPr>
            </w:pPr>
            <w:r>
              <w:rPr>
                <w:rFonts w:ascii="Arial" w:cs="Arial" w:eastAsia="Arial" w:hAnsi="Arial"/>
                <w:sz w:val="13"/>
                <w:szCs w:val="13"/>
                <w:color w:val="auto"/>
              </w:rPr>
              <w:t>22,288</w:t>
            </w:r>
          </w:p>
        </w:tc>
        <w:tc>
          <w:tcPr>
            <w:tcW w:w="980" w:type="dxa"/>
            <w:vAlign w:val="bottom"/>
          </w:tcPr>
          <w:p>
            <w:pPr>
              <w:jc w:val="center"/>
              <w:spacing w:after="0"/>
              <w:rPr>
                <w:sz w:val="20"/>
                <w:szCs w:val="20"/>
                <w:color w:val="auto"/>
              </w:rPr>
            </w:pPr>
            <w:r>
              <w:rPr>
                <w:rFonts w:ascii="Arial" w:cs="Arial" w:eastAsia="Arial" w:hAnsi="Arial"/>
                <w:sz w:val="13"/>
                <w:szCs w:val="13"/>
                <w:color w:val="auto"/>
              </w:rPr>
              <w:t>21,750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17,956</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-17.4%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-19.4%</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Net gain (loss) from exchange differences</w:t>
            </w: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4,308</w:t>
            </w:r>
          </w:p>
        </w:tc>
        <w:tc>
          <w:tcPr>
            <w:tcW w:w="980" w:type="dxa"/>
            <w:vAlign w:val="bottom"/>
          </w:tcPr>
          <w:p>
            <w:pPr>
              <w:jc w:val="center"/>
              <w:spacing w:after="0"/>
              <w:rPr>
                <w:sz w:val="20"/>
                <w:szCs w:val="20"/>
                <w:color w:val="auto"/>
              </w:rPr>
            </w:pPr>
            <w:r>
              <w:rPr>
                <w:rFonts w:ascii="Arial" w:cs="Arial" w:eastAsia="Arial" w:hAnsi="Arial"/>
                <w:sz w:val="13"/>
                <w:szCs w:val="13"/>
                <w:color w:val="auto"/>
                <w:w w:val="98"/>
              </w:rPr>
              <w:t>8,795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6,526</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-25.8%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51.5%</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Others</w:t>
            </w:r>
          </w:p>
        </w:tc>
        <w:tc>
          <w:tcPr>
            <w:tcW w:w="980" w:type="dxa"/>
            <w:vAlign w:val="bottom"/>
          </w:tcPr>
          <w:p>
            <w:pPr>
              <w:jc w:val="center"/>
              <w:spacing w:after="0"/>
              <w:rPr>
                <w:sz w:val="20"/>
                <w:szCs w:val="20"/>
                <w:color w:val="auto"/>
              </w:rPr>
            </w:pPr>
            <w:r>
              <w:rPr>
                <w:rFonts w:ascii="Arial" w:cs="Arial" w:eastAsia="Arial" w:hAnsi="Arial"/>
                <w:sz w:val="13"/>
                <w:szCs w:val="13"/>
                <w:color w:val="auto"/>
              </w:rPr>
              <w:t>71,277</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101,244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56,936</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-43.8%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-20.1%</w:t>
            </w:r>
          </w:p>
        </w:tc>
      </w:tr>
      <w:tr>
        <w:trPr>
          <w:trHeight w:val="166"/>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Total other income</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1,065,348</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1,184,424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1,129,307</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-4.7%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6.0%</w:t>
            </w:r>
          </w:p>
        </w:tc>
      </w:tr>
      <w:tr>
        <w:trPr>
          <w:trHeight w:val="320"/>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expenses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Salaries and employee benefits</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(750,011)</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(788,885)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(795,569)</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6.1%</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Administrative expenses</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(645,131)</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(874,101)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(696,850)</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-20.3%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8.0%</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(134,267)</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(146,657)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(142,270)</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6.0%</w:t>
            </w:r>
          </w:p>
        </w:tc>
      </w:tr>
      <w:tr>
        <w:trPr>
          <w:trHeight w:val="162"/>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Other expenses</w:t>
            </w:r>
          </w:p>
        </w:tc>
        <w:tc>
          <w:tcPr>
            <w:tcW w:w="980" w:type="dxa"/>
            <w:vAlign w:val="bottom"/>
          </w:tcPr>
          <w:p>
            <w:pPr>
              <w:jc w:val="center"/>
              <w:spacing w:after="0"/>
              <w:rPr>
                <w:sz w:val="20"/>
                <w:szCs w:val="20"/>
                <w:color w:val="auto"/>
              </w:rPr>
            </w:pPr>
            <w:r>
              <w:rPr>
                <w:rFonts w:ascii="Arial" w:cs="Arial" w:eastAsia="Arial" w:hAnsi="Arial"/>
                <w:sz w:val="13"/>
                <w:szCs w:val="13"/>
                <w:color w:val="auto"/>
                <w:w w:val="99"/>
              </w:rPr>
              <w:t>(43,944)</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(124,472)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(52,973)</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-57.4%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20.5%</w:t>
            </w:r>
          </w:p>
        </w:tc>
      </w:tr>
      <w:tr>
        <w:trPr>
          <w:trHeight w:val="166"/>
        </w:trPr>
        <w:tc>
          <w:tcPr>
            <w:tcW w:w="4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Total expenses</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(1,573,353)</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(1,934,115)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(1,687,662)</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-12.7%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7.3%</w:t>
            </w:r>
          </w:p>
        </w:tc>
      </w:tr>
      <w:tr>
        <w:trPr>
          <w:trHeight w:val="324"/>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Profit before income tax</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1,687,585</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1,283,369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1,847,535</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44.0%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9.5%</w:t>
            </w:r>
          </w:p>
        </w:tc>
      </w:tr>
      <w:tr>
        <w:trPr>
          <w:trHeight w:val="324"/>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Income tax</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(422,491)</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(327,708)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(462,578)</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41.2%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9.5%</w:t>
            </w:r>
          </w:p>
        </w:tc>
      </w:tr>
      <w:tr>
        <w:trPr>
          <w:trHeight w:val="320"/>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 profit</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1,265,094</w:t>
            </w: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955,661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1,384,957</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44.9%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9.5%</w:t>
            </w:r>
          </w:p>
        </w:tc>
      </w:tr>
      <w:tr>
        <w:trPr>
          <w:trHeight w:val="162"/>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Non-controlling interest</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(1,112)</w:t>
            </w: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(2,670)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(4,630)</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73.4%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316.4%</w:t>
            </w:r>
          </w:p>
        </w:tc>
      </w:tr>
      <w:tr>
        <w:trPr>
          <w:trHeight w:val="166"/>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 profit attributable to BCP Consolidated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1,263,982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952,991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1,380,327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44.8%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9.2%</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140970</wp:posOffset>
            </wp:positionV>
            <wp:extent cx="4345940" cy="19799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45940" cy="1979930"/>
                    </a:xfrm>
                    <a:prstGeom prst="rect">
                      <a:avLst/>
                    </a:prstGeom>
                    <a:noFill/>
                  </pic:spPr>
                </pic:pic>
              </a:graphicData>
            </a:graphic>
          </wp:anchor>
        </w:drawing>
      </w:r>
    </w:p>
    <w:p>
      <w:pPr>
        <w:spacing w:after="0" w:line="202" w:lineRule="exact"/>
        <w:rPr>
          <w:sz w:val="20"/>
          <w:szCs w:val="20"/>
          <w:color w:val="auto"/>
        </w:rPr>
      </w:pPr>
    </w:p>
    <w:tbl>
      <w:tblPr>
        <w:tblLayout w:type="fixed"/>
        <w:tblInd w:w="2200" w:type="dxa"/>
        <w:tblCellMar>
          <w:top w:w="0" w:type="dxa"/>
          <w:left w:w="0" w:type="dxa"/>
          <w:bottom w:w="0" w:type="dxa"/>
          <w:right w:w="0" w:type="dxa"/>
        </w:tblCellMar>
      </w:tblPr>
      <w:tr>
        <w:trPr>
          <w:trHeight w:val="175"/>
        </w:trPr>
        <w:tc>
          <w:tcPr>
            <w:tcW w:w="4320" w:type="dxa"/>
            <w:vAlign w:val="bottom"/>
            <w:shd w:val="clear" w:color="auto" w:fill="2AD2C9"/>
          </w:tcPr>
          <w:p>
            <w:pPr>
              <w:spacing w:after="0"/>
              <w:rPr>
                <w:sz w:val="15"/>
                <w:szCs w:val="15"/>
                <w:color w:val="auto"/>
              </w:rPr>
            </w:pPr>
          </w:p>
        </w:tc>
        <w:tc>
          <w:tcPr>
            <w:tcW w:w="840" w:type="dxa"/>
            <w:vAlign w:val="bottom"/>
            <w:shd w:val="clear" w:color="auto" w:fill="2AD2C9"/>
          </w:tcPr>
          <w:p>
            <w:pPr>
              <w:spacing w:after="0"/>
              <w:rPr>
                <w:sz w:val="15"/>
                <w:szCs w:val="15"/>
                <w:color w:val="auto"/>
              </w:rPr>
            </w:pPr>
          </w:p>
        </w:tc>
        <w:tc>
          <w:tcPr>
            <w:tcW w:w="840" w:type="dxa"/>
            <w:vAlign w:val="bottom"/>
            <w:shd w:val="clear" w:color="auto" w:fill="2AD2C9"/>
          </w:tcPr>
          <w:p>
            <w:pPr>
              <w:ind w:left="200"/>
              <w:spacing w:after="0"/>
              <w:rPr>
                <w:sz w:val="20"/>
                <w:szCs w:val="20"/>
                <w:color w:val="auto"/>
              </w:rPr>
            </w:pPr>
            <w:r>
              <w:rPr>
                <w:rFonts w:ascii="Arial" w:cs="Arial" w:eastAsia="Arial" w:hAnsi="Arial"/>
                <w:sz w:val="13"/>
                <w:szCs w:val="13"/>
                <w:b w:val="1"/>
                <w:bCs w:val="1"/>
                <w:color w:val="FFFFFF"/>
              </w:rPr>
              <w:t>Quarter</w:t>
            </w:r>
          </w:p>
        </w:tc>
        <w:tc>
          <w:tcPr>
            <w:tcW w:w="840" w:type="dxa"/>
            <w:vAlign w:val="bottom"/>
            <w:shd w:val="clear" w:color="auto" w:fill="2AD2C9"/>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320" w:type="dxa"/>
            <w:vAlign w:val="bottom"/>
            <w:tcBorders>
              <w:bottom w:val="single" w:sz="8" w:color="auto"/>
            </w:tcBorders>
            <w:shd w:val="clear" w:color="auto" w:fill="2AD2C9"/>
          </w:tcPr>
          <w:p>
            <w:pPr>
              <w:spacing w:after="0"/>
              <w:rPr>
                <w:sz w:val="14"/>
                <w:szCs w:val="14"/>
                <w:color w:val="auto"/>
              </w:rPr>
            </w:pP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1Q23</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4Q23</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1Q24</w:t>
            </w:r>
          </w:p>
        </w:tc>
        <w:tc>
          <w:tcPr>
            <w:tcW w:w="20" w:type="dxa"/>
            <w:vAlign w:val="bottom"/>
            <w:tcBorders>
              <w:bottom w:val="single" w:sz="8" w:color="auto"/>
            </w:tcBorders>
          </w:tcPr>
          <w:p>
            <w:pPr>
              <w:spacing w:after="0"/>
              <w:rPr>
                <w:sz w:val="14"/>
                <w:szCs w:val="14"/>
                <w:color w:val="auto"/>
              </w:rPr>
            </w:pPr>
          </w:p>
        </w:tc>
      </w:tr>
      <w:tr>
        <w:trPr>
          <w:trHeight w:val="151"/>
        </w:trPr>
        <w:tc>
          <w:tcPr>
            <w:tcW w:w="4320" w:type="dxa"/>
            <w:vAlign w:val="bottom"/>
          </w:tcPr>
          <w:p>
            <w:pPr>
              <w:ind w:left="60"/>
              <w:spacing w:after="0"/>
              <w:rPr>
                <w:sz w:val="20"/>
                <w:szCs w:val="20"/>
                <w:color w:val="auto"/>
              </w:rPr>
            </w:pPr>
            <w:r>
              <w:rPr>
                <w:rFonts w:ascii="Arial" w:cs="Arial" w:eastAsia="Arial" w:hAnsi="Arial"/>
                <w:sz w:val="13"/>
                <w:szCs w:val="13"/>
                <w:b w:val="1"/>
                <w:bCs w:val="1"/>
                <w:color w:val="auto"/>
              </w:rPr>
              <w:t>Profitability</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ROAA (1)(2)</w:t>
            </w:r>
          </w:p>
        </w:tc>
        <w:tc>
          <w:tcPr>
            <w:tcW w:w="840" w:type="dxa"/>
            <w:vAlign w:val="bottom"/>
          </w:tcPr>
          <w:p>
            <w:pPr>
              <w:jc w:val="center"/>
              <w:spacing w:after="0"/>
              <w:rPr>
                <w:sz w:val="20"/>
                <w:szCs w:val="20"/>
                <w:color w:val="auto"/>
              </w:rPr>
            </w:pPr>
            <w:r>
              <w:rPr>
                <w:rFonts w:ascii="Arial" w:cs="Arial" w:eastAsia="Arial" w:hAnsi="Arial"/>
                <w:sz w:val="13"/>
                <w:szCs w:val="13"/>
                <w:color w:val="auto"/>
              </w:rPr>
              <w:t>2.6%</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2.0%</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2.8%</w:t>
            </w:r>
          </w:p>
        </w:tc>
        <w:tc>
          <w:tcPr>
            <w:tcW w:w="20" w:type="dxa"/>
            <w:vAlign w:val="bottom"/>
          </w:tcPr>
          <w:p>
            <w:pPr>
              <w:spacing w:after="0"/>
              <w:rPr>
                <w:sz w:val="14"/>
                <w:szCs w:val="1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ROAE (1)(2)</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22.5%</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15.5%</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23.3%</w:t>
            </w:r>
          </w:p>
        </w:tc>
        <w:tc>
          <w:tcPr>
            <w:tcW w:w="20" w:type="dxa"/>
            <w:vAlign w:val="bottom"/>
          </w:tcPr>
          <w:p>
            <w:pPr>
              <w:spacing w:after="0"/>
              <w:rPr>
                <w:sz w:val="14"/>
                <w:szCs w:val="1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Net interest margin (1)(2)</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6.22%</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6.67%</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6.71%</w:t>
            </w:r>
          </w:p>
        </w:tc>
        <w:tc>
          <w:tcPr>
            <w:tcW w:w="20" w:type="dxa"/>
            <w:vAlign w:val="bottom"/>
          </w:tcPr>
          <w:p>
            <w:pPr>
              <w:spacing w:after="0"/>
              <w:rPr>
                <w:sz w:val="14"/>
                <w:szCs w:val="1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Risk adjusted NIM (1)(2)</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4.70%</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4.36%</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5.11%</w:t>
            </w:r>
          </w:p>
        </w:tc>
        <w:tc>
          <w:tcPr>
            <w:tcW w:w="2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Arial" w:cs="Arial" w:eastAsia="Arial" w:hAnsi="Arial"/>
                <w:sz w:val="13"/>
                <w:szCs w:val="13"/>
                <w:color w:val="auto"/>
              </w:rPr>
              <w:t>Funding Cost (1)(2)(3)</w:t>
            </w:r>
          </w:p>
        </w:tc>
        <w:tc>
          <w:tcPr>
            <w:tcW w:w="840" w:type="dxa"/>
            <w:vAlign w:val="bottom"/>
          </w:tcPr>
          <w:p>
            <w:pPr>
              <w:jc w:val="center"/>
              <w:spacing w:after="0"/>
              <w:rPr>
                <w:sz w:val="20"/>
                <w:szCs w:val="20"/>
                <w:color w:val="auto"/>
              </w:rPr>
            </w:pPr>
            <w:r>
              <w:rPr>
                <w:rFonts w:ascii="Arial" w:cs="Arial" w:eastAsia="Arial" w:hAnsi="Arial"/>
                <w:sz w:val="13"/>
                <w:szCs w:val="13"/>
                <w:color w:val="auto"/>
              </w:rPr>
              <w:t>2.4%</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2.8%</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20" w:type="dxa"/>
            <w:vAlign w:val="bottom"/>
          </w:tcPr>
          <w:p>
            <w:pPr>
              <w:spacing w:after="0"/>
              <w:rPr>
                <w:sz w:val="14"/>
                <w:szCs w:val="14"/>
                <w:color w:val="auto"/>
              </w:rPr>
            </w:pPr>
          </w:p>
        </w:tc>
      </w:tr>
      <w:tr>
        <w:trPr>
          <w:trHeight w:val="320"/>
        </w:trPr>
        <w:tc>
          <w:tcPr>
            <w:tcW w:w="4320" w:type="dxa"/>
            <w:vAlign w:val="bottom"/>
          </w:tcPr>
          <w:p>
            <w:pPr>
              <w:ind w:left="60"/>
              <w:spacing w:after="0"/>
              <w:rPr>
                <w:sz w:val="20"/>
                <w:szCs w:val="20"/>
                <w:color w:val="auto"/>
              </w:rPr>
            </w:pPr>
            <w:r>
              <w:rPr>
                <w:rFonts w:ascii="Arial" w:cs="Arial" w:eastAsia="Arial" w:hAnsi="Arial"/>
                <w:sz w:val="13"/>
                <w:szCs w:val="13"/>
                <w:b w:val="1"/>
                <w:bCs w:val="1"/>
                <w:color w:val="auto"/>
              </w:rPr>
              <w:t>Quality of loan portfolio</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IOL ratio</w:t>
            </w:r>
          </w:p>
        </w:tc>
        <w:tc>
          <w:tcPr>
            <w:tcW w:w="840" w:type="dxa"/>
            <w:vAlign w:val="bottom"/>
          </w:tcPr>
          <w:p>
            <w:pPr>
              <w:jc w:val="center"/>
              <w:spacing w:after="0"/>
              <w:rPr>
                <w:sz w:val="20"/>
                <w:szCs w:val="20"/>
                <w:color w:val="auto"/>
              </w:rPr>
            </w:pPr>
            <w:r>
              <w:rPr>
                <w:rFonts w:ascii="Arial" w:cs="Arial" w:eastAsia="Arial" w:hAnsi="Arial"/>
                <w:sz w:val="13"/>
                <w:szCs w:val="13"/>
                <w:color w:val="auto"/>
              </w:rPr>
              <w:t>4.1%</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4.4%</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4.6%</w:t>
            </w:r>
          </w:p>
        </w:tc>
        <w:tc>
          <w:tcPr>
            <w:tcW w:w="20" w:type="dxa"/>
            <w:vAlign w:val="bottom"/>
          </w:tcPr>
          <w:p>
            <w:pPr>
              <w:spacing w:after="0"/>
              <w:rPr>
                <w:sz w:val="14"/>
                <w:szCs w:val="1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NPL ratio</w:t>
            </w:r>
          </w:p>
        </w:tc>
        <w:tc>
          <w:tcPr>
            <w:tcW w:w="840" w:type="dxa"/>
            <w:vAlign w:val="bottom"/>
          </w:tcPr>
          <w:p>
            <w:pPr>
              <w:jc w:val="center"/>
              <w:spacing w:after="0"/>
              <w:rPr>
                <w:sz w:val="20"/>
                <w:szCs w:val="20"/>
                <w:color w:val="auto"/>
              </w:rPr>
            </w:pPr>
            <w:r>
              <w:rPr>
                <w:rFonts w:ascii="Arial" w:cs="Arial" w:eastAsia="Arial" w:hAnsi="Arial"/>
                <w:sz w:val="13"/>
                <w:szCs w:val="13"/>
                <w:color w:val="auto"/>
              </w:rPr>
              <w:t>5.7%</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6.2%</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6.6%</w:t>
            </w:r>
          </w:p>
        </w:tc>
        <w:tc>
          <w:tcPr>
            <w:tcW w:w="20" w:type="dxa"/>
            <w:vAlign w:val="bottom"/>
          </w:tcPr>
          <w:p>
            <w:pPr>
              <w:spacing w:after="0"/>
              <w:rPr>
                <w:sz w:val="14"/>
                <w:szCs w:val="1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Coverage of IOLs</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136.8%</w:t>
            </w: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133.6%</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130.7%</w:t>
            </w:r>
          </w:p>
        </w:tc>
        <w:tc>
          <w:tcPr>
            <w:tcW w:w="20" w:type="dxa"/>
            <w:vAlign w:val="bottom"/>
          </w:tcPr>
          <w:p>
            <w:pPr>
              <w:spacing w:after="0"/>
              <w:rPr>
                <w:sz w:val="14"/>
                <w:szCs w:val="1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Coverage of NPLs</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98.9%</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95.3%</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91.8%</w:t>
            </w:r>
          </w:p>
        </w:tc>
        <w:tc>
          <w:tcPr>
            <w:tcW w:w="2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Arial" w:cs="Arial" w:eastAsia="Arial" w:hAnsi="Arial"/>
                <w:sz w:val="13"/>
                <w:szCs w:val="13"/>
                <w:color w:val="auto"/>
              </w:rPr>
              <w:t>Cost of risk (4)</w:t>
            </w:r>
          </w:p>
        </w:tc>
        <w:tc>
          <w:tcPr>
            <w:tcW w:w="840" w:type="dxa"/>
            <w:vAlign w:val="bottom"/>
          </w:tcPr>
          <w:p>
            <w:pPr>
              <w:jc w:val="center"/>
              <w:spacing w:after="0"/>
              <w:rPr>
                <w:sz w:val="20"/>
                <w:szCs w:val="20"/>
                <w:color w:val="auto"/>
              </w:rPr>
            </w:pPr>
            <w:r>
              <w:rPr>
                <w:rFonts w:ascii="Arial" w:cs="Arial" w:eastAsia="Arial" w:hAnsi="Arial"/>
                <w:sz w:val="13"/>
                <w:szCs w:val="13"/>
                <w:color w:val="auto"/>
              </w:rPr>
              <w:t>2.2%</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2.4%</w:t>
            </w:r>
          </w:p>
        </w:tc>
        <w:tc>
          <w:tcPr>
            <w:tcW w:w="20" w:type="dxa"/>
            <w:vAlign w:val="bottom"/>
          </w:tcPr>
          <w:p>
            <w:pPr>
              <w:spacing w:after="0"/>
              <w:rPr>
                <w:sz w:val="14"/>
                <w:szCs w:val="14"/>
                <w:color w:val="auto"/>
              </w:rPr>
            </w:pPr>
          </w:p>
        </w:tc>
      </w:tr>
      <w:tr>
        <w:trPr>
          <w:trHeight w:val="320"/>
        </w:trPr>
        <w:tc>
          <w:tcPr>
            <w:tcW w:w="4320" w:type="dxa"/>
            <w:vAlign w:val="bottom"/>
          </w:tcPr>
          <w:p>
            <w:pPr>
              <w:ind w:left="60"/>
              <w:spacing w:after="0"/>
              <w:rPr>
                <w:sz w:val="20"/>
                <w:szCs w:val="20"/>
                <w:color w:val="auto"/>
              </w:rPr>
            </w:pPr>
            <w:r>
              <w:rPr>
                <w:rFonts w:ascii="Arial" w:cs="Arial" w:eastAsia="Arial" w:hAnsi="Arial"/>
                <w:sz w:val="13"/>
                <w:szCs w:val="13"/>
                <w:b w:val="1"/>
                <w:bCs w:val="1"/>
                <w:color w:val="auto"/>
              </w:rPr>
              <w:t>Operating efficiency</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4320" w:type="dxa"/>
            <w:vAlign w:val="bottom"/>
          </w:tcPr>
          <w:p>
            <w:pPr>
              <w:ind w:left="180"/>
              <w:spacing w:after="0"/>
              <w:rPr>
                <w:sz w:val="20"/>
                <w:szCs w:val="20"/>
                <w:color w:val="auto"/>
              </w:rPr>
            </w:pPr>
            <w:r>
              <w:rPr>
                <w:rFonts w:ascii="Arial" w:cs="Arial" w:eastAsia="Arial" w:hAnsi="Arial"/>
                <w:sz w:val="13"/>
                <w:szCs w:val="13"/>
                <w:color w:val="auto"/>
              </w:rPr>
              <w:t>Oper. expenses as a percent. of total income - reported (5)</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39.2%</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43.2%</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38.5%</w:t>
            </w:r>
          </w:p>
        </w:tc>
        <w:tc>
          <w:tcPr>
            <w:tcW w:w="2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Arial" w:cs="Arial" w:eastAsia="Arial" w:hAnsi="Arial"/>
                <w:sz w:val="13"/>
                <w:szCs w:val="13"/>
                <w:color w:val="auto"/>
              </w:rPr>
              <w:t>Oper. expenses as a percent. of av. tot. assets (1)(2)(5)</w:t>
            </w:r>
          </w:p>
        </w:tc>
        <w:tc>
          <w:tcPr>
            <w:tcW w:w="840" w:type="dxa"/>
            <w:vAlign w:val="bottom"/>
          </w:tcPr>
          <w:p>
            <w:pPr>
              <w:jc w:val="center"/>
              <w:spacing w:after="0"/>
              <w:rPr>
                <w:sz w:val="20"/>
                <w:szCs w:val="20"/>
                <w:color w:val="auto"/>
              </w:rPr>
            </w:pPr>
            <w:r>
              <w:rPr>
                <w:rFonts w:ascii="Arial" w:cs="Arial" w:eastAsia="Arial" w:hAnsi="Arial"/>
                <w:sz w:val="13"/>
                <w:szCs w:val="13"/>
                <w:color w:val="auto"/>
              </w:rPr>
              <w:t>3.2%</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3.7%</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3.4%</w:t>
            </w:r>
          </w:p>
        </w:tc>
        <w:tc>
          <w:tcPr>
            <w:tcW w:w="20" w:type="dxa"/>
            <w:vAlign w:val="bottom"/>
          </w:tcPr>
          <w:p>
            <w:pPr>
              <w:spacing w:after="0"/>
              <w:rPr>
                <w:sz w:val="14"/>
                <w:szCs w:val="14"/>
                <w:color w:val="auto"/>
              </w:rPr>
            </w:pPr>
          </w:p>
        </w:tc>
      </w:tr>
    </w:tbl>
    <w:p>
      <w:pPr>
        <w:spacing w:after="0" w:line="1" w:lineRule="exact"/>
        <w:rPr>
          <w:sz w:val="20"/>
          <w:szCs w:val="20"/>
          <w:color w:val="auto"/>
        </w:rPr>
      </w:pPr>
    </w:p>
    <w:p>
      <w:pPr>
        <w:ind w:left="1180" w:hanging="160"/>
        <w:spacing w:after="0"/>
        <w:tabs>
          <w:tab w:leader="none" w:pos="11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Ratios are annualized.</w:t>
      </w:r>
    </w:p>
    <w:p>
      <w:pPr>
        <w:spacing w:after="0" w:line="5" w:lineRule="exact"/>
        <w:rPr>
          <w:rFonts w:ascii="Arial" w:cs="Arial" w:eastAsia="Arial" w:hAnsi="Arial"/>
          <w:sz w:val="11"/>
          <w:szCs w:val="11"/>
          <w:color w:val="auto"/>
        </w:rPr>
      </w:pPr>
    </w:p>
    <w:p>
      <w:pPr>
        <w:ind w:left="1180" w:hanging="160"/>
        <w:spacing w:after="0" w:line="230" w:lineRule="auto"/>
        <w:tabs>
          <w:tab w:leader="none" w:pos="11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ind w:left="1020" w:right="2960"/>
        <w:spacing w:after="0" w:line="253" w:lineRule="auto"/>
        <w:tabs>
          <w:tab w:leader="none" w:pos="1182" w:val="left"/>
        </w:tabs>
        <w:numPr>
          <w:ilvl w:val="0"/>
          <w:numId w:val="53"/>
        </w:numPr>
        <w:rPr>
          <w:rFonts w:ascii="Arial" w:cs="Arial" w:eastAsia="Arial" w:hAnsi="Arial"/>
          <w:sz w:val="10"/>
          <w:szCs w:val="10"/>
          <w:color w:val="auto"/>
        </w:rPr>
      </w:pPr>
      <w:r>
        <w:rPr>
          <w:rFonts w:ascii="Arial" w:cs="Arial" w:eastAsia="Arial" w:hAnsi="Arial"/>
          <w:sz w:val="10"/>
          <w:szCs w:val="10"/>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1180" w:hanging="160"/>
        <w:spacing w:after="0" w:line="230" w:lineRule="auto"/>
        <w:tabs>
          <w:tab w:leader="none" w:pos="11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Cost of risk: Annualized provision for loan losses / Total loans.</w:t>
      </w:r>
    </w:p>
    <w:p>
      <w:pPr>
        <w:ind w:left="1020" w:right="2600"/>
        <w:spacing w:after="0"/>
        <w:tabs>
          <w:tab w:leader="none" w:pos="1182" w:val="left"/>
        </w:tabs>
        <w:numPr>
          <w:ilvl w:val="0"/>
          <w:numId w:val="53"/>
        </w:numPr>
        <w:rPr>
          <w:rFonts w:ascii="Arial" w:cs="Arial" w:eastAsia="Arial" w:hAnsi="Arial"/>
          <w:sz w:val="11"/>
          <w:szCs w:val="11"/>
          <w:color w:val="auto"/>
        </w:rPr>
      </w:pPr>
      <w:r>
        <w:rPr>
          <w:rFonts w:ascii="Arial" w:cs="Arial" w:eastAsia="Arial" w:hAnsi="Arial"/>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19"/>
        </w:trPr>
        <w:tc>
          <w:tcPr>
            <w:tcW w:w="7160" w:type="dxa"/>
            <w:vAlign w:val="bottom"/>
            <w:gridSpan w:val="2"/>
            <w:shd w:val="clear" w:color="auto" w:fill="000000"/>
          </w:tcPr>
          <w:p>
            <w:pPr>
              <w:ind w:left="2720"/>
              <w:spacing w:after="0"/>
              <w:rPr>
                <w:sz w:val="20"/>
                <w:szCs w:val="20"/>
                <w:color w:val="auto"/>
              </w:rPr>
            </w:pPr>
            <w:r>
              <w:rPr>
                <w:rFonts w:ascii="Arial" w:cs="Arial" w:eastAsia="Arial" w:hAnsi="Arial"/>
                <w:sz w:val="20"/>
                <w:szCs w:val="20"/>
                <w:color w:val="A6A6A6"/>
              </w:rPr>
              <w:t xml:space="preserve">|  </w:t>
            </w:r>
            <w:r>
              <w:rPr>
                <w:rFonts w:ascii="Arial" w:cs="Arial" w:eastAsia="Arial" w:hAnsi="Arial"/>
                <w:sz w:val="20"/>
                <w:szCs w:val="20"/>
                <w:b w:val="1"/>
                <w:bCs w:val="1"/>
                <w:color w:val="A6A6A6"/>
              </w:rPr>
              <w:t>Earning Release 1Q / 2024</w:t>
            </w:r>
          </w:p>
        </w:tc>
        <w:tc>
          <w:tcPr>
            <w:tcW w:w="4080" w:type="dxa"/>
            <w:vAlign w:val="bottom"/>
            <w:gridSpan w:val="5"/>
            <w:shd w:val="clear" w:color="auto" w:fill="000000"/>
          </w:tcPr>
          <w:p>
            <w:pPr>
              <w:ind w:left="180"/>
              <w:spacing w:after="0"/>
              <w:rPr>
                <w:sz w:val="20"/>
                <w:szCs w:val="20"/>
                <w:color w:val="auto"/>
              </w:rPr>
            </w:pPr>
            <w:r>
              <w:rPr>
                <w:rFonts w:ascii="Arial" w:cs="Arial" w:eastAsia="Arial" w:hAnsi="Arial"/>
                <w:sz w:val="20"/>
                <w:szCs w:val="20"/>
                <w:b w:val="1"/>
                <w:bCs w:val="1"/>
                <w:color w:val="E93BAC"/>
              </w:rPr>
              <w:t>Analysis of 1Q24 Consolidated Results</w:t>
            </w:r>
          </w:p>
        </w:tc>
      </w:tr>
      <w:tr>
        <w:trPr>
          <w:trHeight w:val="237"/>
        </w:trPr>
        <w:tc>
          <w:tcPr>
            <w:tcW w:w="4600" w:type="dxa"/>
            <w:vAlign w:val="bottom"/>
            <w:shd w:val="clear" w:color="auto" w:fill="000000"/>
          </w:tcPr>
          <w:p>
            <w:pPr>
              <w:spacing w:after="0"/>
              <w:rPr>
                <w:sz w:val="20"/>
                <w:szCs w:val="20"/>
                <w:color w:val="auto"/>
              </w:rPr>
            </w:pPr>
          </w:p>
        </w:tc>
        <w:tc>
          <w:tcPr>
            <w:tcW w:w="2560" w:type="dxa"/>
            <w:vAlign w:val="bottom"/>
            <w:shd w:val="clear" w:color="auto" w:fill="000000"/>
          </w:tcPr>
          <w:p>
            <w:pPr>
              <w:spacing w:after="0"/>
              <w:rPr>
                <w:sz w:val="20"/>
                <w:szCs w:val="20"/>
                <w:color w:val="auto"/>
              </w:rPr>
            </w:pPr>
          </w:p>
        </w:tc>
        <w:tc>
          <w:tcPr>
            <w:tcW w:w="1060" w:type="dxa"/>
            <w:vAlign w:val="bottom"/>
            <w:shd w:val="clear" w:color="auto" w:fill="000000"/>
          </w:tcPr>
          <w:p>
            <w:pPr>
              <w:spacing w:after="0"/>
              <w:rPr>
                <w:sz w:val="20"/>
                <w:szCs w:val="20"/>
                <w:color w:val="auto"/>
              </w:rPr>
            </w:pPr>
          </w:p>
        </w:tc>
        <w:tc>
          <w:tcPr>
            <w:tcW w:w="1080" w:type="dxa"/>
            <w:vAlign w:val="bottom"/>
            <w:shd w:val="clear" w:color="auto" w:fill="000000"/>
          </w:tcPr>
          <w:p>
            <w:pPr>
              <w:spacing w:after="0"/>
              <w:rPr>
                <w:sz w:val="20"/>
                <w:szCs w:val="20"/>
                <w:color w:val="auto"/>
              </w:rPr>
            </w:pPr>
          </w:p>
        </w:tc>
        <w:tc>
          <w:tcPr>
            <w:tcW w:w="1220" w:type="dxa"/>
            <w:vAlign w:val="bottom"/>
            <w:shd w:val="clear" w:color="auto" w:fill="000000"/>
          </w:tcPr>
          <w:p>
            <w:pPr>
              <w:spacing w:after="0"/>
              <w:rPr>
                <w:sz w:val="20"/>
                <w:szCs w:val="20"/>
                <w:color w:val="auto"/>
              </w:rPr>
            </w:pPr>
          </w:p>
        </w:tc>
        <w:tc>
          <w:tcPr>
            <w:tcW w:w="700" w:type="dxa"/>
            <w:vAlign w:val="bottom"/>
            <w:shd w:val="clear" w:color="auto" w:fill="000000"/>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425"/>
        </w:trPr>
        <w:tc>
          <w:tcPr>
            <w:tcW w:w="4600" w:type="dxa"/>
            <w:vAlign w:val="bottom"/>
            <w:shd w:val="clear" w:color="auto" w:fill="E93BAC"/>
          </w:tcPr>
          <w:p>
            <w:pPr>
              <w:ind w:left="100"/>
              <w:spacing w:after="0"/>
              <w:rPr>
                <w:sz w:val="20"/>
                <w:szCs w:val="20"/>
                <w:color w:val="auto"/>
              </w:rPr>
            </w:pPr>
            <w:r>
              <w:rPr>
                <w:rFonts w:ascii="Arial" w:cs="Arial" w:eastAsia="Arial" w:hAnsi="Arial"/>
                <w:sz w:val="20"/>
                <w:szCs w:val="20"/>
                <w:b w:val="1"/>
                <w:bCs w:val="1"/>
                <w:color w:val="FFFFFF"/>
              </w:rPr>
              <w:t>12. Appendix</w:t>
            </w:r>
          </w:p>
        </w:tc>
        <w:tc>
          <w:tcPr>
            <w:tcW w:w="2560" w:type="dxa"/>
            <w:vAlign w:val="bottom"/>
            <w:shd w:val="clear" w:color="auto" w:fill="E93BAC"/>
          </w:tcPr>
          <w:p>
            <w:pPr>
              <w:spacing w:after="0"/>
              <w:rPr>
                <w:sz w:val="24"/>
                <w:szCs w:val="24"/>
                <w:color w:val="auto"/>
              </w:rPr>
            </w:pPr>
          </w:p>
        </w:tc>
        <w:tc>
          <w:tcPr>
            <w:tcW w:w="1060" w:type="dxa"/>
            <w:vAlign w:val="bottom"/>
            <w:shd w:val="clear" w:color="auto" w:fill="E93BAC"/>
          </w:tcPr>
          <w:p>
            <w:pPr>
              <w:spacing w:after="0"/>
              <w:rPr>
                <w:sz w:val="24"/>
                <w:szCs w:val="24"/>
                <w:color w:val="auto"/>
              </w:rPr>
            </w:pPr>
          </w:p>
        </w:tc>
        <w:tc>
          <w:tcPr>
            <w:tcW w:w="1080" w:type="dxa"/>
            <w:vAlign w:val="bottom"/>
            <w:shd w:val="clear" w:color="auto" w:fill="E93BAC"/>
          </w:tcPr>
          <w:p>
            <w:pPr>
              <w:spacing w:after="0"/>
              <w:rPr>
                <w:sz w:val="24"/>
                <w:szCs w:val="24"/>
                <w:color w:val="auto"/>
              </w:rPr>
            </w:pPr>
          </w:p>
        </w:tc>
        <w:tc>
          <w:tcPr>
            <w:tcW w:w="1220" w:type="dxa"/>
            <w:vAlign w:val="bottom"/>
            <w:shd w:val="clear" w:color="auto" w:fill="E93BAC"/>
          </w:tcPr>
          <w:p>
            <w:pPr>
              <w:spacing w:after="0"/>
              <w:rPr>
                <w:sz w:val="24"/>
                <w:szCs w:val="24"/>
                <w:color w:val="auto"/>
              </w:rPr>
            </w:pPr>
          </w:p>
        </w:tc>
        <w:tc>
          <w:tcPr>
            <w:tcW w:w="700" w:type="dxa"/>
            <w:vAlign w:val="bottom"/>
            <w:shd w:val="clear" w:color="auto" w:fill="E93BAC"/>
          </w:tcPr>
          <w:p>
            <w:pPr>
              <w:spacing w:after="0"/>
              <w:rPr>
                <w:sz w:val="24"/>
                <w:szCs w:val="24"/>
                <w:color w:val="auto"/>
              </w:rPr>
            </w:pPr>
          </w:p>
        </w:tc>
        <w:tc>
          <w:tcPr>
            <w:tcW w:w="20" w:type="dxa"/>
            <w:vAlign w:val="bottom"/>
            <w:shd w:val="clear" w:color="auto" w:fill="E93BAC"/>
          </w:tcPr>
          <w:p>
            <w:pPr>
              <w:spacing w:after="0"/>
              <w:rPr>
                <w:sz w:val="24"/>
                <w:szCs w:val="24"/>
                <w:color w:val="auto"/>
              </w:rPr>
            </w:pPr>
          </w:p>
        </w:tc>
      </w:tr>
      <w:tr>
        <w:trPr>
          <w:trHeight w:val="142"/>
        </w:trPr>
        <w:tc>
          <w:tcPr>
            <w:tcW w:w="4600" w:type="dxa"/>
            <w:vAlign w:val="bottom"/>
            <w:shd w:val="clear" w:color="auto" w:fill="E93BAC"/>
          </w:tcPr>
          <w:p>
            <w:pPr>
              <w:spacing w:after="0"/>
              <w:rPr>
                <w:sz w:val="12"/>
                <w:szCs w:val="12"/>
                <w:color w:val="auto"/>
              </w:rPr>
            </w:pPr>
          </w:p>
        </w:tc>
        <w:tc>
          <w:tcPr>
            <w:tcW w:w="2560" w:type="dxa"/>
            <w:vAlign w:val="bottom"/>
            <w:shd w:val="clear" w:color="auto" w:fill="E93BAC"/>
          </w:tcPr>
          <w:p>
            <w:pPr>
              <w:spacing w:after="0"/>
              <w:rPr>
                <w:sz w:val="12"/>
                <w:szCs w:val="12"/>
                <w:color w:val="auto"/>
              </w:rPr>
            </w:pPr>
          </w:p>
        </w:tc>
        <w:tc>
          <w:tcPr>
            <w:tcW w:w="1060" w:type="dxa"/>
            <w:vAlign w:val="bottom"/>
            <w:shd w:val="clear" w:color="auto" w:fill="E93BAC"/>
          </w:tcPr>
          <w:p>
            <w:pPr>
              <w:spacing w:after="0"/>
              <w:rPr>
                <w:sz w:val="12"/>
                <w:szCs w:val="12"/>
                <w:color w:val="auto"/>
              </w:rPr>
            </w:pPr>
          </w:p>
        </w:tc>
        <w:tc>
          <w:tcPr>
            <w:tcW w:w="1080" w:type="dxa"/>
            <w:vAlign w:val="bottom"/>
            <w:shd w:val="clear" w:color="auto" w:fill="E93BAC"/>
          </w:tcPr>
          <w:p>
            <w:pPr>
              <w:spacing w:after="0"/>
              <w:rPr>
                <w:sz w:val="12"/>
                <w:szCs w:val="12"/>
                <w:color w:val="auto"/>
              </w:rPr>
            </w:pPr>
          </w:p>
        </w:tc>
        <w:tc>
          <w:tcPr>
            <w:tcW w:w="1220" w:type="dxa"/>
            <w:vAlign w:val="bottom"/>
            <w:shd w:val="clear" w:color="auto" w:fill="E93BAC"/>
          </w:tcPr>
          <w:p>
            <w:pPr>
              <w:spacing w:after="0"/>
              <w:rPr>
                <w:sz w:val="12"/>
                <w:szCs w:val="12"/>
                <w:color w:val="auto"/>
              </w:rPr>
            </w:pPr>
          </w:p>
        </w:tc>
        <w:tc>
          <w:tcPr>
            <w:tcW w:w="700" w:type="dxa"/>
            <w:vAlign w:val="bottom"/>
            <w:shd w:val="clear" w:color="auto" w:fill="E93BAC"/>
          </w:tcPr>
          <w:p>
            <w:pPr>
              <w:spacing w:after="0"/>
              <w:rPr>
                <w:sz w:val="12"/>
                <w:szCs w:val="12"/>
                <w:color w:val="auto"/>
              </w:rPr>
            </w:pPr>
          </w:p>
        </w:tc>
        <w:tc>
          <w:tcPr>
            <w:tcW w:w="20" w:type="dxa"/>
            <w:vAlign w:val="bottom"/>
            <w:shd w:val="clear" w:color="auto" w:fill="E93BAC"/>
          </w:tcPr>
          <w:p>
            <w:pPr>
              <w:spacing w:after="0"/>
              <w:rPr>
                <w:sz w:val="12"/>
                <w:szCs w:val="12"/>
                <w:color w:val="auto"/>
              </w:rPr>
            </w:pPr>
          </w:p>
        </w:tc>
      </w:tr>
      <w:tr>
        <w:trPr>
          <w:trHeight w:val="386"/>
        </w:trPr>
        <w:tc>
          <w:tcPr>
            <w:tcW w:w="4600" w:type="dxa"/>
            <w:vAlign w:val="bottom"/>
          </w:tcPr>
          <w:p>
            <w:pPr>
              <w:spacing w:after="0"/>
              <w:rPr>
                <w:sz w:val="20"/>
                <w:szCs w:val="20"/>
                <w:color w:val="auto"/>
              </w:rPr>
            </w:pPr>
            <w:r>
              <w:rPr>
                <w:rFonts w:ascii="Arial" w:cs="Arial" w:eastAsia="Arial" w:hAnsi="Arial"/>
                <w:sz w:val="18"/>
                <w:szCs w:val="18"/>
                <w:b w:val="1"/>
                <w:bCs w:val="1"/>
                <w:color w:val="auto"/>
              </w:rPr>
              <w:t>12.6.4. BCP Stand-alone</w:t>
            </w:r>
          </w:p>
        </w:tc>
        <w:tc>
          <w:tcPr>
            <w:tcW w:w="2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160" w:type="dxa"/>
            <w:vAlign w:val="bottom"/>
            <w:gridSpan w:val="2"/>
          </w:tcPr>
          <w:p>
            <w:pPr>
              <w:jc w:val="center"/>
              <w:ind w:left="4014"/>
              <w:spacing w:after="0" w:line="202" w:lineRule="exact"/>
              <w:rPr>
                <w:sz w:val="20"/>
                <w:szCs w:val="20"/>
                <w:color w:val="auto"/>
              </w:rPr>
            </w:pPr>
            <w:r>
              <w:rPr>
                <w:rFonts w:ascii="Arial" w:cs="Arial" w:eastAsia="Arial" w:hAnsi="Arial"/>
                <w:sz w:val="18"/>
                <w:szCs w:val="18"/>
                <w:b w:val="1"/>
                <w:bCs w:val="1"/>
                <w:color w:val="auto"/>
                <w:w w:val="99"/>
              </w:rPr>
              <w:t>Statement of Financial Position</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46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center"/>
              <w:ind w:right="456"/>
              <w:spacing w:after="0"/>
              <w:rPr>
                <w:sz w:val="20"/>
                <w:szCs w:val="20"/>
                <w:color w:val="auto"/>
              </w:rPr>
            </w:pPr>
            <w:r>
              <w:rPr>
                <w:rFonts w:ascii="Arial" w:cs="Arial" w:eastAsia="Arial" w:hAnsi="Arial"/>
                <w:sz w:val="18"/>
                <w:szCs w:val="18"/>
                <w:b w:val="1"/>
                <w:bCs w:val="1"/>
                <w:color w:val="auto"/>
                <w:w w:val="99"/>
              </w:rPr>
              <w:t>(S/ thousands, IFRS)</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56"/>
        </w:trPr>
        <w:tc>
          <w:tcPr>
            <w:tcW w:w="4600" w:type="dxa"/>
            <w:vAlign w:val="bottom"/>
            <w:shd w:val="clear" w:color="auto" w:fill="2AD2C9"/>
          </w:tcPr>
          <w:p>
            <w:pPr>
              <w:spacing w:after="0"/>
              <w:rPr>
                <w:sz w:val="13"/>
                <w:szCs w:val="13"/>
                <w:color w:val="auto"/>
              </w:rPr>
            </w:pPr>
          </w:p>
        </w:tc>
        <w:tc>
          <w:tcPr>
            <w:tcW w:w="2560" w:type="dxa"/>
            <w:vAlign w:val="bottom"/>
            <w:shd w:val="clear" w:color="auto" w:fill="2AD2C9"/>
          </w:tcPr>
          <w:p>
            <w:pPr>
              <w:spacing w:after="0"/>
              <w:rPr>
                <w:sz w:val="13"/>
                <w:szCs w:val="13"/>
                <w:color w:val="auto"/>
              </w:rPr>
            </w:pPr>
          </w:p>
        </w:tc>
        <w:tc>
          <w:tcPr>
            <w:tcW w:w="1060" w:type="dxa"/>
            <w:vAlign w:val="bottom"/>
            <w:shd w:val="clear" w:color="auto" w:fill="2AD2C9"/>
          </w:tcPr>
          <w:p>
            <w:pPr>
              <w:ind w:left="340"/>
              <w:spacing w:after="0"/>
              <w:rPr>
                <w:sz w:val="20"/>
                <w:szCs w:val="20"/>
                <w:color w:val="auto"/>
              </w:rPr>
            </w:pPr>
            <w:r>
              <w:rPr>
                <w:rFonts w:ascii="Arial" w:cs="Arial" w:eastAsia="Arial" w:hAnsi="Arial"/>
                <w:sz w:val="13"/>
                <w:szCs w:val="13"/>
                <w:b w:val="1"/>
                <w:bCs w:val="1"/>
                <w:color w:val="FFFFFF"/>
              </w:rPr>
              <w:t>As of</w:t>
            </w:r>
          </w:p>
        </w:tc>
        <w:tc>
          <w:tcPr>
            <w:tcW w:w="1080" w:type="dxa"/>
            <w:vAlign w:val="bottom"/>
            <w:shd w:val="clear" w:color="auto" w:fill="2AD2C9"/>
          </w:tcPr>
          <w:p>
            <w:pPr>
              <w:spacing w:after="0"/>
              <w:rPr>
                <w:sz w:val="13"/>
                <w:szCs w:val="13"/>
                <w:color w:val="auto"/>
              </w:rPr>
            </w:pPr>
          </w:p>
        </w:tc>
        <w:tc>
          <w:tcPr>
            <w:tcW w:w="1220" w:type="dxa"/>
            <w:vAlign w:val="bottom"/>
            <w:shd w:val="clear" w:color="auto" w:fill="2AD2C9"/>
          </w:tcPr>
          <w:p>
            <w:pPr>
              <w:ind w:left="640"/>
              <w:spacing w:after="0"/>
              <w:rPr>
                <w:sz w:val="20"/>
                <w:szCs w:val="20"/>
                <w:color w:val="auto"/>
              </w:rPr>
            </w:pPr>
            <w:r>
              <w:rPr>
                <w:rFonts w:ascii="Arial" w:cs="Arial" w:eastAsia="Arial" w:hAnsi="Arial"/>
                <w:sz w:val="13"/>
                <w:szCs w:val="13"/>
                <w:b w:val="1"/>
                <w:bCs w:val="1"/>
                <w:color w:val="FFFFFF"/>
                <w:w w:val="92"/>
              </w:rPr>
              <w:t>% change</w:t>
            </w:r>
          </w:p>
        </w:tc>
        <w:tc>
          <w:tcPr>
            <w:tcW w:w="700" w:type="dxa"/>
            <w:vAlign w:val="bottom"/>
            <w:shd w:val="clear" w:color="auto" w:fill="2AD2C9"/>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600" w:type="dxa"/>
            <w:vAlign w:val="bottom"/>
            <w:tcBorders>
              <w:bottom w:val="single" w:sz="8" w:color="auto"/>
            </w:tcBorders>
            <w:shd w:val="clear" w:color="auto" w:fill="2AD2C9"/>
          </w:tcPr>
          <w:p>
            <w:pPr>
              <w:spacing w:after="0"/>
              <w:rPr>
                <w:sz w:val="14"/>
                <w:szCs w:val="14"/>
                <w:color w:val="auto"/>
              </w:rPr>
            </w:pPr>
          </w:p>
        </w:tc>
        <w:tc>
          <w:tcPr>
            <w:tcW w:w="2560" w:type="dxa"/>
            <w:vAlign w:val="bottom"/>
            <w:tcBorders>
              <w:bottom w:val="single" w:sz="8" w:color="auto"/>
            </w:tcBorders>
            <w:shd w:val="clear" w:color="auto" w:fill="2AD2C9"/>
          </w:tcPr>
          <w:p>
            <w:pPr>
              <w:ind w:left="1840"/>
              <w:spacing w:after="0"/>
              <w:rPr>
                <w:sz w:val="20"/>
                <w:szCs w:val="20"/>
                <w:color w:val="auto"/>
              </w:rPr>
            </w:pPr>
            <w:r>
              <w:rPr>
                <w:rFonts w:ascii="Arial" w:cs="Arial" w:eastAsia="Arial" w:hAnsi="Arial"/>
                <w:sz w:val="13"/>
                <w:szCs w:val="13"/>
                <w:b w:val="1"/>
                <w:bCs w:val="1"/>
                <w:color w:val="FFFFFF"/>
              </w:rPr>
              <w:t>Mar 23</w:t>
            </w:r>
          </w:p>
        </w:tc>
        <w:tc>
          <w:tcPr>
            <w:tcW w:w="106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Dec 23</w:t>
            </w:r>
          </w:p>
        </w:tc>
        <w:tc>
          <w:tcPr>
            <w:tcW w:w="10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Mar 24</w:t>
            </w:r>
          </w:p>
        </w:tc>
        <w:tc>
          <w:tcPr>
            <w:tcW w:w="1220" w:type="dxa"/>
            <w:vAlign w:val="bottom"/>
            <w:tcBorders>
              <w:bottom w:val="single" w:sz="8" w:color="auto"/>
            </w:tcBorders>
            <w:shd w:val="clear" w:color="auto" w:fill="2AD2C9"/>
          </w:tcPr>
          <w:p>
            <w:pPr>
              <w:jc w:val="center"/>
              <w:ind w:right="277"/>
              <w:spacing w:after="0"/>
              <w:rPr>
                <w:sz w:val="20"/>
                <w:szCs w:val="20"/>
                <w:color w:val="auto"/>
              </w:rPr>
            </w:pPr>
            <w:r>
              <w:rPr>
                <w:rFonts w:ascii="Arial" w:cs="Arial" w:eastAsia="Arial" w:hAnsi="Arial"/>
                <w:sz w:val="13"/>
                <w:szCs w:val="13"/>
                <w:b w:val="1"/>
                <w:bCs w:val="1"/>
                <w:color w:val="FFFFFF"/>
                <w:w w:val="99"/>
              </w:rPr>
              <w:t>QoQ</w:t>
            </w:r>
          </w:p>
        </w:tc>
        <w:tc>
          <w:tcPr>
            <w:tcW w:w="700" w:type="dxa"/>
            <w:vAlign w:val="bottom"/>
            <w:tcBorders>
              <w:bottom w:val="single" w:sz="8" w:color="auto"/>
            </w:tcBorders>
            <w:shd w:val="clear" w:color="auto" w:fill="2AD2C9"/>
          </w:tcPr>
          <w:p>
            <w:pPr>
              <w:jc w:val="center"/>
              <w:ind w:right="237"/>
              <w:spacing w:after="0"/>
              <w:rPr>
                <w:sz w:val="20"/>
                <w:szCs w:val="20"/>
                <w:color w:val="auto"/>
              </w:rPr>
            </w:pPr>
            <w:r>
              <w:rPr>
                <w:rFonts w:ascii="Arial" w:cs="Arial" w:eastAsia="Arial" w:hAnsi="Arial"/>
                <w:sz w:val="13"/>
                <w:szCs w:val="13"/>
                <w:b w:val="1"/>
                <w:bCs w:val="1"/>
                <w:color w:val="FFFFFF"/>
                <w:w w:val="94"/>
              </w:rPr>
              <w:t>YoY</w:t>
            </w:r>
          </w:p>
        </w:tc>
        <w:tc>
          <w:tcPr>
            <w:tcW w:w="20" w:type="dxa"/>
            <w:vAlign w:val="bottom"/>
            <w:tcBorders>
              <w:bottom w:val="single" w:sz="8" w:color="auto"/>
            </w:tcBorders>
          </w:tcPr>
          <w:p>
            <w:pPr>
              <w:spacing w:after="0"/>
              <w:rPr>
                <w:sz w:val="14"/>
                <w:szCs w:val="14"/>
                <w:color w:val="auto"/>
              </w:rPr>
            </w:pPr>
          </w:p>
        </w:tc>
      </w:tr>
      <w:tr>
        <w:trPr>
          <w:trHeight w:val="151"/>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ASSETS</w:t>
            </w:r>
          </w:p>
        </w:tc>
        <w:tc>
          <w:tcPr>
            <w:tcW w:w="2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Cash and due from banks</w:t>
            </w:r>
          </w:p>
        </w:tc>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Non-interest bearing</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6"/>
              </w:rPr>
              <w:t>4,832,635</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5,236,016</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5,150,933</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-1.6%</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Interest bearing</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26,052,997</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24,554,369</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29,572,183</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7"/>
              </w:rPr>
              <w:t>20.4%</w:t>
            </w:r>
          </w:p>
        </w:tc>
        <w:tc>
          <w:tcPr>
            <w:tcW w:w="700" w:type="dxa"/>
            <w:vAlign w:val="bottom"/>
          </w:tcPr>
          <w:p>
            <w:pPr>
              <w:jc w:val="center"/>
              <w:ind w:right="237"/>
              <w:spacing w:after="0"/>
              <w:rPr>
                <w:sz w:val="20"/>
                <w:szCs w:val="20"/>
                <w:color w:val="auto"/>
              </w:rPr>
            </w:pPr>
            <w:r>
              <w:rPr>
                <w:rFonts w:ascii="Arial" w:cs="Arial" w:eastAsia="Arial" w:hAnsi="Arial"/>
                <w:sz w:val="13"/>
                <w:szCs w:val="13"/>
                <w:color w:val="auto"/>
                <w:w w:val="97"/>
              </w:rPr>
              <w:t>13.5%</w:t>
            </w:r>
          </w:p>
        </w:tc>
        <w:tc>
          <w:tcPr>
            <w:tcW w:w="20" w:type="dxa"/>
            <w:vAlign w:val="bottom"/>
          </w:tcPr>
          <w:p>
            <w:pPr>
              <w:spacing w:after="0"/>
              <w:rPr>
                <w:sz w:val="14"/>
                <w:szCs w:val="14"/>
                <w:color w:val="auto"/>
              </w:rPr>
            </w:pPr>
          </w:p>
        </w:tc>
      </w:tr>
      <w:tr>
        <w:trPr>
          <w:trHeight w:val="172"/>
        </w:trPr>
        <w:tc>
          <w:tcPr>
            <w:tcW w:w="4600" w:type="dxa"/>
            <w:vAlign w:val="bottom"/>
          </w:tcPr>
          <w:p>
            <w:pPr>
              <w:ind w:left="240"/>
              <w:spacing w:after="0"/>
              <w:rPr>
                <w:sz w:val="20"/>
                <w:szCs w:val="20"/>
                <w:color w:val="auto"/>
              </w:rPr>
            </w:pPr>
            <w:r>
              <w:rPr>
                <w:rFonts w:ascii="Arial" w:cs="Arial" w:eastAsia="Arial" w:hAnsi="Arial"/>
                <w:sz w:val="13"/>
                <w:szCs w:val="13"/>
                <w:b w:val="1"/>
                <w:bCs w:val="1"/>
                <w:color w:val="auto"/>
              </w:rPr>
              <w:t>Total Cash and due from banks</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8"/>
              </w:rPr>
              <w:t>30,885,632</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29,790,385</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34,723,116</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16.6%</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12.4%</w:t>
            </w:r>
          </w:p>
        </w:tc>
        <w:tc>
          <w:tcPr>
            <w:tcW w:w="20" w:type="dxa"/>
            <w:vAlign w:val="bottom"/>
          </w:tcPr>
          <w:p>
            <w:pPr>
              <w:spacing w:after="0"/>
              <w:rPr>
                <w:sz w:val="14"/>
                <w:szCs w:val="14"/>
                <w:color w:val="auto"/>
              </w:rPr>
            </w:pPr>
          </w:p>
        </w:tc>
      </w:tr>
      <w:tr>
        <w:trPr>
          <w:trHeight w:val="32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w w:val="99"/>
              </w:rPr>
              <w:t>Cash collateral, reverse repurchase agreements and securities borrowing</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7"/>
              </w:rPr>
              <w:t>232,059</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100,211</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415,202</w:t>
            </w:r>
          </w:p>
        </w:tc>
        <w:tc>
          <w:tcPr>
            <w:tcW w:w="1220" w:type="dxa"/>
            <w:vAlign w:val="bottom"/>
          </w:tcPr>
          <w:p>
            <w:pPr>
              <w:jc w:val="center"/>
              <w:ind w:right="297"/>
              <w:spacing w:after="0"/>
              <w:rPr>
                <w:sz w:val="20"/>
                <w:szCs w:val="20"/>
                <w:color w:val="auto"/>
              </w:rPr>
            </w:pPr>
            <w:r>
              <w:rPr>
                <w:rFonts w:ascii="Arial" w:cs="Arial" w:eastAsia="Arial" w:hAnsi="Arial"/>
                <w:sz w:val="13"/>
                <w:szCs w:val="13"/>
                <w:b w:val="1"/>
                <w:bCs w:val="1"/>
                <w:color w:val="auto"/>
                <w:w w:val="95"/>
              </w:rPr>
              <w:t>314.3%</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78.9%</w:t>
            </w:r>
          </w:p>
        </w:tc>
        <w:tc>
          <w:tcPr>
            <w:tcW w:w="20" w:type="dxa"/>
            <w:vAlign w:val="bottom"/>
          </w:tcPr>
          <w:p>
            <w:pPr>
              <w:spacing w:after="0"/>
              <w:rPr>
                <w:sz w:val="24"/>
                <w:szCs w:val="24"/>
                <w:color w:val="auto"/>
              </w:rPr>
            </w:pPr>
          </w:p>
        </w:tc>
      </w:tr>
      <w:tr>
        <w:trPr>
          <w:trHeight w:val="31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Fair value through profit or loss investments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5"/>
              </w:rPr>
              <w:t>39,638</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362,360</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465,261</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28.4%</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n.a</w:t>
            </w: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Fair value through other comprehensive income investments</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8"/>
              </w:rPr>
              <w:t>16,582,128</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18,178,514</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18,996,635</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4.5%</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14.6%</w:t>
            </w:r>
          </w:p>
        </w:tc>
        <w:tc>
          <w:tcPr>
            <w:tcW w:w="20" w:type="dxa"/>
            <w:vAlign w:val="bottom"/>
          </w:tcPr>
          <w:p>
            <w:pPr>
              <w:spacing w:after="0"/>
              <w:rPr>
                <w:sz w:val="14"/>
                <w:szCs w:val="14"/>
                <w:color w:val="auto"/>
              </w:rPr>
            </w:pPr>
          </w:p>
        </w:tc>
      </w:tr>
      <w:tr>
        <w:trPr>
          <w:trHeight w:val="17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Amortized cost investments</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9,369,229</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9,415,232</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9,250,403</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-1.8%</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w w:val="99"/>
              </w:rPr>
              <w:t>-1.3%</w:t>
            </w:r>
          </w:p>
        </w:tc>
        <w:tc>
          <w:tcPr>
            <w:tcW w:w="20" w:type="dxa"/>
            <w:vAlign w:val="bottom"/>
          </w:tcPr>
          <w:p>
            <w:pPr>
              <w:spacing w:after="0"/>
              <w:rPr>
                <w:sz w:val="14"/>
                <w:szCs w:val="14"/>
                <w:color w:val="auto"/>
              </w:rPr>
            </w:pPr>
          </w:p>
        </w:tc>
      </w:tr>
      <w:tr>
        <w:trPr>
          <w:trHeight w:val="31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Loans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119,751,399</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119,425,134</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4"/>
              </w:rPr>
              <w:t>115,355,734</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-3.4%</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w w:val="99"/>
              </w:rPr>
              <w:t>-3.7%</w:t>
            </w:r>
          </w:p>
        </w:tc>
        <w:tc>
          <w:tcPr>
            <w:tcW w:w="20" w:type="dxa"/>
            <w:vAlign w:val="bottom"/>
          </w:tcPr>
          <w:p>
            <w:pPr>
              <w:spacing w:after="0"/>
              <w:rPr>
                <w:sz w:val="24"/>
                <w:szCs w:val="2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Current</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4"/>
              </w:rPr>
              <w:t>115,009,487</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114,445,408</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4"/>
              </w:rPr>
              <w:t>110,365,981</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-3.6%</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w w:val="99"/>
              </w:rPr>
              <w:t>-4.0%</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Internal overdue loans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6"/>
              </w:rPr>
              <w:t>4,741,912</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4,979,726</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4,989,753</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0.2%</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5.2%</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Less - allowance for loan losses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6"/>
              </w:rPr>
              <w:t>(6,404,541)</w:t>
            </w:r>
          </w:p>
        </w:tc>
        <w:tc>
          <w:tcPr>
            <w:tcW w:w="1060" w:type="dxa"/>
            <w:vAlign w:val="bottom"/>
          </w:tcPr>
          <w:p>
            <w:pPr>
              <w:jc w:val="center"/>
              <w:spacing w:after="0"/>
              <w:rPr>
                <w:sz w:val="20"/>
                <w:szCs w:val="20"/>
                <w:color w:val="auto"/>
              </w:rPr>
            </w:pPr>
            <w:r>
              <w:rPr>
                <w:rFonts w:ascii="Arial" w:cs="Arial" w:eastAsia="Arial" w:hAnsi="Arial"/>
                <w:sz w:val="13"/>
                <w:szCs w:val="13"/>
                <w:color w:val="auto"/>
                <w:w w:val="99"/>
              </w:rPr>
              <w:t>(6,764,601)</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(6,689,926)</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-1.1%</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4.5%</w:t>
            </w:r>
          </w:p>
        </w:tc>
        <w:tc>
          <w:tcPr>
            <w:tcW w:w="20" w:type="dxa"/>
            <w:vAlign w:val="bottom"/>
          </w:tcPr>
          <w:p>
            <w:pPr>
              <w:spacing w:after="0"/>
              <w:rPr>
                <w:sz w:val="14"/>
                <w:szCs w:val="14"/>
                <w:color w:val="auto"/>
              </w:rPr>
            </w:pPr>
          </w:p>
        </w:tc>
      </w:tr>
      <w:tr>
        <w:trPr>
          <w:trHeight w:val="17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Loans, net</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113,346,858</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112,660,533</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108,665,808</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-3.5%</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w w:val="99"/>
              </w:rPr>
              <w:t>-4.1%</w:t>
            </w:r>
          </w:p>
        </w:tc>
        <w:tc>
          <w:tcPr>
            <w:tcW w:w="20" w:type="dxa"/>
            <w:vAlign w:val="bottom"/>
          </w:tcPr>
          <w:p>
            <w:pPr>
              <w:spacing w:after="0"/>
              <w:rPr>
                <w:sz w:val="14"/>
                <w:szCs w:val="14"/>
                <w:color w:val="auto"/>
              </w:rPr>
            </w:pPr>
          </w:p>
        </w:tc>
      </w:tr>
      <w:tr>
        <w:trPr>
          <w:trHeight w:val="31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Property, furniture and equipment, net (1)</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1,238,722</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1,300,690</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1,262,342</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-2.9%</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1.9%</w:t>
            </w:r>
          </w:p>
        </w:tc>
        <w:tc>
          <w:tcPr>
            <w:tcW w:w="20" w:type="dxa"/>
            <w:vAlign w:val="bottom"/>
          </w:tcPr>
          <w:p>
            <w:pPr>
              <w:spacing w:after="0"/>
              <w:rPr>
                <w:sz w:val="24"/>
                <w:szCs w:val="2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Due from customers on acceptances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7"/>
              </w:rPr>
              <w:t>496,170</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412,401</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322,346</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-21.8%</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-35.0%</w:t>
            </w:r>
          </w:p>
        </w:tc>
        <w:tc>
          <w:tcPr>
            <w:tcW w:w="20" w:type="dxa"/>
            <w:vAlign w:val="bottom"/>
          </w:tcPr>
          <w:p>
            <w:pPr>
              <w:spacing w:after="0"/>
              <w:rPr>
                <w:sz w:val="14"/>
                <w:szCs w:val="1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Investments in associates</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2,736,368</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2,917,670</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2,570,974</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-11.9%</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w w:val="99"/>
              </w:rPr>
              <w:t>-6.0%</w:t>
            </w:r>
          </w:p>
        </w:tc>
        <w:tc>
          <w:tcPr>
            <w:tcW w:w="20" w:type="dxa"/>
            <w:vAlign w:val="bottom"/>
          </w:tcPr>
          <w:p>
            <w:pPr>
              <w:spacing w:after="0"/>
              <w:rPr>
                <w:sz w:val="14"/>
                <w:szCs w:val="14"/>
                <w:color w:val="auto"/>
              </w:rPr>
            </w:pPr>
          </w:p>
        </w:tc>
      </w:tr>
      <w:tr>
        <w:trPr>
          <w:trHeight w:val="17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Other assets (2)</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6,203,938</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5,776,165</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6,647,263</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15.1%</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7.1%</w:t>
            </w:r>
          </w:p>
        </w:tc>
        <w:tc>
          <w:tcPr>
            <w:tcW w:w="20" w:type="dxa"/>
            <w:vAlign w:val="bottom"/>
          </w:tcPr>
          <w:p>
            <w:pPr>
              <w:spacing w:after="0"/>
              <w:rPr>
                <w:sz w:val="14"/>
                <w:szCs w:val="14"/>
                <w:color w:val="auto"/>
              </w:rPr>
            </w:pPr>
          </w:p>
        </w:tc>
      </w:tr>
      <w:tr>
        <w:trPr>
          <w:trHeight w:val="324"/>
        </w:trPr>
        <w:tc>
          <w:tcPr>
            <w:tcW w:w="4600" w:type="dxa"/>
            <w:vAlign w:val="bottom"/>
          </w:tcPr>
          <w:p>
            <w:pPr>
              <w:jc w:val="center"/>
              <w:ind w:left="1434"/>
              <w:spacing w:after="0"/>
              <w:rPr>
                <w:sz w:val="20"/>
                <w:szCs w:val="20"/>
                <w:color w:val="auto"/>
              </w:rPr>
            </w:pPr>
            <w:r>
              <w:rPr>
                <w:rFonts w:ascii="Arial" w:cs="Arial" w:eastAsia="Arial" w:hAnsi="Arial"/>
                <w:sz w:val="13"/>
                <w:szCs w:val="13"/>
                <w:b w:val="1"/>
                <w:bCs w:val="1"/>
                <w:color w:val="auto"/>
                <w:w w:val="95"/>
              </w:rPr>
              <w:t>Total Assets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181,130,742</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180,914,161</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183,319,350</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1.3%</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1.2%</w:t>
            </w:r>
          </w:p>
        </w:tc>
        <w:tc>
          <w:tcPr>
            <w:tcW w:w="20" w:type="dxa"/>
            <w:vAlign w:val="bottom"/>
          </w:tcPr>
          <w:p>
            <w:pPr>
              <w:spacing w:after="0"/>
              <w:rPr>
                <w:sz w:val="24"/>
                <w:szCs w:val="24"/>
                <w:color w:val="auto"/>
              </w:rPr>
            </w:pPr>
          </w:p>
        </w:tc>
      </w:tr>
      <w:tr>
        <w:trPr>
          <w:trHeight w:val="31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Liabilities and Equity</w:t>
            </w:r>
          </w:p>
        </w:tc>
        <w:tc>
          <w:tcPr>
            <w:tcW w:w="2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Deposits and obligations</w:t>
            </w:r>
          </w:p>
        </w:tc>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Non-interest bearing</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37,968,322</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39,385,047</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38,529,409</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-2.2%</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Interest bearing</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84,477,317</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83,047,645</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84,392,216</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1.6%</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w w:val="99"/>
              </w:rPr>
              <w:t>-0.1%</w:t>
            </w:r>
          </w:p>
        </w:tc>
        <w:tc>
          <w:tcPr>
            <w:tcW w:w="20" w:type="dxa"/>
            <w:vAlign w:val="bottom"/>
          </w:tcPr>
          <w:p>
            <w:pPr>
              <w:spacing w:after="0"/>
              <w:rPr>
                <w:sz w:val="14"/>
                <w:szCs w:val="14"/>
                <w:color w:val="auto"/>
              </w:rPr>
            </w:pPr>
          </w:p>
        </w:tc>
      </w:tr>
      <w:tr>
        <w:trPr>
          <w:trHeight w:val="172"/>
        </w:trPr>
        <w:tc>
          <w:tcPr>
            <w:tcW w:w="4600" w:type="dxa"/>
            <w:vAlign w:val="bottom"/>
          </w:tcPr>
          <w:p>
            <w:pPr>
              <w:ind w:left="240"/>
              <w:spacing w:after="0"/>
              <w:rPr>
                <w:sz w:val="20"/>
                <w:szCs w:val="20"/>
                <w:color w:val="auto"/>
              </w:rPr>
            </w:pPr>
            <w:r>
              <w:rPr>
                <w:rFonts w:ascii="Arial" w:cs="Arial" w:eastAsia="Arial" w:hAnsi="Arial"/>
                <w:sz w:val="13"/>
                <w:szCs w:val="13"/>
                <w:b w:val="1"/>
                <w:bCs w:val="1"/>
                <w:color w:val="auto"/>
              </w:rPr>
              <w:t>Total deposits and obligations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122,445,639</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122,432,692</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122,921,625</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0.4%</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0.4%</w:t>
            </w:r>
          </w:p>
        </w:tc>
        <w:tc>
          <w:tcPr>
            <w:tcW w:w="20" w:type="dxa"/>
            <w:vAlign w:val="bottom"/>
          </w:tcPr>
          <w:p>
            <w:pPr>
              <w:spacing w:after="0"/>
              <w:rPr>
                <w:sz w:val="14"/>
                <w:szCs w:val="14"/>
                <w:color w:val="auto"/>
              </w:rPr>
            </w:pPr>
          </w:p>
        </w:tc>
      </w:tr>
      <w:tr>
        <w:trPr>
          <w:trHeight w:val="31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Payables from repurchase agreements and securities lending</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9,578,869</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7,583,520</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6,816,019</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-10.1%</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-28.8%</w:t>
            </w:r>
          </w:p>
        </w:tc>
        <w:tc>
          <w:tcPr>
            <w:tcW w:w="20" w:type="dxa"/>
            <w:vAlign w:val="bottom"/>
          </w:tcPr>
          <w:p>
            <w:pPr>
              <w:spacing w:after="0"/>
              <w:rPr>
                <w:sz w:val="24"/>
                <w:szCs w:val="2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BCRP instruments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6"/>
              </w:rPr>
              <w:t>9,040,723</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7,039,350</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6,281,592</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7"/>
              </w:rPr>
              <w:t>-10.8%</w:t>
            </w:r>
          </w:p>
        </w:tc>
        <w:tc>
          <w:tcPr>
            <w:tcW w:w="700" w:type="dxa"/>
            <w:vAlign w:val="bottom"/>
          </w:tcPr>
          <w:p>
            <w:pPr>
              <w:jc w:val="center"/>
              <w:ind w:right="237"/>
              <w:spacing w:after="0"/>
              <w:rPr>
                <w:sz w:val="20"/>
                <w:szCs w:val="20"/>
                <w:color w:val="auto"/>
              </w:rPr>
            </w:pPr>
            <w:r>
              <w:rPr>
                <w:rFonts w:ascii="Arial" w:cs="Arial" w:eastAsia="Arial" w:hAnsi="Arial"/>
                <w:sz w:val="13"/>
                <w:szCs w:val="13"/>
                <w:color w:val="auto"/>
                <w:w w:val="97"/>
              </w:rPr>
              <w:t>-30.5%</w:t>
            </w:r>
          </w:p>
        </w:tc>
        <w:tc>
          <w:tcPr>
            <w:tcW w:w="20" w:type="dxa"/>
            <w:vAlign w:val="bottom"/>
          </w:tcPr>
          <w:p>
            <w:pPr>
              <w:spacing w:after="0"/>
              <w:rPr>
                <w:sz w:val="14"/>
                <w:szCs w:val="14"/>
                <w:color w:val="auto"/>
              </w:rPr>
            </w:pPr>
          </w:p>
        </w:tc>
      </w:tr>
      <w:tr>
        <w:trPr>
          <w:trHeight w:val="166"/>
        </w:trPr>
        <w:tc>
          <w:tcPr>
            <w:tcW w:w="4600" w:type="dxa"/>
            <w:vAlign w:val="bottom"/>
          </w:tcPr>
          <w:p>
            <w:pPr>
              <w:ind w:left="240"/>
              <w:spacing w:after="0"/>
              <w:rPr>
                <w:sz w:val="20"/>
                <w:szCs w:val="20"/>
                <w:color w:val="auto"/>
              </w:rPr>
            </w:pPr>
            <w:r>
              <w:rPr>
                <w:rFonts w:ascii="Arial" w:cs="Arial" w:eastAsia="Arial" w:hAnsi="Arial"/>
                <w:sz w:val="13"/>
                <w:szCs w:val="13"/>
                <w:color w:val="auto"/>
              </w:rPr>
              <w:t>Repurchase agreements with third parties</w:t>
            </w:r>
          </w:p>
        </w:tc>
        <w:tc>
          <w:tcPr>
            <w:tcW w:w="2560" w:type="dxa"/>
            <w:vAlign w:val="bottom"/>
          </w:tcPr>
          <w:p>
            <w:pPr>
              <w:jc w:val="center"/>
              <w:ind w:left="1476"/>
              <w:spacing w:after="0"/>
              <w:rPr>
                <w:sz w:val="20"/>
                <w:szCs w:val="20"/>
                <w:color w:val="auto"/>
              </w:rPr>
            </w:pPr>
            <w:r>
              <w:rPr>
                <w:rFonts w:ascii="Arial" w:cs="Arial" w:eastAsia="Arial" w:hAnsi="Arial"/>
                <w:sz w:val="13"/>
                <w:szCs w:val="13"/>
                <w:color w:val="auto"/>
                <w:w w:val="97"/>
              </w:rPr>
              <w:t>538,146</w:t>
            </w:r>
          </w:p>
        </w:tc>
        <w:tc>
          <w:tcPr>
            <w:tcW w:w="1060" w:type="dxa"/>
            <w:vAlign w:val="bottom"/>
          </w:tcPr>
          <w:p>
            <w:pPr>
              <w:jc w:val="center"/>
              <w:spacing w:after="0"/>
              <w:rPr>
                <w:sz w:val="20"/>
                <w:szCs w:val="20"/>
                <w:color w:val="auto"/>
              </w:rPr>
            </w:pPr>
            <w:r>
              <w:rPr>
                <w:rFonts w:ascii="Arial" w:cs="Arial" w:eastAsia="Arial" w:hAnsi="Arial"/>
                <w:sz w:val="13"/>
                <w:szCs w:val="13"/>
                <w:color w:val="auto"/>
                <w:w w:val="97"/>
              </w:rPr>
              <w:t>544,170</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3"/>
              </w:rPr>
              <w:t>534,427</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-1.8%</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w w:val="99"/>
              </w:rPr>
              <w:t>-0.7%</w:t>
            </w:r>
          </w:p>
        </w:tc>
        <w:tc>
          <w:tcPr>
            <w:tcW w:w="20" w:type="dxa"/>
            <w:vAlign w:val="bottom"/>
          </w:tcPr>
          <w:p>
            <w:pPr>
              <w:spacing w:after="0"/>
              <w:rPr>
                <w:sz w:val="14"/>
                <w:szCs w:val="14"/>
                <w:color w:val="auto"/>
              </w:rPr>
            </w:pPr>
          </w:p>
        </w:tc>
      </w:tr>
      <w:tr>
        <w:trPr>
          <w:trHeight w:val="320"/>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Due to banks and correspondents</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8,535,930</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10,497,414</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8,830,355</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-15.9%</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3.4%</w:t>
            </w:r>
          </w:p>
        </w:tc>
        <w:tc>
          <w:tcPr>
            <w:tcW w:w="20" w:type="dxa"/>
            <w:vAlign w:val="bottom"/>
          </w:tcPr>
          <w:p>
            <w:pPr>
              <w:spacing w:after="0"/>
              <w:rPr>
                <w:sz w:val="24"/>
                <w:szCs w:val="2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Bonds and notes issued</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8"/>
              </w:rPr>
              <w:t>10,396,500</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10,350,260</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13,316,718</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28.7%</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28.1%</w:t>
            </w:r>
          </w:p>
        </w:tc>
        <w:tc>
          <w:tcPr>
            <w:tcW w:w="20" w:type="dxa"/>
            <w:vAlign w:val="bottom"/>
          </w:tcPr>
          <w:p>
            <w:pPr>
              <w:spacing w:after="0"/>
              <w:rPr>
                <w:sz w:val="14"/>
                <w:szCs w:val="1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Banker’s acceptances outstanding</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7"/>
              </w:rPr>
              <w:t>496,170</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412,401</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322,346</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-21.8%</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-35.0%</w:t>
            </w:r>
          </w:p>
        </w:tc>
        <w:tc>
          <w:tcPr>
            <w:tcW w:w="20" w:type="dxa"/>
            <w:vAlign w:val="bottom"/>
          </w:tcPr>
          <w:p>
            <w:pPr>
              <w:spacing w:after="0"/>
              <w:rPr>
                <w:sz w:val="14"/>
                <w:szCs w:val="1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Financial liabilities at fair value through profit or loss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7"/>
              </w:rPr>
              <w:t>193,031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91,966</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1"/>
              </w:rPr>
              <w:t>-</w:t>
            </w:r>
          </w:p>
        </w:tc>
        <w:tc>
          <w:tcPr>
            <w:tcW w:w="1220" w:type="dxa"/>
            <w:vAlign w:val="bottom"/>
          </w:tcPr>
          <w:p>
            <w:pPr>
              <w:jc w:val="center"/>
              <w:ind w:right="297"/>
              <w:spacing w:after="0"/>
              <w:rPr>
                <w:sz w:val="20"/>
                <w:szCs w:val="20"/>
                <w:color w:val="auto"/>
              </w:rPr>
            </w:pPr>
            <w:r>
              <w:rPr>
                <w:rFonts w:ascii="Arial" w:cs="Arial" w:eastAsia="Arial" w:hAnsi="Arial"/>
                <w:sz w:val="13"/>
                <w:szCs w:val="13"/>
                <w:b w:val="1"/>
                <w:bCs w:val="1"/>
                <w:color w:val="auto"/>
                <w:w w:val="95"/>
              </w:rPr>
              <w:t>n.a</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n.a</w:t>
            </w: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Other liabilities (3)</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6"/>
              </w:rPr>
              <w:t>7,705,309</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4,544,335</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8,792,640</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93.5%</w:t>
            </w:r>
          </w:p>
        </w:tc>
        <w:tc>
          <w:tcPr>
            <w:tcW w:w="700" w:type="dxa"/>
            <w:vAlign w:val="bottom"/>
          </w:tcPr>
          <w:p>
            <w:pPr>
              <w:jc w:val="center"/>
              <w:ind w:right="237"/>
              <w:spacing w:after="0"/>
              <w:rPr>
                <w:sz w:val="20"/>
                <w:szCs w:val="20"/>
                <w:color w:val="auto"/>
              </w:rPr>
            </w:pPr>
            <w:r>
              <w:rPr>
                <w:rFonts w:ascii="Arial" w:cs="Arial" w:eastAsia="Arial" w:hAnsi="Arial"/>
                <w:sz w:val="13"/>
                <w:szCs w:val="13"/>
                <w:b w:val="1"/>
                <w:bCs w:val="1"/>
                <w:color w:val="auto"/>
                <w:w w:val="97"/>
              </w:rPr>
              <w:t>14.1%</w:t>
            </w:r>
          </w:p>
        </w:tc>
        <w:tc>
          <w:tcPr>
            <w:tcW w:w="20" w:type="dxa"/>
            <w:vAlign w:val="bottom"/>
          </w:tcPr>
          <w:p>
            <w:pPr>
              <w:spacing w:after="0"/>
              <w:rPr>
                <w:sz w:val="14"/>
                <w:szCs w:val="14"/>
                <w:color w:val="auto"/>
              </w:rPr>
            </w:pPr>
          </w:p>
        </w:tc>
      </w:tr>
      <w:tr>
        <w:trPr>
          <w:trHeight w:val="172"/>
        </w:trPr>
        <w:tc>
          <w:tcPr>
            <w:tcW w:w="4600" w:type="dxa"/>
            <w:vAlign w:val="bottom"/>
          </w:tcPr>
          <w:p>
            <w:pPr>
              <w:jc w:val="center"/>
              <w:ind w:left="1434"/>
              <w:spacing w:after="0"/>
              <w:rPr>
                <w:sz w:val="20"/>
                <w:szCs w:val="20"/>
                <w:color w:val="auto"/>
              </w:rPr>
            </w:pPr>
            <w:r>
              <w:rPr>
                <w:rFonts w:ascii="Arial" w:cs="Arial" w:eastAsia="Arial" w:hAnsi="Arial"/>
                <w:sz w:val="13"/>
                <w:szCs w:val="13"/>
                <w:b w:val="1"/>
                <w:bCs w:val="1"/>
                <w:color w:val="auto"/>
                <w:w w:val="95"/>
              </w:rPr>
              <w:t>Total Liabilities</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159,351,448</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155,912,588</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160,999,703</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3.3%</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1.0%</w:t>
            </w:r>
          </w:p>
        </w:tc>
        <w:tc>
          <w:tcPr>
            <w:tcW w:w="20" w:type="dxa"/>
            <w:vAlign w:val="bottom"/>
          </w:tcPr>
          <w:p>
            <w:pPr>
              <w:spacing w:after="0"/>
              <w:rPr>
                <w:sz w:val="14"/>
                <w:szCs w:val="14"/>
                <w:color w:val="auto"/>
              </w:rPr>
            </w:pPr>
          </w:p>
        </w:tc>
      </w:tr>
      <w:tr>
        <w:trPr>
          <w:trHeight w:val="476"/>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Net equity</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8"/>
              </w:rPr>
              <w:t>21,779,294</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25,001,573</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22,319,647</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-10.7%</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2.5%</w:t>
            </w:r>
          </w:p>
        </w:tc>
        <w:tc>
          <w:tcPr>
            <w:tcW w:w="20" w:type="dxa"/>
            <w:vAlign w:val="bottom"/>
          </w:tcPr>
          <w:p>
            <w:pPr>
              <w:spacing w:after="0"/>
              <w:rPr>
                <w:sz w:val="24"/>
                <w:szCs w:val="2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Capital stock</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12,679,794</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12,679,794</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12,679,794</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0.0%</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0.0%</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Reserves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6"/>
              </w:rPr>
              <w:t>6,820,019</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6,372,059</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6,372,059</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0.0%</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w w:val="99"/>
              </w:rPr>
              <w:t>-6.6%</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Unrealized gains and losses</w:t>
            </w:r>
          </w:p>
        </w:tc>
        <w:tc>
          <w:tcPr>
            <w:tcW w:w="2560" w:type="dxa"/>
            <w:vAlign w:val="bottom"/>
          </w:tcPr>
          <w:p>
            <w:pPr>
              <w:jc w:val="center"/>
              <w:ind w:left="1476"/>
              <w:spacing w:after="0"/>
              <w:rPr>
                <w:sz w:val="20"/>
                <w:szCs w:val="20"/>
                <w:color w:val="auto"/>
              </w:rPr>
            </w:pPr>
            <w:r>
              <w:rPr>
                <w:rFonts w:ascii="Arial" w:cs="Arial" w:eastAsia="Arial" w:hAnsi="Arial"/>
                <w:sz w:val="13"/>
                <w:szCs w:val="13"/>
                <w:color w:val="auto"/>
                <w:w w:val="96"/>
              </w:rPr>
              <w:t>(467,041)</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(109,202)</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(161,369)</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7"/>
              </w:rPr>
              <w:t>47.8%</w:t>
            </w:r>
          </w:p>
        </w:tc>
        <w:tc>
          <w:tcPr>
            <w:tcW w:w="700" w:type="dxa"/>
            <w:vAlign w:val="bottom"/>
          </w:tcPr>
          <w:p>
            <w:pPr>
              <w:jc w:val="center"/>
              <w:ind w:right="237"/>
              <w:spacing w:after="0"/>
              <w:rPr>
                <w:sz w:val="20"/>
                <w:szCs w:val="20"/>
                <w:color w:val="auto"/>
              </w:rPr>
            </w:pPr>
            <w:r>
              <w:rPr>
                <w:rFonts w:ascii="Arial" w:cs="Arial" w:eastAsia="Arial" w:hAnsi="Arial"/>
                <w:sz w:val="13"/>
                <w:szCs w:val="13"/>
                <w:color w:val="auto"/>
                <w:w w:val="97"/>
              </w:rPr>
              <w:t>-65.4%</w:t>
            </w:r>
          </w:p>
        </w:tc>
        <w:tc>
          <w:tcPr>
            <w:tcW w:w="20" w:type="dxa"/>
            <w:vAlign w:val="bottom"/>
          </w:tcPr>
          <w:p>
            <w:pPr>
              <w:spacing w:after="0"/>
              <w:rPr>
                <w:sz w:val="14"/>
                <w:szCs w:val="14"/>
                <w:color w:val="auto"/>
              </w:rPr>
            </w:pPr>
          </w:p>
        </w:tc>
      </w:tr>
      <w:tr>
        <w:trPr>
          <w:trHeight w:val="162"/>
        </w:trPr>
        <w:tc>
          <w:tcPr>
            <w:tcW w:w="4600" w:type="dxa"/>
            <w:vAlign w:val="bottom"/>
          </w:tcPr>
          <w:p>
            <w:pPr>
              <w:ind w:left="240"/>
              <w:spacing w:after="0"/>
              <w:rPr>
                <w:sz w:val="20"/>
                <w:szCs w:val="20"/>
                <w:color w:val="auto"/>
              </w:rPr>
            </w:pPr>
            <w:r>
              <w:rPr>
                <w:rFonts w:ascii="Arial" w:cs="Arial" w:eastAsia="Arial" w:hAnsi="Arial"/>
                <w:sz w:val="13"/>
                <w:szCs w:val="13"/>
                <w:color w:val="auto"/>
              </w:rPr>
              <w:t>Retained earnings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6"/>
              </w:rPr>
              <w:t>2,746,522</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6,058,922</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3,429,163</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7"/>
              </w:rPr>
              <w:t>-43.4%</w:t>
            </w:r>
          </w:p>
        </w:tc>
        <w:tc>
          <w:tcPr>
            <w:tcW w:w="700" w:type="dxa"/>
            <w:vAlign w:val="bottom"/>
          </w:tcPr>
          <w:p>
            <w:pPr>
              <w:jc w:val="center"/>
              <w:ind w:right="237"/>
              <w:spacing w:after="0"/>
              <w:rPr>
                <w:sz w:val="20"/>
                <w:szCs w:val="20"/>
                <w:color w:val="auto"/>
              </w:rPr>
            </w:pPr>
            <w:r>
              <w:rPr>
                <w:rFonts w:ascii="Arial" w:cs="Arial" w:eastAsia="Arial" w:hAnsi="Arial"/>
                <w:sz w:val="13"/>
                <w:szCs w:val="13"/>
                <w:color w:val="auto"/>
                <w:w w:val="97"/>
              </w:rPr>
              <w:t>24.9%</w:t>
            </w:r>
          </w:p>
        </w:tc>
        <w:tc>
          <w:tcPr>
            <w:tcW w:w="20" w:type="dxa"/>
            <w:vAlign w:val="bottom"/>
          </w:tcPr>
          <w:p>
            <w:pPr>
              <w:spacing w:after="0"/>
              <w:rPr>
                <w:sz w:val="14"/>
                <w:szCs w:val="14"/>
                <w:color w:val="auto"/>
              </w:rPr>
            </w:pPr>
          </w:p>
        </w:tc>
      </w:tr>
      <w:tr>
        <w:trPr>
          <w:trHeight w:val="166"/>
        </w:trPr>
        <w:tc>
          <w:tcPr>
            <w:tcW w:w="4600" w:type="dxa"/>
            <w:vAlign w:val="bottom"/>
          </w:tcPr>
          <w:p>
            <w:pPr>
              <w:spacing w:after="0"/>
              <w:rPr>
                <w:sz w:val="14"/>
                <w:szCs w:val="14"/>
                <w:color w:val="auto"/>
              </w:rPr>
            </w:pP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1"/>
              </w:rPr>
              <w:t>-</w:t>
            </w:r>
          </w:p>
        </w:tc>
        <w:tc>
          <w:tcPr>
            <w:tcW w:w="1060" w:type="dxa"/>
            <w:vAlign w:val="bottom"/>
          </w:tcPr>
          <w:p>
            <w:pPr>
              <w:jc w:val="center"/>
              <w:spacing w:after="0"/>
              <w:rPr>
                <w:sz w:val="20"/>
                <w:szCs w:val="20"/>
                <w:color w:val="auto"/>
              </w:rPr>
            </w:pPr>
            <w:r>
              <w:rPr>
                <w:rFonts w:ascii="Arial" w:cs="Arial" w:eastAsia="Arial" w:hAnsi="Arial"/>
                <w:sz w:val="13"/>
                <w:szCs w:val="13"/>
                <w:color w:val="auto"/>
              </w:rPr>
              <w:t>-</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ind w:right="297"/>
              <w:spacing w:after="0"/>
              <w:rPr>
                <w:sz w:val="20"/>
                <w:szCs w:val="20"/>
                <w:color w:val="auto"/>
              </w:rPr>
            </w:pPr>
            <w:r>
              <w:rPr>
                <w:rFonts w:ascii="Arial" w:cs="Arial" w:eastAsia="Arial" w:hAnsi="Arial"/>
                <w:sz w:val="13"/>
                <w:szCs w:val="13"/>
                <w:color w:val="auto"/>
                <w:w w:val="99"/>
              </w:rPr>
              <w:t>n.a</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color w:val="auto"/>
                <w:w w:val="99"/>
              </w:rPr>
              <w:t>n.a</w:t>
            </w:r>
          </w:p>
        </w:tc>
      </w:tr>
      <w:tr>
        <w:trPr>
          <w:trHeight w:val="330"/>
        </w:trPr>
        <w:tc>
          <w:tcPr>
            <w:tcW w:w="4600" w:type="dxa"/>
            <w:vAlign w:val="bottom"/>
          </w:tcPr>
          <w:p>
            <w:pPr>
              <w:jc w:val="center"/>
              <w:ind w:left="1434"/>
              <w:spacing w:after="0"/>
              <w:rPr>
                <w:sz w:val="20"/>
                <w:szCs w:val="20"/>
                <w:color w:val="auto"/>
              </w:rPr>
            </w:pPr>
            <w:r>
              <w:rPr>
                <w:rFonts w:ascii="Arial" w:cs="Arial" w:eastAsia="Arial" w:hAnsi="Arial"/>
                <w:sz w:val="13"/>
                <w:szCs w:val="13"/>
                <w:b w:val="1"/>
                <w:bCs w:val="1"/>
                <w:color w:val="auto"/>
                <w:w w:val="94"/>
              </w:rPr>
              <w:t>Total Net Equity</w:t>
            </w:r>
          </w:p>
        </w:tc>
        <w:tc>
          <w:tcPr>
            <w:tcW w:w="2560" w:type="dxa"/>
            <w:vAlign w:val="bottom"/>
          </w:tcPr>
          <w:p>
            <w:pPr>
              <w:jc w:val="center"/>
              <w:ind w:left="1456"/>
              <w:spacing w:after="0"/>
              <w:rPr>
                <w:sz w:val="20"/>
                <w:szCs w:val="20"/>
                <w:color w:val="auto"/>
              </w:rPr>
            </w:pPr>
            <w:r>
              <w:rPr>
                <w:rFonts w:ascii="Arial" w:cs="Arial" w:eastAsia="Arial" w:hAnsi="Arial"/>
                <w:sz w:val="13"/>
                <w:szCs w:val="13"/>
                <w:b w:val="1"/>
                <w:bCs w:val="1"/>
                <w:color w:val="auto"/>
                <w:w w:val="98"/>
              </w:rPr>
              <w:t>21,779,294</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25,001,573</w:t>
            </w:r>
          </w:p>
        </w:tc>
        <w:tc>
          <w:tcPr>
            <w:tcW w:w="10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22,319,647</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7"/>
              </w:rPr>
              <w:t>-10.7%</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2.5%</w:t>
            </w:r>
          </w:p>
        </w:tc>
        <w:tc>
          <w:tcPr>
            <w:tcW w:w="20" w:type="dxa"/>
            <w:vAlign w:val="bottom"/>
          </w:tcPr>
          <w:p>
            <w:pPr>
              <w:spacing w:after="0"/>
              <w:rPr>
                <w:sz w:val="24"/>
                <w:szCs w:val="24"/>
                <w:color w:val="auto"/>
              </w:rPr>
            </w:pPr>
          </w:p>
        </w:tc>
      </w:tr>
      <w:tr>
        <w:trPr>
          <w:trHeight w:val="32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Total liabilities and equity</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181,130,742</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180,914,161</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183,319,350</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1.3%</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1.2%</w:t>
            </w:r>
          </w:p>
        </w:tc>
        <w:tc>
          <w:tcPr>
            <w:tcW w:w="20" w:type="dxa"/>
            <w:vAlign w:val="bottom"/>
          </w:tcPr>
          <w:p>
            <w:pPr>
              <w:spacing w:after="0"/>
              <w:rPr>
                <w:sz w:val="24"/>
                <w:szCs w:val="24"/>
                <w:color w:val="auto"/>
              </w:rPr>
            </w:pPr>
          </w:p>
        </w:tc>
      </w:tr>
      <w:tr>
        <w:trPr>
          <w:trHeight w:val="314"/>
        </w:trPr>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Off-balance sheet</w:t>
            </w:r>
          </w:p>
        </w:tc>
        <w:tc>
          <w:tcPr>
            <w:tcW w:w="2560" w:type="dxa"/>
            <w:vAlign w:val="bottom"/>
          </w:tcPr>
          <w:p>
            <w:pPr>
              <w:jc w:val="center"/>
              <w:ind w:left="1476"/>
              <w:spacing w:after="0"/>
              <w:rPr>
                <w:sz w:val="20"/>
                <w:szCs w:val="20"/>
                <w:color w:val="auto"/>
              </w:rPr>
            </w:pPr>
            <w:r>
              <w:rPr>
                <w:rFonts w:ascii="Arial" w:cs="Arial" w:eastAsia="Arial" w:hAnsi="Arial"/>
                <w:sz w:val="13"/>
                <w:szCs w:val="13"/>
                <w:b w:val="1"/>
                <w:bCs w:val="1"/>
                <w:color w:val="auto"/>
                <w:w w:val="96"/>
              </w:rPr>
              <w:t>138,810,501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134,844,989</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147,001,354</w:t>
            </w:r>
          </w:p>
        </w:tc>
        <w:tc>
          <w:tcPr>
            <w:tcW w:w="1220" w:type="dxa"/>
            <w:vAlign w:val="bottom"/>
          </w:tcPr>
          <w:p>
            <w:pPr>
              <w:jc w:val="center"/>
              <w:ind w:right="277"/>
              <w:spacing w:after="0"/>
              <w:rPr>
                <w:sz w:val="20"/>
                <w:szCs w:val="20"/>
                <w:color w:val="auto"/>
              </w:rPr>
            </w:pPr>
            <w:r>
              <w:rPr>
                <w:rFonts w:ascii="Arial" w:cs="Arial" w:eastAsia="Arial" w:hAnsi="Arial"/>
                <w:sz w:val="13"/>
                <w:szCs w:val="13"/>
                <w:b w:val="1"/>
                <w:bCs w:val="1"/>
                <w:color w:val="auto"/>
                <w:w w:val="94"/>
              </w:rPr>
              <w:t>9.0%</w:t>
            </w:r>
          </w:p>
        </w:tc>
        <w:tc>
          <w:tcPr>
            <w:tcW w:w="700" w:type="dxa"/>
            <w:vAlign w:val="bottom"/>
          </w:tcPr>
          <w:p>
            <w:pPr>
              <w:jc w:val="center"/>
              <w:ind w:right="217"/>
              <w:spacing w:after="0"/>
              <w:rPr>
                <w:sz w:val="20"/>
                <w:szCs w:val="20"/>
                <w:color w:val="auto"/>
              </w:rPr>
            </w:pPr>
            <w:r>
              <w:rPr>
                <w:rFonts w:ascii="Arial" w:cs="Arial" w:eastAsia="Arial" w:hAnsi="Arial"/>
                <w:sz w:val="13"/>
                <w:szCs w:val="13"/>
                <w:b w:val="1"/>
                <w:bCs w:val="1"/>
                <w:color w:val="auto"/>
              </w:rPr>
              <w:t>5.9%</w:t>
            </w:r>
          </w:p>
        </w:tc>
        <w:tc>
          <w:tcPr>
            <w:tcW w:w="20" w:type="dxa"/>
            <w:vAlign w:val="bottom"/>
          </w:tcPr>
          <w:p>
            <w:pPr>
              <w:spacing w:after="0"/>
              <w:rPr>
                <w:sz w:val="24"/>
                <w:szCs w:val="2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color w:val="auto"/>
              </w:rPr>
              <w:t>Total performance bonds, stand-by and L/Cs.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17,932,454</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19,328,506</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19,720,490</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2.0%</w:t>
            </w:r>
          </w:p>
        </w:tc>
        <w:tc>
          <w:tcPr>
            <w:tcW w:w="700" w:type="dxa"/>
            <w:vAlign w:val="bottom"/>
          </w:tcPr>
          <w:p>
            <w:pPr>
              <w:jc w:val="center"/>
              <w:ind w:right="237"/>
              <w:spacing w:after="0"/>
              <w:rPr>
                <w:sz w:val="20"/>
                <w:szCs w:val="20"/>
                <w:color w:val="auto"/>
              </w:rPr>
            </w:pPr>
            <w:r>
              <w:rPr>
                <w:rFonts w:ascii="Arial" w:cs="Arial" w:eastAsia="Arial" w:hAnsi="Arial"/>
                <w:sz w:val="13"/>
                <w:szCs w:val="13"/>
                <w:color w:val="auto"/>
                <w:w w:val="97"/>
              </w:rPr>
              <w:t>10.0%</w:t>
            </w:r>
          </w:p>
        </w:tc>
        <w:tc>
          <w:tcPr>
            <w:tcW w:w="20" w:type="dxa"/>
            <w:vAlign w:val="bottom"/>
          </w:tcPr>
          <w:p>
            <w:pPr>
              <w:spacing w:after="0"/>
              <w:rPr>
                <w:sz w:val="14"/>
                <w:szCs w:val="14"/>
                <w:color w:val="auto"/>
              </w:rPr>
            </w:pPr>
          </w:p>
        </w:tc>
      </w:tr>
      <w:tr>
        <w:trPr>
          <w:trHeight w:val="162"/>
        </w:trPr>
        <w:tc>
          <w:tcPr>
            <w:tcW w:w="4600" w:type="dxa"/>
            <w:vAlign w:val="bottom"/>
          </w:tcPr>
          <w:p>
            <w:pPr>
              <w:ind w:left="60"/>
              <w:spacing w:after="0"/>
              <w:rPr>
                <w:sz w:val="20"/>
                <w:szCs w:val="20"/>
                <w:color w:val="auto"/>
              </w:rPr>
            </w:pPr>
            <w:r>
              <w:rPr>
                <w:rFonts w:ascii="Arial" w:cs="Arial" w:eastAsia="Arial" w:hAnsi="Arial"/>
                <w:sz w:val="13"/>
                <w:szCs w:val="13"/>
                <w:color w:val="auto"/>
              </w:rPr>
              <w:t>Undrawn credit lines, advised but not committed</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73,838,085</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74,091,027</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75,957,799</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4"/>
              </w:rPr>
              <w:t>2.5%</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r>
      <w:tr>
        <w:trPr>
          <w:trHeight w:val="166"/>
        </w:trPr>
        <w:tc>
          <w:tcPr>
            <w:tcW w:w="4600" w:type="dxa"/>
            <w:vAlign w:val="bottom"/>
          </w:tcPr>
          <w:p>
            <w:pPr>
              <w:ind w:left="60"/>
              <w:spacing w:after="0"/>
              <w:rPr>
                <w:sz w:val="20"/>
                <w:szCs w:val="20"/>
                <w:color w:val="auto"/>
              </w:rPr>
            </w:pPr>
            <w:r>
              <w:rPr>
                <w:rFonts w:ascii="Arial" w:cs="Arial" w:eastAsia="Arial" w:hAnsi="Arial"/>
                <w:sz w:val="13"/>
                <w:szCs w:val="13"/>
                <w:color w:val="auto"/>
              </w:rPr>
              <w:t>Total derivatives (notional) and others</w:t>
            </w:r>
          </w:p>
        </w:tc>
        <w:tc>
          <w:tcPr>
            <w:tcW w:w="2560" w:type="dxa"/>
            <w:vAlign w:val="bottom"/>
          </w:tcPr>
          <w:p>
            <w:pPr>
              <w:jc w:val="center"/>
              <w:ind w:left="1456"/>
              <w:spacing w:after="0"/>
              <w:rPr>
                <w:sz w:val="20"/>
                <w:szCs w:val="20"/>
                <w:color w:val="auto"/>
              </w:rPr>
            </w:pPr>
            <w:r>
              <w:rPr>
                <w:rFonts w:ascii="Arial" w:cs="Arial" w:eastAsia="Arial" w:hAnsi="Arial"/>
                <w:sz w:val="13"/>
                <w:szCs w:val="13"/>
                <w:color w:val="auto"/>
                <w:w w:val="98"/>
              </w:rPr>
              <w:t>47,039,962</w:t>
            </w: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41,425,456</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8"/>
              </w:rPr>
              <w:t>51,323,065</w:t>
            </w:r>
          </w:p>
        </w:tc>
        <w:tc>
          <w:tcPr>
            <w:tcW w:w="1220" w:type="dxa"/>
            <w:vAlign w:val="bottom"/>
          </w:tcPr>
          <w:p>
            <w:pPr>
              <w:jc w:val="center"/>
              <w:ind w:right="277"/>
              <w:spacing w:after="0"/>
              <w:rPr>
                <w:sz w:val="20"/>
                <w:szCs w:val="20"/>
                <w:color w:val="auto"/>
              </w:rPr>
            </w:pPr>
            <w:r>
              <w:rPr>
                <w:rFonts w:ascii="Arial" w:cs="Arial" w:eastAsia="Arial" w:hAnsi="Arial"/>
                <w:sz w:val="13"/>
                <w:szCs w:val="13"/>
                <w:color w:val="auto"/>
                <w:w w:val="97"/>
              </w:rPr>
              <w:t>23.9%</w:t>
            </w:r>
          </w:p>
        </w:tc>
        <w:tc>
          <w:tcPr>
            <w:tcW w:w="700" w:type="dxa"/>
            <w:vAlign w:val="bottom"/>
          </w:tcPr>
          <w:p>
            <w:pPr>
              <w:jc w:val="center"/>
              <w:ind w:right="217"/>
              <w:spacing w:after="0"/>
              <w:rPr>
                <w:sz w:val="20"/>
                <w:szCs w:val="20"/>
                <w:color w:val="auto"/>
              </w:rPr>
            </w:pPr>
            <w:r>
              <w:rPr>
                <w:rFonts w:ascii="Arial" w:cs="Arial" w:eastAsia="Arial" w:hAnsi="Arial"/>
                <w:sz w:val="13"/>
                <w:szCs w:val="13"/>
                <w:color w:val="auto"/>
              </w:rPr>
              <w:t>9.1%</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-6188075</wp:posOffset>
            </wp:positionV>
            <wp:extent cx="7132320" cy="6197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619760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-7397115</wp:posOffset>
            </wp:positionV>
            <wp:extent cx="128587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5875" cy="154305"/>
                    </a:xfrm>
                    <a:prstGeom prst="rect">
                      <a:avLst/>
                    </a:prstGeom>
                    <a:noFill/>
                  </pic:spPr>
                </pic:pic>
              </a:graphicData>
            </a:graphic>
          </wp:anchor>
        </w:drawing>
      </w:r>
    </w:p>
    <w:p>
      <w:pPr>
        <w:ind w:left="1300" w:hanging="165"/>
        <w:spacing w:after="0"/>
        <w:tabs>
          <w:tab w:leader="none" w:pos="13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Right of use asset of lease contracts is included by application of IFRS 16.</w:t>
      </w:r>
    </w:p>
    <w:p>
      <w:pPr>
        <w:spacing w:after="0" w:line="5" w:lineRule="exact"/>
        <w:rPr>
          <w:rFonts w:ascii="Arial" w:cs="Arial" w:eastAsia="Arial" w:hAnsi="Arial"/>
          <w:sz w:val="11"/>
          <w:szCs w:val="11"/>
          <w:color w:val="auto"/>
        </w:rPr>
      </w:pPr>
    </w:p>
    <w:p>
      <w:pPr>
        <w:ind w:left="1300" w:hanging="165"/>
        <w:spacing w:after="0" w:line="230" w:lineRule="auto"/>
        <w:tabs>
          <w:tab w:leader="none" w:pos="13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Mainly includes intangible assets, other receivable accounts, trading derivatives receivable accounts and tax credit.</w:t>
      </w:r>
    </w:p>
    <w:p>
      <w:pPr>
        <w:ind w:left="1300" w:hanging="165"/>
        <w:spacing w:after="0"/>
        <w:tabs>
          <w:tab w:leader="none" w:pos="13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Mainly includes other payable accounts, trading derivatives payable accounts and taxes for payable.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62" w:name="page63"/>
    <w:bookmarkEnd w:id="62"/>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74"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Statement of Income</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 thousands, IFRS)</w:t>
      </w:r>
    </w:p>
    <w:p>
      <w:pPr>
        <w:spacing w:after="0" w:line="186" w:lineRule="exact"/>
        <w:rPr>
          <w:sz w:val="20"/>
          <w:szCs w:val="20"/>
          <w:color w:val="auto"/>
        </w:rPr>
      </w:pPr>
    </w:p>
    <w:tbl>
      <w:tblPr>
        <w:tblLayout w:type="fixed"/>
        <w:tblInd w:w="1030" w:type="dxa"/>
        <w:tblCellMar>
          <w:top w:w="0" w:type="dxa"/>
          <w:left w:w="0" w:type="dxa"/>
          <w:bottom w:w="0" w:type="dxa"/>
          <w:right w:w="0" w:type="dxa"/>
        </w:tblCellMar>
      </w:tblPr>
      <w:tr>
        <w:trPr>
          <w:trHeight w:val="175"/>
        </w:trPr>
        <w:tc>
          <w:tcPr>
            <w:tcW w:w="140" w:type="dxa"/>
            <w:vAlign w:val="bottom"/>
            <w:tcBorders>
              <w:top w:val="single" w:sz="8" w:color="auto"/>
              <w:left w:val="single" w:sz="8" w:color="auto"/>
              <w:right w:val="single" w:sz="8" w:color="2AD2C9"/>
            </w:tcBorders>
            <w:shd w:val="clear" w:color="auto" w:fill="2AD2C9"/>
          </w:tcPr>
          <w:p>
            <w:pPr>
              <w:spacing w:after="0"/>
              <w:rPr>
                <w:sz w:val="15"/>
                <w:szCs w:val="15"/>
                <w:color w:val="auto"/>
              </w:rPr>
            </w:pPr>
          </w:p>
        </w:tc>
        <w:tc>
          <w:tcPr>
            <w:tcW w:w="4360" w:type="dxa"/>
            <w:vAlign w:val="bottom"/>
            <w:tcBorders>
              <w:top w:val="single" w:sz="8" w:color="auto"/>
              <w:right w:val="single" w:sz="8" w:color="auto"/>
            </w:tcBorders>
            <w:shd w:val="clear" w:color="auto" w:fill="2AD2C9"/>
          </w:tcPr>
          <w:p>
            <w:pPr>
              <w:spacing w:after="0"/>
              <w:rPr>
                <w:sz w:val="15"/>
                <w:szCs w:val="15"/>
                <w:color w:val="auto"/>
              </w:rPr>
            </w:pPr>
          </w:p>
        </w:tc>
        <w:tc>
          <w:tcPr>
            <w:tcW w:w="580" w:type="dxa"/>
            <w:vAlign w:val="bottom"/>
            <w:tcBorders>
              <w:top w:val="single" w:sz="8" w:color="auto"/>
              <w:right w:val="single" w:sz="8" w:color="2AD2C9"/>
            </w:tcBorders>
            <w:shd w:val="clear" w:color="auto" w:fill="2AD2C9"/>
          </w:tcPr>
          <w:p>
            <w:pPr>
              <w:spacing w:after="0"/>
              <w:rPr>
                <w:sz w:val="15"/>
                <w:szCs w:val="15"/>
                <w:color w:val="auto"/>
              </w:rPr>
            </w:pPr>
          </w:p>
        </w:tc>
        <w:tc>
          <w:tcPr>
            <w:tcW w:w="340" w:type="dxa"/>
            <w:vAlign w:val="bottom"/>
            <w:tcBorders>
              <w:top w:val="single" w:sz="8" w:color="auto"/>
            </w:tcBorders>
            <w:shd w:val="clear" w:color="auto" w:fill="2AD2C9"/>
          </w:tcPr>
          <w:p>
            <w:pPr>
              <w:spacing w:after="0"/>
              <w:rPr>
                <w:sz w:val="15"/>
                <w:szCs w:val="15"/>
                <w:color w:val="auto"/>
              </w:rPr>
            </w:pPr>
          </w:p>
        </w:tc>
        <w:tc>
          <w:tcPr>
            <w:tcW w:w="1040" w:type="dxa"/>
            <w:vAlign w:val="bottom"/>
            <w:tcBorders>
              <w:top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15"/>
                <w:szCs w:val="15"/>
                <w:color w:val="auto"/>
              </w:rPr>
            </w:pPr>
          </w:p>
        </w:tc>
        <w:tc>
          <w:tcPr>
            <w:tcW w:w="1760" w:type="dxa"/>
            <w:vAlign w:val="bottom"/>
            <w:tcBorders>
              <w:top w:val="single" w:sz="8" w:color="auto"/>
              <w:right w:val="single" w:sz="8" w:color="auto"/>
            </w:tcBorders>
            <w:gridSpan w:val="3"/>
            <w:shd w:val="clear" w:color="auto" w:fill="2AD2C9"/>
          </w:tcPr>
          <w:p>
            <w:pPr>
              <w:ind w:left="560"/>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2"/>
        </w:trPr>
        <w:tc>
          <w:tcPr>
            <w:tcW w:w="140" w:type="dxa"/>
            <w:vAlign w:val="bottom"/>
            <w:tcBorders>
              <w:left w:val="single" w:sz="8" w:color="auto"/>
              <w:bottom w:val="single" w:sz="8" w:color="auto"/>
              <w:right w:val="single" w:sz="8" w:color="2AD2C9"/>
            </w:tcBorders>
            <w:shd w:val="clear" w:color="auto" w:fill="2AD2C9"/>
          </w:tcPr>
          <w:p>
            <w:pPr>
              <w:spacing w:after="0"/>
              <w:rPr>
                <w:sz w:val="14"/>
                <w:szCs w:val="14"/>
                <w:color w:val="auto"/>
              </w:rPr>
            </w:pPr>
          </w:p>
        </w:tc>
        <w:tc>
          <w:tcPr>
            <w:tcW w:w="4360" w:type="dxa"/>
            <w:vAlign w:val="bottom"/>
            <w:tcBorders>
              <w:bottom w:val="single" w:sz="8" w:color="auto"/>
              <w:right w:val="single" w:sz="8" w:color="auto"/>
            </w:tcBorders>
            <w:shd w:val="clear" w:color="auto" w:fill="2AD2C9"/>
          </w:tcPr>
          <w:p>
            <w:pPr>
              <w:spacing w:after="0"/>
              <w:rPr>
                <w:sz w:val="14"/>
                <w:szCs w:val="14"/>
                <w:color w:val="auto"/>
              </w:rPr>
            </w:pPr>
          </w:p>
        </w:tc>
        <w:tc>
          <w:tcPr>
            <w:tcW w:w="920" w:type="dxa"/>
            <w:vAlign w:val="bottom"/>
            <w:tcBorders>
              <w:bottom w:val="single" w:sz="8" w:color="auto"/>
            </w:tcBorders>
            <w:gridSpan w:val="2"/>
            <w:shd w:val="clear" w:color="auto" w:fill="2AD2C9"/>
          </w:tcPr>
          <w:p>
            <w:pPr>
              <w:jc w:val="center"/>
              <w:spacing w:after="0"/>
              <w:rPr>
                <w:sz w:val="20"/>
                <w:szCs w:val="20"/>
                <w:color w:val="auto"/>
              </w:rPr>
            </w:pPr>
            <w:r>
              <w:rPr>
                <w:rFonts w:ascii="Arial" w:cs="Arial" w:eastAsia="Arial" w:hAnsi="Arial"/>
                <w:sz w:val="13"/>
                <w:szCs w:val="13"/>
                <w:b w:val="1"/>
                <w:bCs w:val="1"/>
                <w:color w:val="FFFFFF"/>
              </w:rPr>
              <w:t>1Q23</w:t>
            </w:r>
          </w:p>
        </w:tc>
        <w:tc>
          <w:tcPr>
            <w:tcW w:w="10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4Q23</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1Q24</w:t>
            </w:r>
          </w:p>
        </w:tc>
        <w:tc>
          <w:tcPr>
            <w:tcW w:w="680" w:type="dxa"/>
            <w:vAlign w:val="bottom"/>
            <w:tcBorders>
              <w:bottom w:val="single" w:sz="8" w:color="auto"/>
            </w:tcBorders>
            <w:shd w:val="clear" w:color="auto" w:fill="2AD2C9"/>
          </w:tcPr>
          <w:p>
            <w:pPr>
              <w:jc w:val="center"/>
              <w:ind w:left="97"/>
              <w:spacing w:after="0"/>
              <w:rPr>
                <w:sz w:val="20"/>
                <w:szCs w:val="20"/>
                <w:color w:val="auto"/>
              </w:rPr>
            </w:pPr>
            <w:r>
              <w:rPr>
                <w:rFonts w:ascii="Arial" w:cs="Arial" w:eastAsia="Arial" w:hAnsi="Arial"/>
                <w:sz w:val="13"/>
                <w:szCs w:val="13"/>
                <w:b w:val="1"/>
                <w:bCs w:val="1"/>
                <w:color w:val="FFFFFF"/>
                <w:w w:val="99"/>
              </w:rPr>
              <w:t>QoQ</w:t>
            </w:r>
          </w:p>
        </w:tc>
        <w:tc>
          <w:tcPr>
            <w:tcW w:w="1080" w:type="dxa"/>
            <w:vAlign w:val="bottom"/>
            <w:tcBorders>
              <w:bottom w:val="single" w:sz="8" w:color="auto"/>
              <w:right w:val="single" w:sz="8" w:color="auto"/>
            </w:tcBorders>
            <w:gridSpan w:val="2"/>
            <w:shd w:val="clear" w:color="auto" w:fill="2AD2C9"/>
          </w:tcPr>
          <w:p>
            <w:pPr>
              <w:ind w:left="50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51"/>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Interest income and expense</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Borders>
              <w:left w:val="single" w:sz="8" w:color="auto"/>
            </w:tcBorders>
          </w:tcPr>
          <w:p>
            <w:pPr>
              <w:spacing w:after="0"/>
              <w:rPr>
                <w:sz w:val="13"/>
                <w:szCs w:val="13"/>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Interest and similar income</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3,205,509</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3,507,996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3,522,707</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0.4%</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9.9%</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2"/>
                <w:szCs w:val="12"/>
                <w:color w:val="auto"/>
              </w:rPr>
              <w:t xml:space="preserve">Interest and similar expenses </w:t>
            </w:r>
            <w:r>
              <w:rPr>
                <w:rFonts w:ascii="Arial" w:cs="Arial" w:eastAsia="Arial" w:hAnsi="Arial"/>
                <w:sz w:val="19"/>
                <w:szCs w:val="19"/>
                <w:color w:val="auto"/>
                <w:vertAlign w:val="superscript"/>
              </w:rPr>
              <w:t>(1)</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(817,056)</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(936,600)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(911,699)</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-2.7%</w:t>
            </w:r>
          </w:p>
        </w:tc>
        <w:tc>
          <w:tcPr>
            <w:tcW w:w="960" w:type="dxa"/>
            <w:vAlign w:val="bottom"/>
          </w:tcPr>
          <w:p>
            <w:pPr>
              <w:jc w:val="center"/>
              <w:ind w:left="197"/>
              <w:spacing w:after="0"/>
              <w:rPr>
                <w:sz w:val="20"/>
                <w:szCs w:val="20"/>
                <w:color w:val="auto"/>
              </w:rPr>
            </w:pPr>
            <w:r>
              <w:rPr>
                <w:rFonts w:ascii="Arial" w:cs="Arial" w:eastAsia="Arial" w:hAnsi="Arial"/>
                <w:sz w:val="13"/>
                <w:szCs w:val="13"/>
                <w:color w:val="auto"/>
                <w:w w:val="92"/>
              </w:rPr>
              <w:t>11.6%</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Net interest, similar income and expenses</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2,388,453</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2,571,396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2,611,008</w:t>
            </w:r>
          </w:p>
        </w:tc>
        <w:tc>
          <w:tcPr>
            <w:tcW w:w="680" w:type="dxa"/>
            <w:vAlign w:val="bottom"/>
          </w:tcPr>
          <w:p>
            <w:pPr>
              <w:jc w:val="center"/>
              <w:ind w:left="97"/>
              <w:spacing w:after="0"/>
              <w:rPr>
                <w:sz w:val="20"/>
                <w:szCs w:val="20"/>
                <w:color w:val="auto"/>
              </w:rPr>
            </w:pPr>
            <w:r>
              <w:rPr>
                <w:rFonts w:ascii="Arial" w:cs="Arial" w:eastAsia="Arial" w:hAnsi="Arial"/>
                <w:sz w:val="13"/>
                <w:szCs w:val="13"/>
                <w:b w:val="1"/>
                <w:bCs w:val="1"/>
                <w:color w:val="auto"/>
                <w:w w:val="94"/>
              </w:rPr>
              <w:t>1.5%</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auto"/>
                <w:w w:val="94"/>
              </w:rPr>
              <w:t>9.3%</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Provision for credit losses on loan portfolio</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(532,192)</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(922,169)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(657,384)</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-28.7%</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23.5%</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Recoveries of written-off loans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rPr>
              <w:t>47,417</w:t>
            </w:r>
          </w:p>
        </w:tc>
        <w:tc>
          <w:tcPr>
            <w:tcW w:w="1040" w:type="dxa"/>
            <w:vAlign w:val="bottom"/>
          </w:tcPr>
          <w:p>
            <w:pPr>
              <w:jc w:val="center"/>
              <w:spacing w:after="0"/>
              <w:rPr>
                <w:sz w:val="20"/>
                <w:szCs w:val="20"/>
                <w:color w:val="auto"/>
              </w:rPr>
            </w:pPr>
            <w:r>
              <w:rPr>
                <w:rFonts w:ascii="Arial" w:cs="Arial" w:eastAsia="Arial" w:hAnsi="Arial"/>
                <w:sz w:val="13"/>
                <w:szCs w:val="13"/>
                <w:color w:val="auto"/>
              </w:rPr>
              <w:t>52,943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55,320</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4.5%</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16.7%</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(484,775)</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(869,226)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(602,064)</w:t>
            </w:r>
          </w:p>
        </w:tc>
        <w:tc>
          <w:tcPr>
            <w:tcW w:w="680" w:type="dxa"/>
            <w:vAlign w:val="bottom"/>
          </w:tcPr>
          <w:p>
            <w:pPr>
              <w:jc w:val="center"/>
              <w:ind w:left="97"/>
              <w:spacing w:after="0"/>
              <w:rPr>
                <w:sz w:val="20"/>
                <w:szCs w:val="20"/>
                <w:color w:val="auto"/>
              </w:rPr>
            </w:pPr>
            <w:r>
              <w:rPr>
                <w:rFonts w:ascii="Arial" w:cs="Arial" w:eastAsia="Arial" w:hAnsi="Arial"/>
                <w:sz w:val="13"/>
                <w:szCs w:val="13"/>
                <w:b w:val="1"/>
                <w:bCs w:val="1"/>
                <w:color w:val="auto"/>
                <w:w w:val="97"/>
              </w:rPr>
              <w:t>-30.7%</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auto"/>
                <w:w w:val="97"/>
              </w:rPr>
              <w:t>24.2%</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Net interest, similar income and expenses,</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1,903,678</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1,702,170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2,008,944</w:t>
            </w:r>
          </w:p>
        </w:tc>
        <w:tc>
          <w:tcPr>
            <w:tcW w:w="680" w:type="dxa"/>
            <w:vAlign w:val="bottom"/>
            <w:vMerge w:val="restart"/>
          </w:tcPr>
          <w:p>
            <w:pPr>
              <w:jc w:val="center"/>
              <w:ind w:left="97"/>
              <w:spacing w:after="0"/>
              <w:rPr>
                <w:sz w:val="20"/>
                <w:szCs w:val="20"/>
                <w:color w:val="auto"/>
              </w:rPr>
            </w:pPr>
            <w:r>
              <w:rPr>
                <w:rFonts w:ascii="Arial" w:cs="Arial" w:eastAsia="Arial" w:hAnsi="Arial"/>
                <w:sz w:val="13"/>
                <w:szCs w:val="13"/>
                <w:b w:val="1"/>
                <w:bCs w:val="1"/>
                <w:color w:val="auto"/>
                <w:w w:val="97"/>
              </w:rPr>
              <w:t>18.0%</w:t>
            </w:r>
          </w:p>
        </w:tc>
        <w:tc>
          <w:tcPr>
            <w:tcW w:w="960" w:type="dxa"/>
            <w:vAlign w:val="bottom"/>
            <w:vMerge w:val="restart"/>
          </w:tcPr>
          <w:p>
            <w:pPr>
              <w:jc w:val="center"/>
              <w:ind w:left="217"/>
              <w:spacing w:after="0"/>
              <w:rPr>
                <w:sz w:val="20"/>
                <w:szCs w:val="20"/>
                <w:color w:val="auto"/>
              </w:rPr>
            </w:pPr>
            <w:r>
              <w:rPr>
                <w:rFonts w:ascii="Arial" w:cs="Arial" w:eastAsia="Arial" w:hAnsi="Arial"/>
                <w:sz w:val="13"/>
                <w:szCs w:val="13"/>
                <w:b w:val="1"/>
                <w:bCs w:val="1"/>
                <w:color w:val="auto"/>
                <w:w w:val="94"/>
              </w:rPr>
              <w:t>5.5%</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after provision for credit losses on loan portfolio</w:t>
            </w:r>
          </w:p>
        </w:tc>
        <w:tc>
          <w:tcPr>
            <w:tcW w:w="9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500" w:type="dxa"/>
            <w:vAlign w:val="bottom"/>
            <w:tcBorders>
              <w:left w:val="single" w:sz="8" w:color="auto"/>
              <w:right w:val="single" w:sz="8" w:color="auto"/>
            </w:tcBorders>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Other income</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Fee income</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3"/>
              </w:rPr>
              <w:t>698,207</w:t>
            </w:r>
          </w:p>
        </w:tc>
        <w:tc>
          <w:tcPr>
            <w:tcW w:w="1040" w:type="dxa"/>
            <w:vAlign w:val="bottom"/>
          </w:tcPr>
          <w:p>
            <w:pPr>
              <w:jc w:val="center"/>
              <w:spacing w:after="0"/>
              <w:rPr>
                <w:sz w:val="20"/>
                <w:szCs w:val="20"/>
                <w:color w:val="auto"/>
              </w:rPr>
            </w:pPr>
            <w:r>
              <w:rPr>
                <w:rFonts w:ascii="Arial" w:cs="Arial" w:eastAsia="Arial" w:hAnsi="Arial"/>
                <w:sz w:val="13"/>
                <w:szCs w:val="13"/>
                <w:color w:val="auto"/>
                <w:w w:val="93"/>
              </w:rPr>
              <w:t>748,269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771,463</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3.1%</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10.5%</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Net gain on foreign exchange transactions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3"/>
              </w:rPr>
              <w:t>239,547</w:t>
            </w:r>
          </w:p>
        </w:tc>
        <w:tc>
          <w:tcPr>
            <w:tcW w:w="1040" w:type="dxa"/>
            <w:vAlign w:val="bottom"/>
          </w:tcPr>
          <w:p>
            <w:pPr>
              <w:jc w:val="center"/>
              <w:spacing w:after="0"/>
              <w:rPr>
                <w:sz w:val="20"/>
                <w:szCs w:val="20"/>
                <w:color w:val="auto"/>
              </w:rPr>
            </w:pPr>
            <w:r>
              <w:rPr>
                <w:rFonts w:ascii="Arial" w:cs="Arial" w:eastAsia="Arial" w:hAnsi="Arial"/>
                <w:sz w:val="13"/>
                <w:szCs w:val="13"/>
                <w:color w:val="auto"/>
                <w:w w:val="93"/>
              </w:rPr>
              <w:t>266,027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259,059</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-2.6%</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8.1%</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Net loss on securities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rPr>
              <w:t>26,998</w:t>
            </w:r>
          </w:p>
        </w:tc>
        <w:tc>
          <w:tcPr>
            <w:tcW w:w="1040" w:type="dxa"/>
            <w:vAlign w:val="bottom"/>
          </w:tcPr>
          <w:p>
            <w:pPr>
              <w:jc w:val="center"/>
              <w:spacing w:after="0"/>
              <w:rPr>
                <w:sz w:val="20"/>
                <w:szCs w:val="20"/>
                <w:color w:val="auto"/>
              </w:rPr>
            </w:pPr>
            <w:r>
              <w:rPr>
                <w:rFonts w:ascii="Arial" w:cs="Arial" w:eastAsia="Arial" w:hAnsi="Arial"/>
                <w:sz w:val="13"/>
                <w:szCs w:val="13"/>
                <w:color w:val="auto"/>
              </w:rPr>
              <w:t>63,754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77,981</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22.3%</w:t>
            </w:r>
          </w:p>
        </w:tc>
        <w:tc>
          <w:tcPr>
            <w:tcW w:w="960" w:type="dxa"/>
            <w:vAlign w:val="bottom"/>
          </w:tcPr>
          <w:p>
            <w:pPr>
              <w:jc w:val="center"/>
              <w:ind w:left="197"/>
              <w:spacing w:after="0"/>
              <w:rPr>
                <w:sz w:val="20"/>
                <w:szCs w:val="20"/>
                <w:color w:val="auto"/>
              </w:rPr>
            </w:pPr>
            <w:r>
              <w:rPr>
                <w:rFonts w:ascii="Arial" w:cs="Arial" w:eastAsia="Arial" w:hAnsi="Arial"/>
                <w:sz w:val="13"/>
                <w:szCs w:val="13"/>
                <w:color w:val="auto"/>
                <w:w w:val="95"/>
              </w:rPr>
              <w:t>188.8%</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Net gain (loss) from associates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7"/>
              </w:rPr>
              <w:t>(7,269)</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(1,373)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(535)</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-61.0%</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-92.6%</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Net gain (loss) on derivatives held for trading</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rPr>
              <w:t>20,553</w:t>
            </w:r>
          </w:p>
        </w:tc>
        <w:tc>
          <w:tcPr>
            <w:tcW w:w="1040" w:type="dxa"/>
            <w:vAlign w:val="bottom"/>
          </w:tcPr>
          <w:p>
            <w:pPr>
              <w:jc w:val="center"/>
              <w:spacing w:after="0"/>
              <w:rPr>
                <w:sz w:val="20"/>
                <w:szCs w:val="20"/>
                <w:color w:val="auto"/>
              </w:rPr>
            </w:pPr>
            <w:r>
              <w:rPr>
                <w:rFonts w:ascii="Arial" w:cs="Arial" w:eastAsia="Arial" w:hAnsi="Arial"/>
                <w:sz w:val="13"/>
                <w:szCs w:val="13"/>
                <w:color w:val="auto"/>
              </w:rPr>
              <w:t>29,594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18,726</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-36.7%</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-8.9%</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Net gain (loss) from exchange differences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8"/>
              </w:rPr>
              <w:t>4,691</w:t>
            </w:r>
          </w:p>
        </w:tc>
        <w:tc>
          <w:tcPr>
            <w:tcW w:w="1040" w:type="dxa"/>
            <w:vAlign w:val="bottom"/>
          </w:tcPr>
          <w:p>
            <w:pPr>
              <w:jc w:val="center"/>
              <w:spacing w:after="0"/>
              <w:rPr>
                <w:sz w:val="20"/>
                <w:szCs w:val="20"/>
                <w:color w:val="auto"/>
              </w:rPr>
            </w:pPr>
            <w:r>
              <w:rPr>
                <w:rFonts w:ascii="Arial" w:cs="Arial" w:eastAsia="Arial" w:hAnsi="Arial"/>
                <w:sz w:val="13"/>
                <w:szCs w:val="13"/>
                <w:color w:val="auto"/>
              </w:rPr>
              <w:t>(13)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8,987</w:t>
            </w:r>
          </w:p>
        </w:tc>
        <w:tc>
          <w:tcPr>
            <w:tcW w:w="680" w:type="dxa"/>
            <w:vAlign w:val="bottom"/>
          </w:tcPr>
          <w:p>
            <w:pPr>
              <w:jc w:val="center"/>
              <w:ind w:left="117"/>
              <w:spacing w:after="0"/>
              <w:rPr>
                <w:sz w:val="20"/>
                <w:szCs w:val="20"/>
                <w:color w:val="auto"/>
              </w:rPr>
            </w:pPr>
            <w:r>
              <w:rPr>
                <w:rFonts w:ascii="Arial" w:cs="Arial" w:eastAsia="Arial" w:hAnsi="Arial"/>
                <w:sz w:val="13"/>
                <w:szCs w:val="13"/>
                <w:color w:val="auto"/>
                <w:w w:val="99"/>
              </w:rPr>
              <w:t>n.a</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91.6%</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Others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rPr>
              <w:t>68,255</w:t>
            </w:r>
          </w:p>
        </w:tc>
        <w:tc>
          <w:tcPr>
            <w:tcW w:w="1040" w:type="dxa"/>
            <w:vAlign w:val="bottom"/>
          </w:tcPr>
          <w:p>
            <w:pPr>
              <w:jc w:val="center"/>
              <w:spacing w:after="0"/>
              <w:rPr>
                <w:sz w:val="20"/>
                <w:szCs w:val="20"/>
                <w:color w:val="auto"/>
              </w:rPr>
            </w:pPr>
            <w:r>
              <w:rPr>
                <w:rFonts w:ascii="Arial" w:cs="Arial" w:eastAsia="Arial" w:hAnsi="Arial"/>
                <w:sz w:val="13"/>
                <w:szCs w:val="13"/>
                <w:color w:val="auto"/>
              </w:rPr>
              <w:t>77,366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44,337</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-42.7%</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-35.0%</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 other income</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1,050,982</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1,183,624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1,180,018</w:t>
            </w:r>
          </w:p>
        </w:tc>
        <w:tc>
          <w:tcPr>
            <w:tcW w:w="680" w:type="dxa"/>
            <w:vAlign w:val="bottom"/>
          </w:tcPr>
          <w:p>
            <w:pPr>
              <w:jc w:val="center"/>
              <w:ind w:left="97"/>
              <w:spacing w:after="0"/>
              <w:rPr>
                <w:sz w:val="20"/>
                <w:szCs w:val="20"/>
                <w:color w:val="auto"/>
              </w:rPr>
            </w:pPr>
            <w:r>
              <w:rPr>
                <w:rFonts w:ascii="Arial" w:cs="Arial" w:eastAsia="Arial" w:hAnsi="Arial"/>
                <w:sz w:val="13"/>
                <w:szCs w:val="13"/>
                <w:b w:val="1"/>
                <w:bCs w:val="1"/>
                <w:color w:val="auto"/>
                <w:w w:val="94"/>
              </w:rPr>
              <w:t>-0.3%</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auto"/>
                <w:w w:val="97"/>
              </w:rPr>
              <w:t>12.3%</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Total expenses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Salaries and employee benefits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(546,048)</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(592,595)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(588,744)</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-0.6%</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7.8%</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Borders>
              <w:left w:val="single" w:sz="8" w:color="auto"/>
            </w:tcBorders>
          </w:tcPr>
          <w:p>
            <w:pPr>
              <w:spacing w:after="0"/>
              <w:rPr>
                <w:sz w:val="13"/>
                <w:szCs w:val="13"/>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Administrative expenses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(571,780)</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(794,793)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(622,024)</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-21.7%</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8.8%</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2"/>
                <w:szCs w:val="12"/>
                <w:color w:val="auto"/>
              </w:rPr>
              <w:t xml:space="preserve">Depreciation and amortization </w:t>
            </w:r>
            <w:r>
              <w:rPr>
                <w:rFonts w:ascii="Arial" w:cs="Arial" w:eastAsia="Arial" w:hAnsi="Arial"/>
                <w:sz w:val="19"/>
                <w:szCs w:val="19"/>
                <w:color w:val="auto"/>
                <w:vertAlign w:val="superscript"/>
              </w:rPr>
              <w:t>(2)</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3"/>
              </w:rPr>
              <w:t>(112,872)</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(123,363)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(119,025)</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4"/>
              </w:rPr>
              <w:t>-3.5%</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5.5%</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Other expenses</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9"/>
              </w:rPr>
              <w:t>(39,563)</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(100,066)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(45,953)</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-54.1%</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7"/>
              </w:rPr>
              <w:t>16.2%</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 expenses</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(1,270,263)</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(1,610,817)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(1,375,746)</w:t>
            </w:r>
          </w:p>
        </w:tc>
        <w:tc>
          <w:tcPr>
            <w:tcW w:w="680" w:type="dxa"/>
            <w:vAlign w:val="bottom"/>
          </w:tcPr>
          <w:p>
            <w:pPr>
              <w:jc w:val="center"/>
              <w:ind w:left="97"/>
              <w:spacing w:after="0"/>
              <w:rPr>
                <w:sz w:val="20"/>
                <w:szCs w:val="20"/>
                <w:color w:val="auto"/>
              </w:rPr>
            </w:pPr>
            <w:r>
              <w:rPr>
                <w:rFonts w:ascii="Arial" w:cs="Arial" w:eastAsia="Arial" w:hAnsi="Arial"/>
                <w:sz w:val="13"/>
                <w:szCs w:val="13"/>
                <w:b w:val="1"/>
                <w:bCs w:val="1"/>
                <w:color w:val="auto"/>
                <w:w w:val="97"/>
              </w:rPr>
              <w:t>-14.6%</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auto"/>
                <w:w w:val="94"/>
              </w:rPr>
              <w:t>8.3%</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Profit before income tax</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1,684,397</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1,274,977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1,813,216</w:t>
            </w:r>
          </w:p>
        </w:tc>
        <w:tc>
          <w:tcPr>
            <w:tcW w:w="680" w:type="dxa"/>
            <w:vAlign w:val="bottom"/>
          </w:tcPr>
          <w:p>
            <w:pPr>
              <w:jc w:val="center"/>
              <w:ind w:left="97"/>
              <w:spacing w:after="0"/>
              <w:rPr>
                <w:sz w:val="20"/>
                <w:szCs w:val="20"/>
                <w:color w:val="auto"/>
              </w:rPr>
            </w:pPr>
            <w:r>
              <w:rPr>
                <w:rFonts w:ascii="Arial" w:cs="Arial" w:eastAsia="Arial" w:hAnsi="Arial"/>
                <w:sz w:val="13"/>
                <w:szCs w:val="13"/>
                <w:b w:val="1"/>
                <w:bCs w:val="1"/>
                <w:color w:val="auto"/>
                <w:w w:val="97"/>
              </w:rPr>
              <w:t>42.2%</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auto"/>
                <w:w w:val="94"/>
              </w:rPr>
              <w:t>7.6%</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Income tax</w:t>
            </w: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(420,795)</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(320,936)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(431,670)</w:t>
            </w:r>
          </w:p>
        </w:tc>
        <w:tc>
          <w:tcPr>
            <w:tcW w:w="680" w:type="dxa"/>
            <w:vAlign w:val="bottom"/>
          </w:tcPr>
          <w:p>
            <w:pPr>
              <w:jc w:val="center"/>
              <w:ind w:left="97"/>
              <w:spacing w:after="0"/>
              <w:rPr>
                <w:sz w:val="20"/>
                <w:szCs w:val="20"/>
                <w:color w:val="auto"/>
              </w:rPr>
            </w:pPr>
            <w:r>
              <w:rPr>
                <w:rFonts w:ascii="Arial" w:cs="Arial" w:eastAsia="Arial" w:hAnsi="Arial"/>
                <w:sz w:val="13"/>
                <w:szCs w:val="13"/>
                <w:color w:val="auto"/>
                <w:w w:val="97"/>
              </w:rPr>
              <w:t>34.5%</w:t>
            </w:r>
          </w:p>
        </w:tc>
        <w:tc>
          <w:tcPr>
            <w:tcW w:w="960" w:type="dxa"/>
            <w:vAlign w:val="bottom"/>
          </w:tcPr>
          <w:p>
            <w:pPr>
              <w:jc w:val="center"/>
              <w:ind w:left="217"/>
              <w:spacing w:after="0"/>
              <w:rPr>
                <w:sz w:val="20"/>
                <w:szCs w:val="20"/>
                <w:color w:val="auto"/>
              </w:rPr>
            </w:pPr>
            <w:r>
              <w:rPr>
                <w:rFonts w:ascii="Arial" w:cs="Arial" w:eastAsia="Arial" w:hAnsi="Arial"/>
                <w:sz w:val="13"/>
                <w:szCs w:val="13"/>
                <w:color w:val="auto"/>
                <w:w w:val="94"/>
              </w:rPr>
              <w:t>2.6%</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Net profit</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1,263,602</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954,041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1,381,546</w:t>
            </w:r>
          </w:p>
        </w:tc>
        <w:tc>
          <w:tcPr>
            <w:tcW w:w="680" w:type="dxa"/>
            <w:vAlign w:val="bottom"/>
          </w:tcPr>
          <w:p>
            <w:pPr>
              <w:jc w:val="center"/>
              <w:ind w:left="97"/>
              <w:spacing w:after="0"/>
              <w:rPr>
                <w:sz w:val="20"/>
                <w:szCs w:val="20"/>
                <w:color w:val="auto"/>
              </w:rPr>
            </w:pPr>
            <w:r>
              <w:rPr>
                <w:rFonts w:ascii="Arial" w:cs="Arial" w:eastAsia="Arial" w:hAnsi="Arial"/>
                <w:sz w:val="13"/>
                <w:szCs w:val="13"/>
                <w:b w:val="1"/>
                <w:bCs w:val="1"/>
                <w:color w:val="auto"/>
                <w:w w:val="97"/>
              </w:rPr>
              <w:t>44.8%</w:t>
            </w:r>
          </w:p>
        </w:tc>
        <w:tc>
          <w:tcPr>
            <w:tcW w:w="960" w:type="dxa"/>
            <w:vAlign w:val="bottom"/>
          </w:tcPr>
          <w:p>
            <w:pPr>
              <w:jc w:val="center"/>
              <w:ind w:left="217"/>
              <w:spacing w:after="0"/>
              <w:rPr>
                <w:sz w:val="20"/>
                <w:szCs w:val="20"/>
                <w:color w:val="auto"/>
              </w:rPr>
            </w:pPr>
            <w:r>
              <w:rPr>
                <w:rFonts w:ascii="Arial" w:cs="Arial" w:eastAsia="Arial" w:hAnsi="Arial"/>
                <w:sz w:val="13"/>
                <w:szCs w:val="13"/>
                <w:b w:val="1"/>
                <w:bCs w:val="1"/>
                <w:color w:val="auto"/>
                <w:w w:val="94"/>
              </w:rPr>
              <w:t>9.3%</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Non-controlling interest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Net profit attributable to BCP</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1,263,602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954,041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1,381,546</w:t>
            </w:r>
          </w:p>
        </w:tc>
        <w:tc>
          <w:tcPr>
            <w:tcW w:w="68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97"/>
              </w:rPr>
              <w:t>44.8%</w:t>
            </w:r>
          </w:p>
        </w:tc>
        <w:tc>
          <w:tcPr>
            <w:tcW w:w="96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4"/>
              </w:rPr>
              <w:t>9.3%</w:t>
            </w: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6320" w:type="dxa"/>
            <w:vAlign w:val="bottom"/>
            <w:gridSpan w:val="4"/>
          </w:tcPr>
          <w:p>
            <w:pPr>
              <w:ind w:left="3340"/>
              <w:spacing w:after="0"/>
              <w:rPr>
                <w:sz w:val="20"/>
                <w:szCs w:val="20"/>
                <w:color w:val="auto"/>
              </w:rPr>
            </w:pPr>
            <w:r>
              <w:rPr>
                <w:rFonts w:ascii="Arial" w:cs="Arial" w:eastAsia="Arial" w:hAnsi="Arial"/>
                <w:sz w:val="16"/>
                <w:szCs w:val="16"/>
                <w:b w:val="1"/>
                <w:bCs w:val="1"/>
                <w:color w:val="auto"/>
              </w:rPr>
              <w:t>Selected Financial Indicators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0" w:type="dxa"/>
            <w:vAlign w:val="bottom"/>
            <w:tcBorders>
              <w:right w:val="single" w:sz="8" w:color="auto"/>
            </w:tcBorders>
          </w:tcPr>
          <w:p>
            <w:pPr>
              <w:spacing w:after="0"/>
              <w:rPr>
                <w:sz w:val="13"/>
                <w:szCs w:val="13"/>
                <w:color w:val="auto"/>
              </w:rPr>
            </w:pPr>
          </w:p>
        </w:tc>
        <w:tc>
          <w:tcPr>
            <w:tcW w:w="4360" w:type="dxa"/>
            <w:vAlign w:val="bottom"/>
            <w:tcBorders>
              <w:right w:val="single" w:sz="8" w:color="2AD2C9"/>
            </w:tcBorders>
            <w:shd w:val="clear" w:color="auto" w:fill="2AD2C9"/>
          </w:tcPr>
          <w:p>
            <w:pPr>
              <w:spacing w:after="0"/>
              <w:rPr>
                <w:sz w:val="13"/>
                <w:szCs w:val="13"/>
                <w:color w:val="auto"/>
              </w:rPr>
            </w:pPr>
          </w:p>
        </w:tc>
        <w:tc>
          <w:tcPr>
            <w:tcW w:w="580" w:type="dxa"/>
            <w:vAlign w:val="bottom"/>
            <w:tcBorders>
              <w:right w:val="single" w:sz="8" w:color="auto"/>
            </w:tcBorders>
            <w:shd w:val="clear" w:color="auto" w:fill="2AD2C9"/>
          </w:tcPr>
          <w:p>
            <w:pPr>
              <w:spacing w:after="0"/>
              <w:rPr>
                <w:sz w:val="13"/>
                <w:szCs w:val="13"/>
                <w:color w:val="auto"/>
              </w:rPr>
            </w:pPr>
          </w:p>
        </w:tc>
        <w:tc>
          <w:tcPr>
            <w:tcW w:w="340" w:type="dxa"/>
            <w:vAlign w:val="bottom"/>
            <w:shd w:val="clear" w:color="auto" w:fill="2AD2C9"/>
          </w:tcPr>
          <w:p>
            <w:pPr>
              <w:spacing w:after="0"/>
              <w:rPr>
                <w:sz w:val="13"/>
                <w:szCs w:val="13"/>
                <w:color w:val="auto"/>
              </w:rPr>
            </w:pPr>
          </w:p>
        </w:tc>
        <w:tc>
          <w:tcPr>
            <w:tcW w:w="1040" w:type="dxa"/>
            <w:vAlign w:val="bottom"/>
            <w:shd w:val="clear" w:color="auto" w:fill="2AD2C9"/>
          </w:tcPr>
          <w:p>
            <w:pPr>
              <w:spacing w:after="0"/>
              <w:rPr>
                <w:sz w:val="13"/>
                <w:szCs w:val="13"/>
                <w:color w:val="auto"/>
              </w:rPr>
            </w:pPr>
          </w:p>
        </w:tc>
        <w:tc>
          <w:tcPr>
            <w:tcW w:w="1000" w:type="dxa"/>
            <w:vAlign w:val="bottom"/>
            <w:tcBorders>
              <w:right w:val="single" w:sz="8" w:color="2AD2C9"/>
            </w:tcBorders>
            <w:shd w:val="clear" w:color="auto" w:fill="2AD2C9"/>
          </w:tcPr>
          <w:p>
            <w:pPr>
              <w:ind w:left="380"/>
              <w:spacing w:after="0"/>
              <w:rPr>
                <w:sz w:val="20"/>
                <w:szCs w:val="20"/>
                <w:color w:val="auto"/>
              </w:rPr>
            </w:pPr>
            <w:r>
              <w:rPr>
                <w:rFonts w:ascii="Arial" w:cs="Arial" w:eastAsia="Arial" w:hAnsi="Arial"/>
                <w:sz w:val="13"/>
                <w:szCs w:val="13"/>
                <w:b w:val="1"/>
                <w:bCs w:val="1"/>
                <w:color w:val="FFFFFF"/>
              </w:rPr>
              <w:t>Quarter</w:t>
            </w:r>
          </w:p>
        </w:tc>
        <w:tc>
          <w:tcPr>
            <w:tcW w:w="680" w:type="dxa"/>
            <w:vAlign w:val="bottom"/>
            <w:shd w:val="clear" w:color="auto" w:fill="2AD2C9"/>
          </w:tcPr>
          <w:p>
            <w:pPr>
              <w:spacing w:after="0"/>
              <w:rPr>
                <w:sz w:val="13"/>
                <w:szCs w:val="13"/>
                <w:color w:val="auto"/>
              </w:rPr>
            </w:pPr>
          </w:p>
        </w:tc>
        <w:tc>
          <w:tcPr>
            <w:tcW w:w="960" w:type="dxa"/>
            <w:vAlign w:val="bottom"/>
            <w:tcBorders>
              <w:right w:val="single" w:sz="8" w:color="auto"/>
            </w:tcBorders>
            <w:shd w:val="clear" w:color="auto" w:fill="2AD2C9"/>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Borders>
              <w:bottom w:val="single" w:sz="8" w:color="auto"/>
              <w:right w:val="single" w:sz="8" w:color="2AD2C9"/>
            </w:tcBorders>
            <w:shd w:val="clear" w:color="auto" w:fill="2AD2C9"/>
          </w:tcPr>
          <w:p>
            <w:pPr>
              <w:spacing w:after="0"/>
              <w:rPr>
                <w:sz w:val="14"/>
                <w:szCs w:val="14"/>
                <w:color w:val="auto"/>
              </w:rPr>
            </w:pPr>
          </w:p>
        </w:tc>
        <w:tc>
          <w:tcPr>
            <w:tcW w:w="580" w:type="dxa"/>
            <w:vAlign w:val="bottom"/>
            <w:tcBorders>
              <w:bottom w:val="single" w:sz="8" w:color="auto"/>
              <w:right w:val="single" w:sz="8" w:color="auto"/>
            </w:tcBorders>
            <w:shd w:val="clear" w:color="auto" w:fill="2AD2C9"/>
          </w:tcPr>
          <w:p>
            <w:pPr>
              <w:spacing w:after="0"/>
              <w:rPr>
                <w:sz w:val="14"/>
                <w:szCs w:val="14"/>
                <w:color w:val="auto"/>
              </w:rPr>
            </w:pPr>
          </w:p>
        </w:tc>
        <w:tc>
          <w:tcPr>
            <w:tcW w:w="340" w:type="dxa"/>
            <w:vAlign w:val="bottom"/>
            <w:tcBorders>
              <w:bottom w:val="single" w:sz="8" w:color="auto"/>
            </w:tcBorders>
            <w:shd w:val="clear" w:color="auto" w:fill="2AD2C9"/>
          </w:tcPr>
          <w:p>
            <w:pPr>
              <w:spacing w:after="0"/>
              <w:rPr>
                <w:sz w:val="14"/>
                <w:szCs w:val="14"/>
                <w:color w:val="auto"/>
              </w:rPr>
            </w:pPr>
          </w:p>
        </w:tc>
        <w:tc>
          <w:tcPr>
            <w:tcW w:w="1040" w:type="dxa"/>
            <w:vAlign w:val="bottom"/>
            <w:tcBorders>
              <w:bottom w:val="single" w:sz="8" w:color="auto"/>
            </w:tcBorders>
            <w:shd w:val="clear" w:color="auto" w:fill="2AD2C9"/>
          </w:tcPr>
          <w:p>
            <w:pPr>
              <w:jc w:val="center"/>
              <w:ind w:right="357"/>
              <w:spacing w:after="0"/>
              <w:rPr>
                <w:sz w:val="20"/>
                <w:szCs w:val="20"/>
                <w:color w:val="auto"/>
              </w:rPr>
            </w:pPr>
            <w:r>
              <w:rPr>
                <w:rFonts w:ascii="Arial" w:cs="Arial" w:eastAsia="Arial" w:hAnsi="Arial"/>
                <w:sz w:val="13"/>
                <w:szCs w:val="13"/>
                <w:b w:val="1"/>
                <w:bCs w:val="1"/>
                <w:color w:val="FFFFFF"/>
                <w:w w:val="94"/>
              </w:rPr>
              <w:t>1Q23</w:t>
            </w:r>
          </w:p>
        </w:tc>
        <w:tc>
          <w:tcPr>
            <w:tcW w:w="1000" w:type="dxa"/>
            <w:vAlign w:val="bottom"/>
            <w:tcBorders>
              <w:bottom w:val="single" w:sz="8" w:color="auto"/>
              <w:right w:val="single" w:sz="8" w:color="2AD2C9"/>
            </w:tcBorders>
            <w:shd w:val="clear" w:color="auto" w:fill="2AD2C9"/>
          </w:tcPr>
          <w:p>
            <w:pPr>
              <w:jc w:val="center"/>
              <w:ind w:left="137"/>
              <w:spacing w:after="0"/>
              <w:rPr>
                <w:sz w:val="20"/>
                <w:szCs w:val="20"/>
                <w:color w:val="auto"/>
              </w:rPr>
            </w:pPr>
            <w:r>
              <w:rPr>
                <w:rFonts w:ascii="Arial" w:cs="Arial" w:eastAsia="Arial" w:hAnsi="Arial"/>
                <w:sz w:val="13"/>
                <w:szCs w:val="13"/>
                <w:b w:val="1"/>
                <w:bCs w:val="1"/>
                <w:color w:val="FFFFFF"/>
              </w:rPr>
              <w:t>4Q23</w:t>
            </w:r>
          </w:p>
        </w:tc>
        <w:tc>
          <w:tcPr>
            <w:tcW w:w="680" w:type="dxa"/>
            <w:vAlign w:val="bottom"/>
            <w:tcBorders>
              <w:bottom w:val="single" w:sz="8" w:color="auto"/>
            </w:tcBorders>
            <w:shd w:val="clear" w:color="auto" w:fill="2AD2C9"/>
          </w:tcPr>
          <w:p>
            <w:pPr>
              <w:spacing w:after="0"/>
              <w:rPr>
                <w:sz w:val="14"/>
                <w:szCs w:val="14"/>
                <w:color w:val="auto"/>
              </w:rPr>
            </w:pPr>
          </w:p>
        </w:tc>
        <w:tc>
          <w:tcPr>
            <w:tcW w:w="960" w:type="dxa"/>
            <w:vAlign w:val="bottom"/>
            <w:tcBorders>
              <w:bottom w:val="single" w:sz="8" w:color="auto"/>
              <w:right w:val="single" w:sz="8" w:color="auto"/>
            </w:tcBorders>
            <w:shd w:val="clear" w:color="auto" w:fill="2AD2C9"/>
          </w:tcPr>
          <w:p>
            <w:pPr>
              <w:jc w:val="center"/>
              <w:ind w:right="357"/>
              <w:spacing w:after="0"/>
              <w:rPr>
                <w:sz w:val="20"/>
                <w:szCs w:val="20"/>
                <w:color w:val="auto"/>
              </w:rPr>
            </w:pPr>
            <w:r>
              <w:rPr>
                <w:rFonts w:ascii="Arial" w:cs="Arial" w:eastAsia="Arial" w:hAnsi="Arial"/>
                <w:sz w:val="13"/>
                <w:szCs w:val="13"/>
                <w:b w:val="1"/>
                <w:bCs w:val="1"/>
                <w:color w:val="FFFFFF"/>
                <w:w w:val="94"/>
              </w:rPr>
              <w:t>1Q24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0" w:type="dxa"/>
            <w:vAlign w:val="bottom"/>
            <w:tcBorders>
              <w:right w:val="single" w:sz="8" w:color="auto"/>
            </w:tcBorders>
          </w:tcPr>
          <w:p>
            <w:pPr>
              <w:spacing w:after="0"/>
              <w:rPr>
                <w:sz w:val="12"/>
                <w:szCs w:val="12"/>
                <w:color w:val="auto"/>
              </w:rPr>
            </w:pPr>
          </w:p>
        </w:tc>
        <w:tc>
          <w:tcPr>
            <w:tcW w:w="4360" w:type="dxa"/>
            <w:vAlign w:val="bottom"/>
          </w:tcPr>
          <w:p>
            <w:pPr>
              <w:ind w:left="20"/>
              <w:spacing w:after="0" w:line="145" w:lineRule="exact"/>
              <w:rPr>
                <w:sz w:val="20"/>
                <w:szCs w:val="20"/>
                <w:color w:val="auto"/>
              </w:rPr>
            </w:pPr>
            <w:r>
              <w:rPr>
                <w:rFonts w:ascii="Arial" w:cs="Arial" w:eastAsia="Arial" w:hAnsi="Arial"/>
                <w:sz w:val="13"/>
                <w:szCs w:val="13"/>
                <w:b w:val="1"/>
                <w:bCs w:val="1"/>
                <w:color w:val="auto"/>
              </w:rPr>
              <w:t>Profitability</w:t>
            </w:r>
          </w:p>
        </w:tc>
        <w:tc>
          <w:tcPr>
            <w:tcW w:w="5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line="162" w:lineRule="exact"/>
              <w:rPr>
                <w:sz w:val="20"/>
                <w:szCs w:val="20"/>
                <w:color w:val="auto"/>
              </w:rPr>
            </w:pPr>
            <w:r>
              <w:rPr>
                <w:rFonts w:ascii="Arial" w:cs="Arial" w:eastAsia="Arial" w:hAnsi="Arial"/>
                <w:sz w:val="18"/>
                <w:szCs w:val="18"/>
                <w:color w:val="auto"/>
                <w:vertAlign w:val="subscript"/>
              </w:rPr>
              <w:t>ROAA</w:t>
            </w:r>
            <w:r>
              <w:rPr>
                <w:rFonts w:ascii="Arial" w:cs="Arial" w:eastAsia="Arial" w:hAnsi="Arial"/>
                <w:sz w:val="9"/>
                <w:szCs w:val="9"/>
                <w:color w:val="auto"/>
              </w:rPr>
              <w:t xml:space="preserve"> (1)(2)</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rPr>
              <w:t>2.8%</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4"/>
              </w:rPr>
              <w:t>2.1%</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4"/>
              </w:rPr>
              <w:t>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line="162" w:lineRule="exact"/>
              <w:rPr>
                <w:sz w:val="20"/>
                <w:szCs w:val="20"/>
                <w:color w:val="auto"/>
              </w:rPr>
            </w:pPr>
            <w:r>
              <w:rPr>
                <w:rFonts w:ascii="Arial" w:cs="Arial" w:eastAsia="Arial" w:hAnsi="Arial"/>
                <w:sz w:val="18"/>
                <w:szCs w:val="18"/>
                <w:color w:val="auto"/>
                <w:vertAlign w:val="subscript"/>
              </w:rPr>
              <w:t>ROAE</w:t>
            </w:r>
            <w:r>
              <w:rPr>
                <w:rFonts w:ascii="Arial" w:cs="Arial" w:eastAsia="Arial" w:hAnsi="Arial"/>
                <w:sz w:val="9"/>
                <w:szCs w:val="9"/>
                <w:color w:val="auto"/>
              </w:rPr>
              <w:t xml:space="preserve"> (1)(2)</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w w:val="92"/>
              </w:rPr>
              <w:t>22.5%</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7"/>
              </w:rPr>
              <w:t>15.5%</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7"/>
              </w:rPr>
              <w:t>23.4%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line="162"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8"/>
                <w:szCs w:val="18"/>
                <w:color w:val="auto"/>
                <w:vertAlign w:val="superscript"/>
              </w:rPr>
              <w:t>(1)(2)</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w w:val="92"/>
              </w:rPr>
              <w:t>5.55%</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7"/>
              </w:rPr>
              <w:t>5.99%</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7"/>
              </w:rPr>
              <w:t>6.04%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line="162" w:lineRule="exact"/>
              <w:rPr>
                <w:sz w:val="20"/>
                <w:szCs w:val="20"/>
                <w:color w:val="auto"/>
              </w:rPr>
            </w:pPr>
            <w:r>
              <w:rPr>
                <w:rFonts w:ascii="Arial" w:cs="Arial" w:eastAsia="Arial" w:hAnsi="Arial"/>
                <w:sz w:val="12"/>
                <w:szCs w:val="12"/>
                <w:color w:val="auto"/>
              </w:rPr>
              <w:t xml:space="preserve">Risk adjusted NIM </w:t>
            </w:r>
            <w:r>
              <w:rPr>
                <w:rFonts w:ascii="Arial" w:cs="Arial" w:eastAsia="Arial" w:hAnsi="Arial"/>
                <w:sz w:val="18"/>
                <w:szCs w:val="18"/>
                <w:color w:val="auto"/>
                <w:vertAlign w:val="superscript"/>
              </w:rPr>
              <w:t>(1)(2)</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w w:val="92"/>
              </w:rPr>
              <w:t>4.42%</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7"/>
              </w:rPr>
              <w:t>3.96%</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7"/>
              </w:rPr>
              <w:t>4.64%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140" w:type="dxa"/>
            <w:vAlign w:val="bottom"/>
            <w:tcBorders>
              <w:right w:val="single" w:sz="8" w:color="auto"/>
            </w:tcBorders>
          </w:tcPr>
          <w:p>
            <w:pPr>
              <w:spacing w:after="0"/>
              <w:rPr>
                <w:sz w:val="24"/>
                <w:szCs w:val="24"/>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 xml:space="preserve">Funding Cost </w:t>
            </w:r>
            <w:r>
              <w:rPr>
                <w:rFonts w:ascii="Arial" w:cs="Arial" w:eastAsia="Arial" w:hAnsi="Arial"/>
                <w:sz w:val="20"/>
                <w:szCs w:val="20"/>
                <w:color w:val="auto"/>
                <w:vertAlign w:val="superscript"/>
              </w:rPr>
              <w:t>(1)(2)(3)</w:t>
            </w:r>
          </w:p>
        </w:tc>
        <w:tc>
          <w:tcPr>
            <w:tcW w:w="5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rPr>
              <w:t>2.2%</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4"/>
              </w:rPr>
              <w:t>2.5%</w:t>
            </w:r>
          </w:p>
        </w:tc>
        <w:tc>
          <w:tcPr>
            <w:tcW w:w="680" w:type="dxa"/>
            <w:vAlign w:val="bottom"/>
          </w:tcPr>
          <w:p>
            <w:pPr>
              <w:spacing w:after="0"/>
              <w:rPr>
                <w:sz w:val="24"/>
                <w:szCs w:val="2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4"/>
              </w:rPr>
              <w:t>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 w:type="dxa"/>
            <w:vAlign w:val="bottom"/>
            <w:tcBorders>
              <w:right w:val="single" w:sz="8" w:color="auto"/>
            </w:tcBorders>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Quality of loan portfolio</w:t>
            </w:r>
          </w:p>
        </w:tc>
        <w:tc>
          <w:tcPr>
            <w:tcW w:w="5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IOL ratio</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rPr>
              <w:t>4.0%</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4"/>
              </w:rPr>
              <w:t>4.2%</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4"/>
              </w:rPr>
              <w:t>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NPL ratio</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rPr>
              <w:t>5.6%</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4"/>
              </w:rPr>
              <w:t>6.0%</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4"/>
              </w:rPr>
              <w:t>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Coverage of IOLs</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w w:val="95"/>
              </w:rPr>
              <w:t>135.1%</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9"/>
              </w:rPr>
              <w:t>135.8%</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57"/>
              <w:spacing w:after="0"/>
              <w:rPr>
                <w:sz w:val="20"/>
                <w:szCs w:val="20"/>
                <w:color w:val="auto"/>
              </w:rPr>
            </w:pPr>
            <w:r>
              <w:rPr>
                <w:rFonts w:ascii="Arial" w:cs="Arial" w:eastAsia="Arial" w:hAnsi="Arial"/>
                <w:sz w:val="13"/>
                <w:szCs w:val="13"/>
                <w:color w:val="auto"/>
                <w:w w:val="95"/>
              </w:rPr>
              <w:t>134.1%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Borders>
              <w:right w:val="single" w:sz="8" w:color="auto"/>
            </w:tcBorders>
          </w:tcPr>
          <w:p>
            <w:pPr>
              <w:spacing w:after="0"/>
              <w:rPr>
                <w:sz w:val="13"/>
                <w:szCs w:val="13"/>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Coverage of NPLs</w:t>
            </w:r>
          </w:p>
        </w:tc>
        <w:tc>
          <w:tcPr>
            <w:tcW w:w="58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w w:val="92"/>
              </w:rPr>
              <w:t>95.3%</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7"/>
              </w:rPr>
              <w:t>93.8%</w:t>
            </w:r>
          </w:p>
        </w:tc>
        <w:tc>
          <w:tcPr>
            <w:tcW w:w="680" w:type="dxa"/>
            <w:vAlign w:val="bottom"/>
          </w:tcPr>
          <w:p>
            <w:pPr>
              <w:spacing w:after="0"/>
              <w:rPr>
                <w:sz w:val="13"/>
                <w:szCs w:val="13"/>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7"/>
              </w:rPr>
              <w:t>90.8%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40" w:type="dxa"/>
            <w:vAlign w:val="bottom"/>
            <w:tcBorders>
              <w:right w:val="single" w:sz="8" w:color="auto"/>
            </w:tcBorders>
          </w:tcPr>
          <w:p>
            <w:pPr>
              <w:spacing w:after="0"/>
              <w:rPr>
                <w:sz w:val="24"/>
                <w:szCs w:val="24"/>
                <w:color w:val="auto"/>
              </w:rPr>
            </w:pPr>
          </w:p>
        </w:tc>
        <w:tc>
          <w:tcPr>
            <w:tcW w:w="4360" w:type="dxa"/>
            <w:vAlign w:val="bottom"/>
          </w:tcPr>
          <w:p>
            <w:pPr>
              <w:ind w:left="200"/>
              <w:spacing w:after="0"/>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(4)</w:t>
            </w:r>
          </w:p>
        </w:tc>
        <w:tc>
          <w:tcPr>
            <w:tcW w:w="5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rPr>
              <w:t>1.6%</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4"/>
              </w:rPr>
              <w:t>2.9%</w:t>
            </w:r>
          </w:p>
        </w:tc>
        <w:tc>
          <w:tcPr>
            <w:tcW w:w="680" w:type="dxa"/>
            <w:vAlign w:val="bottom"/>
          </w:tcPr>
          <w:p>
            <w:pPr>
              <w:spacing w:after="0"/>
              <w:rPr>
                <w:sz w:val="24"/>
                <w:szCs w:val="2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4"/>
              </w:rPr>
              <w:t>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40" w:type="dxa"/>
            <w:vAlign w:val="bottom"/>
            <w:tcBorders>
              <w:right w:val="single" w:sz="8" w:color="auto"/>
            </w:tcBorders>
          </w:tcPr>
          <w:p>
            <w:pPr>
              <w:spacing w:after="0"/>
              <w:rPr>
                <w:sz w:val="17"/>
                <w:szCs w:val="17"/>
                <w:color w:val="auto"/>
              </w:rPr>
            </w:pPr>
          </w:p>
        </w:tc>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Operating efficiency</w:t>
            </w:r>
          </w:p>
        </w:tc>
        <w:tc>
          <w:tcPr>
            <w:tcW w:w="5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auto"/>
            </w:tcBorders>
          </w:tcPr>
          <w:p>
            <w:pPr>
              <w:spacing w:after="0"/>
              <w:rPr>
                <w:sz w:val="14"/>
                <w:szCs w:val="14"/>
                <w:color w:val="auto"/>
              </w:rPr>
            </w:pPr>
          </w:p>
        </w:tc>
        <w:tc>
          <w:tcPr>
            <w:tcW w:w="4360" w:type="dxa"/>
            <w:vAlign w:val="bottom"/>
          </w:tcPr>
          <w:p>
            <w:pPr>
              <w:ind w:left="200"/>
              <w:spacing w:after="0" w:line="162" w:lineRule="exact"/>
              <w:rPr>
                <w:sz w:val="20"/>
                <w:szCs w:val="20"/>
                <w:color w:val="auto"/>
              </w:rPr>
            </w:pPr>
            <w:r>
              <w:rPr>
                <w:rFonts w:ascii="Arial" w:cs="Arial" w:eastAsia="Arial" w:hAnsi="Arial"/>
                <w:sz w:val="12"/>
                <w:szCs w:val="12"/>
                <w:color w:val="auto"/>
              </w:rPr>
              <w:t xml:space="preserve">Oper. expenses as a percent. of total income - reported </w:t>
            </w:r>
            <w:r>
              <w:rPr>
                <w:rFonts w:ascii="Arial" w:cs="Arial" w:eastAsia="Arial" w:hAnsi="Arial"/>
                <w:sz w:val="18"/>
                <w:szCs w:val="18"/>
                <w:color w:val="auto"/>
                <w:vertAlign w:val="superscript"/>
              </w:rPr>
              <w:t>(5)</w:t>
            </w:r>
          </w:p>
        </w:tc>
        <w:tc>
          <w:tcPr>
            <w:tcW w:w="58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357"/>
              <w:spacing w:after="0"/>
              <w:rPr>
                <w:sz w:val="20"/>
                <w:szCs w:val="20"/>
                <w:color w:val="auto"/>
              </w:rPr>
            </w:pPr>
            <w:r>
              <w:rPr>
                <w:rFonts w:ascii="Arial" w:cs="Arial" w:eastAsia="Arial" w:hAnsi="Arial"/>
                <w:sz w:val="13"/>
                <w:szCs w:val="13"/>
                <w:color w:val="auto"/>
                <w:w w:val="92"/>
              </w:rPr>
              <w:t>36.8%</w:t>
            </w:r>
          </w:p>
        </w:tc>
        <w:tc>
          <w:tcPr>
            <w:tcW w:w="1000" w:type="dxa"/>
            <w:vAlign w:val="bottom"/>
          </w:tcPr>
          <w:p>
            <w:pPr>
              <w:jc w:val="center"/>
              <w:ind w:left="137"/>
              <w:spacing w:after="0"/>
              <w:rPr>
                <w:sz w:val="20"/>
                <w:szCs w:val="20"/>
                <w:color w:val="auto"/>
              </w:rPr>
            </w:pPr>
            <w:r>
              <w:rPr>
                <w:rFonts w:ascii="Arial" w:cs="Arial" w:eastAsia="Arial" w:hAnsi="Arial"/>
                <w:sz w:val="13"/>
                <w:szCs w:val="13"/>
                <w:color w:val="auto"/>
                <w:w w:val="97"/>
              </w:rPr>
              <w:t>41.8%</w:t>
            </w:r>
          </w:p>
        </w:tc>
        <w:tc>
          <w:tcPr>
            <w:tcW w:w="680" w:type="dxa"/>
            <w:vAlign w:val="bottom"/>
          </w:tcPr>
          <w:p>
            <w:pPr>
              <w:spacing w:after="0"/>
              <w:rPr>
                <w:sz w:val="14"/>
                <w:szCs w:val="14"/>
                <w:color w:val="auto"/>
              </w:rPr>
            </w:pPr>
          </w:p>
        </w:tc>
        <w:tc>
          <w:tcPr>
            <w:tcW w:w="960" w:type="dxa"/>
            <w:vAlign w:val="bottom"/>
            <w:tcBorders>
              <w:right w:val="single" w:sz="8" w:color="auto"/>
            </w:tcBorders>
          </w:tcPr>
          <w:p>
            <w:pPr>
              <w:jc w:val="center"/>
              <w:ind w:right="377"/>
              <w:spacing w:after="0"/>
              <w:rPr>
                <w:sz w:val="20"/>
                <w:szCs w:val="20"/>
                <w:color w:val="auto"/>
              </w:rPr>
            </w:pPr>
            <w:r>
              <w:rPr>
                <w:rFonts w:ascii="Arial" w:cs="Arial" w:eastAsia="Arial" w:hAnsi="Arial"/>
                <w:sz w:val="13"/>
                <w:szCs w:val="13"/>
                <w:color w:val="auto"/>
                <w:w w:val="97"/>
              </w:rPr>
              <w:t>36.2%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Borders>
              <w:right w:val="single" w:sz="8" w:color="auto"/>
            </w:tcBorders>
          </w:tcPr>
          <w:p>
            <w:pPr>
              <w:spacing w:after="0"/>
              <w:rPr>
                <w:sz w:val="14"/>
                <w:szCs w:val="14"/>
                <w:color w:val="auto"/>
              </w:rPr>
            </w:pPr>
          </w:p>
        </w:tc>
        <w:tc>
          <w:tcPr>
            <w:tcW w:w="4360" w:type="dxa"/>
            <w:vAlign w:val="bottom"/>
            <w:tcBorders>
              <w:bottom w:val="single" w:sz="8" w:color="auto"/>
            </w:tcBorders>
          </w:tcPr>
          <w:p>
            <w:pPr>
              <w:ind w:left="200"/>
              <w:spacing w:after="0" w:line="173" w:lineRule="exact"/>
              <w:rPr>
                <w:sz w:val="20"/>
                <w:szCs w:val="20"/>
                <w:color w:val="auto"/>
              </w:rPr>
            </w:pPr>
            <w:r>
              <w:rPr>
                <w:rFonts w:ascii="Arial" w:cs="Arial" w:eastAsia="Arial" w:hAnsi="Arial"/>
                <w:sz w:val="12"/>
                <w:szCs w:val="12"/>
                <w:color w:val="auto"/>
              </w:rPr>
              <w:t xml:space="preserve">Oper. expenses as a percent. of av. tot. assets </w:t>
            </w:r>
            <w:r>
              <w:rPr>
                <w:rFonts w:ascii="Arial" w:cs="Arial" w:eastAsia="Arial" w:hAnsi="Arial"/>
                <w:sz w:val="19"/>
                <w:szCs w:val="19"/>
                <w:color w:val="auto"/>
                <w:vertAlign w:val="superscript"/>
              </w:rPr>
              <w:t>(1)(2)(5)</w:t>
            </w:r>
          </w:p>
        </w:tc>
        <w:tc>
          <w:tcPr>
            <w:tcW w:w="58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7"/>
              <w:spacing w:after="0"/>
              <w:rPr>
                <w:sz w:val="20"/>
                <w:szCs w:val="20"/>
                <w:color w:val="auto"/>
              </w:rPr>
            </w:pPr>
            <w:r>
              <w:rPr>
                <w:rFonts w:ascii="Arial" w:cs="Arial" w:eastAsia="Arial" w:hAnsi="Arial"/>
                <w:sz w:val="13"/>
                <w:szCs w:val="13"/>
                <w:color w:val="auto"/>
              </w:rPr>
              <w:t>2.7%</w:t>
            </w:r>
          </w:p>
        </w:tc>
        <w:tc>
          <w:tcPr>
            <w:tcW w:w="100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color w:val="auto"/>
                <w:w w:val="94"/>
              </w:rPr>
              <w:t>3.3%</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ind w:right="377"/>
              <w:spacing w:after="0"/>
              <w:rPr>
                <w:sz w:val="20"/>
                <w:szCs w:val="20"/>
                <w:color w:val="auto"/>
              </w:rPr>
            </w:pPr>
            <w:r>
              <w:rPr>
                <w:rFonts w:ascii="Arial" w:cs="Arial" w:eastAsia="Arial" w:hAnsi="Arial"/>
                <w:sz w:val="13"/>
                <w:szCs w:val="13"/>
                <w:color w:val="auto"/>
                <w:w w:val="94"/>
              </w:rPr>
              <w:t>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Ratios are annualized.</w:t>
      </w:r>
    </w:p>
    <w:p>
      <w:pPr>
        <w:spacing w:after="0" w:line="5" w:lineRule="exact"/>
        <w:rPr>
          <w:rFonts w:ascii="Arial" w:cs="Arial" w:eastAsia="Arial" w:hAnsi="Arial"/>
          <w:sz w:val="11"/>
          <w:szCs w:val="11"/>
          <w:color w:val="auto"/>
        </w:rPr>
      </w:pPr>
    </w:p>
    <w:p>
      <w:pPr>
        <w:ind w:left="180" w:hanging="172"/>
        <w:spacing w:after="0" w:line="230" w:lineRule="auto"/>
        <w:tabs>
          <w:tab w:leader="none" w:pos="1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ind w:right="200" w:firstLine="8"/>
        <w:spacing w:after="0" w:line="230" w:lineRule="auto"/>
        <w:tabs>
          <w:tab w:leader="none" w:pos="162"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180" w:hanging="172"/>
        <w:spacing w:after="0" w:line="230" w:lineRule="auto"/>
        <w:tabs>
          <w:tab w:leader="none" w:pos="1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Cost of risk: Annualized provision for loan losses / Total loans.</w:t>
      </w:r>
    </w:p>
    <w:p>
      <w:pPr>
        <w:ind w:right="100" w:firstLine="8"/>
        <w:spacing w:after="0"/>
        <w:tabs>
          <w:tab w:leader="none" w:pos="162" w:val="left"/>
        </w:tabs>
        <w:numPr>
          <w:ilvl w:val="0"/>
          <w:numId w:val="55"/>
        </w:numPr>
        <w:rPr>
          <w:rFonts w:ascii="Arial" w:cs="Arial" w:eastAsia="Arial" w:hAnsi="Arial"/>
          <w:sz w:val="11"/>
          <w:szCs w:val="11"/>
          <w:color w:val="auto"/>
        </w:rPr>
      </w:pPr>
      <w:r>
        <w:rPr>
          <w:rFonts w:ascii="Arial" w:cs="Arial" w:eastAsia="Arial" w:hAnsi="Arial"/>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3" w:name="page64"/>
    <w:bookmarkEnd w:id="63"/>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12.6.5. BCP Bolivia</w:t>
      </w:r>
    </w:p>
    <w:p>
      <w:pPr>
        <w:spacing w:after="0" w:line="203"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Statement of Financial Position</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300" w:type="dxa"/>
            <w:vAlign w:val="bottom"/>
            <w:tcBorders>
              <w:top w:val="single" w:sz="8" w:color="auto"/>
              <w:left w:val="single" w:sz="8" w:color="auto"/>
              <w:right w:val="single" w:sz="8" w:color="auto"/>
            </w:tcBorders>
            <w:shd w:val="clear" w:color="auto" w:fill="2AD2C9"/>
          </w:tcPr>
          <w:p>
            <w:pPr>
              <w:spacing w:after="0"/>
              <w:rPr>
                <w:sz w:val="19"/>
                <w:szCs w:val="19"/>
                <w:color w:val="auto"/>
              </w:rPr>
            </w:pPr>
          </w:p>
        </w:tc>
        <w:tc>
          <w:tcPr>
            <w:tcW w:w="1340" w:type="dxa"/>
            <w:vAlign w:val="bottom"/>
            <w:tcBorders>
              <w:top w:val="single" w:sz="8" w:color="auto"/>
            </w:tcBorders>
            <w:shd w:val="clear" w:color="auto" w:fill="2AD2C9"/>
          </w:tcPr>
          <w:p>
            <w:pPr>
              <w:spacing w:after="0"/>
              <w:rPr>
                <w:sz w:val="19"/>
                <w:szCs w:val="19"/>
                <w:color w:val="auto"/>
              </w:rPr>
            </w:pPr>
          </w:p>
        </w:tc>
        <w:tc>
          <w:tcPr>
            <w:tcW w:w="13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9"/>
              </w:rPr>
              <w:t>As of</w:t>
            </w:r>
          </w:p>
        </w:tc>
        <w:tc>
          <w:tcPr>
            <w:tcW w:w="1380" w:type="dxa"/>
            <w:vAlign w:val="bottom"/>
            <w:tcBorders>
              <w:top w:val="single" w:sz="8" w:color="auto"/>
              <w:right w:val="single" w:sz="8" w:color="auto"/>
            </w:tcBorders>
            <w:shd w:val="clear" w:color="auto" w:fill="2AD2C9"/>
          </w:tcPr>
          <w:p>
            <w:pPr>
              <w:spacing w:after="0"/>
              <w:rPr>
                <w:sz w:val="19"/>
                <w:szCs w:val="19"/>
                <w:color w:val="auto"/>
              </w:rPr>
            </w:pPr>
          </w:p>
        </w:tc>
        <w:tc>
          <w:tcPr>
            <w:tcW w:w="188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6"/>
                <w:szCs w:val="16"/>
                <w:b w:val="1"/>
                <w:bCs w:val="1"/>
                <w:color w:val="FFFFFF"/>
              </w:rPr>
              <w:t>% change</w:t>
            </w:r>
          </w:p>
        </w:tc>
      </w:tr>
      <w:tr>
        <w:trPr>
          <w:trHeight w:val="216"/>
        </w:trPr>
        <w:tc>
          <w:tcPr>
            <w:tcW w:w="5300" w:type="dxa"/>
            <w:vAlign w:val="bottom"/>
            <w:tcBorders>
              <w:left w:val="single" w:sz="8" w:color="auto"/>
              <w:bottom w:val="single" w:sz="8" w:color="auto"/>
              <w:right w:val="single" w:sz="8" w:color="auto"/>
            </w:tcBorders>
            <w:shd w:val="clear" w:color="auto" w:fill="2AD2C9"/>
          </w:tcPr>
          <w:p>
            <w:pPr>
              <w:spacing w:after="0"/>
              <w:rPr>
                <w:sz w:val="18"/>
                <w:szCs w:val="18"/>
                <w:color w:val="auto"/>
              </w:rPr>
            </w:pPr>
          </w:p>
        </w:tc>
        <w:tc>
          <w:tcPr>
            <w:tcW w:w="1340" w:type="dxa"/>
            <w:vAlign w:val="bottom"/>
            <w:tcBorders>
              <w:bottom w:val="single" w:sz="8" w:color="auto"/>
            </w:tcBorders>
            <w:shd w:val="clear" w:color="auto" w:fill="2AD2C9"/>
          </w:tcPr>
          <w:p>
            <w:pPr>
              <w:ind w:left="420"/>
              <w:spacing w:after="0"/>
              <w:rPr>
                <w:sz w:val="20"/>
                <w:szCs w:val="20"/>
                <w:color w:val="auto"/>
              </w:rPr>
            </w:pPr>
            <w:r>
              <w:rPr>
                <w:rFonts w:ascii="Arial" w:cs="Arial" w:eastAsia="Arial" w:hAnsi="Arial"/>
                <w:sz w:val="16"/>
                <w:szCs w:val="16"/>
                <w:b w:val="1"/>
                <w:bCs w:val="1"/>
                <w:color w:val="FFFFFF"/>
              </w:rPr>
              <w:t>Mar 23</w:t>
            </w:r>
          </w:p>
        </w:tc>
        <w:tc>
          <w:tcPr>
            <w:tcW w:w="13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Dec 23</w:t>
            </w:r>
          </w:p>
        </w:tc>
        <w:tc>
          <w:tcPr>
            <w:tcW w:w="138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6"/>
                <w:szCs w:val="16"/>
                <w:b w:val="1"/>
                <w:bCs w:val="1"/>
                <w:color w:val="FFFFFF"/>
              </w:rPr>
              <w:t>Mar 24</w:t>
            </w:r>
          </w:p>
        </w:tc>
        <w:tc>
          <w:tcPr>
            <w:tcW w:w="88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6"/>
                <w:szCs w:val="16"/>
                <w:b w:val="1"/>
                <w:bCs w:val="1"/>
                <w:color w:val="FFFFFF"/>
              </w:rPr>
              <w:t>QoQ</w:t>
            </w:r>
          </w:p>
        </w:tc>
        <w:tc>
          <w:tcPr>
            <w:tcW w:w="100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6"/>
                <w:szCs w:val="16"/>
                <w:b w:val="1"/>
                <w:bCs w:val="1"/>
                <w:color w:val="FFFFFF"/>
              </w:rPr>
              <w:t>YoY</w:t>
            </w:r>
          </w:p>
        </w:tc>
      </w:tr>
      <w:tr>
        <w:trPr>
          <w:trHeight w:val="209"/>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ASSETS</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5"/>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Cash and due from banks</w:t>
            </w:r>
          </w:p>
        </w:tc>
        <w:tc>
          <w:tcPr>
            <w:tcW w:w="1340" w:type="dxa"/>
            <w:vAlign w:val="bottom"/>
          </w:tcPr>
          <w:p>
            <w:pPr>
              <w:jc w:val="center"/>
              <w:spacing w:after="0"/>
              <w:rPr>
                <w:sz w:val="20"/>
                <w:szCs w:val="20"/>
                <w:color w:val="auto"/>
              </w:rPr>
            </w:pPr>
            <w:r>
              <w:rPr>
                <w:rFonts w:ascii="Arial" w:cs="Arial" w:eastAsia="Arial" w:hAnsi="Arial"/>
                <w:sz w:val="16"/>
                <w:szCs w:val="16"/>
                <w:color w:val="auto"/>
              </w:rPr>
              <w:t>1,979,856</w:t>
            </w:r>
          </w:p>
        </w:tc>
        <w:tc>
          <w:tcPr>
            <w:tcW w:w="1340" w:type="dxa"/>
            <w:vAlign w:val="bottom"/>
          </w:tcPr>
          <w:p>
            <w:pPr>
              <w:jc w:val="center"/>
              <w:spacing w:after="0"/>
              <w:rPr>
                <w:sz w:val="20"/>
                <w:szCs w:val="20"/>
                <w:color w:val="auto"/>
              </w:rPr>
            </w:pPr>
            <w:r>
              <w:rPr>
                <w:rFonts w:ascii="Arial" w:cs="Arial" w:eastAsia="Arial" w:hAnsi="Arial"/>
                <w:sz w:val="16"/>
                <w:szCs w:val="16"/>
                <w:color w:val="auto"/>
              </w:rPr>
              <w:t>2,552,099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2,374,484</w:t>
            </w:r>
          </w:p>
        </w:tc>
        <w:tc>
          <w:tcPr>
            <w:tcW w:w="880" w:type="dxa"/>
            <w:vAlign w:val="bottom"/>
          </w:tcPr>
          <w:p>
            <w:pPr>
              <w:jc w:val="center"/>
              <w:spacing w:after="0"/>
              <w:rPr>
                <w:sz w:val="20"/>
                <w:szCs w:val="20"/>
                <w:color w:val="auto"/>
              </w:rPr>
            </w:pPr>
            <w:r>
              <w:rPr>
                <w:rFonts w:ascii="Arial" w:cs="Arial" w:eastAsia="Arial" w:hAnsi="Arial"/>
                <w:sz w:val="16"/>
                <w:szCs w:val="16"/>
                <w:color w:val="auto"/>
              </w:rPr>
              <w:t>-7.0%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19.9%</w:t>
            </w:r>
          </w:p>
        </w:tc>
      </w:tr>
      <w:tr>
        <w:trPr>
          <w:trHeight w:val="216"/>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Investments</w:t>
            </w:r>
          </w:p>
        </w:tc>
        <w:tc>
          <w:tcPr>
            <w:tcW w:w="1340" w:type="dxa"/>
            <w:vAlign w:val="bottom"/>
          </w:tcPr>
          <w:p>
            <w:pPr>
              <w:jc w:val="center"/>
              <w:spacing w:after="0"/>
              <w:rPr>
                <w:sz w:val="20"/>
                <w:szCs w:val="20"/>
                <w:color w:val="auto"/>
              </w:rPr>
            </w:pPr>
            <w:r>
              <w:rPr>
                <w:rFonts w:ascii="Arial" w:cs="Arial" w:eastAsia="Arial" w:hAnsi="Arial"/>
                <w:sz w:val="16"/>
                <w:szCs w:val="16"/>
                <w:color w:val="auto"/>
              </w:rPr>
              <w:t>1,668,326</w:t>
            </w:r>
          </w:p>
        </w:tc>
        <w:tc>
          <w:tcPr>
            <w:tcW w:w="1340" w:type="dxa"/>
            <w:vAlign w:val="bottom"/>
          </w:tcPr>
          <w:p>
            <w:pPr>
              <w:jc w:val="center"/>
              <w:spacing w:after="0"/>
              <w:rPr>
                <w:sz w:val="20"/>
                <w:szCs w:val="20"/>
                <w:color w:val="auto"/>
              </w:rPr>
            </w:pPr>
            <w:r>
              <w:rPr>
                <w:rFonts w:ascii="Arial" w:cs="Arial" w:eastAsia="Arial" w:hAnsi="Arial"/>
                <w:sz w:val="16"/>
                <w:szCs w:val="16"/>
                <w:color w:val="auto"/>
              </w:rPr>
              <w:t>1,522,673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1,578,839</w:t>
            </w:r>
          </w:p>
        </w:tc>
        <w:tc>
          <w:tcPr>
            <w:tcW w:w="880" w:type="dxa"/>
            <w:vAlign w:val="bottom"/>
          </w:tcPr>
          <w:p>
            <w:pPr>
              <w:jc w:val="center"/>
              <w:spacing w:after="0"/>
              <w:rPr>
                <w:sz w:val="20"/>
                <w:szCs w:val="20"/>
                <w:color w:val="auto"/>
              </w:rPr>
            </w:pPr>
            <w:r>
              <w:rPr>
                <w:rFonts w:ascii="Arial" w:cs="Arial" w:eastAsia="Arial" w:hAnsi="Arial"/>
                <w:sz w:val="16"/>
                <w:szCs w:val="16"/>
                <w:color w:val="auto"/>
              </w:rPr>
              <w:t>3.7%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-5.4%</w:t>
            </w:r>
          </w:p>
        </w:tc>
      </w:tr>
      <w:tr>
        <w:trPr>
          <w:trHeight w:val="217"/>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loans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9,362,120</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9,401,800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9,739,036</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3.6%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4.0%</w:t>
            </w:r>
          </w:p>
        </w:tc>
      </w:tr>
      <w:tr>
        <w:trPr>
          <w:trHeight w:val="215"/>
        </w:trPr>
        <w:tc>
          <w:tcPr>
            <w:tcW w:w="53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Current</w:t>
            </w:r>
          </w:p>
        </w:tc>
        <w:tc>
          <w:tcPr>
            <w:tcW w:w="1340" w:type="dxa"/>
            <w:vAlign w:val="bottom"/>
          </w:tcPr>
          <w:p>
            <w:pPr>
              <w:jc w:val="center"/>
              <w:spacing w:after="0"/>
              <w:rPr>
                <w:sz w:val="20"/>
                <w:szCs w:val="20"/>
                <w:color w:val="auto"/>
              </w:rPr>
            </w:pPr>
            <w:r>
              <w:rPr>
                <w:rFonts w:ascii="Arial" w:cs="Arial" w:eastAsia="Arial" w:hAnsi="Arial"/>
                <w:sz w:val="16"/>
                <w:szCs w:val="16"/>
                <w:color w:val="auto"/>
              </w:rPr>
              <w:t>9,108,055</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9,112,231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9,434,678</w:t>
            </w:r>
          </w:p>
        </w:tc>
        <w:tc>
          <w:tcPr>
            <w:tcW w:w="880" w:type="dxa"/>
            <w:vAlign w:val="bottom"/>
          </w:tcPr>
          <w:p>
            <w:pPr>
              <w:jc w:val="center"/>
              <w:spacing w:after="0"/>
              <w:rPr>
                <w:sz w:val="20"/>
                <w:szCs w:val="20"/>
                <w:color w:val="auto"/>
              </w:rPr>
            </w:pPr>
            <w:r>
              <w:rPr>
                <w:rFonts w:ascii="Arial" w:cs="Arial" w:eastAsia="Arial" w:hAnsi="Arial"/>
                <w:sz w:val="16"/>
                <w:szCs w:val="16"/>
                <w:color w:val="auto"/>
              </w:rPr>
              <w:t>3.5%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3.6%</w:t>
            </w:r>
          </w:p>
        </w:tc>
      </w:tr>
      <w:tr>
        <w:trPr>
          <w:trHeight w:val="216"/>
        </w:trPr>
        <w:tc>
          <w:tcPr>
            <w:tcW w:w="53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Internal overdue loans</w:t>
            </w:r>
          </w:p>
        </w:tc>
        <w:tc>
          <w:tcPr>
            <w:tcW w:w="1340" w:type="dxa"/>
            <w:vAlign w:val="bottom"/>
          </w:tcPr>
          <w:p>
            <w:pPr>
              <w:jc w:val="center"/>
              <w:spacing w:after="0"/>
              <w:rPr>
                <w:sz w:val="20"/>
                <w:szCs w:val="20"/>
                <w:color w:val="auto"/>
              </w:rPr>
            </w:pPr>
            <w:r>
              <w:rPr>
                <w:rFonts w:ascii="Arial" w:cs="Arial" w:eastAsia="Arial" w:hAnsi="Arial"/>
                <w:sz w:val="16"/>
                <w:szCs w:val="16"/>
                <w:color w:val="auto"/>
              </w:rPr>
              <w:t>228,195</w:t>
            </w:r>
          </w:p>
        </w:tc>
        <w:tc>
          <w:tcPr>
            <w:tcW w:w="1340" w:type="dxa"/>
            <w:vAlign w:val="bottom"/>
          </w:tcPr>
          <w:p>
            <w:pPr>
              <w:jc w:val="center"/>
              <w:spacing w:after="0"/>
              <w:rPr>
                <w:sz w:val="20"/>
                <w:szCs w:val="20"/>
                <w:color w:val="auto"/>
              </w:rPr>
            </w:pPr>
            <w:r>
              <w:rPr>
                <w:rFonts w:ascii="Arial" w:cs="Arial" w:eastAsia="Arial" w:hAnsi="Arial"/>
                <w:sz w:val="16"/>
                <w:szCs w:val="16"/>
                <w:color w:val="auto"/>
              </w:rPr>
              <w:t>240,528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250,051</w:t>
            </w:r>
          </w:p>
        </w:tc>
        <w:tc>
          <w:tcPr>
            <w:tcW w:w="880" w:type="dxa"/>
            <w:vAlign w:val="bottom"/>
          </w:tcPr>
          <w:p>
            <w:pPr>
              <w:jc w:val="center"/>
              <w:spacing w:after="0"/>
              <w:rPr>
                <w:sz w:val="20"/>
                <w:szCs w:val="20"/>
                <w:color w:val="auto"/>
              </w:rPr>
            </w:pPr>
            <w:r>
              <w:rPr>
                <w:rFonts w:ascii="Arial" w:cs="Arial" w:eastAsia="Arial" w:hAnsi="Arial"/>
                <w:sz w:val="16"/>
                <w:szCs w:val="16"/>
                <w:color w:val="auto"/>
              </w:rPr>
              <w:t>4.0%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9.6%</w:t>
            </w:r>
          </w:p>
        </w:tc>
      </w:tr>
      <w:tr>
        <w:trPr>
          <w:trHeight w:val="216"/>
        </w:trPr>
        <w:tc>
          <w:tcPr>
            <w:tcW w:w="53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Refinanced</w:t>
            </w:r>
          </w:p>
        </w:tc>
        <w:tc>
          <w:tcPr>
            <w:tcW w:w="1340" w:type="dxa"/>
            <w:vAlign w:val="bottom"/>
          </w:tcPr>
          <w:p>
            <w:pPr>
              <w:jc w:val="center"/>
              <w:spacing w:after="0"/>
              <w:rPr>
                <w:sz w:val="20"/>
                <w:szCs w:val="20"/>
                <w:color w:val="auto"/>
              </w:rPr>
            </w:pPr>
            <w:r>
              <w:rPr>
                <w:rFonts w:ascii="Arial" w:cs="Arial" w:eastAsia="Arial" w:hAnsi="Arial"/>
                <w:sz w:val="16"/>
                <w:szCs w:val="16"/>
                <w:color w:val="auto"/>
              </w:rPr>
              <w:t>25,869</w:t>
            </w:r>
          </w:p>
        </w:tc>
        <w:tc>
          <w:tcPr>
            <w:tcW w:w="1340" w:type="dxa"/>
            <w:vAlign w:val="bottom"/>
          </w:tcPr>
          <w:p>
            <w:pPr>
              <w:jc w:val="center"/>
              <w:spacing w:after="0"/>
              <w:rPr>
                <w:sz w:val="20"/>
                <w:szCs w:val="20"/>
                <w:color w:val="auto"/>
              </w:rPr>
            </w:pPr>
            <w:r>
              <w:rPr>
                <w:rFonts w:ascii="Arial" w:cs="Arial" w:eastAsia="Arial" w:hAnsi="Arial"/>
                <w:sz w:val="16"/>
                <w:szCs w:val="16"/>
                <w:color w:val="auto"/>
              </w:rPr>
              <w:t>49,040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54,307</w:t>
            </w:r>
          </w:p>
        </w:tc>
        <w:tc>
          <w:tcPr>
            <w:tcW w:w="880" w:type="dxa"/>
            <w:vAlign w:val="bottom"/>
          </w:tcPr>
          <w:p>
            <w:pPr>
              <w:jc w:val="center"/>
              <w:spacing w:after="0"/>
              <w:rPr>
                <w:sz w:val="20"/>
                <w:szCs w:val="20"/>
                <w:color w:val="auto"/>
              </w:rPr>
            </w:pPr>
            <w:r>
              <w:rPr>
                <w:rFonts w:ascii="Arial" w:cs="Arial" w:eastAsia="Arial" w:hAnsi="Arial"/>
                <w:sz w:val="16"/>
                <w:szCs w:val="16"/>
                <w:color w:val="auto"/>
              </w:rPr>
              <w:t>10.7%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109.9%</w:t>
            </w:r>
          </w:p>
        </w:tc>
      </w:tr>
      <w:tr>
        <w:trPr>
          <w:trHeight w:val="216"/>
        </w:trPr>
        <w:tc>
          <w:tcPr>
            <w:tcW w:w="53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Allowance for loan losses</w:t>
            </w:r>
          </w:p>
        </w:tc>
        <w:tc>
          <w:tcPr>
            <w:tcW w:w="1340" w:type="dxa"/>
            <w:vAlign w:val="bottom"/>
          </w:tcPr>
          <w:p>
            <w:pPr>
              <w:jc w:val="center"/>
              <w:spacing w:after="0"/>
              <w:rPr>
                <w:sz w:val="20"/>
                <w:szCs w:val="20"/>
                <w:color w:val="auto"/>
              </w:rPr>
            </w:pPr>
            <w:r>
              <w:rPr>
                <w:rFonts w:ascii="Arial" w:cs="Arial" w:eastAsia="Arial" w:hAnsi="Arial"/>
                <w:sz w:val="16"/>
                <w:szCs w:val="16"/>
                <w:color w:val="auto"/>
              </w:rPr>
              <w:t>(392,762)</w:t>
            </w:r>
          </w:p>
        </w:tc>
        <w:tc>
          <w:tcPr>
            <w:tcW w:w="1340" w:type="dxa"/>
            <w:vAlign w:val="bottom"/>
          </w:tcPr>
          <w:p>
            <w:pPr>
              <w:jc w:val="center"/>
              <w:spacing w:after="0"/>
              <w:rPr>
                <w:sz w:val="20"/>
                <w:szCs w:val="20"/>
                <w:color w:val="auto"/>
              </w:rPr>
            </w:pPr>
            <w:r>
              <w:rPr>
                <w:rFonts w:ascii="Arial" w:cs="Arial" w:eastAsia="Arial" w:hAnsi="Arial"/>
                <w:sz w:val="16"/>
                <w:szCs w:val="16"/>
                <w:color w:val="auto"/>
              </w:rPr>
              <w:t>(351,688)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(352,327)</w:t>
            </w:r>
          </w:p>
        </w:tc>
        <w:tc>
          <w:tcPr>
            <w:tcW w:w="880" w:type="dxa"/>
            <w:vAlign w:val="bottom"/>
          </w:tcPr>
          <w:p>
            <w:pPr>
              <w:jc w:val="center"/>
              <w:spacing w:after="0"/>
              <w:rPr>
                <w:sz w:val="20"/>
                <w:szCs w:val="20"/>
                <w:color w:val="auto"/>
              </w:rPr>
            </w:pPr>
            <w:r>
              <w:rPr>
                <w:rFonts w:ascii="Arial" w:cs="Arial" w:eastAsia="Arial" w:hAnsi="Arial"/>
                <w:sz w:val="16"/>
                <w:szCs w:val="16"/>
                <w:color w:val="auto"/>
              </w:rPr>
              <w:t>0.2%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-10.3%</w:t>
            </w:r>
          </w:p>
        </w:tc>
      </w:tr>
      <w:tr>
        <w:trPr>
          <w:trHeight w:val="217"/>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Net loans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8,969,357</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8"/>
              </w:rPr>
              <w:t>9,050,112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9,386,709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3.7%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4.7%</w:t>
            </w:r>
          </w:p>
        </w:tc>
      </w:tr>
      <w:tr>
        <w:trPr>
          <w:trHeight w:val="215"/>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Property, plant and equipment, net</w:t>
            </w:r>
          </w:p>
        </w:tc>
        <w:tc>
          <w:tcPr>
            <w:tcW w:w="1340" w:type="dxa"/>
            <w:vAlign w:val="bottom"/>
          </w:tcPr>
          <w:p>
            <w:pPr>
              <w:jc w:val="center"/>
              <w:spacing w:after="0"/>
              <w:rPr>
                <w:sz w:val="20"/>
                <w:szCs w:val="20"/>
                <w:color w:val="auto"/>
              </w:rPr>
            </w:pPr>
            <w:r>
              <w:rPr>
                <w:rFonts w:ascii="Arial" w:cs="Arial" w:eastAsia="Arial" w:hAnsi="Arial"/>
                <w:sz w:val="16"/>
                <w:szCs w:val="16"/>
                <w:color w:val="auto"/>
              </w:rPr>
              <w:t>63,692</w:t>
            </w:r>
          </w:p>
        </w:tc>
        <w:tc>
          <w:tcPr>
            <w:tcW w:w="1340" w:type="dxa"/>
            <w:vAlign w:val="bottom"/>
          </w:tcPr>
          <w:p>
            <w:pPr>
              <w:jc w:val="center"/>
              <w:spacing w:after="0"/>
              <w:rPr>
                <w:sz w:val="20"/>
                <w:szCs w:val="20"/>
                <w:color w:val="auto"/>
              </w:rPr>
            </w:pPr>
            <w:r>
              <w:rPr>
                <w:rFonts w:ascii="Arial" w:cs="Arial" w:eastAsia="Arial" w:hAnsi="Arial"/>
                <w:sz w:val="16"/>
                <w:szCs w:val="16"/>
                <w:color w:val="auto"/>
              </w:rPr>
              <w:t>66,129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65,712</w:t>
            </w:r>
          </w:p>
        </w:tc>
        <w:tc>
          <w:tcPr>
            <w:tcW w:w="880" w:type="dxa"/>
            <w:vAlign w:val="bottom"/>
          </w:tcPr>
          <w:p>
            <w:pPr>
              <w:jc w:val="center"/>
              <w:spacing w:after="0"/>
              <w:rPr>
                <w:sz w:val="20"/>
                <w:szCs w:val="20"/>
                <w:color w:val="auto"/>
              </w:rPr>
            </w:pPr>
            <w:r>
              <w:rPr>
                <w:rFonts w:ascii="Arial" w:cs="Arial" w:eastAsia="Arial" w:hAnsi="Arial"/>
                <w:sz w:val="16"/>
                <w:szCs w:val="16"/>
                <w:color w:val="auto"/>
              </w:rPr>
              <w:t>-0.6%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w:t>
            </w:r>
          </w:p>
        </w:tc>
      </w:tr>
      <w:tr>
        <w:trPr>
          <w:trHeight w:val="216"/>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 assets</w:t>
            </w:r>
          </w:p>
        </w:tc>
        <w:tc>
          <w:tcPr>
            <w:tcW w:w="1340" w:type="dxa"/>
            <w:vAlign w:val="bottom"/>
          </w:tcPr>
          <w:p>
            <w:pPr>
              <w:jc w:val="center"/>
              <w:spacing w:after="0"/>
              <w:rPr>
                <w:sz w:val="20"/>
                <w:szCs w:val="20"/>
                <w:color w:val="auto"/>
              </w:rPr>
            </w:pPr>
            <w:r>
              <w:rPr>
                <w:rFonts w:ascii="Arial" w:cs="Arial" w:eastAsia="Arial" w:hAnsi="Arial"/>
                <w:sz w:val="16"/>
                <w:szCs w:val="16"/>
                <w:color w:val="auto"/>
              </w:rPr>
              <w:t>290,842</w:t>
            </w:r>
          </w:p>
        </w:tc>
        <w:tc>
          <w:tcPr>
            <w:tcW w:w="1340" w:type="dxa"/>
            <w:vAlign w:val="bottom"/>
          </w:tcPr>
          <w:p>
            <w:pPr>
              <w:jc w:val="center"/>
              <w:spacing w:after="0"/>
              <w:rPr>
                <w:sz w:val="20"/>
                <w:szCs w:val="20"/>
                <w:color w:val="auto"/>
              </w:rPr>
            </w:pPr>
            <w:r>
              <w:rPr>
                <w:rFonts w:ascii="Arial" w:cs="Arial" w:eastAsia="Arial" w:hAnsi="Arial"/>
                <w:sz w:val="16"/>
                <w:szCs w:val="16"/>
                <w:color w:val="auto"/>
              </w:rPr>
              <w:t>309,865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339,170</w:t>
            </w:r>
          </w:p>
        </w:tc>
        <w:tc>
          <w:tcPr>
            <w:tcW w:w="880" w:type="dxa"/>
            <w:vAlign w:val="bottom"/>
          </w:tcPr>
          <w:p>
            <w:pPr>
              <w:jc w:val="center"/>
              <w:spacing w:after="0"/>
              <w:rPr>
                <w:sz w:val="20"/>
                <w:szCs w:val="20"/>
                <w:color w:val="auto"/>
              </w:rPr>
            </w:pPr>
            <w:r>
              <w:rPr>
                <w:rFonts w:ascii="Arial" w:cs="Arial" w:eastAsia="Arial" w:hAnsi="Arial"/>
                <w:sz w:val="16"/>
                <w:szCs w:val="16"/>
                <w:color w:val="auto"/>
              </w:rPr>
              <w:t>9.5%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16.6%</w:t>
            </w:r>
          </w:p>
        </w:tc>
      </w:tr>
      <w:tr>
        <w:trPr>
          <w:trHeight w:val="224"/>
        </w:trPr>
        <w:tc>
          <w:tcPr>
            <w:tcW w:w="5300" w:type="dxa"/>
            <w:vAlign w:val="bottom"/>
            <w:tcBorders>
              <w:left w:val="single" w:sz="8" w:color="auto"/>
              <w:right w:val="single" w:sz="8" w:color="auto"/>
            </w:tcBorders>
          </w:tcPr>
          <w:p>
            <w:pPr>
              <w:ind w:left="2200"/>
              <w:spacing w:after="0"/>
              <w:rPr>
                <w:sz w:val="20"/>
                <w:szCs w:val="20"/>
                <w:color w:val="auto"/>
              </w:rPr>
            </w:pPr>
            <w:r>
              <w:rPr>
                <w:rFonts w:ascii="Arial" w:cs="Arial" w:eastAsia="Arial" w:hAnsi="Arial"/>
                <w:sz w:val="16"/>
                <w:szCs w:val="16"/>
                <w:b w:val="1"/>
                <w:bCs w:val="1"/>
                <w:color w:val="auto"/>
              </w:rPr>
              <w:t>Total assets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12,972,073</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13,500,877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13,744,915</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6.0%</w:t>
            </w:r>
          </w:p>
        </w:tc>
      </w:tr>
      <w:tr>
        <w:trPr>
          <w:trHeight w:val="425"/>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LIABILITIES AND NET SHAREHOLDERS’ EQUITY</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15"/>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Deposits and obligations</w:t>
            </w:r>
          </w:p>
        </w:tc>
        <w:tc>
          <w:tcPr>
            <w:tcW w:w="1340" w:type="dxa"/>
            <w:vAlign w:val="bottom"/>
          </w:tcPr>
          <w:p>
            <w:pPr>
              <w:jc w:val="center"/>
              <w:spacing w:after="0"/>
              <w:rPr>
                <w:sz w:val="20"/>
                <w:szCs w:val="20"/>
                <w:color w:val="auto"/>
              </w:rPr>
            </w:pPr>
            <w:r>
              <w:rPr>
                <w:rFonts w:ascii="Arial" w:cs="Arial" w:eastAsia="Arial" w:hAnsi="Arial"/>
                <w:sz w:val="16"/>
                <w:szCs w:val="16"/>
                <w:color w:val="auto"/>
              </w:rPr>
              <w:t>10,836,041</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11,482,143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11,727,803</w:t>
            </w:r>
          </w:p>
        </w:tc>
        <w:tc>
          <w:tcPr>
            <w:tcW w:w="880" w:type="dxa"/>
            <w:vAlign w:val="bottom"/>
          </w:tcPr>
          <w:p>
            <w:pPr>
              <w:jc w:val="center"/>
              <w:spacing w:after="0"/>
              <w:rPr>
                <w:sz w:val="20"/>
                <w:szCs w:val="20"/>
                <w:color w:val="auto"/>
              </w:rPr>
            </w:pPr>
            <w:r>
              <w:rPr>
                <w:rFonts w:ascii="Arial" w:cs="Arial" w:eastAsia="Arial" w:hAnsi="Arial"/>
                <w:sz w:val="16"/>
                <w:szCs w:val="16"/>
                <w:color w:val="auto"/>
              </w:rPr>
              <w:t>2.1%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8.2%</w:t>
            </w:r>
          </w:p>
        </w:tc>
      </w:tr>
      <w:tr>
        <w:trPr>
          <w:trHeight w:val="216"/>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Due to banks and correspondents</w:t>
            </w:r>
          </w:p>
        </w:tc>
        <w:tc>
          <w:tcPr>
            <w:tcW w:w="1340" w:type="dxa"/>
            <w:vAlign w:val="bottom"/>
          </w:tcPr>
          <w:p>
            <w:pPr>
              <w:jc w:val="center"/>
              <w:spacing w:after="0"/>
              <w:rPr>
                <w:sz w:val="20"/>
                <w:szCs w:val="20"/>
                <w:color w:val="auto"/>
              </w:rPr>
            </w:pPr>
            <w:r>
              <w:rPr>
                <w:rFonts w:ascii="Arial" w:cs="Arial" w:eastAsia="Arial" w:hAnsi="Arial"/>
                <w:sz w:val="16"/>
                <w:szCs w:val="16"/>
                <w:color w:val="auto"/>
              </w:rPr>
              <w:t>81,653</w:t>
            </w:r>
          </w:p>
        </w:tc>
        <w:tc>
          <w:tcPr>
            <w:tcW w:w="1340" w:type="dxa"/>
            <w:vAlign w:val="bottom"/>
          </w:tcPr>
          <w:p>
            <w:pPr>
              <w:jc w:val="center"/>
              <w:spacing w:after="0"/>
              <w:rPr>
                <w:sz w:val="20"/>
                <w:szCs w:val="20"/>
                <w:color w:val="auto"/>
              </w:rPr>
            </w:pPr>
            <w:r>
              <w:rPr>
                <w:rFonts w:ascii="Arial" w:cs="Arial" w:eastAsia="Arial" w:hAnsi="Arial"/>
                <w:sz w:val="16"/>
                <w:szCs w:val="16"/>
                <w:color w:val="auto"/>
              </w:rPr>
              <w:t>78,296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76,650</w:t>
            </w:r>
          </w:p>
        </w:tc>
        <w:tc>
          <w:tcPr>
            <w:tcW w:w="880" w:type="dxa"/>
            <w:vAlign w:val="bottom"/>
          </w:tcPr>
          <w:p>
            <w:pPr>
              <w:jc w:val="center"/>
              <w:spacing w:after="0"/>
              <w:rPr>
                <w:sz w:val="20"/>
                <w:szCs w:val="20"/>
                <w:color w:val="auto"/>
              </w:rPr>
            </w:pPr>
            <w:r>
              <w:rPr>
                <w:rFonts w:ascii="Arial" w:cs="Arial" w:eastAsia="Arial" w:hAnsi="Arial"/>
                <w:sz w:val="16"/>
                <w:szCs w:val="16"/>
                <w:color w:val="auto"/>
              </w:rPr>
              <w:t>-2.1%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w:t>
            </w:r>
          </w:p>
        </w:tc>
      </w:tr>
      <w:tr>
        <w:trPr>
          <w:trHeight w:val="216"/>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Bonds and subordinated debt</w:t>
            </w:r>
          </w:p>
        </w:tc>
        <w:tc>
          <w:tcPr>
            <w:tcW w:w="1340" w:type="dxa"/>
            <w:vAlign w:val="bottom"/>
          </w:tcPr>
          <w:p>
            <w:pPr>
              <w:jc w:val="center"/>
              <w:spacing w:after="0"/>
              <w:rPr>
                <w:sz w:val="20"/>
                <w:szCs w:val="20"/>
                <w:color w:val="auto"/>
              </w:rPr>
            </w:pPr>
            <w:r>
              <w:rPr>
                <w:rFonts w:ascii="Arial" w:cs="Arial" w:eastAsia="Arial" w:hAnsi="Arial"/>
                <w:sz w:val="16"/>
                <w:szCs w:val="16"/>
                <w:color w:val="auto"/>
              </w:rPr>
              <w:t>94,607</w:t>
            </w:r>
          </w:p>
        </w:tc>
        <w:tc>
          <w:tcPr>
            <w:tcW w:w="1340" w:type="dxa"/>
            <w:vAlign w:val="bottom"/>
          </w:tcPr>
          <w:p>
            <w:pPr>
              <w:jc w:val="center"/>
              <w:spacing w:after="0"/>
              <w:rPr>
                <w:sz w:val="20"/>
                <w:szCs w:val="20"/>
                <w:color w:val="auto"/>
              </w:rPr>
            </w:pPr>
            <w:r>
              <w:rPr>
                <w:rFonts w:ascii="Arial" w:cs="Arial" w:eastAsia="Arial" w:hAnsi="Arial"/>
                <w:sz w:val="16"/>
                <w:szCs w:val="16"/>
                <w:color w:val="auto"/>
              </w:rPr>
              <w:t>161,916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161,970</w:t>
            </w:r>
          </w:p>
        </w:tc>
        <w:tc>
          <w:tcPr>
            <w:tcW w:w="880" w:type="dxa"/>
            <w:vAlign w:val="bottom"/>
          </w:tcPr>
          <w:p>
            <w:pPr>
              <w:jc w:val="center"/>
              <w:spacing w:after="0"/>
              <w:rPr>
                <w:sz w:val="20"/>
                <w:szCs w:val="20"/>
                <w:color w:val="auto"/>
              </w:rPr>
            </w:pPr>
            <w:r>
              <w:rPr>
                <w:rFonts w:ascii="Arial" w:cs="Arial" w:eastAsia="Arial" w:hAnsi="Arial"/>
                <w:sz w:val="16"/>
                <w:szCs w:val="16"/>
                <w:color w:val="auto"/>
              </w:rPr>
              <w:t>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71.2%</w:t>
            </w:r>
          </w:p>
        </w:tc>
      </w:tr>
      <w:tr>
        <w:trPr>
          <w:trHeight w:val="216"/>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 liabilities</w:t>
            </w:r>
          </w:p>
        </w:tc>
        <w:tc>
          <w:tcPr>
            <w:tcW w:w="1340" w:type="dxa"/>
            <w:vAlign w:val="bottom"/>
          </w:tcPr>
          <w:p>
            <w:pPr>
              <w:jc w:val="center"/>
              <w:spacing w:after="0"/>
              <w:rPr>
                <w:sz w:val="20"/>
                <w:szCs w:val="20"/>
                <w:color w:val="auto"/>
              </w:rPr>
            </w:pPr>
            <w:r>
              <w:rPr>
                <w:rFonts w:ascii="Arial" w:cs="Arial" w:eastAsia="Arial" w:hAnsi="Arial"/>
                <w:sz w:val="16"/>
                <w:szCs w:val="16"/>
                <w:color w:val="auto"/>
              </w:rPr>
              <w:t>1,109,657</w:t>
            </w:r>
          </w:p>
        </w:tc>
        <w:tc>
          <w:tcPr>
            <w:tcW w:w="1340" w:type="dxa"/>
            <w:vAlign w:val="bottom"/>
          </w:tcPr>
          <w:p>
            <w:pPr>
              <w:jc w:val="center"/>
              <w:spacing w:after="0"/>
              <w:rPr>
                <w:sz w:val="20"/>
                <w:szCs w:val="20"/>
                <w:color w:val="auto"/>
              </w:rPr>
            </w:pPr>
            <w:r>
              <w:rPr>
                <w:rFonts w:ascii="Arial" w:cs="Arial" w:eastAsia="Arial" w:hAnsi="Arial"/>
                <w:sz w:val="16"/>
                <w:szCs w:val="16"/>
                <w:color w:val="auto"/>
              </w:rPr>
              <w:t>889,949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879,269</w:t>
            </w:r>
          </w:p>
        </w:tc>
        <w:tc>
          <w:tcPr>
            <w:tcW w:w="880" w:type="dxa"/>
            <w:vAlign w:val="bottom"/>
          </w:tcPr>
          <w:p>
            <w:pPr>
              <w:jc w:val="center"/>
              <w:spacing w:after="0"/>
              <w:rPr>
                <w:sz w:val="20"/>
                <w:szCs w:val="20"/>
                <w:color w:val="auto"/>
              </w:rPr>
            </w:pPr>
            <w:r>
              <w:rPr>
                <w:rFonts w:ascii="Arial" w:cs="Arial" w:eastAsia="Arial" w:hAnsi="Arial"/>
                <w:sz w:val="16"/>
                <w:szCs w:val="16"/>
                <w:color w:val="auto"/>
              </w:rPr>
              <w:t>-1.2%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-20.8%</w:t>
            </w:r>
          </w:p>
        </w:tc>
      </w:tr>
      <w:tr>
        <w:trPr>
          <w:trHeight w:val="224"/>
        </w:trPr>
        <w:tc>
          <w:tcPr>
            <w:tcW w:w="5300" w:type="dxa"/>
            <w:vAlign w:val="bottom"/>
            <w:tcBorders>
              <w:left w:val="single" w:sz="8" w:color="auto"/>
              <w:right w:val="single" w:sz="8" w:color="auto"/>
            </w:tcBorders>
          </w:tcPr>
          <w:p>
            <w:pPr>
              <w:ind w:left="2100"/>
              <w:spacing w:after="0"/>
              <w:rPr>
                <w:sz w:val="20"/>
                <w:szCs w:val="20"/>
                <w:color w:val="auto"/>
              </w:rPr>
            </w:pPr>
            <w:r>
              <w:rPr>
                <w:rFonts w:ascii="Arial" w:cs="Arial" w:eastAsia="Arial" w:hAnsi="Arial"/>
                <w:sz w:val="16"/>
                <w:szCs w:val="16"/>
                <w:b w:val="1"/>
                <w:bCs w:val="1"/>
                <w:color w:val="auto"/>
              </w:rPr>
              <w:t>Total liabilities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12,121,958</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12,612,305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12,845,693</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6.0%</w:t>
            </w:r>
          </w:p>
        </w:tc>
      </w:tr>
      <w:tr>
        <w:trPr>
          <w:trHeight w:val="432"/>
        </w:trPr>
        <w:tc>
          <w:tcPr>
            <w:tcW w:w="5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Net equity</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850,115</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888,573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899,222</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5.8%</w:t>
            </w:r>
          </w:p>
        </w:tc>
      </w:tr>
      <w:tr>
        <w:trPr>
          <w:trHeight w:val="426"/>
        </w:trPr>
        <w:tc>
          <w:tcPr>
            <w:tcW w:w="5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12,972,073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13,500,877</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13,744,915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6.0%</w:t>
            </w:r>
          </w:p>
        </w:tc>
      </w:tr>
    </w:tbl>
    <w:p>
      <w:pPr>
        <w:spacing w:after="0" w:line="188"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Statement of Income</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 w:type="dxa"/>
            <w:vAlign w:val="bottom"/>
            <w:tcBorders>
              <w:right w:val="single" w:sz="8" w:color="auto"/>
            </w:tcBorders>
          </w:tcPr>
          <w:p>
            <w:pPr>
              <w:spacing w:after="0"/>
              <w:rPr>
                <w:sz w:val="15"/>
                <w:szCs w:val="15"/>
                <w:color w:val="auto"/>
              </w:rPr>
            </w:pPr>
          </w:p>
        </w:tc>
        <w:tc>
          <w:tcPr>
            <w:tcW w:w="3140" w:type="dxa"/>
            <w:vAlign w:val="bottom"/>
            <w:tcBorders>
              <w:top w:val="single" w:sz="8" w:color="auto"/>
            </w:tcBorders>
            <w:shd w:val="clear" w:color="auto" w:fill="29D2C9"/>
          </w:tcPr>
          <w:p>
            <w:pPr>
              <w:spacing w:after="0"/>
              <w:rPr>
                <w:sz w:val="15"/>
                <w:szCs w:val="15"/>
                <w:color w:val="auto"/>
              </w:rPr>
            </w:pPr>
          </w:p>
        </w:tc>
        <w:tc>
          <w:tcPr>
            <w:tcW w:w="1340" w:type="dxa"/>
            <w:vAlign w:val="bottom"/>
            <w:tcBorders>
              <w:top w:val="single" w:sz="8" w:color="auto"/>
              <w:right w:val="single" w:sz="8" w:color="auto"/>
            </w:tcBorders>
            <w:shd w:val="clear" w:color="auto" w:fill="29D2C9"/>
          </w:tcPr>
          <w:p>
            <w:pPr>
              <w:spacing w:after="0"/>
              <w:rPr>
                <w:sz w:val="15"/>
                <w:szCs w:val="15"/>
                <w:color w:val="auto"/>
              </w:rPr>
            </w:pPr>
          </w:p>
        </w:tc>
        <w:tc>
          <w:tcPr>
            <w:tcW w:w="1360" w:type="dxa"/>
            <w:vAlign w:val="bottom"/>
            <w:tcBorders>
              <w:top w:val="single" w:sz="8" w:color="auto"/>
            </w:tcBorders>
            <w:shd w:val="clear" w:color="auto" w:fill="2AD2C9"/>
          </w:tcPr>
          <w:p>
            <w:pPr>
              <w:spacing w:after="0"/>
              <w:rPr>
                <w:sz w:val="15"/>
                <w:szCs w:val="15"/>
                <w:color w:val="auto"/>
              </w:rPr>
            </w:pPr>
          </w:p>
        </w:tc>
        <w:tc>
          <w:tcPr>
            <w:tcW w:w="840" w:type="dxa"/>
            <w:vAlign w:val="bottom"/>
            <w:tcBorders>
              <w:top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Quarter</w:t>
            </w:r>
          </w:p>
        </w:tc>
        <w:tc>
          <w:tcPr>
            <w:tcW w:w="1160" w:type="dxa"/>
            <w:vAlign w:val="bottom"/>
            <w:tcBorders>
              <w:top w:val="single" w:sz="8" w:color="auto"/>
              <w:right w:val="single" w:sz="8" w:color="auto"/>
            </w:tcBorders>
            <w:shd w:val="clear" w:color="auto" w:fill="2AD2C9"/>
          </w:tcPr>
          <w:p>
            <w:pPr>
              <w:spacing w:after="0"/>
              <w:rPr>
                <w:sz w:val="15"/>
                <w:szCs w:val="15"/>
                <w:color w:val="auto"/>
              </w:rPr>
            </w:pPr>
          </w:p>
        </w:tc>
        <w:tc>
          <w:tcPr>
            <w:tcW w:w="204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4"/>
                <w:szCs w:val="14"/>
                <w:b w:val="1"/>
                <w:bCs w:val="1"/>
                <w:color w:val="FFFFFF"/>
              </w:rPr>
              <w:t>% change</w:t>
            </w:r>
          </w:p>
        </w:tc>
        <w:tc>
          <w:tcPr>
            <w:tcW w:w="660" w:type="dxa"/>
            <w:vAlign w:val="bottom"/>
          </w:tcPr>
          <w:p>
            <w:pPr>
              <w:spacing w:after="0"/>
              <w:rPr>
                <w:sz w:val="15"/>
                <w:szCs w:val="15"/>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Borders>
              <w:bottom w:val="single" w:sz="8" w:color="auto"/>
            </w:tcBorders>
            <w:shd w:val="clear" w:color="auto" w:fill="29D2C9"/>
          </w:tcPr>
          <w:p>
            <w:pPr>
              <w:spacing w:after="0"/>
              <w:rPr>
                <w:sz w:val="16"/>
                <w:szCs w:val="16"/>
                <w:color w:val="auto"/>
              </w:rPr>
            </w:pPr>
          </w:p>
        </w:tc>
        <w:tc>
          <w:tcPr>
            <w:tcW w:w="1340" w:type="dxa"/>
            <w:vAlign w:val="bottom"/>
            <w:tcBorders>
              <w:bottom w:val="single" w:sz="8" w:color="auto"/>
              <w:right w:val="single" w:sz="8" w:color="auto"/>
            </w:tcBorders>
            <w:shd w:val="clear" w:color="auto" w:fill="29D2C9"/>
          </w:tcPr>
          <w:p>
            <w:pPr>
              <w:spacing w:after="0"/>
              <w:rPr>
                <w:sz w:val="16"/>
                <w:szCs w:val="16"/>
                <w:color w:val="auto"/>
              </w:rPr>
            </w:pPr>
          </w:p>
        </w:tc>
        <w:tc>
          <w:tcPr>
            <w:tcW w:w="1360" w:type="dxa"/>
            <w:vAlign w:val="bottom"/>
            <w:tcBorders>
              <w:bottom w:val="single" w:sz="8" w:color="auto"/>
            </w:tcBorders>
            <w:shd w:val="clear" w:color="auto" w:fill="2AD2C9"/>
          </w:tcPr>
          <w:p>
            <w:pPr>
              <w:jc w:val="center"/>
              <w:ind w:right="188"/>
              <w:spacing w:after="0"/>
              <w:rPr>
                <w:sz w:val="20"/>
                <w:szCs w:val="20"/>
                <w:color w:val="auto"/>
              </w:rPr>
            </w:pPr>
            <w:r>
              <w:rPr>
                <w:rFonts w:ascii="Arial" w:cs="Arial" w:eastAsia="Arial" w:hAnsi="Arial"/>
                <w:sz w:val="14"/>
                <w:szCs w:val="14"/>
                <w:b w:val="1"/>
                <w:bCs w:val="1"/>
                <w:color w:val="FFFFFF"/>
                <w:w w:val="99"/>
              </w:rPr>
              <w:t>1Q23</w:t>
            </w:r>
          </w:p>
        </w:tc>
        <w:tc>
          <w:tcPr>
            <w:tcW w:w="840" w:type="dxa"/>
            <w:vAlign w:val="bottom"/>
            <w:tcBorders>
              <w:bottom w:val="single" w:sz="8" w:color="auto"/>
            </w:tcBorders>
            <w:shd w:val="clear" w:color="auto" w:fill="2AD2C9"/>
          </w:tcPr>
          <w:p>
            <w:pPr>
              <w:jc w:val="center"/>
              <w:ind w:right="168"/>
              <w:spacing w:after="0"/>
              <w:rPr>
                <w:sz w:val="20"/>
                <w:szCs w:val="20"/>
                <w:color w:val="auto"/>
              </w:rPr>
            </w:pPr>
            <w:r>
              <w:rPr>
                <w:rFonts w:ascii="Arial" w:cs="Arial" w:eastAsia="Arial" w:hAnsi="Arial"/>
                <w:sz w:val="14"/>
                <w:szCs w:val="14"/>
                <w:b w:val="1"/>
                <w:bCs w:val="1"/>
                <w:color w:val="FFFFFF"/>
              </w:rPr>
              <w:t>4Q23</w:t>
            </w:r>
          </w:p>
        </w:tc>
        <w:tc>
          <w:tcPr>
            <w:tcW w:w="11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1Q24</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c>
          <w:tcPr>
            <w:tcW w:w="660" w:type="dxa"/>
            <w:vAlign w:val="bottom"/>
          </w:tcPr>
          <w:p>
            <w:pPr>
              <w:spacing w:after="0"/>
              <w:rPr>
                <w:sz w:val="16"/>
                <w:szCs w:val="16"/>
                <w:color w:val="auto"/>
              </w:rPr>
            </w:pPr>
          </w:p>
        </w:tc>
      </w:tr>
      <w:tr>
        <w:trPr>
          <w:trHeight w:val="187"/>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Net interest income</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82,670</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84,160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86,848</w:t>
            </w:r>
          </w:p>
        </w:tc>
        <w:tc>
          <w:tcPr>
            <w:tcW w:w="1000" w:type="dxa"/>
            <w:vAlign w:val="bottom"/>
          </w:tcPr>
          <w:p>
            <w:pPr>
              <w:jc w:val="center"/>
              <w:spacing w:after="0"/>
              <w:rPr>
                <w:sz w:val="20"/>
                <w:szCs w:val="20"/>
                <w:color w:val="auto"/>
              </w:rPr>
            </w:pPr>
            <w:r>
              <w:rPr>
                <w:rFonts w:ascii="Arial" w:cs="Arial" w:eastAsia="Arial" w:hAnsi="Arial"/>
                <w:sz w:val="14"/>
                <w:szCs w:val="14"/>
                <w:color w:val="auto"/>
              </w:rPr>
              <w:t>3.2%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Provision for loan losses, net of recoveries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(3,349)</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rPr>
              <w:t>(27,530)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(14,653)</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-46.8%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337.5%</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b w:val="1"/>
                <w:bCs w:val="1"/>
                <w:color w:val="auto"/>
              </w:rPr>
              <w:t>Net interest income after provisions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rPr>
              <w:t>79,321</w:t>
            </w:r>
          </w:p>
        </w:tc>
        <w:tc>
          <w:tcPr>
            <w:tcW w:w="840" w:type="dxa"/>
            <w:vAlign w:val="bottom"/>
          </w:tcPr>
          <w:p>
            <w:pPr>
              <w:jc w:val="center"/>
              <w:ind w:right="168"/>
              <w:spacing w:after="0"/>
              <w:rPr>
                <w:sz w:val="20"/>
                <w:szCs w:val="20"/>
                <w:color w:val="auto"/>
              </w:rPr>
            </w:pPr>
            <w:r>
              <w:rPr>
                <w:rFonts w:ascii="Arial" w:cs="Arial" w:eastAsia="Arial" w:hAnsi="Arial"/>
                <w:sz w:val="14"/>
                <w:szCs w:val="14"/>
                <w:b w:val="1"/>
                <w:bCs w:val="1"/>
                <w:color w:val="auto"/>
              </w:rPr>
              <w:t>56,630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72,195</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27.5%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-9.0%</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Non-financial income</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45,306</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48,427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62,912</w:t>
            </w:r>
          </w:p>
        </w:tc>
        <w:tc>
          <w:tcPr>
            <w:tcW w:w="1000" w:type="dxa"/>
            <w:vAlign w:val="bottom"/>
          </w:tcPr>
          <w:p>
            <w:pPr>
              <w:jc w:val="center"/>
              <w:spacing w:after="0"/>
              <w:rPr>
                <w:sz w:val="20"/>
                <w:szCs w:val="20"/>
                <w:color w:val="auto"/>
              </w:rPr>
            </w:pPr>
            <w:r>
              <w:rPr>
                <w:rFonts w:ascii="Arial" w:cs="Arial" w:eastAsia="Arial" w:hAnsi="Arial"/>
                <w:sz w:val="14"/>
                <w:szCs w:val="14"/>
                <w:color w:val="auto"/>
              </w:rPr>
              <w:t>29.9%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38.9%</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Total expenses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(92,549)</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rPr>
              <w:t>(82,730)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(101,421)</w:t>
            </w:r>
          </w:p>
        </w:tc>
        <w:tc>
          <w:tcPr>
            <w:tcW w:w="1000" w:type="dxa"/>
            <w:vAlign w:val="bottom"/>
          </w:tcPr>
          <w:p>
            <w:pPr>
              <w:jc w:val="center"/>
              <w:spacing w:after="0"/>
              <w:rPr>
                <w:sz w:val="20"/>
                <w:szCs w:val="20"/>
                <w:color w:val="auto"/>
              </w:rPr>
            </w:pPr>
            <w:r>
              <w:rPr>
                <w:rFonts w:ascii="Arial" w:cs="Arial" w:eastAsia="Arial" w:hAnsi="Arial"/>
                <w:sz w:val="14"/>
                <w:szCs w:val="14"/>
                <w:color w:val="auto"/>
              </w:rPr>
              <w:t>22.6%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Translation result</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(51)</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190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163</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-14.0%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-420.8%</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Income taxes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(11,290)</w:t>
            </w:r>
          </w:p>
        </w:tc>
        <w:tc>
          <w:tcPr>
            <w:tcW w:w="840" w:type="dxa"/>
            <w:vAlign w:val="bottom"/>
          </w:tcPr>
          <w:p>
            <w:pPr>
              <w:jc w:val="center"/>
              <w:ind w:right="148"/>
              <w:spacing w:after="0"/>
              <w:rPr>
                <w:sz w:val="20"/>
                <w:szCs w:val="20"/>
                <w:color w:val="auto"/>
              </w:rPr>
            </w:pPr>
            <w:r>
              <w:rPr>
                <w:rFonts w:ascii="Arial" w:cs="Arial" w:eastAsia="Arial" w:hAnsi="Arial"/>
                <w:sz w:val="14"/>
                <w:szCs w:val="14"/>
                <w:color w:val="auto"/>
              </w:rPr>
              <w:t>(2,865)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(13,002)</w:t>
            </w:r>
          </w:p>
        </w:tc>
        <w:tc>
          <w:tcPr>
            <w:tcW w:w="1000" w:type="dxa"/>
            <w:vAlign w:val="bottom"/>
          </w:tcPr>
          <w:p>
            <w:pPr>
              <w:jc w:val="center"/>
              <w:spacing w:after="0"/>
              <w:rPr>
                <w:sz w:val="20"/>
                <w:szCs w:val="20"/>
                <w:color w:val="auto"/>
              </w:rPr>
            </w:pPr>
            <w:r>
              <w:rPr>
                <w:rFonts w:ascii="Arial" w:cs="Arial" w:eastAsia="Arial" w:hAnsi="Arial"/>
                <w:sz w:val="14"/>
                <w:szCs w:val="14"/>
                <w:color w:val="auto"/>
              </w:rPr>
              <w:t>353.8%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15.2%</w:t>
            </w:r>
          </w:p>
        </w:tc>
        <w:tc>
          <w:tcPr>
            <w:tcW w:w="660" w:type="dxa"/>
            <w:vAlign w:val="bottom"/>
          </w:tcPr>
          <w:p>
            <w:pPr>
              <w:spacing w:after="0"/>
              <w:rPr>
                <w:sz w:val="16"/>
                <w:szCs w:val="16"/>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20,738</w:t>
            </w: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19,652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20,847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0.5%</w:t>
            </w:r>
          </w:p>
        </w:tc>
        <w:tc>
          <w:tcPr>
            <w:tcW w:w="660" w:type="dxa"/>
            <w:vAlign w:val="bottom"/>
          </w:tcPr>
          <w:p>
            <w:pPr>
              <w:spacing w:after="0"/>
              <w:rPr>
                <w:sz w:val="16"/>
                <w:szCs w:val="16"/>
                <w:color w:val="auto"/>
              </w:rPr>
            </w:pPr>
          </w:p>
        </w:tc>
      </w:tr>
      <w:tr>
        <w:trPr>
          <w:trHeight w:val="350"/>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00" w:type="dxa"/>
            <w:vAlign w:val="bottom"/>
            <w:gridSpan w:val="2"/>
          </w:tcPr>
          <w:p>
            <w:pPr>
              <w:jc w:val="center"/>
              <w:ind w:left="813"/>
              <w:spacing w:after="0"/>
              <w:rPr>
                <w:sz w:val="20"/>
                <w:szCs w:val="20"/>
                <w:color w:val="auto"/>
              </w:rPr>
            </w:pPr>
            <w:r>
              <w:rPr>
                <w:rFonts w:ascii="Arial" w:cs="Arial" w:eastAsia="Arial" w:hAnsi="Arial"/>
                <w:sz w:val="13"/>
                <w:szCs w:val="13"/>
                <w:b w:val="1"/>
                <w:bCs w:val="1"/>
                <w:color w:val="auto"/>
                <w:w w:val="97"/>
              </w:rPr>
              <w:t>Selected Financial Indicators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4"/>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00" w:type="dxa"/>
            <w:vAlign w:val="bottom"/>
            <w:gridSpan w:val="3"/>
          </w:tcPr>
          <w:p>
            <w:pPr>
              <w:spacing w:after="0"/>
              <w:rPr>
                <w:sz w:val="15"/>
                <w:szCs w:val="15"/>
                <w:color w:val="auto"/>
              </w:rPr>
            </w:pPr>
          </w:p>
        </w:tc>
      </w:tr>
      <w:tr>
        <w:trPr>
          <w:trHeight w:val="183"/>
        </w:trPr>
        <w:tc>
          <w:tcPr>
            <w:tcW w:w="700" w:type="dxa"/>
            <w:vAlign w:val="bottom"/>
            <w:tcBorders>
              <w:right w:val="single" w:sz="8" w:color="auto"/>
            </w:tcBorders>
          </w:tcPr>
          <w:p>
            <w:pPr>
              <w:spacing w:after="0"/>
              <w:rPr>
                <w:sz w:val="15"/>
                <w:szCs w:val="15"/>
                <w:color w:val="auto"/>
              </w:rPr>
            </w:pPr>
          </w:p>
        </w:tc>
        <w:tc>
          <w:tcPr>
            <w:tcW w:w="3140" w:type="dxa"/>
            <w:vAlign w:val="bottom"/>
            <w:tcBorders>
              <w:top w:val="single" w:sz="8" w:color="auto"/>
            </w:tcBorders>
            <w:shd w:val="clear" w:color="auto" w:fill="29D2C9"/>
          </w:tcPr>
          <w:p>
            <w:pPr>
              <w:spacing w:after="0"/>
              <w:rPr>
                <w:sz w:val="15"/>
                <w:szCs w:val="15"/>
                <w:color w:val="auto"/>
              </w:rPr>
            </w:pPr>
          </w:p>
        </w:tc>
        <w:tc>
          <w:tcPr>
            <w:tcW w:w="1340" w:type="dxa"/>
            <w:vAlign w:val="bottom"/>
            <w:tcBorders>
              <w:top w:val="single" w:sz="8" w:color="auto"/>
              <w:right w:val="single" w:sz="8" w:color="auto"/>
            </w:tcBorders>
            <w:shd w:val="clear" w:color="auto" w:fill="29D2C9"/>
          </w:tcPr>
          <w:p>
            <w:pPr>
              <w:spacing w:after="0"/>
              <w:rPr>
                <w:sz w:val="15"/>
                <w:szCs w:val="15"/>
                <w:color w:val="auto"/>
              </w:rPr>
            </w:pPr>
          </w:p>
        </w:tc>
        <w:tc>
          <w:tcPr>
            <w:tcW w:w="1360" w:type="dxa"/>
            <w:vAlign w:val="bottom"/>
            <w:tcBorders>
              <w:top w:val="single" w:sz="8" w:color="auto"/>
            </w:tcBorders>
            <w:shd w:val="clear" w:color="auto" w:fill="2AD2C9"/>
          </w:tcPr>
          <w:p>
            <w:pPr>
              <w:spacing w:after="0"/>
              <w:rPr>
                <w:sz w:val="15"/>
                <w:szCs w:val="15"/>
                <w:color w:val="auto"/>
              </w:rPr>
            </w:pPr>
          </w:p>
        </w:tc>
        <w:tc>
          <w:tcPr>
            <w:tcW w:w="840" w:type="dxa"/>
            <w:vAlign w:val="bottom"/>
            <w:tcBorders>
              <w:top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Quarter</w:t>
            </w:r>
          </w:p>
        </w:tc>
        <w:tc>
          <w:tcPr>
            <w:tcW w:w="1160" w:type="dxa"/>
            <w:vAlign w:val="bottom"/>
            <w:tcBorders>
              <w:top w:val="single" w:sz="8" w:color="auto"/>
              <w:right w:val="single" w:sz="8" w:color="auto"/>
            </w:tcBorders>
            <w:shd w:val="clear" w:color="auto" w:fill="2AD2C9"/>
          </w:tcPr>
          <w:p>
            <w:pPr>
              <w:spacing w:after="0"/>
              <w:rPr>
                <w:sz w:val="15"/>
                <w:szCs w:val="15"/>
                <w:color w:val="auto"/>
              </w:rPr>
            </w:pPr>
          </w:p>
        </w:tc>
        <w:tc>
          <w:tcPr>
            <w:tcW w:w="204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4"/>
                <w:szCs w:val="14"/>
                <w:b w:val="1"/>
                <w:bCs w:val="1"/>
                <w:color w:val="FFFFFF"/>
              </w:rPr>
              <w:t>% change</w:t>
            </w:r>
          </w:p>
        </w:tc>
        <w:tc>
          <w:tcPr>
            <w:tcW w:w="660" w:type="dxa"/>
            <w:vAlign w:val="bottom"/>
          </w:tcPr>
          <w:p>
            <w:pPr>
              <w:spacing w:after="0"/>
              <w:rPr>
                <w:sz w:val="15"/>
                <w:szCs w:val="15"/>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Borders>
              <w:bottom w:val="single" w:sz="8" w:color="auto"/>
            </w:tcBorders>
            <w:shd w:val="clear" w:color="auto" w:fill="29D2C9"/>
          </w:tcPr>
          <w:p>
            <w:pPr>
              <w:spacing w:after="0"/>
              <w:rPr>
                <w:sz w:val="16"/>
                <w:szCs w:val="16"/>
                <w:color w:val="auto"/>
              </w:rPr>
            </w:pPr>
          </w:p>
        </w:tc>
        <w:tc>
          <w:tcPr>
            <w:tcW w:w="1340" w:type="dxa"/>
            <w:vAlign w:val="bottom"/>
            <w:tcBorders>
              <w:bottom w:val="single" w:sz="8" w:color="auto"/>
              <w:right w:val="single" w:sz="8" w:color="auto"/>
            </w:tcBorders>
            <w:shd w:val="clear" w:color="auto" w:fill="29D2C9"/>
          </w:tcPr>
          <w:p>
            <w:pPr>
              <w:spacing w:after="0"/>
              <w:rPr>
                <w:sz w:val="16"/>
                <w:szCs w:val="16"/>
                <w:color w:val="auto"/>
              </w:rPr>
            </w:pPr>
          </w:p>
        </w:tc>
        <w:tc>
          <w:tcPr>
            <w:tcW w:w="1360" w:type="dxa"/>
            <w:vAlign w:val="bottom"/>
            <w:tcBorders>
              <w:bottom w:val="single" w:sz="8" w:color="auto"/>
            </w:tcBorders>
            <w:shd w:val="clear" w:color="auto" w:fill="2AD2C9"/>
          </w:tcPr>
          <w:p>
            <w:pPr>
              <w:jc w:val="center"/>
              <w:ind w:right="188"/>
              <w:spacing w:after="0"/>
              <w:rPr>
                <w:sz w:val="20"/>
                <w:szCs w:val="20"/>
                <w:color w:val="auto"/>
              </w:rPr>
            </w:pPr>
            <w:r>
              <w:rPr>
                <w:rFonts w:ascii="Arial" w:cs="Arial" w:eastAsia="Arial" w:hAnsi="Arial"/>
                <w:sz w:val="14"/>
                <w:szCs w:val="14"/>
                <w:b w:val="1"/>
                <w:bCs w:val="1"/>
                <w:color w:val="FFFFFF"/>
                <w:w w:val="99"/>
              </w:rPr>
              <w:t>1Q23</w:t>
            </w:r>
          </w:p>
        </w:tc>
        <w:tc>
          <w:tcPr>
            <w:tcW w:w="840" w:type="dxa"/>
            <w:vAlign w:val="bottom"/>
            <w:tcBorders>
              <w:bottom w:val="single" w:sz="8" w:color="auto"/>
            </w:tcBorders>
            <w:shd w:val="clear" w:color="auto" w:fill="2AD2C9"/>
          </w:tcPr>
          <w:p>
            <w:pPr>
              <w:jc w:val="center"/>
              <w:ind w:right="168"/>
              <w:spacing w:after="0"/>
              <w:rPr>
                <w:sz w:val="20"/>
                <w:szCs w:val="20"/>
                <w:color w:val="auto"/>
              </w:rPr>
            </w:pPr>
            <w:r>
              <w:rPr>
                <w:rFonts w:ascii="Arial" w:cs="Arial" w:eastAsia="Arial" w:hAnsi="Arial"/>
                <w:sz w:val="14"/>
                <w:szCs w:val="14"/>
                <w:b w:val="1"/>
                <w:bCs w:val="1"/>
                <w:color w:val="FFFFFF"/>
              </w:rPr>
              <w:t>4Q23</w:t>
            </w:r>
          </w:p>
        </w:tc>
        <w:tc>
          <w:tcPr>
            <w:tcW w:w="11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1Q24</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c>
          <w:tcPr>
            <w:tcW w:w="660" w:type="dxa"/>
            <w:vAlign w:val="bottom"/>
          </w:tcPr>
          <w:p>
            <w:pPr>
              <w:spacing w:after="0"/>
              <w:rPr>
                <w:sz w:val="16"/>
                <w:szCs w:val="16"/>
                <w:color w:val="auto"/>
              </w:rPr>
            </w:pPr>
          </w:p>
        </w:tc>
      </w:tr>
      <w:tr>
        <w:trPr>
          <w:trHeight w:val="187"/>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Efficiency ratio</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60.2%</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59.0%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58.1%</w:t>
            </w:r>
          </w:p>
        </w:tc>
        <w:tc>
          <w:tcPr>
            <w:tcW w:w="1000" w:type="dxa"/>
            <w:vAlign w:val="bottom"/>
          </w:tcPr>
          <w:p>
            <w:pPr>
              <w:jc w:val="center"/>
              <w:spacing w:after="0"/>
              <w:rPr>
                <w:sz w:val="20"/>
                <w:szCs w:val="20"/>
                <w:color w:val="auto"/>
              </w:rPr>
            </w:pPr>
            <w:r>
              <w:rPr>
                <w:rFonts w:ascii="Arial" w:cs="Arial" w:eastAsia="Arial" w:hAnsi="Arial"/>
                <w:sz w:val="14"/>
                <w:szCs w:val="14"/>
                <w:color w:val="auto"/>
              </w:rPr>
              <w:t>-90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-220 bps</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ROAE</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9.6%</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8.8%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8.8%</w:t>
            </w:r>
          </w:p>
        </w:tc>
        <w:tc>
          <w:tcPr>
            <w:tcW w:w="1000" w:type="dxa"/>
            <w:vAlign w:val="bottom"/>
          </w:tcPr>
          <w:p>
            <w:pPr>
              <w:jc w:val="center"/>
              <w:spacing w:after="0"/>
              <w:rPr>
                <w:sz w:val="20"/>
                <w:szCs w:val="20"/>
                <w:color w:val="auto"/>
              </w:rPr>
            </w:pPr>
            <w:r>
              <w:rPr>
                <w:rFonts w:ascii="Arial" w:cs="Arial" w:eastAsia="Arial" w:hAnsi="Arial"/>
                <w:sz w:val="14"/>
                <w:szCs w:val="14"/>
                <w:color w:val="auto"/>
              </w:rPr>
              <w:t>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-80 bps</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L/D ratio</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86.4%</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81.9%</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83.0%</w:t>
            </w:r>
          </w:p>
        </w:tc>
        <w:tc>
          <w:tcPr>
            <w:tcW w:w="1000" w:type="dxa"/>
            <w:vAlign w:val="bottom"/>
          </w:tcPr>
          <w:p>
            <w:pPr>
              <w:jc w:val="center"/>
              <w:spacing w:after="0"/>
              <w:rPr>
                <w:sz w:val="20"/>
                <w:szCs w:val="20"/>
                <w:color w:val="auto"/>
              </w:rPr>
            </w:pPr>
            <w:r>
              <w:rPr>
                <w:rFonts w:ascii="Arial" w:cs="Arial" w:eastAsia="Arial" w:hAnsi="Arial"/>
                <w:sz w:val="14"/>
                <w:szCs w:val="14"/>
                <w:color w:val="auto"/>
              </w:rPr>
              <w:t>120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-340 bps</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IOL ratio</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2.4%</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2.6%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w:t>
            </w:r>
          </w:p>
        </w:tc>
        <w:tc>
          <w:tcPr>
            <w:tcW w:w="1000" w:type="dxa"/>
            <w:vAlign w:val="bottom"/>
          </w:tcPr>
          <w:p>
            <w:pPr>
              <w:jc w:val="center"/>
              <w:spacing w:after="0"/>
              <w:rPr>
                <w:sz w:val="20"/>
                <w:szCs w:val="20"/>
                <w:color w:val="auto"/>
              </w:rPr>
            </w:pPr>
            <w:r>
              <w:rPr>
                <w:rFonts w:ascii="Arial" w:cs="Arial" w:eastAsia="Arial" w:hAnsi="Arial"/>
                <w:sz w:val="14"/>
                <w:szCs w:val="14"/>
                <w:color w:val="auto"/>
              </w:rPr>
              <w:t>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 bps</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NPL ratio</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2.7%</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3.1%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w:t>
            </w:r>
          </w:p>
        </w:tc>
        <w:tc>
          <w:tcPr>
            <w:tcW w:w="1000" w:type="dxa"/>
            <w:vAlign w:val="bottom"/>
          </w:tcPr>
          <w:p>
            <w:pPr>
              <w:jc w:val="center"/>
              <w:spacing w:after="0"/>
              <w:rPr>
                <w:sz w:val="20"/>
                <w:szCs w:val="20"/>
                <w:color w:val="auto"/>
              </w:rPr>
            </w:pPr>
            <w:r>
              <w:rPr>
                <w:rFonts w:ascii="Arial" w:cs="Arial" w:eastAsia="Arial" w:hAnsi="Arial"/>
                <w:sz w:val="14"/>
                <w:szCs w:val="14"/>
                <w:color w:val="auto"/>
              </w:rPr>
              <w:t>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 bps</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Coverage of IOLs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172.1%</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146.2%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140.9%</w:t>
            </w:r>
          </w:p>
        </w:tc>
        <w:tc>
          <w:tcPr>
            <w:tcW w:w="1000" w:type="dxa"/>
            <w:vAlign w:val="bottom"/>
          </w:tcPr>
          <w:p>
            <w:pPr>
              <w:jc w:val="center"/>
              <w:spacing w:after="0"/>
              <w:rPr>
                <w:sz w:val="20"/>
                <w:szCs w:val="20"/>
                <w:color w:val="auto"/>
              </w:rPr>
            </w:pPr>
            <w:r>
              <w:rPr>
                <w:rFonts w:ascii="Arial" w:cs="Arial" w:eastAsia="Arial" w:hAnsi="Arial"/>
                <w:sz w:val="14"/>
                <w:szCs w:val="14"/>
                <w:color w:val="auto"/>
              </w:rPr>
              <w:t>-530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Coverage of NPLs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color w:val="auto"/>
              </w:rPr>
              <w:t>154.6%</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121.5%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115.8%</w:t>
            </w:r>
          </w:p>
        </w:tc>
        <w:tc>
          <w:tcPr>
            <w:tcW w:w="1000" w:type="dxa"/>
            <w:vAlign w:val="bottom"/>
          </w:tcPr>
          <w:p>
            <w:pPr>
              <w:jc w:val="center"/>
              <w:spacing w:after="0"/>
              <w:rPr>
                <w:sz w:val="20"/>
                <w:szCs w:val="20"/>
                <w:color w:val="auto"/>
              </w:rPr>
            </w:pPr>
            <w:r>
              <w:rPr>
                <w:rFonts w:ascii="Arial" w:cs="Arial" w:eastAsia="Arial" w:hAnsi="Arial"/>
                <w:sz w:val="14"/>
                <w:szCs w:val="14"/>
                <w:color w:val="auto"/>
              </w:rPr>
              <w:t>-570 bps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Branches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46</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46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46</w:t>
            </w:r>
          </w:p>
        </w:tc>
        <w:tc>
          <w:tcPr>
            <w:tcW w:w="1000" w:type="dxa"/>
            <w:vAlign w:val="bottom"/>
          </w:tcPr>
          <w:p>
            <w:pPr>
              <w:jc w:val="center"/>
              <w:spacing w:after="0"/>
              <w:rPr>
                <w:sz w:val="20"/>
                <w:szCs w:val="20"/>
                <w:color w:val="auto"/>
              </w:rPr>
            </w:pPr>
            <w:r>
              <w:rPr>
                <w:rFonts w:ascii="Arial" w:cs="Arial" w:eastAsia="Arial" w:hAnsi="Arial"/>
                <w:sz w:val="14"/>
                <w:szCs w:val="14"/>
                <w:color w:val="auto"/>
              </w:rPr>
              <w:t>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0.0%</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Agentes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1,355</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1,350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1,350</w:t>
            </w:r>
          </w:p>
        </w:tc>
        <w:tc>
          <w:tcPr>
            <w:tcW w:w="1000" w:type="dxa"/>
            <w:vAlign w:val="bottom"/>
          </w:tcPr>
          <w:p>
            <w:pPr>
              <w:jc w:val="center"/>
              <w:spacing w:after="0"/>
              <w:rPr>
                <w:sz w:val="20"/>
                <w:szCs w:val="20"/>
                <w:color w:val="auto"/>
              </w:rPr>
            </w:pPr>
            <w:r>
              <w:rPr>
                <w:rFonts w:ascii="Arial" w:cs="Arial" w:eastAsia="Arial" w:hAnsi="Arial"/>
                <w:sz w:val="14"/>
                <w:szCs w:val="14"/>
                <w:color w:val="auto"/>
              </w:rPr>
              <w:t>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-0.4%</w:t>
            </w:r>
          </w:p>
        </w:tc>
        <w:tc>
          <w:tcPr>
            <w:tcW w:w="660" w:type="dxa"/>
            <w:vAlign w:val="bottom"/>
          </w:tcPr>
          <w:p>
            <w:pPr>
              <w:spacing w:after="0"/>
              <w:rPr>
                <w:sz w:val="16"/>
                <w:szCs w:val="16"/>
                <w:color w:val="auto"/>
              </w:rPr>
            </w:pPr>
          </w:p>
        </w:tc>
      </w:tr>
      <w:tr>
        <w:trPr>
          <w:trHeight w:val="189"/>
        </w:trPr>
        <w:tc>
          <w:tcPr>
            <w:tcW w:w="700" w:type="dxa"/>
            <w:vAlign w:val="bottom"/>
            <w:tcBorders>
              <w:right w:val="single" w:sz="8" w:color="auto"/>
            </w:tcBorders>
          </w:tcPr>
          <w:p>
            <w:pPr>
              <w:spacing w:after="0"/>
              <w:rPr>
                <w:sz w:val="16"/>
                <w:szCs w:val="16"/>
                <w:color w:val="auto"/>
              </w:rPr>
            </w:pPr>
          </w:p>
        </w:tc>
        <w:tc>
          <w:tcPr>
            <w:tcW w:w="3140" w:type="dxa"/>
            <w:vAlign w:val="bottom"/>
          </w:tcPr>
          <w:p>
            <w:pPr>
              <w:ind w:left="40"/>
              <w:spacing w:after="0"/>
              <w:rPr>
                <w:sz w:val="20"/>
                <w:szCs w:val="20"/>
                <w:color w:val="auto"/>
              </w:rPr>
            </w:pPr>
            <w:r>
              <w:rPr>
                <w:rFonts w:ascii="Arial" w:cs="Arial" w:eastAsia="Arial" w:hAnsi="Arial"/>
                <w:sz w:val="14"/>
                <w:szCs w:val="14"/>
                <w:color w:val="auto"/>
              </w:rPr>
              <w:t>ATMs</w:t>
            </w:r>
          </w:p>
        </w:tc>
        <w:tc>
          <w:tcPr>
            <w:tcW w:w="1340" w:type="dxa"/>
            <w:vAlign w:val="bottom"/>
            <w:tcBorders>
              <w:right w:val="single" w:sz="8" w:color="auto"/>
            </w:tcBorders>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313</w:t>
            </w:r>
          </w:p>
        </w:tc>
        <w:tc>
          <w:tcPr>
            <w:tcW w:w="840" w:type="dxa"/>
            <w:vAlign w:val="bottom"/>
          </w:tcPr>
          <w:p>
            <w:pPr>
              <w:jc w:val="center"/>
              <w:ind w:right="168"/>
              <w:spacing w:after="0"/>
              <w:rPr>
                <w:sz w:val="20"/>
                <w:szCs w:val="20"/>
                <w:color w:val="auto"/>
              </w:rPr>
            </w:pPr>
            <w:r>
              <w:rPr>
                <w:rFonts w:ascii="Arial" w:cs="Arial" w:eastAsia="Arial" w:hAnsi="Arial"/>
                <w:sz w:val="14"/>
                <w:szCs w:val="14"/>
                <w:color w:val="auto"/>
              </w:rPr>
              <w:t>315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315</w:t>
            </w:r>
          </w:p>
        </w:tc>
        <w:tc>
          <w:tcPr>
            <w:tcW w:w="1000" w:type="dxa"/>
            <w:vAlign w:val="bottom"/>
          </w:tcPr>
          <w:p>
            <w:pPr>
              <w:jc w:val="center"/>
              <w:spacing w:after="0"/>
              <w:rPr>
                <w:sz w:val="20"/>
                <w:szCs w:val="20"/>
                <w:color w:val="auto"/>
              </w:rPr>
            </w:pPr>
            <w:r>
              <w:rPr>
                <w:rFonts w:ascii="Arial" w:cs="Arial" w:eastAsia="Arial" w:hAnsi="Arial"/>
                <w:sz w:val="14"/>
                <w:szCs w:val="14"/>
                <w:color w:val="auto"/>
              </w:rPr>
              <w:t>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0.6%</w:t>
            </w:r>
          </w:p>
        </w:tc>
        <w:tc>
          <w:tcPr>
            <w:tcW w:w="660" w:type="dxa"/>
            <w:vAlign w:val="bottom"/>
          </w:tcPr>
          <w:p>
            <w:pPr>
              <w:spacing w:after="0"/>
              <w:rPr>
                <w:sz w:val="16"/>
                <w:szCs w:val="16"/>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Employees</w:t>
            </w: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1,690</w:t>
            </w: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1,726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1,719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-0.4%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660" w:type="dxa"/>
            <w:vAlign w:val="bottom"/>
          </w:tcPr>
          <w:p>
            <w:pPr>
              <w:spacing w:after="0"/>
              <w:rPr>
                <w:sz w:val="16"/>
                <w:szCs w:val="16"/>
                <w:color w:val="auto"/>
              </w:rPr>
            </w:pPr>
          </w:p>
        </w:tc>
      </w:tr>
      <w:tr>
        <w:trPr>
          <w:trHeight w:val="435"/>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540" w:type="dxa"/>
            <w:vAlign w:val="bottom"/>
            <w:gridSpan w:val="3"/>
          </w:tcPr>
          <w:p>
            <w:pPr>
              <w:jc w:val="center"/>
              <w:spacing w:after="0"/>
              <w:rPr>
                <w:sz w:val="20"/>
                <w:szCs w:val="20"/>
                <w:color w:val="auto"/>
              </w:rPr>
            </w:pPr>
            <w:r>
              <w:rPr>
                <w:rFonts w:ascii="Arial" w:cs="Arial" w:eastAsia="Arial" w:hAnsi="Arial"/>
                <w:sz w:val="14"/>
                <w:szCs w:val="14"/>
                <w:color w:val="0000FF"/>
              </w:rPr>
              <w:t>Datos elaborados por BCP para uso Interno</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20"/>
                <w:szCs w:val="20"/>
                <w:color w:val="auto"/>
              </w:rPr>
              <w:t>62</w:t>
            </w:r>
          </w:p>
        </w:tc>
      </w:tr>
      <w:tr>
        <w:trPr>
          <w:trHeight w:val="429"/>
        </w:trPr>
        <w:tc>
          <w:tcPr>
            <w:tcW w:w="7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4" w:name="page65"/>
    <w:bookmarkEnd w:id="64"/>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12.6.6. Mibanco</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 of Financial Position</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 Thousands, IFRS)</w:t>
      </w:r>
    </w:p>
    <w:p>
      <w:pPr>
        <w:spacing w:after="0" w:line="179" w:lineRule="exact"/>
        <w:rPr>
          <w:sz w:val="20"/>
          <w:szCs w:val="20"/>
          <w:color w:val="auto"/>
        </w:rPr>
      </w:pPr>
    </w:p>
    <w:tbl>
      <w:tblPr>
        <w:tblLayout w:type="fixed"/>
        <w:tblInd w:w="690" w:type="dxa"/>
        <w:tblCellMar>
          <w:top w:w="0" w:type="dxa"/>
          <w:left w:w="0" w:type="dxa"/>
          <w:bottom w:w="0" w:type="dxa"/>
          <w:right w:w="0" w:type="dxa"/>
        </w:tblCellMar>
      </w:tblPr>
      <w:tr>
        <w:trPr>
          <w:trHeight w:val="203"/>
        </w:trPr>
        <w:tc>
          <w:tcPr>
            <w:tcW w:w="4540" w:type="dxa"/>
            <w:vAlign w:val="bottom"/>
            <w:tcBorders>
              <w:top w:val="single" w:sz="8" w:color="auto"/>
              <w:left w:val="single" w:sz="8" w:color="auto"/>
              <w:right w:val="single" w:sz="8" w:color="auto"/>
            </w:tcBorders>
            <w:shd w:val="clear" w:color="auto" w:fill="2AD2C9"/>
          </w:tcPr>
          <w:p>
            <w:pPr>
              <w:spacing w:after="0"/>
              <w:rPr>
                <w:sz w:val="17"/>
                <w:szCs w:val="17"/>
                <w:color w:val="auto"/>
              </w:rPr>
            </w:pPr>
          </w:p>
        </w:tc>
        <w:tc>
          <w:tcPr>
            <w:tcW w:w="1100" w:type="dxa"/>
            <w:vAlign w:val="bottom"/>
            <w:tcBorders>
              <w:top w:val="single" w:sz="8" w:color="auto"/>
            </w:tcBorders>
            <w:shd w:val="clear" w:color="auto" w:fill="2AD2C9"/>
          </w:tcPr>
          <w:p>
            <w:pPr>
              <w:spacing w:after="0"/>
              <w:rPr>
                <w:sz w:val="17"/>
                <w:szCs w:val="17"/>
                <w:color w:val="auto"/>
              </w:rPr>
            </w:pPr>
          </w:p>
        </w:tc>
        <w:tc>
          <w:tcPr>
            <w:tcW w:w="11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7"/>
                <w:szCs w:val="17"/>
                <w:color w:val="auto"/>
              </w:rPr>
            </w:pPr>
          </w:p>
        </w:tc>
        <w:tc>
          <w:tcPr>
            <w:tcW w:w="2000" w:type="dxa"/>
            <w:vAlign w:val="bottom"/>
            <w:tcBorders>
              <w:top w:val="single" w:sz="8" w:color="auto"/>
              <w:right w:val="single" w:sz="8" w:color="auto"/>
            </w:tcBorders>
            <w:gridSpan w:val="2"/>
            <w:shd w:val="clear" w:color="auto" w:fill="2AD2C9"/>
          </w:tcPr>
          <w:p>
            <w:pPr>
              <w:ind w:left="640"/>
              <w:spacing w:after="0"/>
              <w:rPr>
                <w:sz w:val="20"/>
                <w:szCs w:val="20"/>
                <w:color w:val="auto"/>
              </w:rPr>
            </w:pPr>
            <w:r>
              <w:rPr>
                <w:rFonts w:ascii="Arial" w:cs="Arial" w:eastAsia="Arial" w:hAnsi="Arial"/>
                <w:sz w:val="14"/>
                <w:szCs w:val="14"/>
                <w:b w:val="1"/>
                <w:bCs w:val="1"/>
                <w:color w:val="FFFFFF"/>
              </w:rPr>
              <w:t>% change</w:t>
            </w:r>
          </w:p>
        </w:tc>
      </w:tr>
      <w:tr>
        <w:trPr>
          <w:trHeight w:val="189"/>
        </w:trPr>
        <w:tc>
          <w:tcPr>
            <w:tcW w:w="4540" w:type="dxa"/>
            <w:vAlign w:val="bottom"/>
            <w:tcBorders>
              <w:left w:val="single" w:sz="8" w:color="auto"/>
              <w:bottom w:val="single" w:sz="8" w:color="auto"/>
              <w:right w:val="single" w:sz="8" w:color="auto"/>
            </w:tcBorders>
            <w:shd w:val="clear" w:color="auto" w:fill="2AD2C9"/>
          </w:tcPr>
          <w:p>
            <w:pPr>
              <w:spacing w:after="0"/>
              <w:rPr>
                <w:sz w:val="16"/>
                <w:szCs w:val="16"/>
                <w:color w:val="auto"/>
              </w:rPr>
            </w:pPr>
          </w:p>
        </w:tc>
        <w:tc>
          <w:tcPr>
            <w:tcW w:w="11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Mar 23</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23</w:t>
            </w:r>
          </w:p>
        </w:tc>
        <w:tc>
          <w:tcPr>
            <w:tcW w:w="114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Mar 24</w:t>
            </w:r>
          </w:p>
        </w:tc>
        <w:tc>
          <w:tcPr>
            <w:tcW w:w="96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4"/>
                <w:szCs w:val="14"/>
                <w:b w:val="1"/>
                <w:bCs w:val="1"/>
                <w:color w:val="FFFFFF"/>
              </w:rPr>
              <w:t>YoY</w:t>
            </w:r>
          </w:p>
        </w:tc>
      </w:tr>
      <w:tr>
        <w:trPr>
          <w:trHeight w:val="187"/>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ASSETS</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Cash and due from banks</w:t>
            </w:r>
          </w:p>
        </w:tc>
        <w:tc>
          <w:tcPr>
            <w:tcW w:w="1100" w:type="dxa"/>
            <w:vAlign w:val="bottom"/>
          </w:tcPr>
          <w:p>
            <w:pPr>
              <w:jc w:val="center"/>
              <w:spacing w:after="0"/>
              <w:rPr>
                <w:sz w:val="20"/>
                <w:szCs w:val="20"/>
                <w:color w:val="auto"/>
              </w:rPr>
            </w:pPr>
            <w:r>
              <w:rPr>
                <w:rFonts w:ascii="Arial" w:cs="Arial" w:eastAsia="Arial" w:hAnsi="Arial"/>
                <w:sz w:val="14"/>
                <w:szCs w:val="14"/>
                <w:color w:val="auto"/>
              </w:rPr>
              <w:t>1,733,556</w:t>
            </w:r>
          </w:p>
        </w:tc>
        <w:tc>
          <w:tcPr>
            <w:tcW w:w="1120" w:type="dxa"/>
            <w:vAlign w:val="bottom"/>
          </w:tcPr>
          <w:p>
            <w:pPr>
              <w:jc w:val="center"/>
              <w:spacing w:after="0"/>
              <w:rPr>
                <w:sz w:val="20"/>
                <w:szCs w:val="20"/>
                <w:color w:val="auto"/>
              </w:rPr>
            </w:pPr>
            <w:r>
              <w:rPr>
                <w:rFonts w:ascii="Arial" w:cs="Arial" w:eastAsia="Arial" w:hAnsi="Arial"/>
                <w:sz w:val="14"/>
                <w:szCs w:val="14"/>
                <w:color w:val="auto"/>
              </w:rPr>
              <w:t>1,121,452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1,250,746</w:t>
            </w:r>
          </w:p>
        </w:tc>
        <w:tc>
          <w:tcPr>
            <w:tcW w:w="960" w:type="dxa"/>
            <w:vAlign w:val="bottom"/>
          </w:tcPr>
          <w:p>
            <w:pPr>
              <w:jc w:val="center"/>
              <w:spacing w:after="0"/>
              <w:rPr>
                <w:sz w:val="20"/>
                <w:szCs w:val="20"/>
                <w:color w:val="auto"/>
              </w:rPr>
            </w:pPr>
            <w:r>
              <w:rPr>
                <w:rFonts w:ascii="Arial" w:cs="Arial" w:eastAsia="Arial" w:hAnsi="Arial"/>
                <w:sz w:val="14"/>
                <w:szCs w:val="14"/>
                <w:color w:val="auto"/>
              </w:rPr>
              <w:t>11.5%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-27.9%</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Investments</w:t>
            </w:r>
          </w:p>
        </w:tc>
        <w:tc>
          <w:tcPr>
            <w:tcW w:w="1100" w:type="dxa"/>
            <w:vAlign w:val="bottom"/>
          </w:tcPr>
          <w:p>
            <w:pPr>
              <w:jc w:val="center"/>
              <w:spacing w:after="0"/>
              <w:rPr>
                <w:sz w:val="20"/>
                <w:szCs w:val="20"/>
                <w:color w:val="auto"/>
              </w:rPr>
            </w:pPr>
            <w:r>
              <w:rPr>
                <w:rFonts w:ascii="Arial" w:cs="Arial" w:eastAsia="Arial" w:hAnsi="Arial"/>
                <w:sz w:val="14"/>
                <w:szCs w:val="14"/>
                <w:color w:val="auto"/>
              </w:rPr>
              <w:t>1,412,863</w:t>
            </w:r>
          </w:p>
        </w:tc>
        <w:tc>
          <w:tcPr>
            <w:tcW w:w="1120" w:type="dxa"/>
            <w:vAlign w:val="bottom"/>
          </w:tcPr>
          <w:p>
            <w:pPr>
              <w:jc w:val="center"/>
              <w:spacing w:after="0"/>
              <w:rPr>
                <w:sz w:val="20"/>
                <w:szCs w:val="20"/>
                <w:color w:val="auto"/>
              </w:rPr>
            </w:pPr>
            <w:r>
              <w:rPr>
                <w:rFonts w:ascii="Arial" w:cs="Arial" w:eastAsia="Arial" w:hAnsi="Arial"/>
                <w:sz w:val="14"/>
                <w:szCs w:val="14"/>
                <w:color w:val="auto"/>
              </w:rPr>
              <w:t>2,556,436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2,882,015</w:t>
            </w:r>
          </w:p>
        </w:tc>
        <w:tc>
          <w:tcPr>
            <w:tcW w:w="960" w:type="dxa"/>
            <w:vAlign w:val="bottom"/>
          </w:tcPr>
          <w:p>
            <w:pPr>
              <w:jc w:val="center"/>
              <w:spacing w:after="0"/>
              <w:rPr>
                <w:sz w:val="20"/>
                <w:szCs w:val="20"/>
                <w:color w:val="auto"/>
              </w:rPr>
            </w:pPr>
            <w:r>
              <w:rPr>
                <w:rFonts w:ascii="Arial" w:cs="Arial" w:eastAsia="Arial" w:hAnsi="Arial"/>
                <w:sz w:val="14"/>
                <w:szCs w:val="14"/>
                <w:color w:val="auto"/>
              </w:rPr>
              <w:t>12.7%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104.0%</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Total loans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14,006,154</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13,269,018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13,080,143</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-6.6%</w:t>
            </w:r>
          </w:p>
        </w:tc>
      </w:tr>
      <w:tr>
        <w:trPr>
          <w:trHeight w:val="189"/>
        </w:trPr>
        <w:tc>
          <w:tcPr>
            <w:tcW w:w="4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Current</w:t>
            </w:r>
          </w:p>
        </w:tc>
        <w:tc>
          <w:tcPr>
            <w:tcW w:w="1100" w:type="dxa"/>
            <w:vAlign w:val="bottom"/>
          </w:tcPr>
          <w:p>
            <w:pPr>
              <w:jc w:val="center"/>
              <w:spacing w:after="0"/>
              <w:rPr>
                <w:sz w:val="20"/>
                <w:szCs w:val="20"/>
                <w:color w:val="auto"/>
              </w:rPr>
            </w:pPr>
            <w:r>
              <w:rPr>
                <w:rFonts w:ascii="Arial" w:cs="Arial" w:eastAsia="Arial" w:hAnsi="Arial"/>
                <w:sz w:val="14"/>
                <w:szCs w:val="14"/>
                <w:color w:val="auto"/>
              </w:rPr>
              <w:t>13,204,563</w:t>
            </w:r>
          </w:p>
        </w:tc>
        <w:tc>
          <w:tcPr>
            <w:tcW w:w="1120" w:type="dxa"/>
            <w:vAlign w:val="bottom"/>
          </w:tcPr>
          <w:p>
            <w:pPr>
              <w:jc w:val="center"/>
              <w:spacing w:after="0"/>
              <w:rPr>
                <w:sz w:val="20"/>
                <w:szCs w:val="20"/>
                <w:color w:val="auto"/>
              </w:rPr>
            </w:pPr>
            <w:r>
              <w:rPr>
                <w:rFonts w:ascii="Arial" w:cs="Arial" w:eastAsia="Arial" w:hAnsi="Arial"/>
                <w:sz w:val="14"/>
                <w:szCs w:val="14"/>
                <w:color w:val="auto"/>
              </w:rPr>
              <w:t>12,333,980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12,106,939</w:t>
            </w: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w:t>
            </w:r>
          </w:p>
        </w:tc>
      </w:tr>
      <w:tr>
        <w:trPr>
          <w:trHeight w:val="189"/>
        </w:trPr>
        <w:tc>
          <w:tcPr>
            <w:tcW w:w="4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Internal overdue loans</w:t>
            </w:r>
          </w:p>
        </w:tc>
        <w:tc>
          <w:tcPr>
            <w:tcW w:w="1100" w:type="dxa"/>
            <w:vAlign w:val="bottom"/>
          </w:tcPr>
          <w:p>
            <w:pPr>
              <w:jc w:val="center"/>
              <w:spacing w:after="0"/>
              <w:rPr>
                <w:sz w:val="20"/>
                <w:szCs w:val="20"/>
                <w:color w:val="auto"/>
              </w:rPr>
            </w:pPr>
            <w:r>
              <w:rPr>
                <w:rFonts w:ascii="Arial" w:cs="Arial" w:eastAsia="Arial" w:hAnsi="Arial"/>
                <w:sz w:val="14"/>
                <w:szCs w:val="14"/>
                <w:color w:val="auto"/>
              </w:rPr>
              <w:t>696,787</w:t>
            </w:r>
          </w:p>
        </w:tc>
        <w:tc>
          <w:tcPr>
            <w:tcW w:w="1120" w:type="dxa"/>
            <w:vAlign w:val="bottom"/>
          </w:tcPr>
          <w:p>
            <w:pPr>
              <w:jc w:val="center"/>
              <w:spacing w:after="0"/>
              <w:rPr>
                <w:sz w:val="20"/>
                <w:szCs w:val="20"/>
                <w:color w:val="auto"/>
              </w:rPr>
            </w:pPr>
            <w:r>
              <w:rPr>
                <w:rFonts w:ascii="Arial" w:cs="Arial" w:eastAsia="Arial" w:hAnsi="Arial"/>
                <w:sz w:val="14"/>
                <w:szCs w:val="14"/>
                <w:color w:val="auto"/>
              </w:rPr>
              <w:t>834,356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870,892</w:t>
            </w:r>
          </w:p>
        </w:tc>
        <w:tc>
          <w:tcPr>
            <w:tcW w:w="960" w:type="dxa"/>
            <w:vAlign w:val="bottom"/>
          </w:tcPr>
          <w:p>
            <w:pPr>
              <w:jc w:val="center"/>
              <w:spacing w:after="0"/>
              <w:rPr>
                <w:sz w:val="20"/>
                <w:szCs w:val="20"/>
                <w:color w:val="auto"/>
              </w:rPr>
            </w:pPr>
            <w:r>
              <w:rPr>
                <w:rFonts w:ascii="Arial" w:cs="Arial" w:eastAsia="Arial" w:hAnsi="Arial"/>
                <w:sz w:val="14"/>
                <w:szCs w:val="14"/>
                <w:color w:val="auto"/>
              </w:rPr>
              <w:t>4.4%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25.0%</w:t>
            </w:r>
          </w:p>
        </w:tc>
      </w:tr>
      <w:tr>
        <w:trPr>
          <w:trHeight w:val="189"/>
        </w:trPr>
        <w:tc>
          <w:tcPr>
            <w:tcW w:w="4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Refinanced</w:t>
            </w:r>
          </w:p>
        </w:tc>
        <w:tc>
          <w:tcPr>
            <w:tcW w:w="1100" w:type="dxa"/>
            <w:vAlign w:val="bottom"/>
          </w:tcPr>
          <w:p>
            <w:pPr>
              <w:jc w:val="center"/>
              <w:spacing w:after="0"/>
              <w:rPr>
                <w:sz w:val="20"/>
                <w:szCs w:val="20"/>
                <w:color w:val="auto"/>
              </w:rPr>
            </w:pPr>
            <w:r>
              <w:rPr>
                <w:rFonts w:ascii="Arial" w:cs="Arial" w:eastAsia="Arial" w:hAnsi="Arial"/>
                <w:sz w:val="14"/>
                <w:szCs w:val="14"/>
                <w:color w:val="auto"/>
              </w:rPr>
              <w:t>104,805</w:t>
            </w:r>
          </w:p>
        </w:tc>
        <w:tc>
          <w:tcPr>
            <w:tcW w:w="1120" w:type="dxa"/>
            <w:vAlign w:val="bottom"/>
          </w:tcPr>
          <w:p>
            <w:pPr>
              <w:jc w:val="center"/>
              <w:spacing w:after="0"/>
              <w:rPr>
                <w:sz w:val="20"/>
                <w:szCs w:val="20"/>
                <w:color w:val="auto"/>
              </w:rPr>
            </w:pPr>
            <w:r>
              <w:rPr>
                <w:rFonts w:ascii="Arial" w:cs="Arial" w:eastAsia="Arial" w:hAnsi="Arial"/>
                <w:sz w:val="14"/>
                <w:szCs w:val="14"/>
                <w:color w:val="auto"/>
              </w:rPr>
              <w:t>100,682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102,312</w:t>
            </w:r>
          </w:p>
        </w:tc>
        <w:tc>
          <w:tcPr>
            <w:tcW w:w="960" w:type="dxa"/>
            <w:vAlign w:val="bottom"/>
          </w:tcPr>
          <w:p>
            <w:pPr>
              <w:jc w:val="center"/>
              <w:spacing w:after="0"/>
              <w:rPr>
                <w:sz w:val="20"/>
                <w:szCs w:val="20"/>
                <w:color w:val="auto"/>
              </w:rPr>
            </w:pPr>
            <w:r>
              <w:rPr>
                <w:rFonts w:ascii="Arial" w:cs="Arial" w:eastAsia="Arial" w:hAnsi="Arial"/>
                <w:sz w:val="14"/>
                <w:szCs w:val="14"/>
                <w:color w:val="auto"/>
              </w:rPr>
              <w:t>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w:t>
            </w:r>
          </w:p>
        </w:tc>
      </w:tr>
      <w:tr>
        <w:trPr>
          <w:trHeight w:val="189"/>
        </w:trPr>
        <w:tc>
          <w:tcPr>
            <w:tcW w:w="4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Allowance for loan losses</w:t>
            </w:r>
          </w:p>
        </w:tc>
        <w:tc>
          <w:tcPr>
            <w:tcW w:w="1100" w:type="dxa"/>
            <w:vAlign w:val="bottom"/>
          </w:tcPr>
          <w:p>
            <w:pPr>
              <w:jc w:val="center"/>
              <w:spacing w:after="0"/>
              <w:rPr>
                <w:sz w:val="20"/>
                <w:szCs w:val="20"/>
                <w:color w:val="auto"/>
              </w:rPr>
            </w:pPr>
            <w:r>
              <w:rPr>
                <w:rFonts w:ascii="Arial" w:cs="Arial" w:eastAsia="Arial" w:hAnsi="Arial"/>
                <w:sz w:val="14"/>
                <w:szCs w:val="14"/>
                <w:color w:val="auto"/>
              </w:rPr>
              <w:t>(1,040,487)</w:t>
            </w:r>
          </w:p>
        </w:tc>
        <w:tc>
          <w:tcPr>
            <w:tcW w:w="1120" w:type="dxa"/>
            <w:vAlign w:val="bottom"/>
          </w:tcPr>
          <w:p>
            <w:pPr>
              <w:jc w:val="center"/>
              <w:spacing w:after="0"/>
              <w:rPr>
                <w:sz w:val="20"/>
                <w:szCs w:val="20"/>
                <w:color w:val="auto"/>
              </w:rPr>
            </w:pPr>
            <w:r>
              <w:rPr>
                <w:rFonts w:ascii="Arial" w:cs="Arial" w:eastAsia="Arial" w:hAnsi="Arial"/>
                <w:sz w:val="14"/>
                <w:szCs w:val="14"/>
                <w:color w:val="auto"/>
              </w:rPr>
              <w:t>(1,002,847)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(968,082)</w:t>
            </w: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-3.5%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-7.0%</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Net loans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12,965,667</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12,266,171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12,112,061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-1.3%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-6.6%</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Property, plant and equipment, net</w:t>
            </w:r>
          </w:p>
        </w:tc>
        <w:tc>
          <w:tcPr>
            <w:tcW w:w="1100" w:type="dxa"/>
            <w:vAlign w:val="bottom"/>
          </w:tcPr>
          <w:p>
            <w:pPr>
              <w:jc w:val="center"/>
              <w:spacing w:after="0"/>
              <w:rPr>
                <w:sz w:val="20"/>
                <w:szCs w:val="20"/>
                <w:color w:val="auto"/>
              </w:rPr>
            </w:pPr>
            <w:r>
              <w:rPr>
                <w:rFonts w:ascii="Arial" w:cs="Arial" w:eastAsia="Arial" w:hAnsi="Arial"/>
                <w:sz w:val="14"/>
                <w:szCs w:val="14"/>
                <w:color w:val="auto"/>
              </w:rPr>
              <w:t>131,164</w:t>
            </w:r>
          </w:p>
        </w:tc>
        <w:tc>
          <w:tcPr>
            <w:tcW w:w="1120" w:type="dxa"/>
            <w:vAlign w:val="bottom"/>
          </w:tcPr>
          <w:p>
            <w:pPr>
              <w:jc w:val="center"/>
              <w:spacing w:after="0"/>
              <w:rPr>
                <w:sz w:val="20"/>
                <w:szCs w:val="20"/>
                <w:color w:val="auto"/>
              </w:rPr>
            </w:pPr>
            <w:r>
              <w:rPr>
                <w:rFonts w:ascii="Arial" w:cs="Arial" w:eastAsia="Arial" w:hAnsi="Arial"/>
                <w:sz w:val="14"/>
                <w:szCs w:val="14"/>
                <w:color w:val="auto"/>
              </w:rPr>
              <w:t>139,064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135,215</w:t>
            </w: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-2.8%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Other assets</w:t>
            </w:r>
          </w:p>
        </w:tc>
        <w:tc>
          <w:tcPr>
            <w:tcW w:w="1100" w:type="dxa"/>
            <w:vAlign w:val="bottom"/>
          </w:tcPr>
          <w:p>
            <w:pPr>
              <w:jc w:val="center"/>
              <w:spacing w:after="0"/>
              <w:rPr>
                <w:sz w:val="20"/>
                <w:szCs w:val="20"/>
                <w:color w:val="auto"/>
              </w:rPr>
            </w:pPr>
            <w:r>
              <w:rPr>
                <w:rFonts w:ascii="Arial" w:cs="Arial" w:eastAsia="Arial" w:hAnsi="Arial"/>
                <w:sz w:val="14"/>
                <w:szCs w:val="14"/>
                <w:color w:val="auto"/>
              </w:rPr>
              <w:t>753,989</w:t>
            </w:r>
          </w:p>
        </w:tc>
        <w:tc>
          <w:tcPr>
            <w:tcW w:w="1120" w:type="dxa"/>
            <w:vAlign w:val="bottom"/>
          </w:tcPr>
          <w:p>
            <w:pPr>
              <w:jc w:val="center"/>
              <w:spacing w:after="0"/>
              <w:rPr>
                <w:sz w:val="20"/>
                <w:szCs w:val="20"/>
                <w:color w:val="auto"/>
              </w:rPr>
            </w:pPr>
            <w:r>
              <w:rPr>
                <w:rFonts w:ascii="Arial" w:cs="Arial" w:eastAsia="Arial" w:hAnsi="Arial"/>
                <w:sz w:val="14"/>
                <w:szCs w:val="14"/>
                <w:color w:val="auto"/>
              </w:rPr>
              <w:t>815,263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810,313</w:t>
            </w: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-0.6%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7.5%</w:t>
            </w:r>
          </w:p>
        </w:tc>
      </w:tr>
      <w:tr>
        <w:trPr>
          <w:trHeight w:val="196"/>
        </w:trPr>
        <w:tc>
          <w:tcPr>
            <w:tcW w:w="454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Total assets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16,997,238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16,898,386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17,190,351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1.1%</w:t>
            </w:r>
          </w:p>
        </w:tc>
      </w:tr>
      <w:tr>
        <w:trPr>
          <w:trHeight w:val="371"/>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LIABILITIES AND NET SHAREHOLDERS’ EQUITY</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Deposits and obligations</w:t>
            </w:r>
          </w:p>
        </w:tc>
        <w:tc>
          <w:tcPr>
            <w:tcW w:w="1100" w:type="dxa"/>
            <w:vAlign w:val="bottom"/>
          </w:tcPr>
          <w:p>
            <w:pPr>
              <w:jc w:val="center"/>
              <w:spacing w:after="0"/>
              <w:rPr>
                <w:sz w:val="20"/>
                <w:szCs w:val="20"/>
                <w:color w:val="auto"/>
              </w:rPr>
            </w:pPr>
            <w:r>
              <w:rPr>
                <w:rFonts w:ascii="Arial" w:cs="Arial" w:eastAsia="Arial" w:hAnsi="Arial"/>
                <w:sz w:val="14"/>
                <w:szCs w:val="14"/>
                <w:color w:val="auto"/>
              </w:rPr>
              <w:t>9,577,206</w:t>
            </w:r>
          </w:p>
        </w:tc>
        <w:tc>
          <w:tcPr>
            <w:tcW w:w="1120" w:type="dxa"/>
            <w:vAlign w:val="bottom"/>
          </w:tcPr>
          <w:p>
            <w:pPr>
              <w:jc w:val="center"/>
              <w:spacing w:after="0"/>
              <w:rPr>
                <w:sz w:val="20"/>
                <w:szCs w:val="20"/>
                <w:color w:val="auto"/>
              </w:rPr>
            </w:pPr>
            <w:r>
              <w:rPr>
                <w:rFonts w:ascii="Arial" w:cs="Arial" w:eastAsia="Arial" w:hAnsi="Arial"/>
                <w:sz w:val="14"/>
                <w:szCs w:val="14"/>
                <w:color w:val="auto"/>
              </w:rPr>
              <w:t>9,999,230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10,118,296</w:t>
            </w:r>
          </w:p>
        </w:tc>
        <w:tc>
          <w:tcPr>
            <w:tcW w:w="960" w:type="dxa"/>
            <w:vAlign w:val="bottom"/>
          </w:tcPr>
          <w:p>
            <w:pPr>
              <w:jc w:val="center"/>
              <w:spacing w:after="0"/>
              <w:rPr>
                <w:sz w:val="20"/>
                <w:szCs w:val="20"/>
                <w:color w:val="auto"/>
              </w:rPr>
            </w:pPr>
            <w:r>
              <w:rPr>
                <w:rFonts w:ascii="Arial" w:cs="Arial" w:eastAsia="Arial" w:hAnsi="Arial"/>
                <w:sz w:val="14"/>
                <w:szCs w:val="14"/>
                <w:color w:val="auto"/>
              </w:rPr>
              <w:t>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Due to banks and correspondents</w:t>
            </w:r>
          </w:p>
        </w:tc>
        <w:tc>
          <w:tcPr>
            <w:tcW w:w="1100" w:type="dxa"/>
            <w:vAlign w:val="bottom"/>
          </w:tcPr>
          <w:p>
            <w:pPr>
              <w:jc w:val="center"/>
              <w:spacing w:after="0"/>
              <w:rPr>
                <w:sz w:val="20"/>
                <w:szCs w:val="20"/>
                <w:color w:val="auto"/>
              </w:rPr>
            </w:pPr>
            <w:r>
              <w:rPr>
                <w:rFonts w:ascii="Arial" w:cs="Arial" w:eastAsia="Arial" w:hAnsi="Arial"/>
                <w:sz w:val="14"/>
                <w:szCs w:val="14"/>
                <w:color w:val="auto"/>
              </w:rPr>
              <w:t>2,759,826</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2,411,642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2,428,753</w:t>
            </w:r>
          </w:p>
        </w:tc>
        <w:tc>
          <w:tcPr>
            <w:tcW w:w="960" w:type="dxa"/>
            <w:vAlign w:val="bottom"/>
          </w:tcPr>
          <w:p>
            <w:pPr>
              <w:jc w:val="center"/>
              <w:spacing w:after="0"/>
              <w:rPr>
                <w:sz w:val="20"/>
                <w:szCs w:val="20"/>
                <w:color w:val="auto"/>
              </w:rPr>
            </w:pPr>
            <w:r>
              <w:rPr>
                <w:rFonts w:ascii="Arial" w:cs="Arial" w:eastAsia="Arial" w:hAnsi="Arial"/>
                <w:sz w:val="14"/>
                <w:szCs w:val="14"/>
                <w:color w:val="auto"/>
              </w:rPr>
              <w:t>0.7%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-12.0%</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Bonds and subordinated debt</w:t>
            </w:r>
          </w:p>
        </w:tc>
        <w:tc>
          <w:tcPr>
            <w:tcW w:w="1100" w:type="dxa"/>
            <w:vAlign w:val="bottom"/>
          </w:tcPr>
          <w:p>
            <w:pPr>
              <w:jc w:val="center"/>
              <w:spacing w:after="0"/>
              <w:rPr>
                <w:sz w:val="20"/>
                <w:szCs w:val="20"/>
                <w:color w:val="auto"/>
              </w:rPr>
            </w:pPr>
            <w:r>
              <w:rPr>
                <w:rFonts w:ascii="Arial" w:cs="Arial" w:eastAsia="Arial" w:hAnsi="Arial"/>
                <w:sz w:val="14"/>
                <w:szCs w:val="14"/>
                <w:color w:val="auto"/>
              </w:rPr>
              <w:t>576,360</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611,166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516,761</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-15.4%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-10.3%</w:t>
            </w:r>
          </w:p>
        </w:tc>
      </w:tr>
      <w:tr>
        <w:trPr>
          <w:trHeight w:val="189"/>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Other liabilities</w:t>
            </w:r>
          </w:p>
        </w:tc>
        <w:tc>
          <w:tcPr>
            <w:tcW w:w="1100" w:type="dxa"/>
            <w:vAlign w:val="bottom"/>
          </w:tcPr>
          <w:p>
            <w:pPr>
              <w:jc w:val="center"/>
              <w:spacing w:after="0"/>
              <w:rPr>
                <w:sz w:val="20"/>
                <w:szCs w:val="20"/>
                <w:color w:val="auto"/>
              </w:rPr>
            </w:pPr>
            <w:r>
              <w:rPr>
                <w:rFonts w:ascii="Arial" w:cs="Arial" w:eastAsia="Arial" w:hAnsi="Arial"/>
                <w:sz w:val="14"/>
                <w:szCs w:val="14"/>
                <w:color w:val="auto"/>
              </w:rPr>
              <w:t>1,282,571</w:t>
            </w:r>
          </w:p>
        </w:tc>
        <w:tc>
          <w:tcPr>
            <w:tcW w:w="1120" w:type="dxa"/>
            <w:vAlign w:val="bottom"/>
          </w:tcPr>
          <w:p>
            <w:pPr>
              <w:jc w:val="center"/>
              <w:spacing w:after="0"/>
              <w:rPr>
                <w:sz w:val="20"/>
                <w:szCs w:val="20"/>
                <w:color w:val="auto"/>
              </w:rPr>
            </w:pPr>
            <w:r>
              <w:rPr>
                <w:rFonts w:ascii="Arial" w:cs="Arial" w:eastAsia="Arial" w:hAnsi="Arial"/>
                <w:sz w:val="14"/>
                <w:szCs w:val="14"/>
                <w:color w:val="auto"/>
              </w:rPr>
              <w:t>879,725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1,494,755</w:t>
            </w:r>
          </w:p>
        </w:tc>
        <w:tc>
          <w:tcPr>
            <w:tcW w:w="960" w:type="dxa"/>
            <w:vAlign w:val="bottom"/>
          </w:tcPr>
          <w:p>
            <w:pPr>
              <w:jc w:val="center"/>
              <w:spacing w:after="0"/>
              <w:rPr>
                <w:sz w:val="20"/>
                <w:szCs w:val="20"/>
                <w:color w:val="auto"/>
              </w:rPr>
            </w:pPr>
            <w:r>
              <w:rPr>
                <w:rFonts w:ascii="Arial" w:cs="Arial" w:eastAsia="Arial" w:hAnsi="Arial"/>
                <w:sz w:val="14"/>
                <w:szCs w:val="14"/>
                <w:color w:val="auto"/>
              </w:rPr>
              <w:t>69.9%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16.5%</w:t>
            </w:r>
          </w:p>
        </w:tc>
      </w:tr>
      <w:tr>
        <w:trPr>
          <w:trHeight w:val="196"/>
        </w:trPr>
        <w:tc>
          <w:tcPr>
            <w:tcW w:w="4540" w:type="dxa"/>
            <w:vAlign w:val="bottom"/>
            <w:tcBorders>
              <w:left w:val="single" w:sz="8" w:color="auto"/>
              <w:right w:val="single" w:sz="8" w:color="auto"/>
            </w:tcBorders>
          </w:tcPr>
          <w:p>
            <w:pPr>
              <w:ind w:left="1780"/>
              <w:spacing w:after="0"/>
              <w:rPr>
                <w:sz w:val="20"/>
                <w:szCs w:val="20"/>
                <w:color w:val="auto"/>
              </w:rPr>
            </w:pPr>
            <w:r>
              <w:rPr>
                <w:rFonts w:ascii="Arial" w:cs="Arial" w:eastAsia="Arial" w:hAnsi="Arial"/>
                <w:sz w:val="14"/>
                <w:szCs w:val="14"/>
                <w:b w:val="1"/>
                <w:bCs w:val="1"/>
                <w:color w:val="auto"/>
              </w:rPr>
              <w:t>Total liabilities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14,195,963</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13,901,763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14,558,564</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4.7%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2.6%</w:t>
            </w:r>
          </w:p>
        </w:tc>
      </w:tr>
      <w:tr>
        <w:trPr>
          <w:trHeight w:val="378"/>
        </w:trPr>
        <w:tc>
          <w:tcPr>
            <w:tcW w:w="4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Net equity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2,801,275</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2,996,623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2,631,786</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-12.2%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-6.1%</w:t>
            </w:r>
          </w:p>
        </w:tc>
      </w:tr>
      <w:tr>
        <w:trPr>
          <w:trHeight w:val="367"/>
        </w:trPr>
        <w:tc>
          <w:tcPr>
            <w:tcW w:w="4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TOTAL LIABILITIES AND NET SHAREHOLDERS’ EQUITY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16,997,238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16,898,386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17,190,351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1.1%</w:t>
            </w:r>
          </w:p>
        </w:tc>
      </w:tr>
    </w:tbl>
    <w:p>
      <w:pPr>
        <w:spacing w:after="0" w:line="188"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Statement of Income</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186"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3260" w:type="dxa"/>
            <w:vAlign w:val="bottom"/>
            <w:tcBorders>
              <w:top w:val="single" w:sz="8" w:color="auto"/>
              <w:left w:val="single" w:sz="8" w:color="auto"/>
              <w:right w:val="single" w:sz="8" w:color="auto"/>
            </w:tcBorders>
            <w:shd w:val="clear" w:color="auto" w:fill="29D2C9"/>
          </w:tcPr>
          <w:p>
            <w:pPr>
              <w:spacing w:after="0"/>
              <w:rPr>
                <w:sz w:val="17"/>
                <w:szCs w:val="17"/>
                <w:color w:val="auto"/>
              </w:rPr>
            </w:pPr>
          </w:p>
        </w:tc>
        <w:tc>
          <w:tcPr>
            <w:tcW w:w="1320" w:type="dxa"/>
            <w:vAlign w:val="bottom"/>
            <w:tcBorders>
              <w:top w:val="single" w:sz="8" w:color="auto"/>
            </w:tcBorders>
            <w:shd w:val="clear" w:color="auto" w:fill="2AD2C9"/>
          </w:tcPr>
          <w:p>
            <w:pPr>
              <w:spacing w:after="0"/>
              <w:rPr>
                <w:sz w:val="17"/>
                <w:szCs w:val="17"/>
                <w:color w:val="auto"/>
              </w:rPr>
            </w:pPr>
          </w:p>
        </w:tc>
        <w:tc>
          <w:tcPr>
            <w:tcW w:w="1340" w:type="dxa"/>
            <w:vAlign w:val="bottom"/>
            <w:tcBorders>
              <w:top w:val="single" w:sz="8" w:color="auto"/>
            </w:tcBorders>
            <w:shd w:val="clear" w:color="auto" w:fill="2AD2C9"/>
          </w:tcPr>
          <w:p>
            <w:pPr>
              <w:ind w:left="420"/>
              <w:spacing w:after="0"/>
              <w:rPr>
                <w:sz w:val="20"/>
                <w:szCs w:val="20"/>
                <w:color w:val="auto"/>
              </w:rPr>
            </w:pPr>
            <w:r>
              <w:rPr>
                <w:rFonts w:ascii="Arial" w:cs="Arial" w:eastAsia="Arial" w:hAnsi="Arial"/>
                <w:sz w:val="14"/>
                <w:szCs w:val="14"/>
                <w:b w:val="1"/>
                <w:bCs w:val="1"/>
                <w:color w:val="FFFFFF"/>
              </w:rPr>
              <w:t>Quarter</w:t>
            </w:r>
          </w:p>
        </w:tc>
        <w:tc>
          <w:tcPr>
            <w:tcW w:w="1360" w:type="dxa"/>
            <w:vAlign w:val="bottom"/>
            <w:tcBorders>
              <w:top w:val="single" w:sz="8" w:color="auto"/>
              <w:right w:val="single" w:sz="8" w:color="auto"/>
            </w:tcBorders>
            <w:shd w:val="clear" w:color="auto" w:fill="2AD2C9"/>
          </w:tcPr>
          <w:p>
            <w:pPr>
              <w:spacing w:after="0"/>
              <w:rPr>
                <w:sz w:val="17"/>
                <w:szCs w:val="17"/>
                <w:color w:val="auto"/>
              </w:rPr>
            </w:pPr>
          </w:p>
        </w:tc>
        <w:tc>
          <w:tcPr>
            <w:tcW w:w="980" w:type="dxa"/>
            <w:vAlign w:val="bottom"/>
            <w:tcBorders>
              <w:top w:val="single" w:sz="8" w:color="auto"/>
            </w:tcBorders>
            <w:shd w:val="clear" w:color="auto" w:fill="2AD2C9"/>
          </w:tcPr>
          <w:p>
            <w:pPr>
              <w:spacing w:after="0"/>
              <w:rPr>
                <w:sz w:val="17"/>
                <w:szCs w:val="17"/>
                <w:color w:val="auto"/>
              </w:rPr>
            </w:pPr>
          </w:p>
        </w:tc>
        <w:tc>
          <w:tcPr>
            <w:tcW w:w="1840" w:type="dxa"/>
            <w:vAlign w:val="bottom"/>
            <w:tcBorders>
              <w:top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4"/>
                <w:szCs w:val="14"/>
                <w:b w:val="1"/>
                <w:bCs w:val="1"/>
                <w:color w:val="FFFFFF"/>
              </w:rPr>
              <w:t>% change</w:t>
            </w:r>
          </w:p>
        </w:tc>
      </w:tr>
      <w:tr>
        <w:trPr>
          <w:trHeight w:val="185"/>
        </w:trPr>
        <w:tc>
          <w:tcPr>
            <w:tcW w:w="3260" w:type="dxa"/>
            <w:vAlign w:val="bottom"/>
            <w:tcBorders>
              <w:left w:val="single" w:sz="8" w:color="auto"/>
              <w:bottom w:val="single" w:sz="8" w:color="auto"/>
              <w:right w:val="single" w:sz="8" w:color="auto"/>
            </w:tcBorders>
            <w:shd w:val="clear" w:color="auto" w:fill="29D2C9"/>
          </w:tcPr>
          <w:p>
            <w:pPr>
              <w:spacing w:after="0"/>
              <w:rPr>
                <w:sz w:val="16"/>
                <w:szCs w:val="16"/>
                <w:color w:val="auto"/>
              </w:rPr>
            </w:pPr>
          </w:p>
        </w:tc>
        <w:tc>
          <w:tcPr>
            <w:tcW w:w="13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1Q23</w:t>
            </w:r>
          </w:p>
        </w:tc>
        <w:tc>
          <w:tcPr>
            <w:tcW w:w="13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4Q23</w:t>
            </w:r>
          </w:p>
        </w:tc>
        <w:tc>
          <w:tcPr>
            <w:tcW w:w="13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1Q24</w:t>
            </w:r>
          </w:p>
        </w:tc>
        <w:tc>
          <w:tcPr>
            <w:tcW w:w="980" w:type="dxa"/>
            <w:vAlign w:val="bottom"/>
            <w:tcBorders>
              <w:bottom w:val="single" w:sz="8" w:color="auto"/>
            </w:tcBorders>
            <w:shd w:val="clear" w:color="auto" w:fill="2AD2C9"/>
          </w:tcPr>
          <w:p>
            <w:pPr>
              <w:jc w:val="center"/>
              <w:ind w:left="268"/>
              <w:spacing w:after="0"/>
              <w:rPr>
                <w:sz w:val="20"/>
                <w:szCs w:val="20"/>
                <w:color w:val="auto"/>
              </w:rPr>
            </w:pPr>
            <w:r>
              <w:rPr>
                <w:rFonts w:ascii="Arial" w:cs="Arial" w:eastAsia="Arial" w:hAnsi="Arial"/>
                <w:sz w:val="14"/>
                <w:szCs w:val="14"/>
                <w:b w:val="1"/>
                <w:bCs w:val="1"/>
                <w:color w:val="FFFFFF"/>
              </w:rPr>
              <w:t>QoQ</w:t>
            </w:r>
          </w:p>
        </w:tc>
        <w:tc>
          <w:tcPr>
            <w:tcW w:w="1840" w:type="dxa"/>
            <w:vAlign w:val="bottom"/>
            <w:tcBorders>
              <w:bottom w:val="single" w:sz="8" w:color="auto"/>
              <w:right w:val="single" w:sz="8" w:color="auto"/>
            </w:tcBorders>
            <w:shd w:val="clear" w:color="auto" w:fill="2AD2C9"/>
          </w:tcPr>
          <w:p>
            <w:pPr>
              <w:jc w:val="center"/>
              <w:ind w:left="248"/>
              <w:spacing w:after="0"/>
              <w:rPr>
                <w:sz w:val="20"/>
                <w:szCs w:val="20"/>
                <w:color w:val="auto"/>
              </w:rPr>
            </w:pPr>
            <w:r>
              <w:rPr>
                <w:rFonts w:ascii="Arial" w:cs="Arial" w:eastAsia="Arial" w:hAnsi="Arial"/>
                <w:sz w:val="14"/>
                <w:szCs w:val="14"/>
                <w:b w:val="1"/>
                <w:bCs w:val="1"/>
                <w:color w:val="FFFFFF"/>
              </w:rPr>
              <w:t>YoY</w:t>
            </w:r>
          </w:p>
        </w:tc>
      </w:tr>
      <w:tr>
        <w:trPr>
          <w:trHeight w:val="187"/>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interest income</w:t>
            </w:r>
          </w:p>
        </w:tc>
        <w:tc>
          <w:tcPr>
            <w:tcW w:w="1320" w:type="dxa"/>
            <w:vAlign w:val="bottom"/>
          </w:tcPr>
          <w:p>
            <w:pPr>
              <w:jc w:val="center"/>
              <w:spacing w:after="0"/>
              <w:rPr>
                <w:sz w:val="20"/>
                <w:szCs w:val="20"/>
                <w:color w:val="auto"/>
              </w:rPr>
            </w:pPr>
            <w:r>
              <w:rPr>
                <w:rFonts w:ascii="Arial" w:cs="Arial" w:eastAsia="Arial" w:hAnsi="Arial"/>
                <w:sz w:val="14"/>
                <w:szCs w:val="14"/>
                <w:color w:val="auto"/>
              </w:rPr>
              <w:t>518,763</w:t>
            </w:r>
          </w:p>
        </w:tc>
        <w:tc>
          <w:tcPr>
            <w:tcW w:w="1340" w:type="dxa"/>
            <w:vAlign w:val="bottom"/>
          </w:tcPr>
          <w:p>
            <w:pPr>
              <w:jc w:val="center"/>
              <w:spacing w:after="0"/>
              <w:rPr>
                <w:sz w:val="20"/>
                <w:szCs w:val="20"/>
                <w:color w:val="auto"/>
              </w:rPr>
            </w:pPr>
            <w:r>
              <w:rPr>
                <w:rFonts w:ascii="Arial" w:cs="Arial" w:eastAsia="Arial" w:hAnsi="Arial"/>
                <w:sz w:val="14"/>
                <w:szCs w:val="14"/>
                <w:color w:val="auto"/>
              </w:rPr>
              <w:t>538,522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546,271</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1.4%</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5.3%</w:t>
            </w:r>
          </w:p>
        </w:tc>
      </w:tr>
      <w:tr>
        <w:trPr>
          <w:trHeight w:val="18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Provision for loan losses, net of recoveries</w:t>
            </w:r>
          </w:p>
        </w:tc>
        <w:tc>
          <w:tcPr>
            <w:tcW w:w="1320" w:type="dxa"/>
            <w:vAlign w:val="bottom"/>
          </w:tcPr>
          <w:p>
            <w:pPr>
              <w:jc w:val="center"/>
              <w:spacing w:after="0"/>
              <w:rPr>
                <w:sz w:val="20"/>
                <w:szCs w:val="20"/>
                <w:color w:val="auto"/>
              </w:rPr>
            </w:pPr>
            <w:r>
              <w:rPr>
                <w:rFonts w:ascii="Arial" w:cs="Arial" w:eastAsia="Arial" w:hAnsi="Arial"/>
                <w:sz w:val="14"/>
                <w:szCs w:val="14"/>
                <w:color w:val="auto"/>
              </w:rPr>
              <w:t>(227,369)</w:t>
            </w:r>
          </w:p>
        </w:tc>
        <w:tc>
          <w:tcPr>
            <w:tcW w:w="1340" w:type="dxa"/>
            <w:vAlign w:val="bottom"/>
          </w:tcPr>
          <w:p>
            <w:pPr>
              <w:jc w:val="center"/>
              <w:spacing w:after="0"/>
              <w:rPr>
                <w:sz w:val="20"/>
                <w:szCs w:val="20"/>
                <w:color w:val="auto"/>
              </w:rPr>
            </w:pPr>
            <w:r>
              <w:rPr>
                <w:rFonts w:ascii="Arial" w:cs="Arial" w:eastAsia="Arial" w:hAnsi="Arial"/>
                <w:sz w:val="14"/>
                <w:szCs w:val="14"/>
                <w:color w:val="auto"/>
              </w:rPr>
              <w:t>(208,880)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(150,725)</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-27.8%</w:t>
            </w:r>
          </w:p>
        </w:tc>
        <w:tc>
          <w:tcPr>
            <w:tcW w:w="184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-33.7%</w:t>
            </w:r>
          </w:p>
        </w:tc>
      </w:tr>
      <w:tr>
        <w:trPr>
          <w:trHeight w:val="18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interest income after provisions</w:t>
            </w:r>
          </w:p>
        </w:tc>
        <w:tc>
          <w:tcPr>
            <w:tcW w:w="1320" w:type="dxa"/>
            <w:vAlign w:val="bottom"/>
          </w:tcPr>
          <w:p>
            <w:pPr>
              <w:jc w:val="center"/>
              <w:spacing w:after="0"/>
              <w:rPr>
                <w:sz w:val="20"/>
                <w:szCs w:val="20"/>
                <w:color w:val="auto"/>
              </w:rPr>
            </w:pPr>
            <w:r>
              <w:rPr>
                <w:rFonts w:ascii="Arial" w:cs="Arial" w:eastAsia="Arial" w:hAnsi="Arial"/>
                <w:sz w:val="14"/>
                <w:szCs w:val="14"/>
                <w:color w:val="auto"/>
              </w:rPr>
              <w:t>291,394</w:t>
            </w:r>
          </w:p>
        </w:tc>
        <w:tc>
          <w:tcPr>
            <w:tcW w:w="1340" w:type="dxa"/>
            <w:vAlign w:val="bottom"/>
          </w:tcPr>
          <w:p>
            <w:pPr>
              <w:jc w:val="center"/>
              <w:spacing w:after="0"/>
              <w:rPr>
                <w:sz w:val="20"/>
                <w:szCs w:val="20"/>
                <w:color w:val="auto"/>
              </w:rPr>
            </w:pPr>
            <w:r>
              <w:rPr>
                <w:rFonts w:ascii="Arial" w:cs="Arial" w:eastAsia="Arial" w:hAnsi="Arial"/>
                <w:sz w:val="14"/>
                <w:szCs w:val="14"/>
                <w:color w:val="auto"/>
              </w:rPr>
              <w:t>329,642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395,546</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20.0%</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35.7%</w:t>
            </w:r>
          </w:p>
        </w:tc>
      </w:tr>
      <w:tr>
        <w:trPr>
          <w:trHeight w:val="18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Non-financial income</w:t>
            </w:r>
          </w:p>
        </w:tc>
        <w:tc>
          <w:tcPr>
            <w:tcW w:w="1320" w:type="dxa"/>
            <w:vAlign w:val="bottom"/>
          </w:tcPr>
          <w:p>
            <w:pPr>
              <w:jc w:val="center"/>
              <w:spacing w:after="0"/>
              <w:rPr>
                <w:sz w:val="20"/>
                <w:szCs w:val="20"/>
                <w:color w:val="auto"/>
              </w:rPr>
            </w:pPr>
            <w:r>
              <w:rPr>
                <w:rFonts w:ascii="Arial" w:cs="Arial" w:eastAsia="Arial" w:hAnsi="Arial"/>
                <w:sz w:val="14"/>
                <w:szCs w:val="14"/>
                <w:color w:val="auto"/>
              </w:rPr>
              <w:t>36,337</w:t>
            </w:r>
          </w:p>
        </w:tc>
        <w:tc>
          <w:tcPr>
            <w:tcW w:w="1340" w:type="dxa"/>
            <w:vAlign w:val="bottom"/>
          </w:tcPr>
          <w:p>
            <w:pPr>
              <w:jc w:val="center"/>
              <w:spacing w:after="0"/>
              <w:rPr>
                <w:sz w:val="20"/>
                <w:szCs w:val="20"/>
                <w:color w:val="auto"/>
              </w:rPr>
            </w:pPr>
            <w:r>
              <w:rPr>
                <w:rFonts w:ascii="Arial" w:cs="Arial" w:eastAsia="Arial" w:hAnsi="Arial"/>
                <w:sz w:val="14"/>
                <w:szCs w:val="14"/>
                <w:color w:val="auto"/>
              </w:rPr>
              <w:t>55,776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39,713</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-28.8%</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9.2%</w:t>
            </w:r>
          </w:p>
        </w:tc>
      </w:tr>
      <w:tr>
        <w:trPr>
          <w:trHeight w:val="18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 expenses</w:t>
            </w:r>
          </w:p>
        </w:tc>
        <w:tc>
          <w:tcPr>
            <w:tcW w:w="1320" w:type="dxa"/>
            <w:vAlign w:val="bottom"/>
          </w:tcPr>
          <w:p>
            <w:pPr>
              <w:jc w:val="center"/>
              <w:spacing w:after="0"/>
              <w:rPr>
                <w:sz w:val="20"/>
                <w:szCs w:val="20"/>
                <w:color w:val="auto"/>
              </w:rPr>
            </w:pPr>
            <w:r>
              <w:rPr>
                <w:rFonts w:ascii="Arial" w:cs="Arial" w:eastAsia="Arial" w:hAnsi="Arial"/>
                <w:sz w:val="14"/>
                <w:szCs w:val="14"/>
                <w:color w:val="auto"/>
              </w:rPr>
              <w:t>(302,982)</w:t>
            </w:r>
          </w:p>
        </w:tc>
        <w:tc>
          <w:tcPr>
            <w:tcW w:w="1340" w:type="dxa"/>
            <w:vAlign w:val="bottom"/>
          </w:tcPr>
          <w:p>
            <w:pPr>
              <w:jc w:val="center"/>
              <w:spacing w:after="0"/>
              <w:rPr>
                <w:sz w:val="20"/>
                <w:szCs w:val="20"/>
                <w:color w:val="auto"/>
              </w:rPr>
            </w:pPr>
            <w:r>
              <w:rPr>
                <w:rFonts w:ascii="Arial" w:cs="Arial" w:eastAsia="Arial" w:hAnsi="Arial"/>
                <w:sz w:val="14"/>
                <w:szCs w:val="14"/>
                <w:color w:val="auto"/>
              </w:rPr>
              <w:t>(324,854)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(311,728)</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8"/>
              </w:rPr>
              <w:t>-4.0%</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2.9%</w:t>
            </w:r>
          </w:p>
        </w:tc>
      </w:tr>
      <w:tr>
        <w:trPr>
          <w:trHeight w:val="18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Translation result</w:t>
            </w:r>
          </w:p>
        </w:tc>
        <w:tc>
          <w:tcPr>
            <w:tcW w:w="13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n.a</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n.a</w:t>
            </w:r>
          </w:p>
        </w:tc>
      </w:tr>
      <w:tr>
        <w:trPr>
          <w:trHeight w:val="18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Income taxes</w:t>
            </w:r>
          </w:p>
        </w:tc>
        <w:tc>
          <w:tcPr>
            <w:tcW w:w="1320" w:type="dxa"/>
            <w:vAlign w:val="bottom"/>
          </w:tcPr>
          <w:p>
            <w:pPr>
              <w:jc w:val="center"/>
              <w:spacing w:after="0"/>
              <w:rPr>
                <w:sz w:val="20"/>
                <w:szCs w:val="20"/>
                <w:color w:val="auto"/>
              </w:rPr>
            </w:pPr>
            <w:r>
              <w:rPr>
                <w:rFonts w:ascii="Arial" w:cs="Arial" w:eastAsia="Arial" w:hAnsi="Arial"/>
                <w:sz w:val="14"/>
                <w:szCs w:val="14"/>
                <w:color w:val="auto"/>
              </w:rPr>
              <w:t>(1,607)</w:t>
            </w:r>
          </w:p>
        </w:tc>
        <w:tc>
          <w:tcPr>
            <w:tcW w:w="1340" w:type="dxa"/>
            <w:vAlign w:val="bottom"/>
          </w:tcPr>
          <w:p>
            <w:pPr>
              <w:jc w:val="center"/>
              <w:spacing w:after="0"/>
              <w:rPr>
                <w:sz w:val="20"/>
                <w:szCs w:val="20"/>
                <w:color w:val="auto"/>
              </w:rPr>
            </w:pPr>
            <w:r>
              <w:rPr>
                <w:rFonts w:ascii="Arial" w:cs="Arial" w:eastAsia="Arial" w:hAnsi="Arial"/>
                <w:sz w:val="14"/>
                <w:szCs w:val="14"/>
                <w:color w:val="auto"/>
              </w:rPr>
              <w:t>(6,670)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(30,960)</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364.2%</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n.a</w:t>
            </w:r>
          </w:p>
        </w:tc>
      </w:tr>
      <w:tr>
        <w:trPr>
          <w:trHeight w:val="185"/>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23,142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53,893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92,571</w:t>
            </w:r>
          </w:p>
        </w:tc>
        <w:tc>
          <w:tcPr>
            <w:tcW w:w="9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71.8%</w:t>
            </w:r>
          </w:p>
        </w:tc>
        <w:tc>
          <w:tcPr>
            <w:tcW w:w="184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color w:val="auto"/>
              </w:rPr>
              <w:t>300.0%</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Indicators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720" w:type="dxa"/>
            <w:vAlign w:val="bottom"/>
            <w:tcBorders>
              <w:top w:val="single" w:sz="8" w:color="auto"/>
              <w:left w:val="single" w:sz="8" w:color="auto"/>
              <w:right w:val="single" w:sz="8" w:color="auto"/>
            </w:tcBorders>
            <w:shd w:val="clear" w:color="auto" w:fill="29D2C9"/>
          </w:tcPr>
          <w:p>
            <w:pPr>
              <w:spacing w:after="0"/>
              <w:rPr>
                <w:sz w:val="17"/>
                <w:szCs w:val="17"/>
                <w:color w:val="auto"/>
              </w:rPr>
            </w:pPr>
          </w:p>
        </w:tc>
        <w:tc>
          <w:tcPr>
            <w:tcW w:w="1300" w:type="dxa"/>
            <w:vAlign w:val="bottom"/>
            <w:tcBorders>
              <w:top w:val="single" w:sz="8" w:color="auto"/>
            </w:tcBorders>
            <w:shd w:val="clear" w:color="auto" w:fill="2AD2C9"/>
          </w:tcPr>
          <w:p>
            <w:pPr>
              <w:spacing w:after="0"/>
              <w:rPr>
                <w:sz w:val="17"/>
                <w:szCs w:val="17"/>
                <w:color w:val="auto"/>
              </w:rPr>
            </w:pPr>
          </w:p>
        </w:tc>
        <w:tc>
          <w:tcPr>
            <w:tcW w:w="1360" w:type="dxa"/>
            <w:vAlign w:val="bottom"/>
            <w:tcBorders>
              <w:top w:val="single" w:sz="8" w:color="auto"/>
            </w:tcBorders>
            <w:shd w:val="clear" w:color="auto" w:fill="2AD2C9"/>
          </w:tcPr>
          <w:p>
            <w:pPr>
              <w:ind w:left="420"/>
              <w:spacing w:after="0"/>
              <w:rPr>
                <w:sz w:val="20"/>
                <w:szCs w:val="20"/>
                <w:color w:val="auto"/>
              </w:rPr>
            </w:pPr>
            <w:r>
              <w:rPr>
                <w:rFonts w:ascii="Arial" w:cs="Arial" w:eastAsia="Arial" w:hAnsi="Arial"/>
                <w:sz w:val="14"/>
                <w:szCs w:val="14"/>
                <w:b w:val="1"/>
                <w:bCs w:val="1"/>
                <w:color w:val="FFFFFF"/>
              </w:rPr>
              <w:t>Quarter</w:t>
            </w:r>
          </w:p>
        </w:tc>
        <w:tc>
          <w:tcPr>
            <w:tcW w:w="1340" w:type="dxa"/>
            <w:vAlign w:val="bottom"/>
            <w:tcBorders>
              <w:top w:val="single" w:sz="8" w:color="auto"/>
              <w:right w:val="single" w:sz="8" w:color="auto"/>
            </w:tcBorders>
            <w:shd w:val="clear" w:color="auto" w:fill="2AD2C9"/>
          </w:tcPr>
          <w:p>
            <w:pPr>
              <w:spacing w:after="0"/>
              <w:rPr>
                <w:sz w:val="17"/>
                <w:szCs w:val="17"/>
                <w:color w:val="auto"/>
              </w:rPr>
            </w:pPr>
          </w:p>
        </w:tc>
        <w:tc>
          <w:tcPr>
            <w:tcW w:w="1000" w:type="dxa"/>
            <w:vAlign w:val="bottom"/>
            <w:tcBorders>
              <w:top w:val="single" w:sz="8" w:color="auto"/>
            </w:tcBorders>
            <w:shd w:val="clear" w:color="auto" w:fill="2AD2C9"/>
          </w:tcPr>
          <w:p>
            <w:pPr>
              <w:spacing w:after="0"/>
              <w:rPr>
                <w:sz w:val="17"/>
                <w:szCs w:val="17"/>
                <w:color w:val="auto"/>
              </w:rPr>
            </w:pPr>
          </w:p>
        </w:tc>
        <w:tc>
          <w:tcPr>
            <w:tcW w:w="1820" w:type="dxa"/>
            <w:vAlign w:val="bottom"/>
            <w:tcBorders>
              <w:top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 change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2720" w:type="dxa"/>
            <w:vAlign w:val="bottom"/>
            <w:tcBorders>
              <w:left w:val="single" w:sz="8" w:color="auto"/>
              <w:bottom w:val="single" w:sz="8" w:color="auto"/>
              <w:right w:val="single" w:sz="8" w:color="auto"/>
            </w:tcBorders>
            <w:shd w:val="clear" w:color="auto" w:fill="29D2C9"/>
          </w:tcPr>
          <w:p>
            <w:pPr>
              <w:spacing w:after="0"/>
              <w:rPr>
                <w:sz w:val="16"/>
                <w:szCs w:val="16"/>
                <w:color w:val="auto"/>
              </w:rPr>
            </w:pPr>
          </w:p>
        </w:tc>
        <w:tc>
          <w:tcPr>
            <w:tcW w:w="13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1Q23</w:t>
            </w:r>
          </w:p>
        </w:tc>
        <w:tc>
          <w:tcPr>
            <w:tcW w:w="13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4Q23</w:t>
            </w:r>
          </w:p>
        </w:tc>
        <w:tc>
          <w:tcPr>
            <w:tcW w:w="13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1Q24</w:t>
            </w:r>
          </w:p>
        </w:tc>
        <w:tc>
          <w:tcPr>
            <w:tcW w:w="1000" w:type="dxa"/>
            <w:vAlign w:val="bottom"/>
            <w:tcBorders>
              <w:bottom w:val="single" w:sz="8" w:color="auto"/>
            </w:tcBorders>
            <w:shd w:val="clear" w:color="auto" w:fill="2AD2C9"/>
          </w:tcPr>
          <w:p>
            <w:pPr>
              <w:jc w:val="center"/>
              <w:ind w:left="248"/>
              <w:spacing w:after="0"/>
              <w:rPr>
                <w:sz w:val="20"/>
                <w:szCs w:val="20"/>
                <w:color w:val="auto"/>
              </w:rPr>
            </w:pPr>
            <w:r>
              <w:rPr>
                <w:rFonts w:ascii="Arial" w:cs="Arial" w:eastAsia="Arial" w:hAnsi="Arial"/>
                <w:sz w:val="14"/>
                <w:szCs w:val="14"/>
                <w:b w:val="1"/>
                <w:bCs w:val="1"/>
                <w:color w:val="FFFFFF"/>
              </w:rPr>
              <w:t>QoQ</w:t>
            </w:r>
          </w:p>
        </w:tc>
        <w:tc>
          <w:tcPr>
            <w:tcW w:w="1820" w:type="dxa"/>
            <w:vAlign w:val="bottom"/>
            <w:tcBorders>
              <w:bottom w:val="single" w:sz="8" w:color="auto"/>
              <w:right w:val="single" w:sz="8" w:color="auto"/>
            </w:tcBorders>
            <w:shd w:val="clear" w:color="auto" w:fill="2AD2C9"/>
          </w:tcPr>
          <w:p>
            <w:pPr>
              <w:jc w:val="center"/>
              <w:ind w:left="246"/>
              <w:spacing w:after="0"/>
              <w:rPr>
                <w:sz w:val="20"/>
                <w:szCs w:val="20"/>
                <w:color w:val="auto"/>
              </w:rPr>
            </w:pPr>
            <w:r>
              <w:rPr>
                <w:rFonts w:ascii="Arial" w:cs="Arial" w:eastAsia="Arial" w:hAnsi="Arial"/>
                <w:sz w:val="14"/>
                <w:szCs w:val="14"/>
                <w:b w:val="1"/>
                <w:bCs w:val="1"/>
                <w:color w:val="FFFFFF"/>
                <w:w w:val="95"/>
              </w:rPr>
              <w:t>YoY</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Efficiency ratio</w:t>
            </w:r>
          </w:p>
        </w:tc>
        <w:tc>
          <w:tcPr>
            <w:tcW w:w="1300" w:type="dxa"/>
            <w:vAlign w:val="bottom"/>
          </w:tcPr>
          <w:p>
            <w:pPr>
              <w:jc w:val="center"/>
              <w:spacing w:after="0"/>
              <w:rPr>
                <w:sz w:val="20"/>
                <w:szCs w:val="20"/>
                <w:color w:val="auto"/>
              </w:rPr>
            </w:pPr>
            <w:r>
              <w:rPr>
                <w:rFonts w:ascii="Arial" w:cs="Arial" w:eastAsia="Arial" w:hAnsi="Arial"/>
                <w:sz w:val="14"/>
                <w:szCs w:val="14"/>
                <w:color w:val="auto"/>
              </w:rPr>
              <w:t>54.1%</w:t>
            </w:r>
          </w:p>
        </w:tc>
        <w:tc>
          <w:tcPr>
            <w:tcW w:w="1360" w:type="dxa"/>
            <w:vAlign w:val="bottom"/>
          </w:tcPr>
          <w:p>
            <w:pPr>
              <w:jc w:val="center"/>
              <w:spacing w:after="0"/>
              <w:rPr>
                <w:sz w:val="20"/>
                <w:szCs w:val="20"/>
                <w:color w:val="auto"/>
              </w:rPr>
            </w:pPr>
            <w:r>
              <w:rPr>
                <w:rFonts w:ascii="Arial" w:cs="Arial" w:eastAsia="Arial" w:hAnsi="Arial"/>
                <w:sz w:val="14"/>
                <w:szCs w:val="14"/>
                <w:color w:val="auto"/>
              </w:rPr>
              <w:t>52.9%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53.3%</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40 bps</w:t>
            </w:r>
          </w:p>
        </w:tc>
        <w:tc>
          <w:tcPr>
            <w:tcW w:w="1820" w:type="dxa"/>
            <w:vAlign w:val="bottom"/>
            <w:tcBorders>
              <w:right w:val="single" w:sz="8" w:color="auto"/>
            </w:tcBorders>
          </w:tcPr>
          <w:p>
            <w:pPr>
              <w:jc w:val="center"/>
              <w:ind w:left="226"/>
              <w:spacing w:after="0"/>
              <w:rPr>
                <w:sz w:val="20"/>
                <w:szCs w:val="20"/>
                <w:color w:val="auto"/>
              </w:rPr>
            </w:pPr>
            <w:r>
              <w:rPr>
                <w:rFonts w:ascii="Arial" w:cs="Arial" w:eastAsia="Arial" w:hAnsi="Arial"/>
                <w:sz w:val="14"/>
                <w:szCs w:val="14"/>
                <w:color w:val="auto"/>
              </w:rPr>
              <w:t>-90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ROAE</w:t>
            </w:r>
          </w:p>
        </w:tc>
        <w:tc>
          <w:tcPr>
            <w:tcW w:w="1300" w:type="dxa"/>
            <w:vAlign w:val="bottom"/>
          </w:tcPr>
          <w:p>
            <w:pPr>
              <w:jc w:val="center"/>
              <w:spacing w:after="0"/>
              <w:rPr>
                <w:sz w:val="20"/>
                <w:szCs w:val="20"/>
                <w:color w:val="auto"/>
              </w:rPr>
            </w:pPr>
            <w:r>
              <w:rPr>
                <w:rFonts w:ascii="Arial" w:cs="Arial" w:eastAsia="Arial" w:hAnsi="Arial"/>
                <w:sz w:val="14"/>
                <w:szCs w:val="14"/>
                <w:color w:val="auto"/>
              </w:rPr>
              <w:t>3.3%</w:t>
            </w:r>
          </w:p>
        </w:tc>
        <w:tc>
          <w:tcPr>
            <w:tcW w:w="1360" w:type="dxa"/>
            <w:vAlign w:val="bottom"/>
          </w:tcPr>
          <w:p>
            <w:pPr>
              <w:jc w:val="center"/>
              <w:spacing w:after="0"/>
              <w:rPr>
                <w:sz w:val="20"/>
                <w:szCs w:val="20"/>
                <w:color w:val="auto"/>
              </w:rPr>
            </w:pPr>
            <w:r>
              <w:rPr>
                <w:rFonts w:ascii="Arial" w:cs="Arial" w:eastAsia="Arial" w:hAnsi="Arial"/>
                <w:sz w:val="14"/>
                <w:szCs w:val="14"/>
                <w:color w:val="auto"/>
              </w:rPr>
              <w:t>7.3%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13.1%</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580 bps</w:t>
            </w:r>
          </w:p>
        </w:tc>
        <w:tc>
          <w:tcPr>
            <w:tcW w:w="1820" w:type="dxa"/>
            <w:vAlign w:val="bottom"/>
            <w:tcBorders>
              <w:right w:val="single" w:sz="8" w:color="auto"/>
            </w:tcBorders>
          </w:tcPr>
          <w:p>
            <w:pPr>
              <w:jc w:val="center"/>
              <w:ind w:left="246"/>
              <w:spacing w:after="0"/>
              <w:rPr>
                <w:sz w:val="20"/>
                <w:szCs w:val="20"/>
                <w:color w:val="auto"/>
              </w:rPr>
            </w:pPr>
            <w:r>
              <w:rPr>
                <w:rFonts w:ascii="Arial" w:cs="Arial" w:eastAsia="Arial" w:hAnsi="Arial"/>
                <w:sz w:val="14"/>
                <w:szCs w:val="14"/>
                <w:color w:val="auto"/>
              </w:rPr>
              <w:t>980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ROAE incl. Goowdill</w:t>
            </w:r>
          </w:p>
        </w:tc>
        <w:tc>
          <w:tcPr>
            <w:tcW w:w="1300" w:type="dxa"/>
            <w:vAlign w:val="bottom"/>
          </w:tcPr>
          <w:p>
            <w:pPr>
              <w:jc w:val="center"/>
              <w:spacing w:after="0"/>
              <w:rPr>
                <w:sz w:val="20"/>
                <w:szCs w:val="20"/>
                <w:color w:val="auto"/>
              </w:rPr>
            </w:pPr>
            <w:r>
              <w:rPr>
                <w:rFonts w:ascii="Arial" w:cs="Arial" w:eastAsia="Arial" w:hAnsi="Arial"/>
                <w:sz w:val="14"/>
                <w:szCs w:val="14"/>
                <w:color w:val="auto"/>
              </w:rPr>
              <w:t>3.2%</w:t>
            </w:r>
          </w:p>
        </w:tc>
        <w:tc>
          <w:tcPr>
            <w:tcW w:w="1360" w:type="dxa"/>
            <w:vAlign w:val="bottom"/>
          </w:tcPr>
          <w:p>
            <w:pPr>
              <w:jc w:val="center"/>
              <w:spacing w:after="0"/>
              <w:rPr>
                <w:sz w:val="20"/>
                <w:szCs w:val="20"/>
                <w:color w:val="auto"/>
              </w:rPr>
            </w:pPr>
            <w:r>
              <w:rPr>
                <w:rFonts w:ascii="Arial" w:cs="Arial" w:eastAsia="Arial" w:hAnsi="Arial"/>
                <w:sz w:val="14"/>
                <w:szCs w:val="14"/>
                <w:color w:val="auto"/>
              </w:rPr>
              <w:t>6.9%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12.5%</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550 bps</w:t>
            </w:r>
          </w:p>
        </w:tc>
        <w:tc>
          <w:tcPr>
            <w:tcW w:w="1820" w:type="dxa"/>
            <w:vAlign w:val="bottom"/>
            <w:tcBorders>
              <w:right w:val="single" w:sz="8" w:color="auto"/>
            </w:tcBorders>
          </w:tcPr>
          <w:p>
            <w:pPr>
              <w:jc w:val="center"/>
              <w:ind w:left="246"/>
              <w:spacing w:after="0"/>
              <w:rPr>
                <w:sz w:val="20"/>
                <w:szCs w:val="20"/>
                <w:color w:val="auto"/>
              </w:rPr>
            </w:pPr>
            <w:r>
              <w:rPr>
                <w:rFonts w:ascii="Arial" w:cs="Arial" w:eastAsia="Arial" w:hAnsi="Arial"/>
                <w:sz w:val="14"/>
                <w:szCs w:val="14"/>
                <w:color w:val="auto"/>
              </w:rPr>
              <w:t>930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L/D ratio</w:t>
            </w:r>
          </w:p>
        </w:tc>
        <w:tc>
          <w:tcPr>
            <w:tcW w:w="1300" w:type="dxa"/>
            <w:vAlign w:val="bottom"/>
          </w:tcPr>
          <w:p>
            <w:pPr>
              <w:jc w:val="center"/>
              <w:spacing w:after="0"/>
              <w:rPr>
                <w:sz w:val="20"/>
                <w:szCs w:val="20"/>
                <w:color w:val="auto"/>
              </w:rPr>
            </w:pPr>
            <w:r>
              <w:rPr>
                <w:rFonts w:ascii="Arial" w:cs="Arial" w:eastAsia="Arial" w:hAnsi="Arial"/>
                <w:sz w:val="14"/>
                <w:szCs w:val="14"/>
                <w:color w:val="auto"/>
              </w:rPr>
              <w:t>146.2%</w:t>
            </w:r>
          </w:p>
        </w:tc>
        <w:tc>
          <w:tcPr>
            <w:tcW w:w="1360" w:type="dxa"/>
            <w:vAlign w:val="bottom"/>
          </w:tcPr>
          <w:p>
            <w:pPr>
              <w:jc w:val="center"/>
              <w:spacing w:after="0"/>
              <w:rPr>
                <w:sz w:val="20"/>
                <w:szCs w:val="20"/>
                <w:color w:val="auto"/>
              </w:rPr>
            </w:pPr>
            <w:r>
              <w:rPr>
                <w:rFonts w:ascii="Arial" w:cs="Arial" w:eastAsia="Arial" w:hAnsi="Arial"/>
                <w:sz w:val="14"/>
                <w:szCs w:val="14"/>
                <w:color w:val="auto"/>
              </w:rPr>
              <w:t>132.7%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129.3%</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-340 bps</w:t>
            </w:r>
          </w:p>
        </w:tc>
        <w:tc>
          <w:tcPr>
            <w:tcW w:w="1820" w:type="dxa"/>
            <w:vAlign w:val="bottom"/>
            <w:tcBorders>
              <w:right w:val="single" w:sz="8" w:color="auto"/>
            </w:tcBorders>
          </w:tcPr>
          <w:p>
            <w:pPr>
              <w:jc w:val="center"/>
              <w:ind w:left="226"/>
              <w:spacing w:after="0"/>
              <w:rPr>
                <w:sz w:val="20"/>
                <w:szCs w:val="20"/>
                <w:color w:val="auto"/>
              </w:rPr>
            </w:pPr>
            <w:r>
              <w:rPr>
                <w:rFonts w:ascii="Arial" w:cs="Arial" w:eastAsia="Arial" w:hAnsi="Arial"/>
                <w:sz w:val="14"/>
                <w:szCs w:val="14"/>
                <w:color w:val="auto"/>
              </w:rPr>
              <w:t>-1700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IOL ratio</w:t>
            </w:r>
          </w:p>
        </w:tc>
        <w:tc>
          <w:tcPr>
            <w:tcW w:w="1300" w:type="dxa"/>
            <w:vAlign w:val="bottom"/>
          </w:tcPr>
          <w:p>
            <w:pPr>
              <w:jc w:val="center"/>
              <w:spacing w:after="0"/>
              <w:rPr>
                <w:sz w:val="20"/>
                <w:szCs w:val="20"/>
                <w:color w:val="auto"/>
              </w:rPr>
            </w:pPr>
            <w:r>
              <w:rPr>
                <w:rFonts w:ascii="Arial" w:cs="Arial" w:eastAsia="Arial" w:hAnsi="Arial"/>
                <w:sz w:val="14"/>
                <w:szCs w:val="14"/>
                <w:color w:val="auto"/>
              </w:rPr>
              <w:t>5.0%</w:t>
            </w:r>
          </w:p>
        </w:tc>
        <w:tc>
          <w:tcPr>
            <w:tcW w:w="1360" w:type="dxa"/>
            <w:vAlign w:val="bottom"/>
          </w:tcPr>
          <w:p>
            <w:pPr>
              <w:jc w:val="center"/>
              <w:spacing w:after="0"/>
              <w:rPr>
                <w:sz w:val="20"/>
                <w:szCs w:val="20"/>
                <w:color w:val="auto"/>
              </w:rPr>
            </w:pPr>
            <w:r>
              <w:rPr>
                <w:rFonts w:ascii="Arial" w:cs="Arial" w:eastAsia="Arial" w:hAnsi="Arial"/>
                <w:sz w:val="14"/>
                <w:szCs w:val="14"/>
                <w:color w:val="auto"/>
              </w:rPr>
              <w:t>6.3%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40 bps</w:t>
            </w:r>
          </w:p>
        </w:tc>
        <w:tc>
          <w:tcPr>
            <w:tcW w:w="1820" w:type="dxa"/>
            <w:vAlign w:val="bottom"/>
            <w:tcBorders>
              <w:right w:val="single" w:sz="8" w:color="auto"/>
            </w:tcBorders>
          </w:tcPr>
          <w:p>
            <w:pPr>
              <w:jc w:val="center"/>
              <w:ind w:left="246"/>
              <w:spacing w:after="0"/>
              <w:rPr>
                <w:sz w:val="20"/>
                <w:szCs w:val="20"/>
                <w:color w:val="auto"/>
              </w:rPr>
            </w:pPr>
            <w:r>
              <w:rPr>
                <w:rFonts w:ascii="Arial" w:cs="Arial" w:eastAsia="Arial" w:hAnsi="Arial"/>
                <w:sz w:val="14"/>
                <w:szCs w:val="14"/>
                <w:color w:val="auto"/>
              </w:rPr>
              <w:t>170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NPL ratio</w:t>
            </w:r>
          </w:p>
        </w:tc>
        <w:tc>
          <w:tcPr>
            <w:tcW w:w="1300" w:type="dxa"/>
            <w:vAlign w:val="bottom"/>
          </w:tcPr>
          <w:p>
            <w:pPr>
              <w:jc w:val="center"/>
              <w:spacing w:after="0"/>
              <w:rPr>
                <w:sz w:val="20"/>
                <w:szCs w:val="20"/>
                <w:color w:val="auto"/>
              </w:rPr>
            </w:pPr>
            <w:r>
              <w:rPr>
                <w:rFonts w:ascii="Arial" w:cs="Arial" w:eastAsia="Arial" w:hAnsi="Arial"/>
                <w:sz w:val="14"/>
                <w:szCs w:val="14"/>
                <w:color w:val="auto"/>
              </w:rPr>
              <w:t>5.7%</w:t>
            </w:r>
          </w:p>
        </w:tc>
        <w:tc>
          <w:tcPr>
            <w:tcW w:w="1360" w:type="dxa"/>
            <w:vAlign w:val="bottom"/>
          </w:tcPr>
          <w:p>
            <w:pPr>
              <w:jc w:val="center"/>
              <w:spacing w:after="0"/>
              <w:rPr>
                <w:sz w:val="20"/>
                <w:szCs w:val="20"/>
                <w:color w:val="auto"/>
              </w:rPr>
            </w:pPr>
            <w:r>
              <w:rPr>
                <w:rFonts w:ascii="Arial" w:cs="Arial" w:eastAsia="Arial" w:hAnsi="Arial"/>
                <w:sz w:val="14"/>
                <w:szCs w:val="14"/>
                <w:color w:val="auto"/>
              </w:rPr>
              <w:t>7.0%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7.4%</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40 bps</w:t>
            </w:r>
          </w:p>
        </w:tc>
        <w:tc>
          <w:tcPr>
            <w:tcW w:w="1820" w:type="dxa"/>
            <w:vAlign w:val="bottom"/>
            <w:tcBorders>
              <w:right w:val="single" w:sz="8" w:color="auto"/>
            </w:tcBorders>
          </w:tcPr>
          <w:p>
            <w:pPr>
              <w:jc w:val="center"/>
              <w:ind w:left="246"/>
              <w:spacing w:after="0"/>
              <w:rPr>
                <w:sz w:val="20"/>
                <w:szCs w:val="20"/>
                <w:color w:val="auto"/>
              </w:rPr>
            </w:pPr>
            <w:r>
              <w:rPr>
                <w:rFonts w:ascii="Arial" w:cs="Arial" w:eastAsia="Arial" w:hAnsi="Arial"/>
                <w:sz w:val="14"/>
                <w:szCs w:val="14"/>
                <w:color w:val="auto"/>
              </w:rPr>
              <w:t>170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Coverage of IOLs</w:t>
            </w:r>
          </w:p>
        </w:tc>
        <w:tc>
          <w:tcPr>
            <w:tcW w:w="1300" w:type="dxa"/>
            <w:vAlign w:val="bottom"/>
          </w:tcPr>
          <w:p>
            <w:pPr>
              <w:jc w:val="center"/>
              <w:spacing w:after="0"/>
              <w:rPr>
                <w:sz w:val="20"/>
                <w:szCs w:val="20"/>
                <w:color w:val="auto"/>
              </w:rPr>
            </w:pPr>
            <w:r>
              <w:rPr>
                <w:rFonts w:ascii="Arial" w:cs="Arial" w:eastAsia="Arial" w:hAnsi="Arial"/>
                <w:sz w:val="14"/>
                <w:szCs w:val="14"/>
                <w:color w:val="auto"/>
              </w:rPr>
              <w:t>149.3%</w:t>
            </w:r>
          </w:p>
        </w:tc>
        <w:tc>
          <w:tcPr>
            <w:tcW w:w="1360" w:type="dxa"/>
            <w:vAlign w:val="bottom"/>
          </w:tcPr>
          <w:p>
            <w:pPr>
              <w:jc w:val="center"/>
              <w:spacing w:after="0"/>
              <w:rPr>
                <w:sz w:val="20"/>
                <w:szCs w:val="20"/>
                <w:color w:val="auto"/>
              </w:rPr>
            </w:pPr>
            <w:r>
              <w:rPr>
                <w:rFonts w:ascii="Arial" w:cs="Arial" w:eastAsia="Arial" w:hAnsi="Arial"/>
                <w:sz w:val="14"/>
                <w:szCs w:val="14"/>
                <w:color w:val="auto"/>
              </w:rPr>
              <w:t>120.2%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111.2%</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-900 bps</w:t>
            </w:r>
          </w:p>
        </w:tc>
        <w:tc>
          <w:tcPr>
            <w:tcW w:w="1820" w:type="dxa"/>
            <w:vAlign w:val="bottom"/>
            <w:tcBorders>
              <w:right w:val="single" w:sz="8" w:color="auto"/>
            </w:tcBorders>
          </w:tcPr>
          <w:p>
            <w:pPr>
              <w:jc w:val="center"/>
              <w:ind w:left="226"/>
              <w:spacing w:after="0"/>
              <w:rPr>
                <w:sz w:val="20"/>
                <w:szCs w:val="20"/>
                <w:color w:val="auto"/>
              </w:rPr>
            </w:pPr>
            <w:r>
              <w:rPr>
                <w:rFonts w:ascii="Arial" w:cs="Arial" w:eastAsia="Arial" w:hAnsi="Arial"/>
                <w:sz w:val="14"/>
                <w:szCs w:val="14"/>
                <w:color w:val="auto"/>
              </w:rPr>
              <w:t>-3820 bps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Coverage of NPLs</w:t>
            </w:r>
          </w:p>
        </w:tc>
        <w:tc>
          <w:tcPr>
            <w:tcW w:w="1300" w:type="dxa"/>
            <w:vAlign w:val="bottom"/>
          </w:tcPr>
          <w:p>
            <w:pPr>
              <w:jc w:val="center"/>
              <w:spacing w:after="0"/>
              <w:rPr>
                <w:sz w:val="20"/>
                <w:szCs w:val="20"/>
                <w:color w:val="auto"/>
              </w:rPr>
            </w:pPr>
            <w:r>
              <w:rPr>
                <w:rFonts w:ascii="Arial" w:cs="Arial" w:eastAsia="Arial" w:hAnsi="Arial"/>
                <w:sz w:val="14"/>
                <w:szCs w:val="14"/>
                <w:color w:val="auto"/>
              </w:rPr>
              <w:t>129.8%</w:t>
            </w:r>
          </w:p>
        </w:tc>
        <w:tc>
          <w:tcPr>
            <w:tcW w:w="1360" w:type="dxa"/>
            <w:vAlign w:val="bottom"/>
          </w:tcPr>
          <w:p>
            <w:pPr>
              <w:jc w:val="center"/>
              <w:spacing w:after="0"/>
              <w:rPr>
                <w:sz w:val="20"/>
                <w:szCs w:val="20"/>
                <w:color w:val="auto"/>
              </w:rPr>
            </w:pPr>
            <w:r>
              <w:rPr>
                <w:rFonts w:ascii="Arial" w:cs="Arial" w:eastAsia="Arial" w:hAnsi="Arial"/>
                <w:sz w:val="14"/>
                <w:szCs w:val="14"/>
                <w:color w:val="auto"/>
              </w:rPr>
              <w:t>107.3%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99.5%</w:t>
            </w:r>
          </w:p>
        </w:tc>
        <w:tc>
          <w:tcPr>
            <w:tcW w:w="1000" w:type="dxa"/>
            <w:vAlign w:val="bottom"/>
          </w:tcPr>
          <w:p>
            <w:pPr>
              <w:jc w:val="center"/>
              <w:ind w:left="248"/>
              <w:spacing w:after="0"/>
              <w:rPr>
                <w:sz w:val="20"/>
                <w:szCs w:val="20"/>
                <w:color w:val="auto"/>
              </w:rPr>
            </w:pPr>
            <w:r>
              <w:rPr>
                <w:rFonts w:ascii="Arial" w:cs="Arial" w:eastAsia="Arial" w:hAnsi="Arial"/>
                <w:sz w:val="14"/>
                <w:szCs w:val="14"/>
                <w:color w:val="auto"/>
              </w:rPr>
              <w:t>-780 bps</w:t>
            </w:r>
          </w:p>
        </w:tc>
        <w:tc>
          <w:tcPr>
            <w:tcW w:w="1820" w:type="dxa"/>
            <w:vAlign w:val="bottom"/>
            <w:tcBorders>
              <w:right w:val="single" w:sz="8" w:color="auto"/>
            </w:tcBorders>
          </w:tcPr>
          <w:p>
            <w:pPr>
              <w:jc w:val="center"/>
              <w:ind w:left="226"/>
              <w:spacing w:after="0"/>
              <w:rPr>
                <w:sz w:val="20"/>
                <w:szCs w:val="20"/>
                <w:color w:val="auto"/>
              </w:rPr>
            </w:pPr>
            <w:r>
              <w:rPr>
                <w:rFonts w:ascii="Arial" w:cs="Arial" w:eastAsia="Arial" w:hAnsi="Arial"/>
                <w:sz w:val="14"/>
                <w:szCs w:val="14"/>
                <w:color w:val="auto"/>
              </w:rPr>
              <w:t>-3030 bps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720" w:type="dxa"/>
            <w:vAlign w:val="bottom"/>
            <w:tcBorders>
              <w:left w:val="single" w:sz="8" w:color="auto"/>
              <w:right w:val="single" w:sz="8" w:color="auto"/>
            </w:tcBorders>
          </w:tcPr>
          <w:p>
            <w:pPr>
              <w:ind w:left="40"/>
              <w:spacing w:after="0" w:line="205" w:lineRule="exact"/>
              <w:rPr>
                <w:sz w:val="20"/>
                <w:szCs w:val="20"/>
                <w:color w:val="auto"/>
              </w:rPr>
            </w:pPr>
            <w:r>
              <w:rPr>
                <w:rFonts w:ascii="Arial" w:cs="Arial" w:eastAsia="Arial" w:hAnsi="Arial"/>
                <w:sz w:val="14"/>
                <w:szCs w:val="14"/>
                <w:color w:val="auto"/>
              </w:rPr>
              <w:t xml:space="preserve">Branches </w:t>
            </w:r>
            <w:r>
              <w:rPr>
                <w:rFonts w:ascii="Arial" w:cs="Arial" w:eastAsia="Arial" w:hAnsi="Arial"/>
                <w:sz w:val="23"/>
                <w:szCs w:val="23"/>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286</w:t>
            </w:r>
          </w:p>
        </w:tc>
        <w:tc>
          <w:tcPr>
            <w:tcW w:w="1360" w:type="dxa"/>
            <w:vAlign w:val="bottom"/>
          </w:tcPr>
          <w:p>
            <w:pPr>
              <w:jc w:val="center"/>
              <w:spacing w:after="0"/>
              <w:rPr>
                <w:sz w:val="20"/>
                <w:szCs w:val="20"/>
                <w:color w:val="auto"/>
              </w:rPr>
            </w:pPr>
            <w:r>
              <w:rPr>
                <w:rFonts w:ascii="Arial" w:cs="Arial" w:eastAsia="Arial" w:hAnsi="Arial"/>
                <w:sz w:val="14"/>
                <w:szCs w:val="14"/>
                <w:color w:val="auto"/>
              </w:rPr>
              <w:t>292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290</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820" w:type="dxa"/>
            <w:vAlign w:val="bottom"/>
            <w:tcBorders>
              <w:right w:val="single" w:sz="8" w:color="auto"/>
            </w:tcBorders>
          </w:tcPr>
          <w:p>
            <w:pPr>
              <w:jc w:val="right"/>
              <w:ind w:right="646"/>
              <w:spacing w:after="0"/>
              <w:rPr>
                <w:sz w:val="20"/>
                <w:szCs w:val="20"/>
                <w:color w:val="auto"/>
              </w:rPr>
            </w:pPr>
            <w:r>
              <w:rPr>
                <w:rFonts w:ascii="Arial" w:cs="Arial" w:eastAsia="Arial" w:hAnsi="Arial"/>
                <w:sz w:val="14"/>
                <w:szCs w:val="14"/>
                <w:color w:val="auto"/>
              </w:rPr>
              <w:t>4</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0" w:type="dxa"/>
            <w:vAlign w:val="bottom"/>
            <w:vMerge w:val="restart"/>
          </w:tcPr>
          <w:p>
            <w:pPr>
              <w:spacing w:after="0"/>
              <w:rPr>
                <w:sz w:val="20"/>
                <w:szCs w:val="20"/>
                <w:color w:val="auto"/>
              </w:rPr>
            </w:pPr>
            <w:r>
              <w:rPr>
                <w:rFonts w:ascii="Arial" w:cs="Arial" w:eastAsia="Arial" w:hAnsi="Arial"/>
                <w:sz w:val="11"/>
                <w:szCs w:val="11"/>
                <w:color w:val="auto"/>
                <w:w w:val="89"/>
              </w:rPr>
              <w:t>(1) Includes Banco</w:t>
            </w:r>
          </w:p>
        </w:tc>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Employees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9,904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9,842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9,485</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(357)</w:t>
            </w:r>
          </w:p>
        </w:tc>
        <w:tc>
          <w:tcPr>
            <w:tcW w:w="1820" w:type="dxa"/>
            <w:vAlign w:val="bottom"/>
            <w:tcBorders>
              <w:bottom w:val="single" w:sz="8" w:color="auto"/>
              <w:right w:val="single" w:sz="8" w:color="auto"/>
            </w:tcBorders>
          </w:tcPr>
          <w:p>
            <w:pPr>
              <w:jc w:val="right"/>
              <w:ind w:right="506"/>
              <w:spacing w:after="0"/>
              <w:rPr>
                <w:sz w:val="20"/>
                <w:szCs w:val="20"/>
                <w:color w:val="auto"/>
              </w:rPr>
            </w:pPr>
            <w:r>
              <w:rPr>
                <w:rFonts w:ascii="Arial" w:cs="Arial" w:eastAsia="Arial" w:hAnsi="Arial"/>
                <w:sz w:val="14"/>
                <w:szCs w:val="14"/>
                <w:color w:val="auto"/>
              </w:rPr>
              <w:t>(419)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5380" w:type="dxa"/>
            <w:vAlign w:val="bottom"/>
            <w:gridSpan w:val="3"/>
          </w:tcPr>
          <w:p>
            <w:pPr>
              <w:ind w:left="80"/>
              <w:spacing w:after="0"/>
              <w:rPr>
                <w:sz w:val="20"/>
                <w:szCs w:val="20"/>
                <w:color w:val="auto"/>
              </w:rPr>
            </w:pPr>
            <w:r>
              <w:rPr>
                <w:rFonts w:ascii="Arial" w:cs="Arial" w:eastAsia="Arial" w:hAnsi="Arial"/>
                <w:sz w:val="11"/>
                <w:szCs w:val="11"/>
                <w:color w:val="auto"/>
              </w:rPr>
              <w:t>de la Nacion branches, which in March 23 were 33, in December 23 were 36 and in March 24 were 36</w:t>
            </w:r>
          </w:p>
        </w:tc>
        <w:tc>
          <w:tcPr>
            <w:tcW w:w="1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4"/>
        </w:trPr>
        <w:tc>
          <w:tcPr>
            <w:tcW w:w="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0" w:type="dxa"/>
            <w:vAlign w:val="bottom"/>
            <w:gridSpan w:val="3"/>
          </w:tcPr>
          <w:p>
            <w:pPr>
              <w:ind w:left="660"/>
              <w:spacing w:after="0"/>
              <w:rPr>
                <w:sz w:val="20"/>
                <w:szCs w:val="20"/>
                <w:color w:val="auto"/>
              </w:rPr>
            </w:pPr>
            <w:r>
              <w:rPr>
                <w:rFonts w:ascii="Arial" w:cs="Arial" w:eastAsia="Arial" w:hAnsi="Arial"/>
                <w:sz w:val="14"/>
                <w:szCs w:val="14"/>
                <w:color w:val="0000FF"/>
              </w:rPr>
              <w:t>Datos elaborados por BCP para uso Interno</w:t>
            </w:r>
          </w:p>
        </w:tc>
        <w:tc>
          <w:tcPr>
            <w:tcW w:w="1000" w:type="dxa"/>
            <w:vAlign w:val="bottom"/>
          </w:tcPr>
          <w:p>
            <w:pPr>
              <w:spacing w:after="0"/>
              <w:rPr>
                <w:sz w:val="24"/>
                <w:szCs w:val="24"/>
                <w:color w:val="auto"/>
              </w:rPr>
            </w:pPr>
          </w:p>
        </w:tc>
        <w:tc>
          <w:tcPr>
            <w:tcW w:w="2660" w:type="dxa"/>
            <w:vAlign w:val="bottom"/>
            <w:gridSpan w:val="2"/>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429"/>
        </w:trPr>
        <w:tc>
          <w:tcPr>
            <w:tcW w:w="8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20"/>
        </w:trPr>
        <w:tc>
          <w:tcPr>
            <w:tcW w:w="320" w:type="dxa"/>
            <w:vAlign w:val="bottom"/>
            <w:tcBorders>
              <w:right w:val="single" w:sz="8" w:color="auto"/>
            </w:tcBorders>
            <w:shd w:val="clear" w:color="auto" w:fill="000000"/>
          </w:tcPr>
          <w:p>
            <w:pPr>
              <w:spacing w:after="0"/>
              <w:rPr>
                <w:sz w:val="24"/>
                <w:szCs w:val="24"/>
                <w:color w:val="auto"/>
              </w:rPr>
            </w:pPr>
          </w:p>
        </w:tc>
        <w:tc>
          <w:tcPr>
            <w:tcW w:w="5860" w:type="dxa"/>
            <w:vAlign w:val="bottom"/>
            <w:gridSpan w:val="3"/>
            <w:shd w:val="clear" w:color="auto" w:fill="000000"/>
          </w:tcPr>
          <w:p>
            <w:pPr>
              <w:jc w:val="right"/>
              <w:ind w:right="685"/>
              <w:spacing w:after="0"/>
              <w:rPr>
                <w:sz w:val="20"/>
                <w:szCs w:val="20"/>
                <w:color w:val="auto"/>
              </w:rPr>
            </w:pPr>
            <w:r>
              <w:rPr>
                <w:rFonts w:ascii="Arial" w:cs="Arial" w:eastAsia="Arial" w:hAnsi="Arial"/>
                <w:sz w:val="20"/>
                <w:szCs w:val="20"/>
                <w:color w:val="A6A6A6"/>
              </w:rPr>
              <w:t xml:space="preserve">|  </w:t>
            </w:r>
            <w:r>
              <w:rPr>
                <w:rFonts w:ascii="Arial" w:cs="Arial" w:eastAsia="Arial" w:hAnsi="Arial"/>
                <w:sz w:val="20"/>
                <w:szCs w:val="20"/>
                <w:b w:val="1"/>
                <w:bCs w:val="1"/>
                <w:color w:val="A6A6A6"/>
              </w:rPr>
              <w:t>Earning Release 1Q / 2024</w:t>
            </w:r>
          </w:p>
        </w:tc>
        <w:tc>
          <w:tcPr>
            <w:tcW w:w="1080" w:type="dxa"/>
            <w:vAlign w:val="bottom"/>
            <w:shd w:val="clear" w:color="auto" w:fill="000000"/>
          </w:tcPr>
          <w:p>
            <w:pPr>
              <w:spacing w:after="0"/>
              <w:rPr>
                <w:sz w:val="24"/>
                <w:szCs w:val="24"/>
                <w:color w:val="auto"/>
              </w:rPr>
            </w:pPr>
          </w:p>
        </w:tc>
        <w:tc>
          <w:tcPr>
            <w:tcW w:w="3980" w:type="dxa"/>
            <w:vAlign w:val="bottom"/>
            <w:gridSpan w:val="4"/>
            <w:shd w:val="clear" w:color="auto" w:fill="000000"/>
          </w:tcPr>
          <w:p>
            <w:pPr>
              <w:ind w:left="80"/>
              <w:spacing w:after="0"/>
              <w:rPr>
                <w:sz w:val="20"/>
                <w:szCs w:val="20"/>
                <w:color w:val="auto"/>
              </w:rPr>
            </w:pPr>
            <w:r>
              <w:rPr>
                <w:rFonts w:ascii="Arial" w:cs="Arial" w:eastAsia="Arial" w:hAnsi="Arial"/>
                <w:sz w:val="20"/>
                <w:szCs w:val="20"/>
                <w:b w:val="1"/>
                <w:bCs w:val="1"/>
                <w:color w:val="E93BAC"/>
              </w:rPr>
              <w:t>Analysis of 1Q24 Consolidated Results</w:t>
            </w:r>
          </w:p>
        </w:tc>
      </w:tr>
      <w:tr>
        <w:trPr>
          <w:trHeight w:val="236"/>
        </w:trPr>
        <w:tc>
          <w:tcPr>
            <w:tcW w:w="320" w:type="dxa"/>
            <w:vAlign w:val="bottom"/>
            <w:tcBorders>
              <w:right w:val="single" w:sz="8" w:color="auto"/>
            </w:tcBorders>
            <w:shd w:val="clear" w:color="auto" w:fill="000000"/>
          </w:tcPr>
          <w:p>
            <w:pPr>
              <w:spacing w:after="0"/>
              <w:rPr>
                <w:sz w:val="20"/>
                <w:szCs w:val="20"/>
                <w:color w:val="auto"/>
              </w:rPr>
            </w:pPr>
          </w:p>
        </w:tc>
        <w:tc>
          <w:tcPr>
            <w:tcW w:w="3660" w:type="dxa"/>
            <w:vAlign w:val="bottom"/>
            <w:shd w:val="clear" w:color="auto" w:fill="000000"/>
          </w:tcPr>
          <w:p>
            <w:pPr>
              <w:spacing w:after="0"/>
              <w:rPr>
                <w:sz w:val="20"/>
                <w:szCs w:val="20"/>
                <w:color w:val="auto"/>
              </w:rPr>
            </w:pPr>
          </w:p>
        </w:tc>
        <w:tc>
          <w:tcPr>
            <w:tcW w:w="820" w:type="dxa"/>
            <w:vAlign w:val="bottom"/>
            <w:tcBorders>
              <w:right w:val="single" w:sz="8" w:color="auto"/>
            </w:tcBorders>
            <w:shd w:val="clear" w:color="auto" w:fill="000000"/>
          </w:tcPr>
          <w:p>
            <w:pPr>
              <w:spacing w:after="0"/>
              <w:rPr>
                <w:sz w:val="20"/>
                <w:szCs w:val="20"/>
                <w:color w:val="auto"/>
              </w:rPr>
            </w:pPr>
          </w:p>
        </w:tc>
        <w:tc>
          <w:tcPr>
            <w:tcW w:w="1380" w:type="dxa"/>
            <w:vAlign w:val="bottom"/>
            <w:shd w:val="clear" w:color="auto" w:fill="000000"/>
          </w:tcPr>
          <w:p>
            <w:pPr>
              <w:spacing w:after="0"/>
              <w:rPr>
                <w:sz w:val="20"/>
                <w:szCs w:val="20"/>
                <w:color w:val="auto"/>
              </w:rPr>
            </w:pPr>
          </w:p>
        </w:tc>
        <w:tc>
          <w:tcPr>
            <w:tcW w:w="1080" w:type="dxa"/>
            <w:vAlign w:val="bottom"/>
            <w:shd w:val="clear" w:color="auto" w:fill="000000"/>
          </w:tcPr>
          <w:p>
            <w:pPr>
              <w:spacing w:after="0"/>
              <w:rPr>
                <w:sz w:val="20"/>
                <w:szCs w:val="20"/>
                <w:color w:val="auto"/>
              </w:rPr>
            </w:pPr>
          </w:p>
        </w:tc>
        <w:tc>
          <w:tcPr>
            <w:tcW w:w="1240" w:type="dxa"/>
            <w:vAlign w:val="bottom"/>
            <w:tcBorders>
              <w:right w:val="single" w:sz="8" w:color="auto"/>
            </w:tcBorders>
            <w:shd w:val="clear" w:color="auto" w:fill="000000"/>
          </w:tcPr>
          <w:p>
            <w:pPr>
              <w:spacing w:after="0"/>
              <w:rPr>
                <w:sz w:val="20"/>
                <w:szCs w:val="20"/>
                <w:color w:val="auto"/>
              </w:rPr>
            </w:pPr>
          </w:p>
        </w:tc>
        <w:tc>
          <w:tcPr>
            <w:tcW w:w="1560" w:type="dxa"/>
            <w:vAlign w:val="bottom"/>
            <w:shd w:val="clear" w:color="auto" w:fill="000000"/>
          </w:tcPr>
          <w:p>
            <w:pPr>
              <w:spacing w:after="0"/>
              <w:rPr>
                <w:sz w:val="20"/>
                <w:szCs w:val="20"/>
                <w:color w:val="auto"/>
              </w:rPr>
            </w:pPr>
          </w:p>
        </w:tc>
        <w:tc>
          <w:tcPr>
            <w:tcW w:w="900" w:type="dxa"/>
            <w:vAlign w:val="bottom"/>
            <w:tcBorders>
              <w:right w:val="single" w:sz="8" w:color="auto"/>
            </w:tcBorders>
            <w:shd w:val="clear" w:color="auto" w:fill="000000"/>
          </w:tcPr>
          <w:p>
            <w:pPr>
              <w:spacing w:after="0"/>
              <w:rPr>
                <w:sz w:val="20"/>
                <w:szCs w:val="20"/>
                <w:color w:val="auto"/>
              </w:rPr>
            </w:pPr>
          </w:p>
        </w:tc>
        <w:tc>
          <w:tcPr>
            <w:tcW w:w="280" w:type="dxa"/>
            <w:vAlign w:val="bottom"/>
            <w:tcBorders>
              <w:left w:val="single" w:sz="8" w:color="auto"/>
            </w:tcBorders>
            <w:shd w:val="clear" w:color="auto" w:fill="000000"/>
          </w:tcPr>
          <w:p>
            <w:pPr>
              <w:spacing w:after="0"/>
              <w:rPr>
                <w:sz w:val="20"/>
                <w:szCs w:val="20"/>
                <w:color w:val="auto"/>
              </w:rPr>
            </w:pPr>
          </w:p>
        </w:tc>
      </w:tr>
      <w:tr>
        <w:trPr>
          <w:trHeight w:val="425"/>
        </w:trPr>
        <w:tc>
          <w:tcPr>
            <w:tcW w:w="3980" w:type="dxa"/>
            <w:vAlign w:val="bottom"/>
            <w:gridSpan w:val="2"/>
            <w:shd w:val="clear" w:color="auto" w:fill="E93BAC"/>
          </w:tcPr>
          <w:p>
            <w:pPr>
              <w:ind w:left="100"/>
              <w:spacing w:after="0"/>
              <w:rPr>
                <w:sz w:val="20"/>
                <w:szCs w:val="20"/>
                <w:color w:val="auto"/>
              </w:rPr>
            </w:pPr>
            <w:r>
              <w:rPr>
                <w:rFonts w:ascii="Arial" w:cs="Arial" w:eastAsia="Arial" w:hAnsi="Arial"/>
                <w:sz w:val="20"/>
                <w:szCs w:val="20"/>
                <w:b w:val="1"/>
                <w:bCs w:val="1"/>
                <w:color w:val="FFFFFF"/>
              </w:rPr>
              <w:t>12. Appendix</w:t>
            </w:r>
          </w:p>
        </w:tc>
        <w:tc>
          <w:tcPr>
            <w:tcW w:w="820" w:type="dxa"/>
            <w:vAlign w:val="bottom"/>
            <w:tcBorders>
              <w:right w:val="single" w:sz="8" w:color="E93BAC"/>
            </w:tcBorders>
            <w:shd w:val="clear" w:color="auto" w:fill="E93BAC"/>
          </w:tcPr>
          <w:p>
            <w:pPr>
              <w:spacing w:after="0"/>
              <w:rPr>
                <w:sz w:val="24"/>
                <w:szCs w:val="24"/>
                <w:color w:val="auto"/>
              </w:rPr>
            </w:pPr>
          </w:p>
        </w:tc>
        <w:tc>
          <w:tcPr>
            <w:tcW w:w="1380" w:type="dxa"/>
            <w:vAlign w:val="bottom"/>
            <w:shd w:val="clear" w:color="auto" w:fill="E93BAC"/>
          </w:tcPr>
          <w:p>
            <w:pPr>
              <w:spacing w:after="0"/>
              <w:rPr>
                <w:sz w:val="24"/>
                <w:szCs w:val="24"/>
                <w:color w:val="auto"/>
              </w:rPr>
            </w:pPr>
          </w:p>
        </w:tc>
        <w:tc>
          <w:tcPr>
            <w:tcW w:w="1080" w:type="dxa"/>
            <w:vAlign w:val="bottom"/>
            <w:shd w:val="clear" w:color="auto" w:fill="E93BAC"/>
          </w:tcPr>
          <w:p>
            <w:pPr>
              <w:spacing w:after="0"/>
              <w:rPr>
                <w:sz w:val="24"/>
                <w:szCs w:val="24"/>
                <w:color w:val="auto"/>
              </w:rPr>
            </w:pPr>
          </w:p>
        </w:tc>
        <w:tc>
          <w:tcPr>
            <w:tcW w:w="1240" w:type="dxa"/>
            <w:vAlign w:val="bottom"/>
            <w:tcBorders>
              <w:right w:val="single" w:sz="8" w:color="E93BAC"/>
            </w:tcBorders>
            <w:shd w:val="clear" w:color="auto" w:fill="E93BAC"/>
          </w:tcPr>
          <w:p>
            <w:pPr>
              <w:spacing w:after="0"/>
              <w:rPr>
                <w:sz w:val="24"/>
                <w:szCs w:val="24"/>
                <w:color w:val="auto"/>
              </w:rPr>
            </w:pPr>
          </w:p>
        </w:tc>
        <w:tc>
          <w:tcPr>
            <w:tcW w:w="1560" w:type="dxa"/>
            <w:vAlign w:val="bottom"/>
            <w:shd w:val="clear" w:color="auto" w:fill="E93BAC"/>
          </w:tcPr>
          <w:p>
            <w:pPr>
              <w:spacing w:after="0"/>
              <w:rPr>
                <w:sz w:val="24"/>
                <w:szCs w:val="24"/>
                <w:color w:val="auto"/>
              </w:rPr>
            </w:pPr>
          </w:p>
        </w:tc>
        <w:tc>
          <w:tcPr>
            <w:tcW w:w="900" w:type="dxa"/>
            <w:vAlign w:val="bottom"/>
            <w:tcBorders>
              <w:right w:val="single" w:sz="8" w:color="E93BAC"/>
            </w:tcBorders>
            <w:shd w:val="clear" w:color="auto" w:fill="E93BAC"/>
          </w:tcPr>
          <w:p>
            <w:pPr>
              <w:spacing w:after="0"/>
              <w:rPr>
                <w:sz w:val="24"/>
                <w:szCs w:val="24"/>
                <w:color w:val="auto"/>
              </w:rPr>
            </w:pPr>
          </w:p>
        </w:tc>
        <w:tc>
          <w:tcPr>
            <w:tcW w:w="280" w:type="dxa"/>
            <w:vAlign w:val="bottom"/>
            <w:tcBorders>
              <w:left w:val="single" w:sz="8" w:color="E93BAC"/>
            </w:tcBorders>
            <w:shd w:val="clear" w:color="auto" w:fill="E93BAC"/>
          </w:tcPr>
          <w:p>
            <w:pPr>
              <w:spacing w:after="0"/>
              <w:rPr>
                <w:sz w:val="24"/>
                <w:szCs w:val="24"/>
                <w:color w:val="auto"/>
              </w:rPr>
            </w:pPr>
          </w:p>
        </w:tc>
      </w:tr>
      <w:tr>
        <w:trPr>
          <w:trHeight w:val="142"/>
        </w:trPr>
        <w:tc>
          <w:tcPr>
            <w:tcW w:w="320" w:type="dxa"/>
            <w:vAlign w:val="bottom"/>
            <w:tcBorders>
              <w:right w:val="single" w:sz="8" w:color="E93BAC"/>
            </w:tcBorders>
            <w:shd w:val="clear" w:color="auto" w:fill="E93BAC"/>
          </w:tcPr>
          <w:p>
            <w:pPr>
              <w:spacing w:after="0"/>
              <w:rPr>
                <w:sz w:val="12"/>
                <w:szCs w:val="12"/>
                <w:color w:val="auto"/>
              </w:rPr>
            </w:pPr>
          </w:p>
        </w:tc>
        <w:tc>
          <w:tcPr>
            <w:tcW w:w="3660" w:type="dxa"/>
            <w:vAlign w:val="bottom"/>
            <w:shd w:val="clear" w:color="auto" w:fill="E93BAC"/>
          </w:tcPr>
          <w:p>
            <w:pPr>
              <w:spacing w:after="0"/>
              <w:rPr>
                <w:sz w:val="12"/>
                <w:szCs w:val="12"/>
                <w:color w:val="auto"/>
              </w:rPr>
            </w:pPr>
          </w:p>
        </w:tc>
        <w:tc>
          <w:tcPr>
            <w:tcW w:w="820" w:type="dxa"/>
            <w:vAlign w:val="bottom"/>
            <w:tcBorders>
              <w:right w:val="single" w:sz="8" w:color="E93BAC"/>
            </w:tcBorders>
            <w:shd w:val="clear" w:color="auto" w:fill="E93BAC"/>
          </w:tcPr>
          <w:p>
            <w:pPr>
              <w:spacing w:after="0"/>
              <w:rPr>
                <w:sz w:val="12"/>
                <w:szCs w:val="12"/>
                <w:color w:val="auto"/>
              </w:rPr>
            </w:pPr>
          </w:p>
        </w:tc>
        <w:tc>
          <w:tcPr>
            <w:tcW w:w="1380" w:type="dxa"/>
            <w:vAlign w:val="bottom"/>
            <w:shd w:val="clear" w:color="auto" w:fill="E93BAC"/>
          </w:tcPr>
          <w:p>
            <w:pPr>
              <w:spacing w:after="0"/>
              <w:rPr>
                <w:sz w:val="12"/>
                <w:szCs w:val="12"/>
                <w:color w:val="auto"/>
              </w:rPr>
            </w:pPr>
          </w:p>
        </w:tc>
        <w:tc>
          <w:tcPr>
            <w:tcW w:w="1080" w:type="dxa"/>
            <w:vAlign w:val="bottom"/>
            <w:shd w:val="clear" w:color="auto" w:fill="E93BAC"/>
          </w:tcPr>
          <w:p>
            <w:pPr>
              <w:spacing w:after="0"/>
              <w:rPr>
                <w:sz w:val="12"/>
                <w:szCs w:val="12"/>
                <w:color w:val="auto"/>
              </w:rPr>
            </w:pPr>
          </w:p>
        </w:tc>
        <w:tc>
          <w:tcPr>
            <w:tcW w:w="1240" w:type="dxa"/>
            <w:vAlign w:val="bottom"/>
            <w:tcBorders>
              <w:right w:val="single" w:sz="8" w:color="E93BAC"/>
            </w:tcBorders>
            <w:shd w:val="clear" w:color="auto" w:fill="E93BAC"/>
          </w:tcPr>
          <w:p>
            <w:pPr>
              <w:spacing w:after="0"/>
              <w:rPr>
                <w:sz w:val="12"/>
                <w:szCs w:val="12"/>
                <w:color w:val="auto"/>
              </w:rPr>
            </w:pPr>
          </w:p>
        </w:tc>
        <w:tc>
          <w:tcPr>
            <w:tcW w:w="1560" w:type="dxa"/>
            <w:vAlign w:val="bottom"/>
            <w:shd w:val="clear" w:color="auto" w:fill="E93BAC"/>
          </w:tcPr>
          <w:p>
            <w:pPr>
              <w:spacing w:after="0"/>
              <w:rPr>
                <w:sz w:val="12"/>
                <w:szCs w:val="12"/>
                <w:color w:val="auto"/>
              </w:rPr>
            </w:pPr>
          </w:p>
        </w:tc>
        <w:tc>
          <w:tcPr>
            <w:tcW w:w="900" w:type="dxa"/>
            <w:vAlign w:val="bottom"/>
            <w:tcBorders>
              <w:right w:val="single" w:sz="8" w:color="E93BAC"/>
            </w:tcBorders>
            <w:shd w:val="clear" w:color="auto" w:fill="E93BAC"/>
          </w:tcPr>
          <w:p>
            <w:pPr>
              <w:spacing w:after="0"/>
              <w:rPr>
                <w:sz w:val="12"/>
                <w:szCs w:val="12"/>
                <w:color w:val="auto"/>
              </w:rPr>
            </w:pPr>
          </w:p>
        </w:tc>
        <w:tc>
          <w:tcPr>
            <w:tcW w:w="280" w:type="dxa"/>
            <w:vAlign w:val="bottom"/>
            <w:tcBorders>
              <w:left w:val="single" w:sz="8" w:color="E93BAC"/>
            </w:tcBorders>
            <w:shd w:val="clear" w:color="auto" w:fill="E93BAC"/>
          </w:tcPr>
          <w:p>
            <w:pPr>
              <w:spacing w:after="0"/>
              <w:rPr>
                <w:sz w:val="12"/>
                <w:szCs w:val="12"/>
                <w:color w:val="auto"/>
              </w:rPr>
            </w:pPr>
          </w:p>
        </w:tc>
      </w:tr>
      <w:tr>
        <w:trPr>
          <w:trHeight w:val="24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12.6.7. Prima AFP</w:t>
            </w:r>
          </w:p>
        </w:tc>
        <w:tc>
          <w:tcPr>
            <w:tcW w:w="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33"/>
        </w:trPr>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Key Indicators of Financial Position</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60" w:type="dxa"/>
            <w:vAlign w:val="bottom"/>
            <w:gridSpan w:val="2"/>
          </w:tcPr>
          <w:p>
            <w:pPr>
              <w:jc w:val="center"/>
              <w:ind w:right="748"/>
              <w:spacing w:after="0"/>
              <w:rPr>
                <w:sz w:val="20"/>
                <w:szCs w:val="20"/>
                <w:color w:val="auto"/>
              </w:rPr>
            </w:pPr>
            <w:r>
              <w:rPr>
                <w:rFonts w:ascii="Arial" w:cs="Arial" w:eastAsia="Arial" w:hAnsi="Arial"/>
                <w:sz w:val="16"/>
                <w:szCs w:val="16"/>
                <w:b w:val="1"/>
                <w:bCs w:val="1"/>
                <w:color w:val="auto"/>
              </w:rPr>
              <w:t>(S/ Thousands, IFRS)</w:t>
            </w:r>
          </w:p>
        </w:tc>
        <w:tc>
          <w:tcPr>
            <w:tcW w:w="1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83"/>
        </w:trPr>
        <w:tc>
          <w:tcPr>
            <w:tcW w:w="320" w:type="dxa"/>
            <w:vAlign w:val="bottom"/>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spacing w:after="0"/>
              <w:rPr>
                <w:sz w:val="15"/>
                <w:szCs w:val="15"/>
                <w:color w:val="auto"/>
              </w:rPr>
            </w:pPr>
          </w:p>
        </w:tc>
        <w:tc>
          <w:tcPr>
            <w:tcW w:w="280" w:type="dxa"/>
            <w:vAlign w:val="bottom"/>
          </w:tcPr>
          <w:p>
            <w:pPr>
              <w:spacing w:after="0"/>
              <w:rPr>
                <w:sz w:val="15"/>
                <w:szCs w:val="15"/>
                <w:color w:val="auto"/>
              </w:rPr>
            </w:pPr>
          </w:p>
        </w:tc>
      </w:tr>
      <w:tr>
        <w:trPr>
          <w:trHeight w:val="183"/>
        </w:trPr>
        <w:tc>
          <w:tcPr>
            <w:tcW w:w="320" w:type="dxa"/>
            <w:vAlign w:val="bottom"/>
            <w:tcBorders>
              <w:right w:val="single" w:sz="8" w:color="auto"/>
            </w:tcBorders>
          </w:tcPr>
          <w:p>
            <w:pPr>
              <w:spacing w:after="0"/>
              <w:rPr>
                <w:sz w:val="15"/>
                <w:szCs w:val="15"/>
                <w:color w:val="auto"/>
              </w:rPr>
            </w:pPr>
          </w:p>
        </w:tc>
        <w:tc>
          <w:tcPr>
            <w:tcW w:w="3660" w:type="dxa"/>
            <w:vAlign w:val="bottom"/>
            <w:shd w:val="clear" w:color="auto" w:fill="2AD2C9"/>
          </w:tcPr>
          <w:p>
            <w:pPr>
              <w:spacing w:after="0"/>
              <w:rPr>
                <w:sz w:val="15"/>
                <w:szCs w:val="15"/>
                <w:color w:val="auto"/>
              </w:rPr>
            </w:pPr>
          </w:p>
        </w:tc>
        <w:tc>
          <w:tcPr>
            <w:tcW w:w="820" w:type="dxa"/>
            <w:vAlign w:val="bottom"/>
            <w:tcBorders>
              <w:right w:val="single" w:sz="8" w:color="auto"/>
            </w:tcBorders>
            <w:shd w:val="clear" w:color="auto" w:fill="2AD2C9"/>
          </w:tcPr>
          <w:p>
            <w:pPr>
              <w:spacing w:after="0"/>
              <w:rPr>
                <w:sz w:val="15"/>
                <w:szCs w:val="15"/>
                <w:color w:val="auto"/>
              </w:rPr>
            </w:pPr>
          </w:p>
        </w:tc>
        <w:tc>
          <w:tcPr>
            <w:tcW w:w="1380" w:type="dxa"/>
            <w:vAlign w:val="bottom"/>
            <w:shd w:val="clear" w:color="auto" w:fill="2AD2C9"/>
          </w:tcPr>
          <w:p>
            <w:pPr>
              <w:spacing w:after="0"/>
              <w:rPr>
                <w:sz w:val="15"/>
                <w:szCs w:val="15"/>
                <w:color w:val="auto"/>
              </w:rPr>
            </w:pPr>
          </w:p>
        </w:tc>
        <w:tc>
          <w:tcPr>
            <w:tcW w:w="1080" w:type="dxa"/>
            <w:vAlign w:val="bottom"/>
            <w:shd w:val="clear" w:color="auto" w:fill="2AD2C9"/>
          </w:tcPr>
          <w:p>
            <w:pPr>
              <w:ind w:left="200"/>
              <w:spacing w:after="0"/>
              <w:rPr>
                <w:sz w:val="20"/>
                <w:szCs w:val="20"/>
                <w:color w:val="auto"/>
              </w:rPr>
            </w:pPr>
            <w:r>
              <w:rPr>
                <w:rFonts w:ascii="Arial" w:cs="Arial" w:eastAsia="Arial" w:hAnsi="Arial"/>
                <w:sz w:val="14"/>
                <w:szCs w:val="14"/>
                <w:b w:val="1"/>
                <w:bCs w:val="1"/>
                <w:color w:val="FFFFFF"/>
              </w:rPr>
              <w:t>Quarter</w:t>
            </w:r>
          </w:p>
        </w:tc>
        <w:tc>
          <w:tcPr>
            <w:tcW w:w="1240" w:type="dxa"/>
            <w:vAlign w:val="bottom"/>
            <w:tcBorders>
              <w:right w:val="single" w:sz="8" w:color="auto"/>
            </w:tcBorders>
            <w:shd w:val="clear" w:color="auto" w:fill="2AD2C9"/>
          </w:tcPr>
          <w:p>
            <w:pPr>
              <w:spacing w:after="0"/>
              <w:rPr>
                <w:sz w:val="15"/>
                <w:szCs w:val="15"/>
                <w:color w:val="auto"/>
              </w:rPr>
            </w:pPr>
          </w:p>
        </w:tc>
        <w:tc>
          <w:tcPr>
            <w:tcW w:w="2460" w:type="dxa"/>
            <w:vAlign w:val="bottom"/>
            <w:tcBorders>
              <w:right w:val="single" w:sz="8" w:color="auto"/>
            </w:tcBorders>
            <w:gridSpan w:val="2"/>
            <w:shd w:val="clear" w:color="auto" w:fill="2AD2C9"/>
          </w:tcPr>
          <w:p>
            <w:pPr>
              <w:ind w:left="900"/>
              <w:spacing w:after="0"/>
              <w:rPr>
                <w:sz w:val="20"/>
                <w:szCs w:val="20"/>
                <w:color w:val="auto"/>
              </w:rPr>
            </w:pPr>
            <w:r>
              <w:rPr>
                <w:rFonts w:ascii="Arial" w:cs="Arial" w:eastAsia="Arial" w:hAnsi="Arial"/>
                <w:sz w:val="14"/>
                <w:szCs w:val="14"/>
                <w:b w:val="1"/>
                <w:bCs w:val="1"/>
                <w:color w:val="FFFFFF"/>
              </w:rPr>
              <w:t>% change</w:t>
            </w:r>
          </w:p>
        </w:tc>
        <w:tc>
          <w:tcPr>
            <w:tcW w:w="280" w:type="dxa"/>
            <w:vAlign w:val="bottom"/>
            <w:tcBorders>
              <w:left w:val="single" w:sz="8" w:color="auto"/>
            </w:tcBorders>
          </w:tcPr>
          <w:p>
            <w:pPr>
              <w:spacing w:after="0"/>
              <w:rPr>
                <w:sz w:val="15"/>
                <w:szCs w:val="15"/>
                <w:color w:val="auto"/>
              </w:rPr>
            </w:pPr>
          </w:p>
        </w:tc>
      </w:tr>
      <w:tr>
        <w:trPr>
          <w:trHeight w:val="189"/>
        </w:trPr>
        <w:tc>
          <w:tcPr>
            <w:tcW w:w="320" w:type="dxa"/>
            <w:vAlign w:val="bottom"/>
            <w:tcBorders>
              <w:right w:val="single" w:sz="8" w:color="auto"/>
            </w:tcBorders>
          </w:tcPr>
          <w:p>
            <w:pPr>
              <w:spacing w:after="0"/>
              <w:rPr>
                <w:sz w:val="16"/>
                <w:szCs w:val="16"/>
                <w:color w:val="auto"/>
              </w:rPr>
            </w:pPr>
          </w:p>
        </w:tc>
        <w:tc>
          <w:tcPr>
            <w:tcW w:w="3660" w:type="dxa"/>
            <w:vAlign w:val="bottom"/>
            <w:tcBorders>
              <w:bottom w:val="single" w:sz="8" w:color="auto"/>
            </w:tcBorders>
            <w:shd w:val="clear" w:color="auto" w:fill="2AD2C9"/>
          </w:tcPr>
          <w:p>
            <w:pPr>
              <w:spacing w:after="0"/>
              <w:rPr>
                <w:sz w:val="16"/>
                <w:szCs w:val="16"/>
                <w:color w:val="auto"/>
              </w:rPr>
            </w:pPr>
          </w:p>
        </w:tc>
        <w:tc>
          <w:tcPr>
            <w:tcW w:w="820" w:type="dxa"/>
            <w:vAlign w:val="bottom"/>
            <w:tcBorders>
              <w:bottom w:val="single" w:sz="8" w:color="auto"/>
              <w:right w:val="single" w:sz="8" w:color="auto"/>
            </w:tcBorders>
            <w:shd w:val="clear" w:color="auto" w:fill="2AD2C9"/>
          </w:tcPr>
          <w:p>
            <w:pPr>
              <w:spacing w:after="0"/>
              <w:rPr>
                <w:sz w:val="16"/>
                <w:szCs w:val="16"/>
                <w:color w:val="auto"/>
              </w:rPr>
            </w:pPr>
          </w:p>
        </w:tc>
        <w:tc>
          <w:tcPr>
            <w:tcW w:w="1380" w:type="dxa"/>
            <w:vAlign w:val="bottom"/>
            <w:tcBorders>
              <w:bottom w:val="single" w:sz="8" w:color="auto"/>
            </w:tcBorders>
            <w:shd w:val="clear" w:color="auto" w:fill="2AD2C9"/>
          </w:tcPr>
          <w:p>
            <w:pPr>
              <w:jc w:val="right"/>
              <w:ind w:right="465"/>
              <w:spacing w:after="0"/>
              <w:rPr>
                <w:sz w:val="20"/>
                <w:szCs w:val="20"/>
                <w:color w:val="auto"/>
              </w:rPr>
            </w:pPr>
            <w:r>
              <w:rPr>
                <w:rFonts w:ascii="Arial" w:cs="Arial" w:eastAsia="Arial" w:hAnsi="Arial"/>
                <w:sz w:val="14"/>
                <w:szCs w:val="14"/>
                <w:b w:val="1"/>
                <w:bCs w:val="1"/>
                <w:color w:val="FFFFFF"/>
              </w:rPr>
              <w:t>Mar 23</w:t>
            </w:r>
          </w:p>
        </w:tc>
        <w:tc>
          <w:tcPr>
            <w:tcW w:w="108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4"/>
                <w:szCs w:val="14"/>
                <w:b w:val="1"/>
                <w:bCs w:val="1"/>
                <w:color w:val="FFFFFF"/>
              </w:rPr>
              <w:t>Dec 23</w:t>
            </w:r>
          </w:p>
        </w:tc>
        <w:tc>
          <w:tcPr>
            <w:tcW w:w="1240" w:type="dxa"/>
            <w:vAlign w:val="bottom"/>
            <w:tcBorders>
              <w:bottom w:val="single" w:sz="8" w:color="auto"/>
              <w:right w:val="single" w:sz="8" w:color="auto"/>
            </w:tcBorders>
            <w:shd w:val="clear" w:color="auto" w:fill="2AD2C9"/>
          </w:tcPr>
          <w:p>
            <w:pPr>
              <w:jc w:val="right"/>
              <w:ind w:right="346"/>
              <w:spacing w:after="0"/>
              <w:rPr>
                <w:sz w:val="20"/>
                <w:szCs w:val="20"/>
                <w:color w:val="auto"/>
              </w:rPr>
            </w:pPr>
            <w:r>
              <w:rPr>
                <w:rFonts w:ascii="Arial" w:cs="Arial" w:eastAsia="Arial" w:hAnsi="Arial"/>
                <w:sz w:val="14"/>
                <w:szCs w:val="14"/>
                <w:b w:val="1"/>
                <w:bCs w:val="1"/>
                <w:color w:val="FFFFFF"/>
              </w:rPr>
              <w:t>Mar 24</w:t>
            </w:r>
          </w:p>
        </w:tc>
        <w:tc>
          <w:tcPr>
            <w:tcW w:w="1560" w:type="dxa"/>
            <w:vAlign w:val="bottom"/>
            <w:tcBorders>
              <w:bottom w:val="single" w:sz="8" w:color="auto"/>
            </w:tcBorders>
            <w:shd w:val="clear" w:color="auto" w:fill="2AD2C9"/>
          </w:tcPr>
          <w:p>
            <w:pPr>
              <w:jc w:val="center"/>
              <w:ind w:right="308"/>
              <w:spacing w:after="0"/>
              <w:rPr>
                <w:sz w:val="20"/>
                <w:szCs w:val="20"/>
                <w:color w:val="auto"/>
              </w:rPr>
            </w:pPr>
            <w:r>
              <w:rPr>
                <w:rFonts w:ascii="Arial" w:cs="Arial" w:eastAsia="Arial" w:hAnsi="Arial"/>
                <w:sz w:val="14"/>
                <w:szCs w:val="14"/>
                <w:b w:val="1"/>
                <w:bCs w:val="1"/>
                <w:color w:val="FFFFFF"/>
                <w:w w:val="98"/>
              </w:rPr>
              <w:t>QoQ</w:t>
            </w:r>
          </w:p>
        </w:tc>
        <w:tc>
          <w:tcPr>
            <w:tcW w:w="900" w:type="dxa"/>
            <w:vAlign w:val="bottom"/>
            <w:tcBorders>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4"/>
                <w:szCs w:val="14"/>
                <w:b w:val="1"/>
                <w:bCs w:val="1"/>
                <w:color w:val="FFFFFF"/>
              </w:rPr>
              <w:t>YoY</w:t>
            </w:r>
          </w:p>
        </w:tc>
        <w:tc>
          <w:tcPr>
            <w:tcW w:w="280" w:type="dxa"/>
            <w:vAlign w:val="bottom"/>
            <w:tcBorders>
              <w:left w:val="single" w:sz="8" w:color="auto"/>
            </w:tcBorders>
          </w:tcPr>
          <w:p>
            <w:pPr>
              <w:spacing w:after="0"/>
              <w:rPr>
                <w:sz w:val="16"/>
                <w:szCs w:val="16"/>
                <w:color w:val="auto"/>
              </w:rPr>
            </w:pPr>
          </w:p>
        </w:tc>
      </w:tr>
      <w:tr>
        <w:trPr>
          <w:trHeight w:val="187"/>
        </w:trPr>
        <w:tc>
          <w:tcPr>
            <w:tcW w:w="320" w:type="dxa"/>
            <w:vAlign w:val="bottom"/>
            <w:tcBorders>
              <w:right w:val="single" w:sz="8" w:color="auto"/>
            </w:tcBorders>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20" w:type="dxa"/>
            <w:vAlign w:val="bottom"/>
            <w:tcBorders>
              <w:right w:val="single" w:sz="8" w:color="auto"/>
            </w:tcBorders>
          </w:tcPr>
          <w:p>
            <w:pPr>
              <w:spacing w:after="0"/>
              <w:rPr>
                <w:sz w:val="16"/>
                <w:szCs w:val="16"/>
                <w:color w:val="auto"/>
              </w:rPr>
            </w:pPr>
          </w:p>
        </w:tc>
        <w:tc>
          <w:tcPr>
            <w:tcW w:w="1380" w:type="dxa"/>
            <w:vAlign w:val="bottom"/>
          </w:tcPr>
          <w:p>
            <w:pPr>
              <w:jc w:val="right"/>
              <w:ind w:right="425"/>
              <w:spacing w:after="0"/>
              <w:rPr>
                <w:sz w:val="20"/>
                <w:szCs w:val="20"/>
                <w:color w:val="auto"/>
              </w:rPr>
            </w:pPr>
            <w:r>
              <w:rPr>
                <w:rFonts w:ascii="Arial" w:cs="Arial" w:eastAsia="Arial" w:hAnsi="Arial"/>
                <w:sz w:val="14"/>
                <w:szCs w:val="14"/>
                <w:color w:val="auto"/>
              </w:rPr>
              <w:t>790,586</w:t>
            </w:r>
          </w:p>
        </w:tc>
        <w:tc>
          <w:tcPr>
            <w:tcW w:w="1080" w:type="dxa"/>
            <w:vAlign w:val="bottom"/>
          </w:tcPr>
          <w:p>
            <w:pPr>
              <w:ind w:left="200"/>
              <w:spacing w:after="0"/>
              <w:rPr>
                <w:sz w:val="20"/>
                <w:szCs w:val="20"/>
                <w:color w:val="auto"/>
              </w:rPr>
            </w:pPr>
            <w:r>
              <w:rPr>
                <w:rFonts w:ascii="Arial" w:cs="Arial" w:eastAsia="Arial" w:hAnsi="Arial"/>
                <w:sz w:val="14"/>
                <w:szCs w:val="14"/>
                <w:color w:val="auto"/>
              </w:rPr>
              <w:t>740,729</w:t>
            </w:r>
          </w:p>
        </w:tc>
        <w:tc>
          <w:tcPr>
            <w:tcW w:w="1240" w:type="dxa"/>
            <w:vAlign w:val="bottom"/>
            <w:tcBorders>
              <w:right w:val="single" w:sz="8" w:color="auto"/>
            </w:tcBorders>
          </w:tcPr>
          <w:p>
            <w:pPr>
              <w:jc w:val="right"/>
              <w:ind w:right="286"/>
              <w:spacing w:after="0"/>
              <w:rPr>
                <w:sz w:val="20"/>
                <w:szCs w:val="20"/>
                <w:color w:val="auto"/>
              </w:rPr>
            </w:pPr>
            <w:r>
              <w:rPr>
                <w:rFonts w:ascii="Arial" w:cs="Arial" w:eastAsia="Arial" w:hAnsi="Arial"/>
                <w:sz w:val="14"/>
                <w:szCs w:val="14"/>
                <w:color w:val="auto"/>
              </w:rPr>
              <w:t>782,372</w:t>
            </w: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rPr>
              <w:t>5.6%</w:t>
            </w:r>
          </w:p>
        </w:tc>
        <w:tc>
          <w:tcPr>
            <w:tcW w:w="900" w:type="dxa"/>
            <w:vAlign w:val="bottom"/>
            <w:tcBorders>
              <w:right w:val="single" w:sz="8" w:color="auto"/>
            </w:tcBorders>
          </w:tcPr>
          <w:p>
            <w:pPr>
              <w:jc w:val="center"/>
              <w:ind w:right="308"/>
              <w:spacing w:after="0"/>
              <w:rPr>
                <w:sz w:val="20"/>
                <w:szCs w:val="20"/>
                <w:color w:val="auto"/>
              </w:rPr>
            </w:pPr>
            <w:r>
              <w:rPr>
                <w:rFonts w:ascii="Arial" w:cs="Arial" w:eastAsia="Arial" w:hAnsi="Arial"/>
                <w:sz w:val="14"/>
                <w:szCs w:val="14"/>
                <w:color w:val="auto"/>
                <w:w w:val="98"/>
              </w:rPr>
              <w:t>-1.0%</w:t>
            </w:r>
          </w:p>
        </w:tc>
        <w:tc>
          <w:tcPr>
            <w:tcW w:w="280" w:type="dxa"/>
            <w:vAlign w:val="bottom"/>
            <w:tcBorders>
              <w:left w:val="single" w:sz="8" w:color="auto"/>
            </w:tcBorders>
          </w:tcPr>
          <w:p>
            <w:pPr>
              <w:spacing w:after="0"/>
              <w:rPr>
                <w:sz w:val="16"/>
                <w:szCs w:val="16"/>
                <w:color w:val="auto"/>
              </w:rPr>
            </w:pPr>
          </w:p>
        </w:tc>
      </w:tr>
      <w:tr>
        <w:trPr>
          <w:trHeight w:val="189"/>
        </w:trPr>
        <w:tc>
          <w:tcPr>
            <w:tcW w:w="320" w:type="dxa"/>
            <w:vAlign w:val="bottom"/>
            <w:tcBorders>
              <w:right w:val="single" w:sz="8" w:color="auto"/>
            </w:tcBorders>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820" w:type="dxa"/>
            <w:vAlign w:val="bottom"/>
            <w:tcBorders>
              <w:right w:val="single" w:sz="8" w:color="auto"/>
            </w:tcBorders>
          </w:tcPr>
          <w:p>
            <w:pPr>
              <w:spacing w:after="0"/>
              <w:rPr>
                <w:sz w:val="16"/>
                <w:szCs w:val="16"/>
                <w:color w:val="auto"/>
              </w:rPr>
            </w:pPr>
          </w:p>
        </w:tc>
        <w:tc>
          <w:tcPr>
            <w:tcW w:w="1380" w:type="dxa"/>
            <w:vAlign w:val="bottom"/>
          </w:tcPr>
          <w:p>
            <w:pPr>
              <w:jc w:val="right"/>
              <w:ind w:right="425"/>
              <w:spacing w:after="0"/>
              <w:rPr>
                <w:sz w:val="20"/>
                <w:szCs w:val="20"/>
                <w:color w:val="auto"/>
              </w:rPr>
            </w:pPr>
            <w:r>
              <w:rPr>
                <w:rFonts w:ascii="Arial" w:cs="Arial" w:eastAsia="Arial" w:hAnsi="Arial"/>
                <w:sz w:val="14"/>
                <w:szCs w:val="14"/>
                <w:color w:val="auto"/>
              </w:rPr>
              <w:t>400,483</w:t>
            </w:r>
          </w:p>
        </w:tc>
        <w:tc>
          <w:tcPr>
            <w:tcW w:w="1080" w:type="dxa"/>
            <w:vAlign w:val="bottom"/>
          </w:tcPr>
          <w:p>
            <w:pPr>
              <w:ind w:left="200"/>
              <w:spacing w:after="0"/>
              <w:rPr>
                <w:sz w:val="20"/>
                <w:szCs w:val="20"/>
                <w:color w:val="auto"/>
              </w:rPr>
            </w:pPr>
            <w:r>
              <w:rPr>
                <w:rFonts w:ascii="Arial" w:cs="Arial" w:eastAsia="Arial" w:hAnsi="Arial"/>
                <w:sz w:val="14"/>
                <w:szCs w:val="14"/>
                <w:color w:val="auto"/>
              </w:rPr>
              <w:t>240,657</w:t>
            </w:r>
          </w:p>
        </w:tc>
        <w:tc>
          <w:tcPr>
            <w:tcW w:w="1240" w:type="dxa"/>
            <w:vAlign w:val="bottom"/>
            <w:tcBorders>
              <w:right w:val="single" w:sz="8" w:color="auto"/>
            </w:tcBorders>
          </w:tcPr>
          <w:p>
            <w:pPr>
              <w:jc w:val="right"/>
              <w:ind w:right="286"/>
              <w:spacing w:after="0"/>
              <w:rPr>
                <w:sz w:val="20"/>
                <w:szCs w:val="20"/>
                <w:color w:val="auto"/>
              </w:rPr>
            </w:pPr>
            <w:r>
              <w:rPr>
                <w:rFonts w:ascii="Arial" w:cs="Arial" w:eastAsia="Arial" w:hAnsi="Arial"/>
                <w:sz w:val="14"/>
                <w:szCs w:val="14"/>
                <w:color w:val="auto"/>
              </w:rPr>
              <w:t>339,806</w:t>
            </w: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rPr>
              <w:t>41.2%</w:t>
            </w:r>
          </w:p>
        </w:tc>
        <w:tc>
          <w:tcPr>
            <w:tcW w:w="900" w:type="dxa"/>
            <w:vAlign w:val="bottom"/>
            <w:tcBorders>
              <w:right w:val="single" w:sz="8" w:color="auto"/>
            </w:tcBorders>
          </w:tcPr>
          <w:p>
            <w:pPr>
              <w:jc w:val="center"/>
              <w:ind w:right="288"/>
              <w:spacing w:after="0"/>
              <w:rPr>
                <w:sz w:val="20"/>
                <w:szCs w:val="20"/>
                <w:color w:val="auto"/>
              </w:rPr>
            </w:pPr>
            <w:r>
              <w:rPr>
                <w:rFonts w:ascii="Arial" w:cs="Arial" w:eastAsia="Arial" w:hAnsi="Arial"/>
                <w:sz w:val="14"/>
                <w:szCs w:val="14"/>
                <w:color w:val="auto"/>
              </w:rPr>
              <w:t>-15.2%</w:t>
            </w:r>
          </w:p>
        </w:tc>
        <w:tc>
          <w:tcPr>
            <w:tcW w:w="280" w:type="dxa"/>
            <w:vAlign w:val="bottom"/>
            <w:tcBorders>
              <w:left w:val="single" w:sz="8" w:color="auto"/>
            </w:tcBorders>
          </w:tcPr>
          <w:p>
            <w:pPr>
              <w:spacing w:after="0"/>
              <w:rPr>
                <w:sz w:val="16"/>
                <w:szCs w:val="16"/>
                <w:color w:val="auto"/>
              </w:rPr>
            </w:pPr>
          </w:p>
        </w:tc>
      </w:tr>
      <w:tr>
        <w:trPr>
          <w:trHeight w:val="185"/>
        </w:trPr>
        <w:tc>
          <w:tcPr>
            <w:tcW w:w="320" w:type="dxa"/>
            <w:vAlign w:val="bottom"/>
            <w:tcBorders>
              <w:right w:val="single" w:sz="8" w:color="auto"/>
            </w:tcBorders>
          </w:tcPr>
          <w:p>
            <w:pPr>
              <w:spacing w:after="0"/>
              <w:rPr>
                <w:sz w:val="16"/>
                <w:szCs w:val="16"/>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shareholders’ equity (1)</w:t>
            </w:r>
          </w:p>
        </w:tc>
        <w:tc>
          <w:tcPr>
            <w:tcW w:w="82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color w:val="auto"/>
              </w:rPr>
              <w:t>390,103</w:t>
            </w: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500,072</w:t>
            </w:r>
          </w:p>
        </w:tc>
        <w:tc>
          <w:tcPr>
            <w:tcW w:w="124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4"/>
                <w:szCs w:val="14"/>
                <w:color w:val="auto"/>
              </w:rPr>
              <w:t>442,566</w:t>
            </w:r>
          </w:p>
        </w:tc>
        <w:tc>
          <w:tcPr>
            <w:tcW w:w="156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w w:val="99"/>
              </w:rPr>
              <w:t>-11.5%</w:t>
            </w:r>
          </w:p>
        </w:tc>
        <w:tc>
          <w:tcPr>
            <w:tcW w:w="90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rPr>
              <w:t>13.4%</w:t>
            </w:r>
          </w:p>
        </w:tc>
        <w:tc>
          <w:tcPr>
            <w:tcW w:w="280" w:type="dxa"/>
            <w:vAlign w:val="bottom"/>
            <w:tcBorders>
              <w:left w:val="single" w:sz="8" w:color="auto"/>
            </w:tcBorders>
          </w:tcPr>
          <w:p>
            <w:pPr>
              <w:spacing w:after="0"/>
              <w:rPr>
                <w:sz w:val="16"/>
                <w:szCs w:val="16"/>
                <w:color w:val="auto"/>
              </w:rPr>
            </w:pPr>
          </w:p>
        </w:tc>
      </w:tr>
      <w:tr>
        <w:trPr>
          <w:trHeight w:val="384"/>
        </w:trPr>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60" w:type="dxa"/>
            <w:vAlign w:val="bottom"/>
            <w:gridSpan w:val="2"/>
          </w:tcPr>
          <w:p>
            <w:pPr>
              <w:jc w:val="center"/>
              <w:ind w:right="748"/>
              <w:spacing w:after="0"/>
              <w:rPr>
                <w:sz w:val="20"/>
                <w:szCs w:val="20"/>
                <w:color w:val="auto"/>
              </w:rPr>
            </w:pPr>
            <w:r>
              <w:rPr>
                <w:rFonts w:ascii="Arial" w:cs="Arial" w:eastAsia="Arial" w:hAnsi="Arial"/>
                <w:sz w:val="16"/>
                <w:szCs w:val="16"/>
                <w:b w:val="1"/>
                <w:bCs w:val="1"/>
                <w:color w:val="auto"/>
              </w:rPr>
              <w:t>Statement of Income</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center"/>
              <w:ind w:right="748"/>
              <w:spacing w:after="0"/>
              <w:rPr>
                <w:sz w:val="20"/>
                <w:szCs w:val="20"/>
                <w:color w:val="auto"/>
              </w:rPr>
            </w:pPr>
            <w:r>
              <w:rPr>
                <w:rFonts w:ascii="Arial" w:cs="Arial" w:eastAsia="Arial" w:hAnsi="Arial"/>
                <w:sz w:val="16"/>
                <w:szCs w:val="16"/>
                <w:b w:val="1"/>
                <w:bCs w:val="1"/>
                <w:color w:val="auto"/>
              </w:rPr>
              <w:t>(S/ Thousands, IFRS)</w:t>
            </w:r>
          </w:p>
        </w:tc>
        <w:tc>
          <w:tcPr>
            <w:tcW w:w="1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83"/>
        </w:trPr>
        <w:tc>
          <w:tcPr>
            <w:tcW w:w="320" w:type="dxa"/>
            <w:vAlign w:val="bottom"/>
            <w:tcBorders>
              <w:right w:val="single" w:sz="8" w:color="2AD2C9"/>
            </w:tcBorders>
          </w:tcPr>
          <w:p>
            <w:pPr>
              <w:spacing w:after="0"/>
              <w:rPr>
                <w:sz w:val="15"/>
                <w:szCs w:val="15"/>
                <w:color w:val="auto"/>
              </w:rPr>
            </w:pPr>
          </w:p>
        </w:tc>
        <w:tc>
          <w:tcPr>
            <w:tcW w:w="3660" w:type="dxa"/>
            <w:vAlign w:val="bottom"/>
            <w:shd w:val="clear" w:color="auto" w:fill="2AD2C9"/>
          </w:tcPr>
          <w:p>
            <w:pPr>
              <w:spacing w:after="0"/>
              <w:rPr>
                <w:sz w:val="15"/>
                <w:szCs w:val="15"/>
                <w:color w:val="auto"/>
              </w:rPr>
            </w:pPr>
          </w:p>
        </w:tc>
        <w:tc>
          <w:tcPr>
            <w:tcW w:w="820" w:type="dxa"/>
            <w:vAlign w:val="bottom"/>
            <w:tcBorders>
              <w:right w:val="single" w:sz="8" w:color="2AD2C9"/>
            </w:tcBorders>
            <w:shd w:val="clear" w:color="auto" w:fill="2AD2C9"/>
          </w:tcPr>
          <w:p>
            <w:pPr>
              <w:spacing w:after="0"/>
              <w:rPr>
                <w:sz w:val="15"/>
                <w:szCs w:val="15"/>
                <w:color w:val="auto"/>
              </w:rPr>
            </w:pPr>
          </w:p>
        </w:tc>
        <w:tc>
          <w:tcPr>
            <w:tcW w:w="1380" w:type="dxa"/>
            <w:vAlign w:val="bottom"/>
            <w:shd w:val="clear" w:color="auto" w:fill="2AD2C9"/>
          </w:tcPr>
          <w:p>
            <w:pPr>
              <w:spacing w:after="0"/>
              <w:rPr>
                <w:sz w:val="15"/>
                <w:szCs w:val="15"/>
                <w:color w:val="auto"/>
              </w:rPr>
            </w:pPr>
          </w:p>
        </w:tc>
        <w:tc>
          <w:tcPr>
            <w:tcW w:w="1080" w:type="dxa"/>
            <w:vAlign w:val="bottom"/>
            <w:shd w:val="clear" w:color="auto" w:fill="2AD2C9"/>
          </w:tcPr>
          <w:p>
            <w:pPr>
              <w:ind w:left="200"/>
              <w:spacing w:after="0"/>
              <w:rPr>
                <w:sz w:val="20"/>
                <w:szCs w:val="20"/>
                <w:color w:val="auto"/>
              </w:rPr>
            </w:pPr>
            <w:r>
              <w:rPr>
                <w:rFonts w:ascii="Arial" w:cs="Arial" w:eastAsia="Arial" w:hAnsi="Arial"/>
                <w:sz w:val="14"/>
                <w:szCs w:val="14"/>
                <w:b w:val="1"/>
                <w:bCs w:val="1"/>
                <w:color w:val="FFFFFF"/>
              </w:rPr>
              <w:t>Quarter</w:t>
            </w:r>
          </w:p>
        </w:tc>
        <w:tc>
          <w:tcPr>
            <w:tcW w:w="1240" w:type="dxa"/>
            <w:vAlign w:val="bottom"/>
            <w:tcBorders>
              <w:right w:val="single" w:sz="8" w:color="2AD2C9"/>
            </w:tcBorders>
            <w:shd w:val="clear" w:color="auto" w:fill="2AD2C9"/>
          </w:tcPr>
          <w:p>
            <w:pPr>
              <w:spacing w:after="0"/>
              <w:rPr>
                <w:sz w:val="15"/>
                <w:szCs w:val="15"/>
                <w:color w:val="auto"/>
              </w:rPr>
            </w:pPr>
          </w:p>
        </w:tc>
        <w:tc>
          <w:tcPr>
            <w:tcW w:w="1560" w:type="dxa"/>
            <w:vAlign w:val="bottom"/>
            <w:shd w:val="clear" w:color="auto" w:fill="2AD2C9"/>
          </w:tcPr>
          <w:p>
            <w:pPr>
              <w:ind w:left="880"/>
              <w:spacing w:after="0"/>
              <w:rPr>
                <w:sz w:val="20"/>
                <w:szCs w:val="20"/>
                <w:color w:val="auto"/>
              </w:rPr>
            </w:pPr>
            <w:r>
              <w:rPr>
                <w:rFonts w:ascii="Arial" w:cs="Arial" w:eastAsia="Arial" w:hAnsi="Arial"/>
                <w:sz w:val="14"/>
                <w:szCs w:val="14"/>
                <w:b w:val="1"/>
                <w:bCs w:val="1"/>
                <w:color w:val="FFFFFF"/>
              </w:rPr>
              <w:t>% change</w:t>
            </w:r>
          </w:p>
        </w:tc>
        <w:tc>
          <w:tcPr>
            <w:tcW w:w="900" w:type="dxa"/>
            <w:vAlign w:val="bottom"/>
            <w:tcBorders>
              <w:right w:val="single" w:sz="8" w:color="2AD2C9"/>
            </w:tcBorders>
            <w:shd w:val="clear" w:color="auto" w:fill="2AD2C9"/>
          </w:tcPr>
          <w:p>
            <w:pPr>
              <w:spacing w:after="0"/>
              <w:rPr>
                <w:sz w:val="15"/>
                <w:szCs w:val="15"/>
                <w:color w:val="auto"/>
              </w:rPr>
            </w:pPr>
          </w:p>
        </w:tc>
        <w:tc>
          <w:tcPr>
            <w:tcW w:w="280" w:type="dxa"/>
            <w:vAlign w:val="bottom"/>
          </w:tcPr>
          <w:p>
            <w:pPr>
              <w:spacing w:after="0"/>
              <w:rPr>
                <w:sz w:val="15"/>
                <w:szCs w:val="15"/>
                <w:color w:val="auto"/>
              </w:rPr>
            </w:pPr>
          </w:p>
        </w:tc>
      </w:tr>
      <w:tr>
        <w:trPr>
          <w:trHeight w:val="189"/>
        </w:trPr>
        <w:tc>
          <w:tcPr>
            <w:tcW w:w="320" w:type="dxa"/>
            <w:vAlign w:val="bottom"/>
            <w:tcBorders>
              <w:right w:val="single" w:sz="8" w:color="2AD2C9"/>
            </w:tcBorders>
          </w:tcPr>
          <w:p>
            <w:pPr>
              <w:spacing w:after="0"/>
              <w:rPr>
                <w:sz w:val="16"/>
                <w:szCs w:val="16"/>
                <w:color w:val="auto"/>
              </w:rPr>
            </w:pPr>
          </w:p>
        </w:tc>
        <w:tc>
          <w:tcPr>
            <w:tcW w:w="3660" w:type="dxa"/>
            <w:vAlign w:val="bottom"/>
            <w:shd w:val="clear" w:color="auto" w:fill="2AD2C9"/>
          </w:tcPr>
          <w:p>
            <w:pPr>
              <w:spacing w:after="0"/>
              <w:rPr>
                <w:sz w:val="16"/>
                <w:szCs w:val="16"/>
                <w:color w:val="auto"/>
              </w:rPr>
            </w:pPr>
          </w:p>
        </w:tc>
        <w:tc>
          <w:tcPr>
            <w:tcW w:w="820" w:type="dxa"/>
            <w:vAlign w:val="bottom"/>
            <w:tcBorders>
              <w:right w:val="single" w:sz="8" w:color="2AD2C9"/>
            </w:tcBorders>
            <w:shd w:val="clear" w:color="auto" w:fill="2AD2C9"/>
          </w:tcPr>
          <w:p>
            <w:pPr>
              <w:spacing w:after="0"/>
              <w:rPr>
                <w:sz w:val="16"/>
                <w:szCs w:val="16"/>
                <w:color w:val="auto"/>
              </w:rPr>
            </w:pPr>
          </w:p>
        </w:tc>
        <w:tc>
          <w:tcPr>
            <w:tcW w:w="1380" w:type="dxa"/>
            <w:vAlign w:val="bottom"/>
            <w:shd w:val="clear" w:color="auto" w:fill="2AD2C9"/>
          </w:tcPr>
          <w:p>
            <w:pPr>
              <w:jc w:val="right"/>
              <w:ind w:right="545"/>
              <w:spacing w:after="0"/>
              <w:rPr>
                <w:sz w:val="20"/>
                <w:szCs w:val="20"/>
                <w:color w:val="auto"/>
              </w:rPr>
            </w:pPr>
            <w:r>
              <w:rPr>
                <w:rFonts w:ascii="Arial" w:cs="Arial" w:eastAsia="Arial" w:hAnsi="Arial"/>
                <w:sz w:val="14"/>
                <w:szCs w:val="14"/>
                <w:b w:val="1"/>
                <w:bCs w:val="1"/>
                <w:color w:val="FFFFFF"/>
              </w:rPr>
              <w:t>1Q23</w:t>
            </w:r>
          </w:p>
        </w:tc>
        <w:tc>
          <w:tcPr>
            <w:tcW w:w="1080" w:type="dxa"/>
            <w:vAlign w:val="bottom"/>
            <w:shd w:val="clear" w:color="auto" w:fill="2AD2C9"/>
          </w:tcPr>
          <w:p>
            <w:pPr>
              <w:jc w:val="right"/>
              <w:ind w:right="408"/>
              <w:spacing w:after="0"/>
              <w:rPr>
                <w:sz w:val="20"/>
                <w:szCs w:val="20"/>
                <w:color w:val="auto"/>
              </w:rPr>
            </w:pPr>
            <w:r>
              <w:rPr>
                <w:rFonts w:ascii="Arial" w:cs="Arial" w:eastAsia="Arial" w:hAnsi="Arial"/>
                <w:sz w:val="14"/>
                <w:szCs w:val="14"/>
                <w:b w:val="1"/>
                <w:bCs w:val="1"/>
                <w:color w:val="FFFFFF"/>
              </w:rPr>
              <w:t>4Q23</w:t>
            </w:r>
          </w:p>
        </w:tc>
        <w:tc>
          <w:tcPr>
            <w:tcW w:w="1240" w:type="dxa"/>
            <w:vAlign w:val="bottom"/>
            <w:tcBorders>
              <w:right w:val="single" w:sz="8" w:color="2AD2C9"/>
            </w:tcBorders>
            <w:shd w:val="clear" w:color="auto" w:fill="2AD2C9"/>
          </w:tcPr>
          <w:p>
            <w:pPr>
              <w:jc w:val="right"/>
              <w:ind w:right="426"/>
              <w:spacing w:after="0"/>
              <w:rPr>
                <w:sz w:val="20"/>
                <w:szCs w:val="20"/>
                <w:color w:val="auto"/>
              </w:rPr>
            </w:pPr>
            <w:r>
              <w:rPr>
                <w:rFonts w:ascii="Arial" w:cs="Arial" w:eastAsia="Arial" w:hAnsi="Arial"/>
                <w:sz w:val="14"/>
                <w:szCs w:val="14"/>
                <w:b w:val="1"/>
                <w:bCs w:val="1"/>
                <w:color w:val="FFFFFF"/>
              </w:rPr>
              <w:t>1Q24</w:t>
            </w:r>
          </w:p>
        </w:tc>
        <w:tc>
          <w:tcPr>
            <w:tcW w:w="1560" w:type="dxa"/>
            <w:vAlign w:val="bottom"/>
            <w:shd w:val="clear" w:color="auto" w:fill="2AD2C9"/>
          </w:tcPr>
          <w:p>
            <w:pPr>
              <w:jc w:val="center"/>
              <w:ind w:right="308"/>
              <w:spacing w:after="0"/>
              <w:rPr>
                <w:sz w:val="20"/>
                <w:szCs w:val="20"/>
                <w:color w:val="auto"/>
              </w:rPr>
            </w:pPr>
            <w:r>
              <w:rPr>
                <w:rFonts w:ascii="Arial" w:cs="Arial" w:eastAsia="Arial" w:hAnsi="Arial"/>
                <w:sz w:val="14"/>
                <w:szCs w:val="14"/>
                <w:b w:val="1"/>
                <w:bCs w:val="1"/>
                <w:color w:val="FFFFFF"/>
                <w:w w:val="98"/>
              </w:rPr>
              <w:t>QoQ</w:t>
            </w:r>
          </w:p>
        </w:tc>
        <w:tc>
          <w:tcPr>
            <w:tcW w:w="900" w:type="dxa"/>
            <w:vAlign w:val="bottom"/>
            <w:tcBorders>
              <w:right w:val="single" w:sz="8" w:color="2AD2C9"/>
            </w:tcBorders>
            <w:shd w:val="clear" w:color="auto" w:fill="2AD2C9"/>
          </w:tcPr>
          <w:p>
            <w:pPr>
              <w:ind w:left="120"/>
              <w:spacing w:after="0"/>
              <w:rPr>
                <w:sz w:val="20"/>
                <w:szCs w:val="20"/>
                <w:color w:val="auto"/>
              </w:rPr>
            </w:pPr>
            <w:r>
              <w:rPr>
                <w:rFonts w:ascii="Arial" w:cs="Arial" w:eastAsia="Arial" w:hAnsi="Arial"/>
                <w:sz w:val="14"/>
                <w:szCs w:val="14"/>
                <w:b w:val="1"/>
                <w:bCs w:val="1"/>
                <w:color w:val="FFFFFF"/>
              </w:rPr>
              <w:t>YoY</w:t>
            </w:r>
          </w:p>
        </w:tc>
        <w:tc>
          <w:tcPr>
            <w:tcW w:w="280" w:type="dxa"/>
            <w:vAlign w:val="bottom"/>
          </w:tcPr>
          <w:p>
            <w:pPr>
              <w:spacing w:after="0"/>
              <w:rPr>
                <w:sz w:val="16"/>
                <w:szCs w:val="16"/>
                <w:color w:val="auto"/>
              </w:rPr>
            </w:pPr>
          </w:p>
        </w:tc>
      </w:tr>
      <w:tr>
        <w:trPr>
          <w:trHeight w:val="187"/>
        </w:trPr>
        <w:tc>
          <w:tcPr>
            <w:tcW w:w="320" w:type="dxa"/>
            <w:vAlign w:val="bottom"/>
          </w:tcPr>
          <w:p>
            <w:pPr>
              <w:spacing w:after="0"/>
              <w:rPr>
                <w:sz w:val="16"/>
                <w:szCs w:val="16"/>
                <w:color w:val="auto"/>
              </w:rPr>
            </w:pPr>
          </w:p>
        </w:tc>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from commissions</w:t>
            </w:r>
          </w:p>
        </w:tc>
        <w:tc>
          <w:tcPr>
            <w:tcW w:w="2200" w:type="dxa"/>
            <w:vAlign w:val="bottom"/>
            <w:tcBorders>
              <w:top w:val="single" w:sz="8" w:color="auto"/>
            </w:tcBorders>
            <w:gridSpan w:val="2"/>
          </w:tcPr>
          <w:p>
            <w:pPr>
              <w:jc w:val="right"/>
              <w:ind w:right="185"/>
              <w:spacing w:after="0"/>
              <w:rPr>
                <w:sz w:val="20"/>
                <w:szCs w:val="20"/>
                <w:color w:val="auto"/>
              </w:rPr>
            </w:pPr>
            <w:r>
              <w:rPr>
                <w:rFonts w:ascii="Arial" w:cs="Arial" w:eastAsia="Arial" w:hAnsi="Arial"/>
                <w:sz w:val="14"/>
                <w:szCs w:val="14"/>
                <w:color w:val="auto"/>
              </w:rPr>
              <w:t>89,532</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87,477</w:t>
            </w:r>
          </w:p>
        </w:tc>
        <w:tc>
          <w:tcPr>
            <w:tcW w:w="124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94,613</w:t>
            </w:r>
          </w:p>
        </w:tc>
        <w:tc>
          <w:tcPr>
            <w:tcW w:w="156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color w:val="auto"/>
              </w:rPr>
              <w:t>8.2%</w:t>
            </w:r>
          </w:p>
        </w:tc>
        <w:tc>
          <w:tcPr>
            <w:tcW w:w="90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color w:val="auto"/>
              </w:rPr>
              <w:t>5.7%</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Administrative and sale expenses</w:t>
            </w:r>
          </w:p>
        </w:tc>
        <w:tc>
          <w:tcPr>
            <w:tcW w:w="2200" w:type="dxa"/>
            <w:vAlign w:val="bottom"/>
            <w:gridSpan w:val="2"/>
          </w:tcPr>
          <w:p>
            <w:pPr>
              <w:jc w:val="right"/>
              <w:ind w:right="125"/>
              <w:spacing w:after="0"/>
              <w:rPr>
                <w:sz w:val="20"/>
                <w:szCs w:val="20"/>
                <w:color w:val="auto"/>
              </w:rPr>
            </w:pPr>
            <w:r>
              <w:rPr>
                <w:rFonts w:ascii="Arial" w:cs="Arial" w:eastAsia="Arial" w:hAnsi="Arial"/>
                <w:sz w:val="14"/>
                <w:szCs w:val="14"/>
                <w:color w:val="auto"/>
              </w:rPr>
              <w:t>(38,986)</w:t>
            </w:r>
          </w:p>
        </w:tc>
        <w:tc>
          <w:tcPr>
            <w:tcW w:w="1080" w:type="dxa"/>
            <w:vAlign w:val="bottom"/>
          </w:tcPr>
          <w:p>
            <w:pPr>
              <w:jc w:val="right"/>
              <w:spacing w:after="0"/>
              <w:rPr>
                <w:sz w:val="20"/>
                <w:szCs w:val="20"/>
                <w:color w:val="auto"/>
              </w:rPr>
            </w:pPr>
            <w:r>
              <w:rPr>
                <w:rFonts w:ascii="Arial" w:cs="Arial" w:eastAsia="Arial" w:hAnsi="Arial"/>
                <w:sz w:val="14"/>
                <w:szCs w:val="14"/>
                <w:color w:val="auto"/>
              </w:rPr>
              <w:t>(41,049)</w:t>
            </w:r>
          </w:p>
        </w:tc>
        <w:tc>
          <w:tcPr>
            <w:tcW w:w="1240" w:type="dxa"/>
            <w:vAlign w:val="bottom"/>
          </w:tcPr>
          <w:p>
            <w:pPr>
              <w:jc w:val="right"/>
              <w:spacing w:after="0"/>
              <w:rPr>
                <w:sz w:val="20"/>
                <w:szCs w:val="20"/>
                <w:color w:val="auto"/>
              </w:rPr>
            </w:pPr>
            <w:r>
              <w:rPr>
                <w:rFonts w:ascii="Arial" w:cs="Arial" w:eastAsia="Arial" w:hAnsi="Arial"/>
                <w:sz w:val="14"/>
                <w:szCs w:val="14"/>
                <w:color w:val="auto"/>
              </w:rPr>
              <w:t>(41,498)</w:t>
            </w: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rPr>
              <w:t>1.1%</w:t>
            </w:r>
          </w:p>
        </w:tc>
        <w:tc>
          <w:tcPr>
            <w:tcW w:w="900" w:type="dxa"/>
            <w:vAlign w:val="bottom"/>
          </w:tcPr>
          <w:p>
            <w:pPr>
              <w:jc w:val="center"/>
              <w:ind w:right="308"/>
              <w:spacing w:after="0"/>
              <w:rPr>
                <w:sz w:val="20"/>
                <w:szCs w:val="20"/>
                <w:color w:val="auto"/>
              </w:rPr>
            </w:pPr>
            <w:r>
              <w:rPr>
                <w:rFonts w:ascii="Arial" w:cs="Arial" w:eastAsia="Arial" w:hAnsi="Arial"/>
                <w:sz w:val="14"/>
                <w:szCs w:val="14"/>
                <w:color w:val="auto"/>
              </w:rPr>
              <w:t>6.4%</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200" w:type="dxa"/>
            <w:vAlign w:val="bottom"/>
            <w:gridSpan w:val="2"/>
          </w:tcPr>
          <w:p>
            <w:pPr>
              <w:jc w:val="right"/>
              <w:ind w:right="125"/>
              <w:spacing w:after="0"/>
              <w:rPr>
                <w:sz w:val="20"/>
                <w:szCs w:val="20"/>
                <w:color w:val="auto"/>
              </w:rPr>
            </w:pPr>
            <w:r>
              <w:rPr>
                <w:rFonts w:ascii="Arial" w:cs="Arial" w:eastAsia="Arial" w:hAnsi="Arial"/>
                <w:sz w:val="14"/>
                <w:szCs w:val="14"/>
                <w:color w:val="auto"/>
              </w:rPr>
              <w:t>(6,194)</w:t>
            </w:r>
          </w:p>
        </w:tc>
        <w:tc>
          <w:tcPr>
            <w:tcW w:w="1080" w:type="dxa"/>
            <w:vAlign w:val="bottom"/>
          </w:tcPr>
          <w:p>
            <w:pPr>
              <w:jc w:val="right"/>
              <w:spacing w:after="0"/>
              <w:rPr>
                <w:sz w:val="20"/>
                <w:szCs w:val="20"/>
                <w:color w:val="auto"/>
              </w:rPr>
            </w:pPr>
            <w:r>
              <w:rPr>
                <w:rFonts w:ascii="Arial" w:cs="Arial" w:eastAsia="Arial" w:hAnsi="Arial"/>
                <w:sz w:val="14"/>
                <w:szCs w:val="14"/>
                <w:color w:val="auto"/>
              </w:rPr>
              <w:t>(6,388)</w:t>
            </w:r>
          </w:p>
        </w:tc>
        <w:tc>
          <w:tcPr>
            <w:tcW w:w="1240" w:type="dxa"/>
            <w:vAlign w:val="bottom"/>
          </w:tcPr>
          <w:p>
            <w:pPr>
              <w:jc w:val="right"/>
              <w:spacing w:after="0"/>
              <w:rPr>
                <w:sz w:val="20"/>
                <w:szCs w:val="20"/>
                <w:color w:val="auto"/>
              </w:rPr>
            </w:pPr>
            <w:r>
              <w:rPr>
                <w:rFonts w:ascii="Arial" w:cs="Arial" w:eastAsia="Arial" w:hAnsi="Arial"/>
                <w:sz w:val="14"/>
                <w:szCs w:val="14"/>
                <w:color w:val="auto"/>
              </w:rPr>
              <w:t>(6,606)</w:t>
            </w: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rPr>
              <w:t>3.4%</w:t>
            </w:r>
          </w:p>
        </w:tc>
        <w:tc>
          <w:tcPr>
            <w:tcW w:w="900" w:type="dxa"/>
            <w:vAlign w:val="bottom"/>
          </w:tcPr>
          <w:p>
            <w:pPr>
              <w:jc w:val="center"/>
              <w:ind w:right="308"/>
              <w:spacing w:after="0"/>
              <w:rPr>
                <w:sz w:val="20"/>
                <w:szCs w:val="20"/>
                <w:color w:val="auto"/>
              </w:rPr>
            </w:pPr>
            <w:r>
              <w:rPr>
                <w:rFonts w:ascii="Arial" w:cs="Arial" w:eastAsia="Arial" w:hAnsi="Arial"/>
                <w:sz w:val="14"/>
                <w:szCs w:val="14"/>
                <w:color w:val="auto"/>
              </w:rPr>
              <w:t>6.7%</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2200" w:type="dxa"/>
            <w:vAlign w:val="bottom"/>
            <w:gridSpan w:val="2"/>
          </w:tcPr>
          <w:p>
            <w:pPr>
              <w:jc w:val="right"/>
              <w:ind w:right="185"/>
              <w:spacing w:after="0"/>
              <w:rPr>
                <w:sz w:val="20"/>
                <w:szCs w:val="20"/>
                <w:color w:val="auto"/>
              </w:rPr>
            </w:pPr>
            <w:r>
              <w:rPr>
                <w:rFonts w:ascii="Arial" w:cs="Arial" w:eastAsia="Arial" w:hAnsi="Arial"/>
                <w:sz w:val="14"/>
                <w:szCs w:val="14"/>
                <w:b w:val="1"/>
                <w:bCs w:val="1"/>
                <w:color w:val="auto"/>
              </w:rPr>
              <w:t>44,352</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40,040</w:t>
            </w:r>
          </w:p>
        </w:tc>
        <w:tc>
          <w:tcPr>
            <w:tcW w:w="1240" w:type="dxa"/>
            <w:vAlign w:val="bottom"/>
          </w:tcPr>
          <w:p>
            <w:pPr>
              <w:jc w:val="right"/>
              <w:ind w:right="46"/>
              <w:spacing w:after="0"/>
              <w:rPr>
                <w:sz w:val="20"/>
                <w:szCs w:val="20"/>
                <w:color w:val="auto"/>
              </w:rPr>
            </w:pPr>
            <w:r>
              <w:rPr>
                <w:rFonts w:ascii="Arial" w:cs="Arial" w:eastAsia="Arial" w:hAnsi="Arial"/>
                <w:sz w:val="14"/>
                <w:szCs w:val="14"/>
                <w:b w:val="1"/>
                <w:bCs w:val="1"/>
                <w:color w:val="auto"/>
              </w:rPr>
              <w:t>46,509</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16.2%</w:t>
            </w:r>
          </w:p>
        </w:tc>
        <w:tc>
          <w:tcPr>
            <w:tcW w:w="900" w:type="dxa"/>
            <w:vAlign w:val="bottom"/>
          </w:tcPr>
          <w:p>
            <w:pPr>
              <w:jc w:val="center"/>
              <w:ind w:right="308"/>
              <w:spacing w:after="0"/>
              <w:rPr>
                <w:sz w:val="20"/>
                <w:szCs w:val="20"/>
                <w:color w:val="auto"/>
              </w:rPr>
            </w:pPr>
            <w:r>
              <w:rPr>
                <w:rFonts w:ascii="Arial" w:cs="Arial" w:eastAsia="Arial" w:hAnsi="Arial"/>
                <w:sz w:val="14"/>
                <w:szCs w:val="14"/>
                <w:b w:val="1"/>
                <w:bCs w:val="1"/>
                <w:color w:val="auto"/>
              </w:rPr>
              <w:t>4.9%</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Other income and expenses, net (profitability of lace)</w:t>
            </w:r>
          </w:p>
        </w:tc>
        <w:tc>
          <w:tcPr>
            <w:tcW w:w="2200" w:type="dxa"/>
            <w:vAlign w:val="bottom"/>
            <w:gridSpan w:val="2"/>
          </w:tcPr>
          <w:p>
            <w:pPr>
              <w:jc w:val="right"/>
              <w:ind w:right="185"/>
              <w:spacing w:after="0"/>
              <w:rPr>
                <w:sz w:val="20"/>
                <w:szCs w:val="20"/>
                <w:color w:val="auto"/>
              </w:rPr>
            </w:pPr>
            <w:r>
              <w:rPr>
                <w:rFonts w:ascii="Arial" w:cs="Arial" w:eastAsia="Arial" w:hAnsi="Arial"/>
                <w:sz w:val="14"/>
                <w:szCs w:val="14"/>
                <w:color w:val="auto"/>
              </w:rPr>
              <w:t>8,742</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13,653</w:t>
            </w:r>
          </w:p>
        </w:tc>
        <w:tc>
          <w:tcPr>
            <w:tcW w:w="1240" w:type="dxa"/>
            <w:vAlign w:val="bottom"/>
          </w:tcPr>
          <w:p>
            <w:pPr>
              <w:jc w:val="right"/>
              <w:ind w:right="46"/>
              <w:spacing w:after="0"/>
              <w:rPr>
                <w:sz w:val="20"/>
                <w:szCs w:val="20"/>
                <w:color w:val="auto"/>
              </w:rPr>
            </w:pPr>
            <w:r>
              <w:rPr>
                <w:rFonts w:ascii="Arial" w:cs="Arial" w:eastAsia="Arial" w:hAnsi="Arial"/>
                <w:sz w:val="14"/>
                <w:szCs w:val="14"/>
                <w:color w:val="auto"/>
              </w:rPr>
              <w:t>5,057</w:t>
            </w: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rPr>
              <w:t>-63.0%</w:t>
            </w:r>
          </w:p>
        </w:tc>
        <w:tc>
          <w:tcPr>
            <w:tcW w:w="900" w:type="dxa"/>
            <w:vAlign w:val="bottom"/>
          </w:tcPr>
          <w:p>
            <w:pPr>
              <w:jc w:val="center"/>
              <w:ind w:right="288"/>
              <w:spacing w:after="0"/>
              <w:rPr>
                <w:sz w:val="20"/>
                <w:szCs w:val="20"/>
                <w:color w:val="auto"/>
              </w:rPr>
            </w:pPr>
            <w:r>
              <w:rPr>
                <w:rFonts w:ascii="Arial" w:cs="Arial" w:eastAsia="Arial" w:hAnsi="Arial"/>
                <w:sz w:val="14"/>
                <w:szCs w:val="14"/>
                <w:color w:val="auto"/>
              </w:rPr>
              <w:t>-42.2%</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Income tax</w:t>
            </w:r>
          </w:p>
        </w:tc>
        <w:tc>
          <w:tcPr>
            <w:tcW w:w="2200" w:type="dxa"/>
            <w:vAlign w:val="bottom"/>
            <w:gridSpan w:val="2"/>
          </w:tcPr>
          <w:p>
            <w:pPr>
              <w:jc w:val="right"/>
              <w:ind w:right="125"/>
              <w:spacing w:after="0"/>
              <w:rPr>
                <w:sz w:val="20"/>
                <w:szCs w:val="20"/>
                <w:color w:val="auto"/>
              </w:rPr>
            </w:pPr>
            <w:r>
              <w:rPr>
                <w:rFonts w:ascii="Arial" w:cs="Arial" w:eastAsia="Arial" w:hAnsi="Arial"/>
                <w:sz w:val="14"/>
                <w:szCs w:val="14"/>
                <w:color w:val="auto"/>
              </w:rPr>
              <w:t>(13,295)</w:t>
            </w:r>
          </w:p>
        </w:tc>
        <w:tc>
          <w:tcPr>
            <w:tcW w:w="1080" w:type="dxa"/>
            <w:vAlign w:val="bottom"/>
          </w:tcPr>
          <w:p>
            <w:pPr>
              <w:jc w:val="right"/>
              <w:spacing w:after="0"/>
              <w:rPr>
                <w:sz w:val="20"/>
                <w:szCs w:val="20"/>
                <w:color w:val="auto"/>
              </w:rPr>
            </w:pPr>
            <w:r>
              <w:rPr>
                <w:rFonts w:ascii="Arial" w:cs="Arial" w:eastAsia="Arial" w:hAnsi="Arial"/>
                <w:sz w:val="14"/>
                <w:szCs w:val="14"/>
                <w:color w:val="auto"/>
              </w:rPr>
              <w:t>(12,848)</w:t>
            </w:r>
          </w:p>
        </w:tc>
        <w:tc>
          <w:tcPr>
            <w:tcW w:w="1240" w:type="dxa"/>
            <w:vAlign w:val="bottom"/>
          </w:tcPr>
          <w:p>
            <w:pPr>
              <w:jc w:val="right"/>
              <w:spacing w:after="0"/>
              <w:rPr>
                <w:sz w:val="20"/>
                <w:szCs w:val="20"/>
                <w:color w:val="auto"/>
              </w:rPr>
            </w:pPr>
            <w:r>
              <w:rPr>
                <w:rFonts w:ascii="Arial" w:cs="Arial" w:eastAsia="Arial" w:hAnsi="Arial"/>
                <w:sz w:val="14"/>
                <w:szCs w:val="14"/>
                <w:color w:val="auto"/>
              </w:rPr>
              <w:t>(14,297)</w:t>
            </w:r>
          </w:p>
        </w:tc>
        <w:tc>
          <w:tcPr>
            <w:tcW w:w="1560" w:type="dxa"/>
            <w:vAlign w:val="bottom"/>
          </w:tcPr>
          <w:p>
            <w:pPr>
              <w:jc w:val="center"/>
              <w:ind w:right="288"/>
              <w:spacing w:after="0"/>
              <w:rPr>
                <w:sz w:val="20"/>
                <w:szCs w:val="20"/>
                <w:color w:val="auto"/>
              </w:rPr>
            </w:pPr>
            <w:r>
              <w:rPr>
                <w:rFonts w:ascii="Arial" w:cs="Arial" w:eastAsia="Arial" w:hAnsi="Arial"/>
                <w:sz w:val="14"/>
                <w:szCs w:val="14"/>
                <w:color w:val="auto"/>
              </w:rPr>
              <w:t>11.3%</w:t>
            </w:r>
          </w:p>
        </w:tc>
        <w:tc>
          <w:tcPr>
            <w:tcW w:w="900" w:type="dxa"/>
            <w:vAlign w:val="bottom"/>
          </w:tcPr>
          <w:p>
            <w:pPr>
              <w:jc w:val="center"/>
              <w:ind w:right="308"/>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Net income before translation results</w:t>
            </w:r>
          </w:p>
        </w:tc>
        <w:tc>
          <w:tcPr>
            <w:tcW w:w="2200" w:type="dxa"/>
            <w:vAlign w:val="bottom"/>
            <w:gridSpan w:val="2"/>
          </w:tcPr>
          <w:p>
            <w:pPr>
              <w:jc w:val="right"/>
              <w:ind w:right="185"/>
              <w:spacing w:after="0"/>
              <w:rPr>
                <w:sz w:val="20"/>
                <w:szCs w:val="20"/>
                <w:color w:val="auto"/>
              </w:rPr>
            </w:pPr>
            <w:r>
              <w:rPr>
                <w:rFonts w:ascii="Arial" w:cs="Arial" w:eastAsia="Arial" w:hAnsi="Arial"/>
                <w:sz w:val="14"/>
                <w:szCs w:val="14"/>
                <w:b w:val="1"/>
                <w:bCs w:val="1"/>
                <w:color w:val="auto"/>
              </w:rPr>
              <w:t>39,799</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40,845</w:t>
            </w:r>
          </w:p>
        </w:tc>
        <w:tc>
          <w:tcPr>
            <w:tcW w:w="1240" w:type="dxa"/>
            <w:vAlign w:val="bottom"/>
          </w:tcPr>
          <w:p>
            <w:pPr>
              <w:jc w:val="right"/>
              <w:ind w:right="46"/>
              <w:spacing w:after="0"/>
              <w:rPr>
                <w:sz w:val="20"/>
                <w:szCs w:val="20"/>
                <w:color w:val="auto"/>
              </w:rPr>
            </w:pPr>
            <w:r>
              <w:rPr>
                <w:rFonts w:ascii="Arial" w:cs="Arial" w:eastAsia="Arial" w:hAnsi="Arial"/>
                <w:sz w:val="14"/>
                <w:szCs w:val="14"/>
                <w:b w:val="1"/>
                <w:bCs w:val="1"/>
                <w:color w:val="auto"/>
              </w:rPr>
              <w:t>37,269</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-8.8%</w:t>
            </w:r>
          </w:p>
        </w:tc>
        <w:tc>
          <w:tcPr>
            <w:tcW w:w="900" w:type="dxa"/>
            <w:vAlign w:val="bottom"/>
          </w:tcPr>
          <w:p>
            <w:pPr>
              <w:jc w:val="center"/>
              <w:ind w:right="308"/>
              <w:spacing w:after="0"/>
              <w:rPr>
                <w:sz w:val="20"/>
                <w:szCs w:val="20"/>
                <w:color w:val="auto"/>
              </w:rPr>
            </w:pPr>
            <w:r>
              <w:rPr>
                <w:rFonts w:ascii="Arial" w:cs="Arial" w:eastAsia="Arial" w:hAnsi="Arial"/>
                <w:sz w:val="14"/>
                <w:szCs w:val="14"/>
                <w:b w:val="1"/>
                <w:bCs w:val="1"/>
                <w:color w:val="auto"/>
                <w:w w:val="98"/>
              </w:rPr>
              <w:t>-6.4%</w:t>
            </w: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Translations results</w:t>
            </w:r>
          </w:p>
        </w:tc>
        <w:tc>
          <w:tcPr>
            <w:tcW w:w="2200" w:type="dxa"/>
            <w:vAlign w:val="bottom"/>
            <w:gridSpan w:val="2"/>
          </w:tcPr>
          <w:p>
            <w:pPr>
              <w:jc w:val="right"/>
              <w:ind w:right="125"/>
              <w:spacing w:after="0"/>
              <w:rPr>
                <w:sz w:val="20"/>
                <w:szCs w:val="20"/>
                <w:color w:val="auto"/>
              </w:rPr>
            </w:pPr>
            <w:r>
              <w:rPr>
                <w:rFonts w:ascii="Arial" w:cs="Arial" w:eastAsia="Arial" w:hAnsi="Arial"/>
                <w:sz w:val="14"/>
                <w:szCs w:val="14"/>
                <w:color w:val="auto"/>
              </w:rPr>
              <w:t>(41)</w:t>
            </w:r>
          </w:p>
        </w:tc>
        <w:tc>
          <w:tcPr>
            <w:tcW w:w="1080" w:type="dxa"/>
            <w:vAlign w:val="bottom"/>
          </w:tcPr>
          <w:p>
            <w:pPr>
              <w:jc w:val="right"/>
              <w:spacing w:after="0"/>
              <w:rPr>
                <w:sz w:val="20"/>
                <w:szCs w:val="20"/>
                <w:color w:val="auto"/>
              </w:rPr>
            </w:pPr>
            <w:r>
              <w:rPr>
                <w:rFonts w:ascii="Arial" w:cs="Arial" w:eastAsia="Arial" w:hAnsi="Arial"/>
                <w:sz w:val="14"/>
                <w:szCs w:val="14"/>
                <w:color w:val="auto"/>
              </w:rPr>
              <w:t>(466)</w:t>
            </w:r>
          </w:p>
        </w:tc>
        <w:tc>
          <w:tcPr>
            <w:tcW w:w="1240" w:type="dxa"/>
            <w:vAlign w:val="bottom"/>
          </w:tcPr>
          <w:p>
            <w:pPr>
              <w:jc w:val="right"/>
              <w:spacing w:after="0"/>
              <w:rPr>
                <w:sz w:val="20"/>
                <w:szCs w:val="20"/>
                <w:color w:val="auto"/>
              </w:rPr>
            </w:pPr>
            <w:r>
              <w:rPr>
                <w:rFonts w:ascii="Arial" w:cs="Arial" w:eastAsia="Arial" w:hAnsi="Arial"/>
                <w:sz w:val="14"/>
                <w:szCs w:val="14"/>
                <w:color w:val="auto"/>
              </w:rPr>
              <w:t>(256)</w:t>
            </w: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rPr>
              <w:t>-44.9%</w:t>
            </w:r>
          </w:p>
        </w:tc>
        <w:tc>
          <w:tcPr>
            <w:tcW w:w="900" w:type="dxa"/>
            <w:vAlign w:val="bottom"/>
          </w:tcPr>
          <w:p>
            <w:pPr>
              <w:jc w:val="center"/>
              <w:ind w:right="308"/>
              <w:spacing w:after="0"/>
              <w:rPr>
                <w:sz w:val="20"/>
                <w:szCs w:val="20"/>
                <w:color w:val="auto"/>
              </w:rPr>
            </w:pPr>
            <w:r>
              <w:rPr>
                <w:rFonts w:ascii="Arial" w:cs="Arial" w:eastAsia="Arial" w:hAnsi="Arial"/>
                <w:sz w:val="14"/>
                <w:szCs w:val="14"/>
                <w:color w:val="auto"/>
              </w:rPr>
              <w:t>521.0%</w:t>
            </w:r>
          </w:p>
        </w:tc>
        <w:tc>
          <w:tcPr>
            <w:tcW w:w="280" w:type="dxa"/>
            <w:vAlign w:val="bottom"/>
          </w:tcPr>
          <w:p>
            <w:pPr>
              <w:spacing w:after="0"/>
              <w:rPr>
                <w:sz w:val="16"/>
                <w:szCs w:val="16"/>
                <w:color w:val="auto"/>
              </w:rPr>
            </w:pPr>
          </w:p>
        </w:tc>
      </w:tr>
      <w:tr>
        <w:trPr>
          <w:trHeight w:val="185"/>
        </w:trPr>
        <w:tc>
          <w:tcPr>
            <w:tcW w:w="320" w:type="dxa"/>
            <w:vAlign w:val="bottom"/>
          </w:tcPr>
          <w:p>
            <w:pPr>
              <w:spacing w:after="0"/>
              <w:rPr>
                <w:sz w:val="16"/>
                <w:szCs w:val="16"/>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220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rPr>
              <w:t>39,758</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40,379</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37,013</w:t>
            </w:r>
          </w:p>
        </w:tc>
        <w:tc>
          <w:tcPr>
            <w:tcW w:w="156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-8.3%</w:t>
            </w:r>
          </w:p>
        </w:tc>
        <w:tc>
          <w:tcPr>
            <w:tcW w:w="90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8"/>
              </w:rPr>
              <w:t>-6.9%</w:t>
            </w:r>
          </w:p>
        </w:tc>
        <w:tc>
          <w:tcPr>
            <w:tcW w:w="280" w:type="dxa"/>
            <w:vAlign w:val="bottom"/>
          </w:tcPr>
          <w:p>
            <w:pPr>
              <w:spacing w:after="0"/>
              <w:rPr>
                <w:sz w:val="16"/>
                <w:szCs w:val="16"/>
                <w:color w:val="auto"/>
              </w:rPr>
            </w:pPr>
          </w:p>
        </w:tc>
      </w:tr>
      <w:tr>
        <w:trPr>
          <w:trHeight w:val="193"/>
        </w:trPr>
        <w:tc>
          <w:tcPr>
            <w:tcW w:w="320" w:type="dxa"/>
            <w:vAlign w:val="bottom"/>
          </w:tcPr>
          <w:p>
            <w:pPr>
              <w:spacing w:after="0"/>
              <w:rPr>
                <w:sz w:val="16"/>
                <w:szCs w:val="16"/>
                <w:color w:val="auto"/>
              </w:rPr>
            </w:pPr>
          </w:p>
        </w:tc>
        <w:tc>
          <w:tcPr>
            <w:tcW w:w="3660" w:type="dxa"/>
            <w:vAlign w:val="bottom"/>
          </w:tcPr>
          <w:p>
            <w:pPr>
              <w:ind w:left="20"/>
              <w:spacing w:after="0" w:line="192" w:lineRule="exact"/>
              <w:rPr>
                <w:sz w:val="20"/>
                <w:szCs w:val="20"/>
                <w:color w:val="auto"/>
              </w:rPr>
            </w:pPr>
            <w:r>
              <w:rPr>
                <w:rFonts w:ascii="Arial" w:cs="Arial" w:eastAsia="Arial" w:hAnsi="Arial"/>
                <w:sz w:val="14"/>
                <w:szCs w:val="14"/>
                <w:b w:val="1"/>
                <w:bCs w:val="1"/>
                <w:color w:val="auto"/>
              </w:rPr>
              <w:t xml:space="preserve">ROE </w:t>
            </w:r>
            <w:r>
              <w:rPr>
                <w:rFonts w:ascii="Arial" w:cs="Arial" w:eastAsia="Arial" w:hAnsi="Arial"/>
                <w:sz w:val="22"/>
                <w:szCs w:val="22"/>
                <w:b w:val="1"/>
                <w:bCs w:val="1"/>
                <w:color w:val="auto"/>
                <w:vertAlign w:val="superscript"/>
              </w:rPr>
              <w:t>(1)</w:t>
            </w:r>
          </w:p>
        </w:tc>
        <w:tc>
          <w:tcPr>
            <w:tcW w:w="2200" w:type="dxa"/>
            <w:vAlign w:val="bottom"/>
            <w:gridSpan w:val="2"/>
          </w:tcPr>
          <w:p>
            <w:pPr>
              <w:jc w:val="right"/>
              <w:ind w:right="185"/>
              <w:spacing w:after="0"/>
              <w:rPr>
                <w:sz w:val="20"/>
                <w:szCs w:val="20"/>
                <w:color w:val="auto"/>
              </w:rPr>
            </w:pPr>
            <w:r>
              <w:rPr>
                <w:rFonts w:ascii="Arial" w:cs="Arial" w:eastAsia="Arial" w:hAnsi="Arial"/>
                <w:sz w:val="14"/>
                <w:szCs w:val="14"/>
                <w:b w:val="1"/>
                <w:bCs w:val="1"/>
                <w:color w:val="auto"/>
              </w:rPr>
              <w:t>35.9%</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33.7%</w:t>
            </w:r>
          </w:p>
        </w:tc>
        <w:tc>
          <w:tcPr>
            <w:tcW w:w="1240" w:type="dxa"/>
            <w:vAlign w:val="bottom"/>
          </w:tcPr>
          <w:p>
            <w:pPr>
              <w:jc w:val="right"/>
              <w:ind w:right="46"/>
              <w:spacing w:after="0"/>
              <w:rPr>
                <w:sz w:val="20"/>
                <w:szCs w:val="20"/>
                <w:color w:val="auto"/>
              </w:rPr>
            </w:pPr>
            <w:r>
              <w:rPr>
                <w:rFonts w:ascii="Arial" w:cs="Arial" w:eastAsia="Arial" w:hAnsi="Arial"/>
                <w:sz w:val="14"/>
                <w:szCs w:val="14"/>
                <w:b w:val="1"/>
                <w:bCs w:val="1"/>
                <w:color w:val="auto"/>
              </w:rPr>
              <w:t>31.4%</w:t>
            </w:r>
          </w:p>
        </w:tc>
        <w:tc>
          <w:tcPr>
            <w:tcW w:w="1560" w:type="dxa"/>
            <w:vAlign w:val="bottom"/>
          </w:tcPr>
          <w:p>
            <w:pPr>
              <w:jc w:val="center"/>
              <w:ind w:right="268"/>
              <w:spacing w:after="0"/>
              <w:rPr>
                <w:sz w:val="20"/>
                <w:szCs w:val="20"/>
                <w:color w:val="auto"/>
              </w:rPr>
            </w:pPr>
            <w:r>
              <w:rPr>
                <w:rFonts w:ascii="Arial" w:cs="Arial" w:eastAsia="Arial" w:hAnsi="Arial"/>
                <w:sz w:val="14"/>
                <w:szCs w:val="14"/>
                <w:b w:val="1"/>
                <w:bCs w:val="1"/>
                <w:color w:val="auto"/>
              </w:rPr>
              <w:t>-220 pbs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-450 pbs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-1471930</wp:posOffset>
            </wp:positionV>
            <wp:extent cx="6772275" cy="1474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2275" cy="14744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-3794760</wp:posOffset>
            </wp:positionV>
            <wp:extent cx="128587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5875" cy="15430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(1) Net shareholders’ equity includes unrealized gains from Prima’s investment portfolio.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under management</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720" w:type="dxa"/>
            <w:vAlign w:val="bottom"/>
            <w:tcBorders>
              <w:top w:val="single" w:sz="8" w:color="auto"/>
              <w:left w:val="single" w:sz="8" w:color="auto"/>
              <w:right w:val="single" w:sz="8" w:color="auto"/>
            </w:tcBorders>
            <w:vMerge w:val="restart"/>
            <w:shd w:val="clear" w:color="auto" w:fill="2AD2C9"/>
          </w:tcPr>
          <w:p>
            <w:pPr>
              <w:ind w:left="60"/>
              <w:spacing w:after="0"/>
              <w:rPr>
                <w:sz w:val="20"/>
                <w:szCs w:val="20"/>
                <w:color w:val="auto"/>
              </w:rPr>
            </w:pPr>
            <w:r>
              <w:rPr>
                <w:rFonts w:ascii="Arial" w:cs="Arial" w:eastAsia="Arial" w:hAnsi="Arial"/>
                <w:sz w:val="11"/>
                <w:szCs w:val="11"/>
                <w:b w:val="1"/>
                <w:bCs w:val="1"/>
                <w:color w:val="FFFFFF"/>
              </w:rPr>
              <w:t>Funds under management</w:t>
            </w:r>
          </w:p>
        </w:tc>
        <w:tc>
          <w:tcPr>
            <w:tcW w:w="1520" w:type="dxa"/>
            <w:vAlign w:val="bottom"/>
            <w:tcBorders>
              <w:top w:val="single" w:sz="8" w:color="auto"/>
            </w:tcBorders>
            <w:vMerge w:val="restart"/>
            <w:shd w:val="clear" w:color="auto" w:fill="2AD2C9"/>
          </w:tcPr>
          <w:p>
            <w:pPr>
              <w:ind w:left="600"/>
              <w:spacing w:after="0"/>
              <w:rPr>
                <w:sz w:val="20"/>
                <w:szCs w:val="20"/>
                <w:color w:val="auto"/>
              </w:rPr>
            </w:pPr>
            <w:r>
              <w:rPr>
                <w:rFonts w:ascii="Arial" w:cs="Arial" w:eastAsia="Arial" w:hAnsi="Arial"/>
                <w:sz w:val="11"/>
                <w:szCs w:val="11"/>
                <w:b w:val="1"/>
                <w:bCs w:val="1"/>
                <w:color w:val="FFFFFF"/>
              </w:rPr>
              <w:t>Dec 23</w:t>
            </w:r>
          </w:p>
        </w:tc>
        <w:tc>
          <w:tcPr>
            <w:tcW w:w="1600" w:type="dxa"/>
            <w:vAlign w:val="bottom"/>
            <w:tcBorders>
              <w:top w:val="single" w:sz="8" w:color="auto"/>
              <w:right w:val="single" w:sz="8" w:color="auto"/>
            </w:tcBorders>
            <w:shd w:val="clear" w:color="auto" w:fill="2AD2C9"/>
          </w:tcPr>
          <w:p>
            <w:pPr>
              <w:jc w:val="center"/>
              <w:spacing w:after="0" w:line="115" w:lineRule="exact"/>
              <w:rPr>
                <w:sz w:val="20"/>
                <w:szCs w:val="20"/>
                <w:color w:val="auto"/>
              </w:rPr>
            </w:pPr>
            <w:r>
              <w:rPr>
                <w:rFonts w:ascii="Arial" w:cs="Arial" w:eastAsia="Arial" w:hAnsi="Arial"/>
                <w:sz w:val="11"/>
                <w:szCs w:val="11"/>
                <w:b w:val="1"/>
                <w:bCs w:val="1"/>
                <w:color w:val="FFFFFF"/>
                <w:w w:val="95"/>
              </w:rPr>
              <w:t>Dec 23</w:t>
            </w:r>
          </w:p>
        </w:tc>
        <w:tc>
          <w:tcPr>
            <w:tcW w:w="980" w:type="dxa"/>
            <w:vAlign w:val="bottom"/>
            <w:tcBorders>
              <w:top w:val="single" w:sz="8" w:color="auto"/>
            </w:tcBorders>
            <w:vMerge w:val="restart"/>
            <w:shd w:val="clear" w:color="auto" w:fill="2AD2C9"/>
          </w:tcPr>
          <w:p>
            <w:pPr>
              <w:ind w:left="320"/>
              <w:spacing w:after="0"/>
              <w:rPr>
                <w:sz w:val="20"/>
                <w:szCs w:val="20"/>
                <w:color w:val="auto"/>
              </w:rPr>
            </w:pPr>
            <w:r>
              <w:rPr>
                <w:rFonts w:ascii="Arial" w:cs="Arial" w:eastAsia="Arial" w:hAnsi="Arial"/>
                <w:sz w:val="11"/>
                <w:szCs w:val="11"/>
                <w:b w:val="1"/>
                <w:bCs w:val="1"/>
                <w:color w:val="FFFFFF"/>
              </w:rPr>
              <w:t>Mar 24</w:t>
            </w:r>
          </w:p>
        </w:tc>
        <w:tc>
          <w:tcPr>
            <w:tcW w:w="1060" w:type="dxa"/>
            <w:vAlign w:val="bottom"/>
            <w:tcBorders>
              <w:top w:val="single" w:sz="8" w:color="auto"/>
              <w:right w:val="single" w:sz="8" w:color="auto"/>
            </w:tcBorders>
            <w:shd w:val="clear" w:color="auto" w:fill="2AD2C9"/>
          </w:tcPr>
          <w:p>
            <w:pPr>
              <w:jc w:val="center"/>
              <w:spacing w:after="0" w:line="115" w:lineRule="exact"/>
              <w:rPr>
                <w:sz w:val="20"/>
                <w:szCs w:val="20"/>
                <w:color w:val="auto"/>
              </w:rPr>
            </w:pPr>
            <w:r>
              <w:rPr>
                <w:rFonts w:ascii="Arial" w:cs="Arial" w:eastAsia="Arial" w:hAnsi="Arial"/>
                <w:sz w:val="11"/>
                <w:szCs w:val="11"/>
                <w:b w:val="1"/>
                <w:bCs w:val="1"/>
                <w:color w:val="FFFFFF"/>
                <w:w w:val="97"/>
              </w:rPr>
              <w:t>Mar 24</w:t>
            </w:r>
          </w:p>
        </w:tc>
        <w:tc>
          <w:tcPr>
            <w:tcW w:w="0" w:type="dxa"/>
            <w:vAlign w:val="bottom"/>
          </w:tcPr>
          <w:p>
            <w:pPr>
              <w:spacing w:after="0"/>
              <w:rPr>
                <w:sz w:val="1"/>
                <w:szCs w:val="1"/>
                <w:color w:val="auto"/>
              </w:rPr>
            </w:pPr>
          </w:p>
        </w:tc>
      </w:tr>
      <w:tr>
        <w:trPr>
          <w:trHeight w:val="80"/>
        </w:trPr>
        <w:tc>
          <w:tcPr>
            <w:tcW w:w="2720" w:type="dxa"/>
            <w:vAlign w:val="bottom"/>
            <w:tcBorders>
              <w:left w:val="single" w:sz="8" w:color="auto"/>
              <w:right w:val="single" w:sz="8" w:color="auto"/>
            </w:tcBorders>
            <w:vMerge w:val="continue"/>
            <w:shd w:val="clear" w:color="auto" w:fill="2AD2C9"/>
          </w:tcPr>
          <w:p>
            <w:pPr>
              <w:spacing w:after="0"/>
              <w:rPr>
                <w:sz w:val="6"/>
                <w:szCs w:val="6"/>
                <w:color w:val="auto"/>
              </w:rPr>
            </w:pPr>
          </w:p>
        </w:tc>
        <w:tc>
          <w:tcPr>
            <w:tcW w:w="1520" w:type="dxa"/>
            <w:vAlign w:val="bottom"/>
            <w:vMerge w:val="continue"/>
            <w:shd w:val="clear" w:color="auto" w:fill="2AD2C9"/>
          </w:tcPr>
          <w:p>
            <w:pPr>
              <w:spacing w:after="0"/>
              <w:rPr>
                <w:sz w:val="6"/>
                <w:szCs w:val="6"/>
                <w:color w:val="auto"/>
              </w:rPr>
            </w:pPr>
          </w:p>
        </w:tc>
        <w:tc>
          <w:tcPr>
            <w:tcW w:w="160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w w:val="99"/>
              </w:rPr>
              <w:t>% share</w:t>
            </w:r>
          </w:p>
        </w:tc>
        <w:tc>
          <w:tcPr>
            <w:tcW w:w="980" w:type="dxa"/>
            <w:vAlign w:val="bottom"/>
            <w:vMerge w:val="continue"/>
            <w:shd w:val="clear" w:color="auto" w:fill="2AD2C9"/>
          </w:tcPr>
          <w:p>
            <w:pPr>
              <w:spacing w:after="0"/>
              <w:rPr>
                <w:sz w:val="6"/>
                <w:szCs w:val="6"/>
                <w:color w:val="auto"/>
              </w:rPr>
            </w:pPr>
          </w:p>
        </w:tc>
        <w:tc>
          <w:tcPr>
            <w:tcW w:w="106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1"/>
                <w:szCs w:val="11"/>
                <w:b w:val="1"/>
                <w:bCs w:val="1"/>
                <w:color w:val="FFFFFF"/>
                <w:w w:val="99"/>
              </w:rPr>
              <w:t>% share</w:t>
            </w:r>
          </w:p>
        </w:tc>
        <w:tc>
          <w:tcPr>
            <w:tcW w:w="0" w:type="dxa"/>
            <w:vAlign w:val="bottom"/>
          </w:tcPr>
          <w:p>
            <w:pPr>
              <w:spacing w:after="0"/>
              <w:rPr>
                <w:sz w:val="1"/>
                <w:szCs w:val="1"/>
                <w:color w:val="auto"/>
              </w:rPr>
            </w:pPr>
          </w:p>
        </w:tc>
      </w:tr>
      <w:tr>
        <w:trPr>
          <w:trHeight w:val="68"/>
        </w:trPr>
        <w:tc>
          <w:tcPr>
            <w:tcW w:w="2720" w:type="dxa"/>
            <w:vAlign w:val="bottom"/>
            <w:tcBorders>
              <w:left w:val="single" w:sz="8" w:color="auto"/>
              <w:bottom w:val="single" w:sz="8" w:color="auto"/>
              <w:right w:val="single" w:sz="8" w:color="auto"/>
            </w:tcBorders>
            <w:shd w:val="clear" w:color="auto" w:fill="2AD2C9"/>
          </w:tcPr>
          <w:p>
            <w:pPr>
              <w:spacing w:after="0"/>
              <w:rPr>
                <w:sz w:val="5"/>
                <w:szCs w:val="5"/>
                <w:color w:val="auto"/>
              </w:rPr>
            </w:pPr>
          </w:p>
        </w:tc>
        <w:tc>
          <w:tcPr>
            <w:tcW w:w="1520" w:type="dxa"/>
            <w:vAlign w:val="bottom"/>
            <w:tcBorders>
              <w:bottom w:val="single" w:sz="8" w:color="auto"/>
            </w:tcBorders>
            <w:shd w:val="clear" w:color="auto" w:fill="2AD2C9"/>
          </w:tcPr>
          <w:p>
            <w:pPr>
              <w:spacing w:after="0"/>
              <w:rPr>
                <w:sz w:val="5"/>
                <w:szCs w:val="5"/>
                <w:color w:val="auto"/>
              </w:rPr>
            </w:pPr>
          </w:p>
        </w:tc>
        <w:tc>
          <w:tcPr>
            <w:tcW w:w="160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980" w:type="dxa"/>
            <w:vAlign w:val="bottom"/>
            <w:tcBorders>
              <w:bottom w:val="single" w:sz="8" w:color="auto"/>
            </w:tcBorders>
            <w:shd w:val="clear" w:color="auto" w:fill="2AD2C9"/>
          </w:tcPr>
          <w:p>
            <w:pPr>
              <w:spacing w:after="0"/>
              <w:rPr>
                <w:sz w:val="5"/>
                <w:szCs w:val="5"/>
                <w:color w:val="auto"/>
              </w:rPr>
            </w:pPr>
          </w:p>
        </w:tc>
        <w:tc>
          <w:tcPr>
            <w:tcW w:w="106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0</w:t>
            </w:r>
          </w:p>
        </w:tc>
        <w:tc>
          <w:tcPr>
            <w:tcW w:w="1520" w:type="dxa"/>
            <w:vAlign w:val="bottom"/>
          </w:tcPr>
          <w:p>
            <w:pPr>
              <w:jc w:val="center"/>
              <w:spacing w:after="0"/>
              <w:rPr>
                <w:sz w:val="20"/>
                <w:szCs w:val="20"/>
                <w:color w:val="auto"/>
              </w:rPr>
            </w:pPr>
            <w:r>
              <w:rPr>
                <w:rFonts w:ascii="Arial" w:cs="Arial" w:eastAsia="Arial" w:hAnsi="Arial"/>
                <w:sz w:val="11"/>
                <w:szCs w:val="11"/>
                <w:color w:val="auto"/>
              </w:rPr>
              <w:t>1,555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4.2%</w:t>
            </w:r>
          </w:p>
        </w:tc>
        <w:tc>
          <w:tcPr>
            <w:tcW w:w="980" w:type="dxa"/>
            <w:vAlign w:val="bottom"/>
          </w:tcPr>
          <w:p>
            <w:pPr>
              <w:jc w:val="center"/>
              <w:spacing w:after="0"/>
              <w:rPr>
                <w:sz w:val="20"/>
                <w:szCs w:val="20"/>
                <w:color w:val="auto"/>
              </w:rPr>
            </w:pPr>
            <w:r>
              <w:rPr>
                <w:rFonts w:ascii="Arial" w:cs="Arial" w:eastAsia="Arial" w:hAnsi="Arial"/>
                <w:sz w:val="11"/>
                <w:szCs w:val="11"/>
                <w:color w:val="auto"/>
              </w:rPr>
              <w:t>1,625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4.3%</w:t>
            </w:r>
          </w:p>
        </w:tc>
        <w:tc>
          <w:tcPr>
            <w:tcW w:w="0" w:type="dxa"/>
            <w:vAlign w:val="bottom"/>
          </w:tcPr>
          <w:p>
            <w:pPr>
              <w:spacing w:after="0"/>
              <w:rPr>
                <w:sz w:val="1"/>
                <w:szCs w:val="1"/>
                <w:color w:val="auto"/>
              </w:rPr>
            </w:pPr>
          </w:p>
        </w:tc>
      </w:tr>
      <w:tr>
        <w:trPr>
          <w:trHeight w:val="149"/>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1</w:t>
            </w:r>
          </w:p>
        </w:tc>
        <w:tc>
          <w:tcPr>
            <w:tcW w:w="1520" w:type="dxa"/>
            <w:vAlign w:val="bottom"/>
          </w:tcPr>
          <w:p>
            <w:pPr>
              <w:jc w:val="center"/>
              <w:spacing w:after="0"/>
              <w:rPr>
                <w:sz w:val="20"/>
                <w:szCs w:val="20"/>
                <w:color w:val="auto"/>
              </w:rPr>
            </w:pPr>
            <w:r>
              <w:rPr>
                <w:rFonts w:ascii="Arial" w:cs="Arial" w:eastAsia="Arial" w:hAnsi="Arial"/>
                <w:sz w:val="11"/>
                <w:szCs w:val="11"/>
                <w:color w:val="auto"/>
              </w:rPr>
              <w:t>6,385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17.3%</w:t>
            </w:r>
          </w:p>
        </w:tc>
        <w:tc>
          <w:tcPr>
            <w:tcW w:w="980" w:type="dxa"/>
            <w:vAlign w:val="bottom"/>
          </w:tcPr>
          <w:p>
            <w:pPr>
              <w:jc w:val="center"/>
              <w:spacing w:after="0"/>
              <w:rPr>
                <w:sz w:val="20"/>
                <w:szCs w:val="20"/>
                <w:color w:val="auto"/>
              </w:rPr>
            </w:pPr>
            <w:r>
              <w:rPr>
                <w:rFonts w:ascii="Arial" w:cs="Arial" w:eastAsia="Arial" w:hAnsi="Arial"/>
                <w:sz w:val="11"/>
                <w:szCs w:val="11"/>
                <w:color w:val="auto"/>
              </w:rPr>
              <w:t>6,540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17.2%</w:t>
            </w:r>
          </w:p>
        </w:tc>
        <w:tc>
          <w:tcPr>
            <w:tcW w:w="0" w:type="dxa"/>
            <w:vAlign w:val="bottom"/>
          </w:tcPr>
          <w:p>
            <w:pPr>
              <w:spacing w:after="0"/>
              <w:rPr>
                <w:sz w:val="1"/>
                <w:szCs w:val="1"/>
                <w:color w:val="auto"/>
              </w:rPr>
            </w:pPr>
          </w:p>
        </w:tc>
      </w:tr>
      <w:tr>
        <w:trPr>
          <w:trHeight w:val="148"/>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2</w:t>
            </w:r>
          </w:p>
        </w:tc>
        <w:tc>
          <w:tcPr>
            <w:tcW w:w="1520" w:type="dxa"/>
            <w:vAlign w:val="bottom"/>
          </w:tcPr>
          <w:p>
            <w:pPr>
              <w:jc w:val="center"/>
              <w:spacing w:after="0"/>
              <w:rPr>
                <w:sz w:val="20"/>
                <w:szCs w:val="20"/>
                <w:color w:val="auto"/>
              </w:rPr>
            </w:pPr>
            <w:r>
              <w:rPr>
                <w:rFonts w:ascii="Arial" w:cs="Arial" w:eastAsia="Arial" w:hAnsi="Arial"/>
                <w:sz w:val="11"/>
                <w:szCs w:val="11"/>
                <w:color w:val="auto"/>
                <w:w w:val="94"/>
              </w:rPr>
              <w:t>25,292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68.6%</w:t>
            </w:r>
          </w:p>
        </w:tc>
        <w:tc>
          <w:tcPr>
            <w:tcW w:w="980" w:type="dxa"/>
            <w:vAlign w:val="bottom"/>
          </w:tcPr>
          <w:p>
            <w:pPr>
              <w:jc w:val="center"/>
              <w:spacing w:after="0"/>
              <w:rPr>
                <w:sz w:val="20"/>
                <w:szCs w:val="20"/>
                <w:color w:val="auto"/>
              </w:rPr>
            </w:pPr>
            <w:r>
              <w:rPr>
                <w:rFonts w:ascii="Arial" w:cs="Arial" w:eastAsia="Arial" w:hAnsi="Arial"/>
                <w:sz w:val="11"/>
                <w:szCs w:val="11"/>
                <w:color w:val="auto"/>
                <w:w w:val="94"/>
              </w:rPr>
              <w:t>26,240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68.8%</w:t>
            </w:r>
          </w:p>
        </w:tc>
        <w:tc>
          <w:tcPr>
            <w:tcW w:w="0" w:type="dxa"/>
            <w:vAlign w:val="bottom"/>
          </w:tcPr>
          <w:p>
            <w:pPr>
              <w:spacing w:after="0"/>
              <w:rPr>
                <w:sz w:val="1"/>
                <w:szCs w:val="1"/>
                <w:color w:val="auto"/>
              </w:rPr>
            </w:pPr>
          </w:p>
        </w:tc>
      </w:tr>
      <w:tr>
        <w:trPr>
          <w:trHeight w:val="152"/>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3,619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9.8%</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3,707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9.7%</w:t>
            </w:r>
          </w:p>
        </w:tc>
        <w:tc>
          <w:tcPr>
            <w:tcW w:w="0" w:type="dxa"/>
            <w:vAlign w:val="bottom"/>
          </w:tcPr>
          <w:p>
            <w:pPr>
              <w:spacing w:after="0"/>
              <w:rPr>
                <w:sz w:val="1"/>
                <w:szCs w:val="1"/>
                <w:color w:val="auto"/>
              </w:rPr>
            </w:pPr>
          </w:p>
        </w:tc>
      </w:tr>
      <w:tr>
        <w:trPr>
          <w:trHeight w:val="142"/>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Total S/ Millions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36,851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9"/>
              </w:rPr>
              <w:t>100%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38,113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9"/>
              </w:rPr>
              <w:t>100%</w:t>
            </w:r>
          </w:p>
        </w:tc>
        <w:tc>
          <w:tcPr>
            <w:tcW w:w="0" w:type="dxa"/>
            <w:vAlign w:val="bottom"/>
          </w:tcPr>
          <w:p>
            <w:pPr>
              <w:spacing w:after="0"/>
              <w:rPr>
                <w:sz w:val="1"/>
                <w:szCs w:val="1"/>
                <w:color w:val="auto"/>
              </w:rPr>
            </w:pPr>
          </w:p>
        </w:tc>
      </w:tr>
      <w:tr>
        <w:trPr>
          <w:trHeight w:val="139"/>
        </w:trPr>
        <w:tc>
          <w:tcPr>
            <w:tcW w:w="2720" w:type="dxa"/>
            <w:vAlign w:val="bottom"/>
          </w:tcPr>
          <w:p>
            <w:pPr>
              <w:ind w:left="40"/>
              <w:spacing w:after="0"/>
              <w:rPr>
                <w:sz w:val="20"/>
                <w:szCs w:val="20"/>
                <w:color w:val="auto"/>
              </w:rPr>
            </w:pPr>
            <w:r>
              <w:rPr>
                <w:rFonts w:ascii="Arial" w:cs="Arial" w:eastAsia="Arial" w:hAnsi="Arial"/>
                <w:sz w:val="11"/>
                <w:szCs w:val="11"/>
                <w:color w:val="auto"/>
              </w:rPr>
              <w:t>Source: SBS</w:t>
            </w:r>
          </w:p>
        </w:tc>
        <w:tc>
          <w:tcPr>
            <w:tcW w:w="1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Nominal profitability over the last 12 months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940" w:type="dxa"/>
            <w:vAlign w:val="bottom"/>
            <w:tcBorders>
              <w:top w:val="single" w:sz="8" w:color="auto"/>
              <w:left w:val="single" w:sz="8" w:color="auto"/>
              <w:bottom w:val="single" w:sz="8" w:color="auto"/>
              <w:right w:val="single" w:sz="8" w:color="auto"/>
            </w:tcBorders>
            <w:shd w:val="clear" w:color="auto" w:fill="2AD2C9"/>
          </w:tcPr>
          <w:p>
            <w:pPr>
              <w:spacing w:after="0"/>
              <w:rPr>
                <w:sz w:val="14"/>
                <w:szCs w:val="14"/>
                <w:color w:val="auto"/>
              </w:rPr>
            </w:pPr>
          </w:p>
        </w:tc>
        <w:tc>
          <w:tcPr>
            <w:tcW w:w="1680" w:type="dxa"/>
            <w:vAlign w:val="bottom"/>
            <w:tcBorders>
              <w:top w:val="single" w:sz="8" w:color="auto"/>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Dec 23 / Dec 22(1)</w:t>
            </w:r>
          </w:p>
        </w:tc>
        <w:tc>
          <w:tcPr>
            <w:tcW w:w="1680" w:type="dxa"/>
            <w:vAlign w:val="bottom"/>
            <w:tcBorders>
              <w:top w:val="single" w:sz="8" w:color="auto"/>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1"/>
                <w:szCs w:val="11"/>
                <w:b w:val="1"/>
                <w:bCs w:val="1"/>
                <w:color w:val="FFFFFF"/>
              </w:rPr>
              <w:t>Mar 24 / Mar 23(1)</w:t>
            </w:r>
          </w:p>
        </w:tc>
      </w:tr>
      <w:tr>
        <w:trPr>
          <w:trHeight w:val="156"/>
        </w:trPr>
        <w:tc>
          <w:tcPr>
            <w:tcW w:w="39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8.3%</w:t>
            </w:r>
          </w:p>
        </w:tc>
      </w:tr>
      <w:tr>
        <w:trPr>
          <w:trHeight w:val="175"/>
        </w:trPr>
        <w:tc>
          <w:tcPr>
            <w:tcW w:w="39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16.4%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12.3%</w:t>
            </w:r>
          </w:p>
        </w:tc>
      </w:tr>
      <w:tr>
        <w:trPr>
          <w:trHeight w:val="175"/>
        </w:trPr>
        <w:tc>
          <w:tcPr>
            <w:tcW w:w="39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10.3%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8.7%</w:t>
            </w:r>
          </w:p>
        </w:tc>
      </w:tr>
      <w:tr>
        <w:trPr>
          <w:trHeight w:val="189"/>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color w:val="auto"/>
              </w:rPr>
              <w:t>Fund 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5.0%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10.1%</w:t>
            </w:r>
          </w:p>
        </w:tc>
      </w:tr>
      <w:tr>
        <w:trPr>
          <w:trHeight w:val="142"/>
        </w:trPr>
        <w:tc>
          <w:tcPr>
            <w:tcW w:w="3940" w:type="dxa"/>
            <w:vAlign w:val="bottom"/>
          </w:tcPr>
          <w:p>
            <w:pPr>
              <w:spacing w:after="0"/>
              <w:rPr>
                <w:sz w:val="20"/>
                <w:szCs w:val="20"/>
                <w:color w:val="auto"/>
              </w:rPr>
            </w:pPr>
            <w:r>
              <w:rPr>
                <w:rFonts w:ascii="Arial" w:cs="Arial" w:eastAsia="Arial" w:hAnsi="Arial"/>
                <w:sz w:val="11"/>
                <w:szCs w:val="11"/>
                <w:color w:val="auto"/>
              </w:rPr>
              <w:t>(1) Includes new methodology of SBS to calculate quota value.</w:t>
            </w:r>
          </w:p>
        </w:tc>
        <w:tc>
          <w:tcPr>
            <w:tcW w:w="168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AFP commissions</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500" w:type="dxa"/>
            <w:vAlign w:val="bottom"/>
            <w:tcBorders>
              <w:top w:val="single" w:sz="8" w:color="auto"/>
              <w:left w:val="single" w:sz="8" w:color="auto"/>
              <w:bottom w:val="single" w:sz="8" w:color="auto"/>
            </w:tcBorders>
            <w:shd w:val="clear" w:color="auto" w:fill="2AD2C9"/>
          </w:tcPr>
          <w:p>
            <w:pPr>
              <w:ind w:left="60"/>
              <w:spacing w:after="0"/>
              <w:rPr>
                <w:sz w:val="20"/>
                <w:szCs w:val="20"/>
                <w:color w:val="auto"/>
              </w:rPr>
            </w:pPr>
            <w:r>
              <w:rPr>
                <w:rFonts w:ascii="Arial" w:cs="Arial" w:eastAsia="Arial" w:hAnsi="Arial"/>
                <w:sz w:val="11"/>
                <w:szCs w:val="11"/>
                <w:b w:val="1"/>
                <w:bCs w:val="1"/>
                <w:color w:val="FFFFFF"/>
              </w:rPr>
              <w:t>Fee based on flow</w:t>
            </w:r>
          </w:p>
        </w:tc>
        <w:tc>
          <w:tcPr>
            <w:tcW w:w="860" w:type="dxa"/>
            <w:vAlign w:val="bottom"/>
            <w:tcBorders>
              <w:top w:val="single" w:sz="8" w:color="auto"/>
              <w:bottom w:val="single" w:sz="8" w:color="auto"/>
              <w:right w:val="single" w:sz="8" w:color="auto"/>
            </w:tcBorders>
            <w:shd w:val="clear" w:color="auto" w:fill="2AD2C9"/>
          </w:tcPr>
          <w:p>
            <w:pPr>
              <w:jc w:val="right"/>
              <w:ind w:right="6"/>
              <w:spacing w:after="0"/>
              <w:rPr>
                <w:sz w:val="20"/>
                <w:szCs w:val="20"/>
                <w:color w:val="auto"/>
              </w:rPr>
            </w:pPr>
            <w:r>
              <w:rPr>
                <w:rFonts w:ascii="Arial" w:cs="Arial" w:eastAsia="Arial" w:hAnsi="Arial"/>
                <w:sz w:val="11"/>
                <w:szCs w:val="11"/>
                <w:color w:val="FFFFFF"/>
              </w:rPr>
              <w:t>1.60%</w:t>
            </w:r>
          </w:p>
        </w:tc>
        <w:tc>
          <w:tcPr>
            <w:tcW w:w="5520" w:type="dxa"/>
            <w:vAlign w:val="bottom"/>
            <w:tcBorders>
              <w:top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Applied to the affiliates’ monthly remuneration</w:t>
            </w:r>
          </w:p>
        </w:tc>
      </w:tr>
      <w:tr>
        <w:trPr>
          <w:trHeight w:val="162"/>
        </w:trPr>
        <w:tc>
          <w:tcPr>
            <w:tcW w:w="1500" w:type="dxa"/>
            <w:vAlign w:val="bottom"/>
            <w:tcBorders>
              <w:left w:val="single" w:sz="8" w:color="auto"/>
            </w:tcBorders>
          </w:tcPr>
          <w:p>
            <w:pPr>
              <w:ind w:left="60"/>
              <w:spacing w:after="0"/>
              <w:rPr>
                <w:sz w:val="20"/>
                <w:szCs w:val="20"/>
                <w:color w:val="auto"/>
              </w:rPr>
            </w:pPr>
            <w:r>
              <w:rPr>
                <w:rFonts w:ascii="Arial" w:cs="Arial" w:eastAsia="Arial" w:hAnsi="Arial"/>
                <w:sz w:val="11"/>
                <w:szCs w:val="11"/>
                <w:b w:val="1"/>
                <w:bCs w:val="1"/>
                <w:color w:val="auto"/>
              </w:rPr>
              <w:t>Mixed fee</w:t>
            </w:r>
          </w:p>
        </w:tc>
        <w:tc>
          <w:tcPr>
            <w:tcW w:w="860" w:type="dxa"/>
            <w:vAlign w:val="bottom"/>
            <w:tcBorders>
              <w:right w:val="single" w:sz="8" w:color="auto"/>
            </w:tcBorders>
          </w:tcPr>
          <w:p>
            <w:pPr>
              <w:spacing w:after="0"/>
              <w:rPr>
                <w:sz w:val="14"/>
                <w:szCs w:val="1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Applies annualy to the new balance since February 2013 for new affiliates to the system and beginning on June</w:t>
            </w:r>
          </w:p>
        </w:tc>
      </w:tr>
      <w:tr>
        <w:trPr>
          <w:trHeight w:val="182"/>
        </w:trPr>
        <w:tc>
          <w:tcPr>
            <w:tcW w:w="15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1"/>
                <w:szCs w:val="11"/>
                <w:color w:val="auto"/>
              </w:rPr>
              <w:t>Balance</w:t>
            </w:r>
          </w:p>
        </w:tc>
        <w:tc>
          <w:tcPr>
            <w:tcW w:w="8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1.25%</w:t>
            </w:r>
          </w:p>
        </w:tc>
        <w:tc>
          <w:tcPr>
            <w:tcW w:w="5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2013 for old affiliates who have chosen this commission scheme.</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412230" cy="711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12230" cy="7112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1"/>
        </w:trPr>
        <w:tc>
          <w:tcPr>
            <w:tcW w:w="3520" w:type="dxa"/>
            <w:vAlign w:val="bottom"/>
            <w:tcBorders>
              <w:top w:val="single" w:sz="8" w:color="auto"/>
            </w:tcBorders>
            <w:vMerge w:val="restart"/>
            <w:shd w:val="clear" w:color="auto" w:fill="2AD2C9"/>
          </w:tcPr>
          <w:p>
            <w:pPr>
              <w:ind w:left="60"/>
              <w:spacing w:after="0"/>
              <w:rPr>
                <w:sz w:val="20"/>
                <w:szCs w:val="20"/>
                <w:color w:val="auto"/>
              </w:rPr>
            </w:pPr>
            <w:r>
              <w:rPr>
                <w:rFonts w:ascii="Arial" w:cs="Arial" w:eastAsia="Arial" w:hAnsi="Arial"/>
                <w:sz w:val="13"/>
                <w:szCs w:val="13"/>
                <w:b w:val="1"/>
                <w:bCs w:val="1"/>
                <w:color w:val="FFFFFF"/>
              </w:rPr>
              <w:t>Main indicators and market share</w:t>
            </w:r>
          </w:p>
        </w:tc>
        <w:tc>
          <w:tcPr>
            <w:tcW w:w="2260" w:type="dxa"/>
            <w:vAlign w:val="bottom"/>
            <w:tcBorders>
              <w:top w:val="single" w:sz="8" w:color="auto"/>
            </w:tcBorders>
            <w:shd w:val="clear" w:color="auto" w:fill="2AD2C9"/>
          </w:tcPr>
          <w:p>
            <w:pPr>
              <w:jc w:val="right"/>
              <w:ind w:right="558"/>
              <w:spacing w:after="0" w:line="111" w:lineRule="exact"/>
              <w:rPr>
                <w:sz w:val="20"/>
                <w:szCs w:val="20"/>
                <w:color w:val="auto"/>
              </w:rPr>
            </w:pPr>
            <w:r>
              <w:rPr>
                <w:rFonts w:ascii="Arial" w:cs="Arial" w:eastAsia="Arial" w:hAnsi="Arial"/>
                <w:sz w:val="12"/>
                <w:szCs w:val="12"/>
                <w:b w:val="1"/>
                <w:bCs w:val="1"/>
                <w:color w:val="FFFFFF"/>
              </w:rPr>
              <w:t>Prima</w:t>
            </w:r>
          </w:p>
        </w:tc>
        <w:tc>
          <w:tcPr>
            <w:tcW w:w="1220" w:type="dxa"/>
            <w:vAlign w:val="bottom"/>
            <w:tcBorders>
              <w:top w:val="single" w:sz="8" w:color="auto"/>
            </w:tcBorders>
            <w:shd w:val="clear" w:color="auto" w:fill="2AD2C9"/>
          </w:tcPr>
          <w:p>
            <w:pPr>
              <w:jc w:val="right"/>
              <w:ind w:right="498"/>
              <w:spacing w:after="0" w:line="111" w:lineRule="exact"/>
              <w:rPr>
                <w:sz w:val="20"/>
                <w:szCs w:val="20"/>
                <w:color w:val="auto"/>
              </w:rPr>
            </w:pPr>
            <w:r>
              <w:rPr>
                <w:rFonts w:ascii="Arial" w:cs="Arial" w:eastAsia="Arial" w:hAnsi="Arial"/>
                <w:sz w:val="12"/>
                <w:szCs w:val="12"/>
                <w:b w:val="1"/>
                <w:bCs w:val="1"/>
                <w:color w:val="FFFFFF"/>
              </w:rPr>
              <w:t>System</w:t>
            </w:r>
          </w:p>
        </w:tc>
        <w:tc>
          <w:tcPr>
            <w:tcW w:w="1200" w:type="dxa"/>
            <w:vAlign w:val="bottom"/>
            <w:tcBorders>
              <w:top w:val="single" w:sz="8" w:color="auto"/>
            </w:tcBorders>
            <w:shd w:val="clear" w:color="auto" w:fill="2AD2C9"/>
          </w:tcPr>
          <w:p>
            <w:pPr>
              <w:jc w:val="right"/>
              <w:ind w:right="458"/>
              <w:spacing w:after="0" w:line="111" w:lineRule="exact"/>
              <w:rPr>
                <w:sz w:val="20"/>
                <w:szCs w:val="20"/>
                <w:color w:val="auto"/>
              </w:rPr>
            </w:pPr>
            <w:r>
              <w:rPr>
                <w:rFonts w:ascii="Arial" w:cs="Arial" w:eastAsia="Arial" w:hAnsi="Arial"/>
                <w:sz w:val="12"/>
                <w:szCs w:val="12"/>
                <w:b w:val="1"/>
                <w:bCs w:val="1"/>
                <w:color w:val="FFFFFF"/>
              </w:rPr>
              <w:t>% share</w:t>
            </w:r>
          </w:p>
        </w:tc>
        <w:tc>
          <w:tcPr>
            <w:tcW w:w="920" w:type="dxa"/>
            <w:vAlign w:val="bottom"/>
            <w:tcBorders>
              <w:top w:val="single" w:sz="8" w:color="auto"/>
            </w:tcBorders>
            <w:shd w:val="clear" w:color="auto" w:fill="2AD2C9"/>
          </w:tcPr>
          <w:p>
            <w:pPr>
              <w:jc w:val="right"/>
              <w:ind w:right="318"/>
              <w:spacing w:after="0" w:line="111" w:lineRule="exact"/>
              <w:rPr>
                <w:sz w:val="20"/>
                <w:szCs w:val="20"/>
                <w:color w:val="auto"/>
              </w:rPr>
            </w:pPr>
            <w:r>
              <w:rPr>
                <w:rFonts w:ascii="Arial" w:cs="Arial" w:eastAsia="Arial" w:hAnsi="Arial"/>
                <w:sz w:val="12"/>
                <w:szCs w:val="12"/>
                <w:b w:val="1"/>
                <w:bCs w:val="1"/>
                <w:color w:val="FFFFFF"/>
              </w:rPr>
              <w:t>Prima</w:t>
            </w:r>
          </w:p>
        </w:tc>
        <w:tc>
          <w:tcPr>
            <w:tcW w:w="980" w:type="dxa"/>
            <w:vAlign w:val="bottom"/>
            <w:tcBorders>
              <w:top w:val="single" w:sz="8" w:color="auto"/>
            </w:tcBorders>
            <w:vMerge w:val="restart"/>
            <w:shd w:val="clear" w:color="auto" w:fill="2AD2C9"/>
          </w:tcPr>
          <w:p>
            <w:pPr>
              <w:jc w:val="right"/>
              <w:ind w:right="38"/>
              <w:spacing w:after="0"/>
              <w:rPr>
                <w:sz w:val="20"/>
                <w:szCs w:val="20"/>
                <w:color w:val="auto"/>
              </w:rPr>
            </w:pPr>
            <w:r>
              <w:rPr>
                <w:rFonts w:ascii="Arial" w:cs="Arial" w:eastAsia="Arial" w:hAnsi="Arial"/>
                <w:sz w:val="13"/>
                <w:szCs w:val="13"/>
                <w:b w:val="1"/>
                <w:bCs w:val="1"/>
                <w:color w:val="FFFFFF"/>
              </w:rPr>
              <w:t>System 1Q24</w:t>
            </w:r>
          </w:p>
        </w:tc>
        <w:tc>
          <w:tcPr>
            <w:tcW w:w="0" w:type="dxa"/>
            <w:vAlign w:val="bottom"/>
          </w:tcPr>
          <w:p>
            <w:pPr>
              <w:spacing w:after="0"/>
              <w:rPr>
                <w:sz w:val="1"/>
                <w:szCs w:val="1"/>
                <w:color w:val="auto"/>
              </w:rPr>
            </w:pPr>
          </w:p>
        </w:tc>
      </w:tr>
      <w:tr>
        <w:trPr>
          <w:trHeight w:val="153"/>
        </w:trPr>
        <w:tc>
          <w:tcPr>
            <w:tcW w:w="3520" w:type="dxa"/>
            <w:vAlign w:val="bottom"/>
            <w:tcBorders>
              <w:bottom w:val="single" w:sz="8" w:color="2AD2C9"/>
            </w:tcBorders>
            <w:vMerge w:val="continue"/>
            <w:shd w:val="clear" w:color="auto" w:fill="2AD2C9"/>
          </w:tcPr>
          <w:p>
            <w:pPr>
              <w:spacing w:after="0"/>
              <w:rPr>
                <w:sz w:val="13"/>
                <w:szCs w:val="13"/>
                <w:color w:val="auto"/>
              </w:rPr>
            </w:pPr>
          </w:p>
        </w:tc>
        <w:tc>
          <w:tcPr>
            <w:tcW w:w="2260" w:type="dxa"/>
            <w:vAlign w:val="bottom"/>
            <w:tcBorders>
              <w:bottom w:val="single" w:sz="8" w:color="2AD2C9"/>
            </w:tcBorders>
            <w:shd w:val="clear" w:color="auto" w:fill="2AD2C9"/>
          </w:tcPr>
          <w:p>
            <w:pPr>
              <w:jc w:val="right"/>
              <w:ind w:right="578"/>
              <w:spacing w:after="0"/>
              <w:rPr>
                <w:sz w:val="20"/>
                <w:szCs w:val="20"/>
                <w:color w:val="auto"/>
              </w:rPr>
            </w:pPr>
            <w:r>
              <w:rPr>
                <w:rFonts w:ascii="Arial" w:cs="Arial" w:eastAsia="Arial" w:hAnsi="Arial"/>
                <w:sz w:val="13"/>
                <w:szCs w:val="13"/>
                <w:b w:val="1"/>
                <w:bCs w:val="1"/>
                <w:color w:val="FFFFFF"/>
              </w:rPr>
              <w:t>4Q23</w:t>
            </w:r>
          </w:p>
        </w:tc>
        <w:tc>
          <w:tcPr>
            <w:tcW w:w="1220" w:type="dxa"/>
            <w:vAlign w:val="bottom"/>
            <w:tcBorders>
              <w:bottom w:val="single" w:sz="8" w:color="2AD2C9"/>
            </w:tcBorders>
            <w:shd w:val="clear" w:color="auto" w:fill="2AD2C9"/>
          </w:tcPr>
          <w:p>
            <w:pPr>
              <w:jc w:val="right"/>
              <w:ind w:right="578"/>
              <w:spacing w:after="0"/>
              <w:rPr>
                <w:sz w:val="20"/>
                <w:szCs w:val="20"/>
                <w:color w:val="auto"/>
              </w:rPr>
            </w:pPr>
            <w:r>
              <w:rPr>
                <w:rFonts w:ascii="Arial" w:cs="Arial" w:eastAsia="Arial" w:hAnsi="Arial"/>
                <w:sz w:val="13"/>
                <w:szCs w:val="13"/>
                <w:b w:val="1"/>
                <w:bCs w:val="1"/>
                <w:color w:val="FFFFFF"/>
              </w:rPr>
              <w:t>4Q23</w:t>
            </w:r>
          </w:p>
        </w:tc>
        <w:tc>
          <w:tcPr>
            <w:tcW w:w="1200" w:type="dxa"/>
            <w:vAlign w:val="bottom"/>
            <w:tcBorders>
              <w:bottom w:val="single" w:sz="8" w:color="2AD2C9"/>
            </w:tcBorders>
            <w:shd w:val="clear" w:color="auto" w:fill="2AD2C9"/>
          </w:tcPr>
          <w:p>
            <w:pPr>
              <w:jc w:val="right"/>
              <w:ind w:right="538"/>
              <w:spacing w:after="0"/>
              <w:rPr>
                <w:sz w:val="20"/>
                <w:szCs w:val="20"/>
                <w:color w:val="auto"/>
              </w:rPr>
            </w:pPr>
            <w:r>
              <w:rPr>
                <w:rFonts w:ascii="Arial" w:cs="Arial" w:eastAsia="Arial" w:hAnsi="Arial"/>
                <w:sz w:val="13"/>
                <w:szCs w:val="13"/>
                <w:b w:val="1"/>
                <w:bCs w:val="1"/>
                <w:color w:val="FFFFFF"/>
              </w:rPr>
              <w:t>4Q23</w:t>
            </w:r>
          </w:p>
        </w:tc>
        <w:tc>
          <w:tcPr>
            <w:tcW w:w="920" w:type="dxa"/>
            <w:vAlign w:val="bottom"/>
            <w:tcBorders>
              <w:bottom w:val="single" w:sz="8" w:color="2AD2C9"/>
            </w:tcBorders>
            <w:shd w:val="clear" w:color="auto" w:fill="2AD2C9"/>
          </w:tcPr>
          <w:p>
            <w:pPr>
              <w:jc w:val="right"/>
              <w:ind w:right="338"/>
              <w:spacing w:after="0"/>
              <w:rPr>
                <w:sz w:val="20"/>
                <w:szCs w:val="20"/>
                <w:color w:val="auto"/>
              </w:rPr>
            </w:pPr>
            <w:r>
              <w:rPr>
                <w:rFonts w:ascii="Arial" w:cs="Arial" w:eastAsia="Arial" w:hAnsi="Arial"/>
                <w:sz w:val="13"/>
                <w:szCs w:val="13"/>
                <w:b w:val="1"/>
                <w:bCs w:val="1"/>
                <w:color w:val="FFFFFF"/>
              </w:rPr>
              <w:t>1Q24</w:t>
            </w:r>
          </w:p>
        </w:tc>
        <w:tc>
          <w:tcPr>
            <w:tcW w:w="980" w:type="dxa"/>
            <w:vAlign w:val="bottom"/>
            <w:tcBorders>
              <w:bottom w:val="single" w:sz="8" w:color="2AD2C9"/>
            </w:tcBorders>
            <w:vMerge w:val="continue"/>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520" w:type="dxa"/>
            <w:vAlign w:val="bottom"/>
            <w:tcBorders>
              <w:top w:val="single" w:sz="8" w:color="auto"/>
            </w:tcBorders>
          </w:tcPr>
          <w:p>
            <w:pPr>
              <w:ind w:left="60"/>
              <w:spacing w:after="0" w:line="111" w:lineRule="exact"/>
              <w:rPr>
                <w:sz w:val="20"/>
                <w:szCs w:val="20"/>
                <w:color w:val="auto"/>
              </w:rPr>
            </w:pPr>
            <w:r>
              <w:rPr>
                <w:rFonts w:ascii="Arial" w:cs="Arial" w:eastAsia="Arial" w:hAnsi="Arial"/>
                <w:sz w:val="12"/>
                <w:szCs w:val="12"/>
                <w:color w:val="auto"/>
              </w:rPr>
              <w:t>Affiliates</w:t>
            </w:r>
          </w:p>
        </w:tc>
        <w:tc>
          <w:tcPr>
            <w:tcW w:w="2260" w:type="dxa"/>
            <w:vAlign w:val="bottom"/>
            <w:tcBorders>
              <w:top w:val="single" w:sz="8" w:color="auto"/>
            </w:tcBorders>
          </w:tcPr>
          <w:p>
            <w:pPr>
              <w:jc w:val="right"/>
              <w:ind w:right="158"/>
              <w:spacing w:after="0" w:line="111" w:lineRule="exact"/>
              <w:rPr>
                <w:sz w:val="20"/>
                <w:szCs w:val="20"/>
                <w:color w:val="auto"/>
              </w:rPr>
            </w:pPr>
            <w:r>
              <w:rPr>
                <w:rFonts w:ascii="Arial" w:cs="Arial" w:eastAsia="Arial" w:hAnsi="Arial"/>
                <w:sz w:val="12"/>
                <w:szCs w:val="12"/>
                <w:color w:val="auto"/>
              </w:rPr>
              <w:t>2,342,422</w:t>
            </w:r>
          </w:p>
        </w:tc>
        <w:tc>
          <w:tcPr>
            <w:tcW w:w="1220" w:type="dxa"/>
            <w:vAlign w:val="bottom"/>
            <w:tcBorders>
              <w:top w:val="single" w:sz="8" w:color="auto"/>
            </w:tcBorders>
          </w:tcPr>
          <w:p>
            <w:pPr>
              <w:jc w:val="right"/>
              <w:ind w:right="158"/>
              <w:spacing w:after="0" w:line="111" w:lineRule="exact"/>
              <w:rPr>
                <w:sz w:val="20"/>
                <w:szCs w:val="20"/>
                <w:color w:val="auto"/>
              </w:rPr>
            </w:pPr>
            <w:r>
              <w:rPr>
                <w:rFonts w:ascii="Arial" w:cs="Arial" w:eastAsia="Arial" w:hAnsi="Arial"/>
                <w:sz w:val="12"/>
                <w:szCs w:val="12"/>
                <w:color w:val="auto"/>
              </w:rPr>
              <w:t>9,285,783</w:t>
            </w:r>
          </w:p>
        </w:tc>
        <w:tc>
          <w:tcPr>
            <w:tcW w:w="1200" w:type="dxa"/>
            <w:vAlign w:val="bottom"/>
            <w:tcBorders>
              <w:top w:val="single" w:sz="8" w:color="auto"/>
            </w:tcBorders>
          </w:tcPr>
          <w:p>
            <w:pPr>
              <w:jc w:val="right"/>
              <w:ind w:right="118"/>
              <w:spacing w:after="0" w:line="111" w:lineRule="exact"/>
              <w:rPr>
                <w:sz w:val="20"/>
                <w:szCs w:val="20"/>
                <w:color w:val="auto"/>
              </w:rPr>
            </w:pPr>
            <w:r>
              <w:rPr>
                <w:rFonts w:ascii="Arial" w:cs="Arial" w:eastAsia="Arial" w:hAnsi="Arial"/>
                <w:sz w:val="12"/>
                <w:szCs w:val="12"/>
                <w:color w:val="auto"/>
              </w:rPr>
              <w:t>25.2%</w:t>
            </w:r>
          </w:p>
        </w:tc>
        <w:tc>
          <w:tcPr>
            <w:tcW w:w="920" w:type="dxa"/>
            <w:vAlign w:val="bottom"/>
            <w:tcBorders>
              <w:top w:val="single" w:sz="8" w:color="auto"/>
            </w:tcBorders>
          </w:tcPr>
          <w:p>
            <w:pPr>
              <w:jc w:val="right"/>
              <w:ind w:right="18"/>
              <w:spacing w:after="0" w:line="111" w:lineRule="exact"/>
              <w:rPr>
                <w:sz w:val="20"/>
                <w:szCs w:val="20"/>
                <w:color w:val="auto"/>
              </w:rPr>
            </w:pPr>
            <w:r>
              <w:rPr>
                <w:rFonts w:ascii="Arial" w:cs="Arial" w:eastAsia="Arial" w:hAnsi="Arial"/>
                <w:sz w:val="12"/>
                <w:szCs w:val="12"/>
                <w:color w:val="auto"/>
              </w:rPr>
              <w:t>2,342,539</w:t>
            </w:r>
          </w:p>
        </w:tc>
        <w:tc>
          <w:tcPr>
            <w:tcW w:w="9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9,409,604</w:t>
            </w:r>
          </w:p>
        </w:tc>
        <w:tc>
          <w:tcPr>
            <w:tcW w:w="0" w:type="dxa"/>
            <w:vAlign w:val="bottom"/>
          </w:tcPr>
          <w:p>
            <w:pPr>
              <w:spacing w:after="0"/>
              <w:rPr>
                <w:sz w:val="1"/>
                <w:szCs w:val="1"/>
                <w:color w:val="auto"/>
              </w:rPr>
            </w:pPr>
          </w:p>
        </w:tc>
      </w:tr>
      <w:tr>
        <w:trPr>
          <w:trHeight w:val="135"/>
        </w:trPr>
        <w:tc>
          <w:tcPr>
            <w:tcW w:w="3520" w:type="dxa"/>
            <w:vAlign w:val="bottom"/>
          </w:tcPr>
          <w:p>
            <w:pPr>
              <w:ind w:left="60"/>
              <w:spacing w:after="0" w:line="135" w:lineRule="exact"/>
              <w:rPr>
                <w:sz w:val="20"/>
                <w:szCs w:val="20"/>
                <w:color w:val="auto"/>
              </w:rPr>
            </w:pPr>
            <w:r>
              <w:rPr>
                <w:rFonts w:ascii="Arial" w:cs="Arial" w:eastAsia="Arial" w:hAnsi="Arial"/>
                <w:sz w:val="13"/>
                <w:szCs w:val="13"/>
                <w:color w:val="auto"/>
              </w:rPr>
              <w:t>New affiliations</w:t>
            </w:r>
          </w:p>
        </w:tc>
        <w:tc>
          <w:tcPr>
            <w:tcW w:w="226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107,451</w:t>
            </w:r>
          </w:p>
        </w:tc>
        <w:tc>
          <w:tcPr>
            <w:tcW w:w="120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0.0%</w:t>
            </w:r>
          </w:p>
        </w:tc>
        <w:tc>
          <w:tcPr>
            <w:tcW w:w="920" w:type="dxa"/>
            <w:vAlign w:val="bottom"/>
          </w:tcPr>
          <w:p>
            <w:pPr>
              <w:jc w:val="right"/>
              <w:ind w:right="198"/>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128,591</w:t>
            </w:r>
          </w:p>
        </w:tc>
        <w:tc>
          <w:tcPr>
            <w:tcW w:w="0" w:type="dxa"/>
            <w:vAlign w:val="bottom"/>
          </w:tcPr>
          <w:p>
            <w:pPr>
              <w:spacing w:after="0"/>
              <w:rPr>
                <w:sz w:val="1"/>
                <w:szCs w:val="1"/>
                <w:color w:val="auto"/>
              </w:rPr>
            </w:pPr>
          </w:p>
        </w:tc>
      </w:tr>
      <w:tr>
        <w:trPr>
          <w:trHeight w:val="135"/>
        </w:trPr>
        <w:tc>
          <w:tcPr>
            <w:tcW w:w="3520" w:type="dxa"/>
            <w:vAlign w:val="bottom"/>
          </w:tcPr>
          <w:p>
            <w:pPr>
              <w:ind w:left="60"/>
              <w:spacing w:after="0" w:line="135" w:lineRule="exact"/>
              <w:rPr>
                <w:sz w:val="20"/>
                <w:szCs w:val="20"/>
                <w:color w:val="auto"/>
              </w:rPr>
            </w:pPr>
            <w:r>
              <w:rPr>
                <w:rFonts w:ascii="Arial" w:cs="Arial" w:eastAsia="Arial" w:hAnsi="Arial"/>
                <w:sz w:val="13"/>
                <w:szCs w:val="13"/>
                <w:color w:val="auto"/>
              </w:rPr>
              <w:t>Funds under management (S/ Millions)</w:t>
            </w:r>
          </w:p>
        </w:tc>
        <w:tc>
          <w:tcPr>
            <w:tcW w:w="226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36,851</w:t>
            </w:r>
          </w:p>
        </w:tc>
        <w:tc>
          <w:tcPr>
            <w:tcW w:w="122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122,806</w:t>
            </w:r>
          </w:p>
        </w:tc>
        <w:tc>
          <w:tcPr>
            <w:tcW w:w="120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30.0%</w:t>
            </w:r>
          </w:p>
        </w:tc>
        <w:tc>
          <w:tcPr>
            <w:tcW w:w="920" w:type="dxa"/>
            <w:vAlign w:val="bottom"/>
          </w:tcPr>
          <w:p>
            <w:pPr>
              <w:jc w:val="right"/>
              <w:ind w:right="18"/>
              <w:spacing w:after="0" w:line="135" w:lineRule="exact"/>
              <w:rPr>
                <w:sz w:val="20"/>
                <w:szCs w:val="20"/>
                <w:color w:val="auto"/>
              </w:rPr>
            </w:pPr>
            <w:r>
              <w:rPr>
                <w:rFonts w:ascii="Arial" w:cs="Arial" w:eastAsia="Arial" w:hAnsi="Arial"/>
                <w:sz w:val="13"/>
                <w:szCs w:val="13"/>
                <w:color w:val="auto"/>
              </w:rPr>
              <w:t>38,113</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126,617</w:t>
            </w:r>
          </w:p>
        </w:tc>
        <w:tc>
          <w:tcPr>
            <w:tcW w:w="0" w:type="dxa"/>
            <w:vAlign w:val="bottom"/>
          </w:tcPr>
          <w:p>
            <w:pPr>
              <w:spacing w:after="0"/>
              <w:rPr>
                <w:sz w:val="1"/>
                <w:szCs w:val="1"/>
                <w:color w:val="auto"/>
              </w:rPr>
            </w:pPr>
          </w:p>
        </w:tc>
      </w:tr>
      <w:tr>
        <w:trPr>
          <w:trHeight w:val="135"/>
        </w:trPr>
        <w:tc>
          <w:tcPr>
            <w:tcW w:w="3520" w:type="dxa"/>
            <w:vAlign w:val="bottom"/>
          </w:tcPr>
          <w:p>
            <w:pPr>
              <w:ind w:left="60"/>
              <w:spacing w:after="0" w:line="135" w:lineRule="exact"/>
              <w:rPr>
                <w:sz w:val="20"/>
                <w:szCs w:val="20"/>
                <w:color w:val="auto"/>
              </w:rPr>
            </w:pPr>
            <w:r>
              <w:rPr>
                <w:rFonts w:ascii="Arial" w:cs="Arial" w:eastAsia="Arial" w:hAnsi="Arial"/>
                <w:sz w:val="13"/>
                <w:szCs w:val="13"/>
                <w:color w:val="auto"/>
              </w:rPr>
              <w:t>Collections (S/ Millions)</w:t>
            </w:r>
          </w:p>
        </w:tc>
        <w:tc>
          <w:tcPr>
            <w:tcW w:w="226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1,030</w:t>
            </w:r>
          </w:p>
        </w:tc>
        <w:tc>
          <w:tcPr>
            <w:tcW w:w="1220" w:type="dxa"/>
            <w:vAlign w:val="bottom"/>
          </w:tcPr>
          <w:p>
            <w:pPr>
              <w:jc w:val="right"/>
              <w:ind w:right="158"/>
              <w:spacing w:after="0" w:line="135" w:lineRule="exact"/>
              <w:rPr>
                <w:sz w:val="20"/>
                <w:szCs w:val="20"/>
                <w:color w:val="auto"/>
              </w:rPr>
            </w:pPr>
            <w:r>
              <w:rPr>
                <w:rFonts w:ascii="Arial" w:cs="Arial" w:eastAsia="Arial" w:hAnsi="Arial"/>
                <w:sz w:val="13"/>
                <w:szCs w:val="13"/>
                <w:color w:val="auto"/>
              </w:rPr>
              <w:t>3,783</w:t>
            </w:r>
          </w:p>
        </w:tc>
        <w:tc>
          <w:tcPr>
            <w:tcW w:w="1200" w:type="dxa"/>
            <w:vAlign w:val="bottom"/>
          </w:tcPr>
          <w:p>
            <w:pPr>
              <w:jc w:val="right"/>
              <w:ind w:right="118"/>
              <w:spacing w:after="0" w:line="135" w:lineRule="exact"/>
              <w:rPr>
                <w:sz w:val="20"/>
                <w:szCs w:val="20"/>
                <w:color w:val="auto"/>
              </w:rPr>
            </w:pPr>
            <w:r>
              <w:rPr>
                <w:rFonts w:ascii="Arial" w:cs="Arial" w:eastAsia="Arial" w:hAnsi="Arial"/>
                <w:sz w:val="13"/>
                <w:szCs w:val="13"/>
                <w:color w:val="auto"/>
              </w:rPr>
              <w:t>27.2%</w:t>
            </w:r>
          </w:p>
        </w:tc>
        <w:tc>
          <w:tcPr>
            <w:tcW w:w="920" w:type="dxa"/>
            <w:vAlign w:val="bottom"/>
          </w:tcPr>
          <w:p>
            <w:pPr>
              <w:jc w:val="right"/>
              <w:ind w:right="18"/>
              <w:spacing w:after="0" w:line="135" w:lineRule="exact"/>
              <w:rPr>
                <w:sz w:val="20"/>
                <w:szCs w:val="20"/>
                <w:color w:val="auto"/>
              </w:rPr>
            </w:pPr>
            <w:r>
              <w:rPr>
                <w:rFonts w:ascii="Arial" w:cs="Arial" w:eastAsia="Arial" w:hAnsi="Arial"/>
                <w:sz w:val="13"/>
                <w:szCs w:val="13"/>
                <w:color w:val="auto"/>
              </w:rPr>
              <w:t>694</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129"/>
        </w:trPr>
        <w:tc>
          <w:tcPr>
            <w:tcW w:w="3520" w:type="dxa"/>
            <w:vAlign w:val="bottom"/>
          </w:tcPr>
          <w:p>
            <w:pPr>
              <w:ind w:left="60"/>
              <w:spacing w:after="0" w:line="129" w:lineRule="exact"/>
              <w:rPr>
                <w:sz w:val="20"/>
                <w:szCs w:val="20"/>
                <w:color w:val="auto"/>
              </w:rPr>
            </w:pPr>
            <w:r>
              <w:rPr>
                <w:rFonts w:ascii="Arial" w:cs="Arial" w:eastAsia="Arial" w:hAnsi="Arial"/>
                <w:sz w:val="13"/>
                <w:szCs w:val="13"/>
                <w:color w:val="auto"/>
              </w:rPr>
              <w:t>Voluntary contributions (S/ Millions)</w:t>
            </w:r>
          </w:p>
        </w:tc>
        <w:tc>
          <w:tcPr>
            <w:tcW w:w="2260" w:type="dxa"/>
            <w:vAlign w:val="bottom"/>
          </w:tcPr>
          <w:p>
            <w:pPr>
              <w:jc w:val="right"/>
              <w:ind w:right="158"/>
              <w:spacing w:after="0" w:line="129" w:lineRule="exact"/>
              <w:rPr>
                <w:sz w:val="20"/>
                <w:szCs w:val="20"/>
                <w:color w:val="auto"/>
              </w:rPr>
            </w:pPr>
            <w:r>
              <w:rPr>
                <w:rFonts w:ascii="Arial" w:cs="Arial" w:eastAsia="Arial" w:hAnsi="Arial"/>
                <w:sz w:val="13"/>
                <w:szCs w:val="13"/>
                <w:color w:val="auto"/>
              </w:rPr>
              <w:t>854</w:t>
            </w:r>
          </w:p>
        </w:tc>
        <w:tc>
          <w:tcPr>
            <w:tcW w:w="1220" w:type="dxa"/>
            <w:vAlign w:val="bottom"/>
          </w:tcPr>
          <w:p>
            <w:pPr>
              <w:jc w:val="right"/>
              <w:ind w:right="158"/>
              <w:spacing w:after="0" w:line="129" w:lineRule="exact"/>
              <w:rPr>
                <w:sz w:val="20"/>
                <w:szCs w:val="20"/>
                <w:color w:val="auto"/>
              </w:rPr>
            </w:pPr>
            <w:r>
              <w:rPr>
                <w:rFonts w:ascii="Arial" w:cs="Arial" w:eastAsia="Arial" w:hAnsi="Arial"/>
                <w:sz w:val="13"/>
                <w:szCs w:val="13"/>
                <w:color w:val="auto"/>
              </w:rPr>
              <w:t>2,008</w:t>
            </w:r>
          </w:p>
        </w:tc>
        <w:tc>
          <w:tcPr>
            <w:tcW w:w="1200" w:type="dxa"/>
            <w:vAlign w:val="bottom"/>
          </w:tcPr>
          <w:p>
            <w:pPr>
              <w:jc w:val="right"/>
              <w:ind w:right="118"/>
              <w:spacing w:after="0" w:line="129" w:lineRule="exact"/>
              <w:rPr>
                <w:sz w:val="20"/>
                <w:szCs w:val="20"/>
                <w:color w:val="auto"/>
              </w:rPr>
            </w:pPr>
            <w:r>
              <w:rPr>
                <w:rFonts w:ascii="Arial" w:cs="Arial" w:eastAsia="Arial" w:hAnsi="Arial"/>
                <w:sz w:val="13"/>
                <w:szCs w:val="13"/>
                <w:color w:val="auto"/>
              </w:rPr>
              <w:t>42.5%</w:t>
            </w:r>
          </w:p>
        </w:tc>
        <w:tc>
          <w:tcPr>
            <w:tcW w:w="9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912</w:t>
            </w:r>
          </w:p>
        </w:tc>
        <w:tc>
          <w:tcPr>
            <w:tcW w:w="980" w:type="dxa"/>
            <w:vAlign w:val="bottom"/>
          </w:tcPr>
          <w:p>
            <w:pPr>
              <w:jc w:val="right"/>
              <w:spacing w:after="0" w:line="129" w:lineRule="exact"/>
              <w:rPr>
                <w:sz w:val="20"/>
                <w:szCs w:val="20"/>
                <w:color w:val="auto"/>
              </w:rPr>
            </w:pPr>
            <w:r>
              <w:rPr>
                <w:rFonts w:ascii="Arial" w:cs="Arial" w:eastAsia="Arial" w:hAnsi="Arial"/>
                <w:sz w:val="13"/>
                <w:szCs w:val="13"/>
                <w:color w:val="auto"/>
              </w:rPr>
              <w:t>2,086</w:t>
            </w:r>
          </w:p>
        </w:tc>
        <w:tc>
          <w:tcPr>
            <w:tcW w:w="0" w:type="dxa"/>
            <w:vAlign w:val="bottom"/>
          </w:tcPr>
          <w:p>
            <w:pPr>
              <w:spacing w:after="0"/>
              <w:rPr>
                <w:sz w:val="1"/>
                <w:szCs w:val="1"/>
                <w:color w:val="auto"/>
              </w:rPr>
            </w:pPr>
          </w:p>
        </w:tc>
      </w:tr>
      <w:tr>
        <w:trPr>
          <w:trHeight w:val="169"/>
        </w:trPr>
        <w:tc>
          <w:tcPr>
            <w:tcW w:w="3520" w:type="dxa"/>
            <w:vAlign w:val="bottom"/>
          </w:tcPr>
          <w:p>
            <w:pPr>
              <w:ind w:left="60"/>
              <w:spacing w:after="0" w:line="169" w:lineRule="exact"/>
              <w:rPr>
                <w:sz w:val="20"/>
                <w:szCs w:val="20"/>
                <w:color w:val="auto"/>
              </w:rPr>
            </w:pPr>
            <w:r>
              <w:rPr>
                <w:rFonts w:ascii="Arial" w:cs="Arial" w:eastAsia="Arial" w:hAnsi="Arial"/>
                <w:sz w:val="12"/>
                <w:szCs w:val="12"/>
                <w:color w:val="auto"/>
              </w:rPr>
              <w:t xml:space="preserve">RAM Flow (S/ Millions) </w:t>
            </w:r>
            <w:r>
              <w:rPr>
                <w:rFonts w:ascii="Arial" w:cs="Arial" w:eastAsia="Arial" w:hAnsi="Arial"/>
                <w:sz w:val="19"/>
                <w:szCs w:val="19"/>
                <w:color w:val="auto"/>
                <w:vertAlign w:val="superscript"/>
              </w:rPr>
              <w:t>(1)</w:t>
            </w:r>
          </w:p>
        </w:tc>
        <w:tc>
          <w:tcPr>
            <w:tcW w:w="2260" w:type="dxa"/>
            <w:vAlign w:val="bottom"/>
          </w:tcPr>
          <w:p>
            <w:pPr>
              <w:jc w:val="right"/>
              <w:ind w:right="158"/>
              <w:spacing w:after="0"/>
              <w:rPr>
                <w:sz w:val="20"/>
                <w:szCs w:val="20"/>
                <w:color w:val="auto"/>
              </w:rPr>
            </w:pPr>
            <w:r>
              <w:rPr>
                <w:rFonts w:ascii="Arial" w:cs="Arial" w:eastAsia="Arial" w:hAnsi="Arial"/>
                <w:sz w:val="13"/>
                <w:szCs w:val="13"/>
                <w:color w:val="auto"/>
              </w:rPr>
              <w:t>1,399</w:t>
            </w:r>
          </w:p>
        </w:tc>
        <w:tc>
          <w:tcPr>
            <w:tcW w:w="1220" w:type="dxa"/>
            <w:vAlign w:val="bottom"/>
          </w:tcPr>
          <w:p>
            <w:pPr>
              <w:jc w:val="right"/>
              <w:ind w:right="158"/>
              <w:spacing w:after="0"/>
              <w:rPr>
                <w:sz w:val="20"/>
                <w:szCs w:val="20"/>
                <w:color w:val="auto"/>
              </w:rPr>
            </w:pPr>
            <w:r>
              <w:rPr>
                <w:rFonts w:ascii="Arial" w:cs="Arial" w:eastAsia="Arial" w:hAnsi="Arial"/>
                <w:sz w:val="13"/>
                <w:szCs w:val="13"/>
                <w:color w:val="auto"/>
              </w:rPr>
              <w:t>4,581</w:t>
            </w:r>
          </w:p>
        </w:tc>
        <w:tc>
          <w:tcPr>
            <w:tcW w:w="1200" w:type="dxa"/>
            <w:vAlign w:val="bottom"/>
          </w:tcPr>
          <w:p>
            <w:pPr>
              <w:jc w:val="right"/>
              <w:ind w:right="118"/>
              <w:spacing w:after="0"/>
              <w:rPr>
                <w:sz w:val="20"/>
                <w:szCs w:val="20"/>
                <w:color w:val="auto"/>
              </w:rPr>
            </w:pPr>
            <w:r>
              <w:rPr>
                <w:rFonts w:ascii="Arial" w:cs="Arial" w:eastAsia="Arial" w:hAnsi="Arial"/>
                <w:sz w:val="13"/>
                <w:szCs w:val="13"/>
                <w:color w:val="auto"/>
              </w:rPr>
              <w:t>30.5%</w:t>
            </w: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1,459</w:t>
            </w:r>
          </w:p>
        </w:tc>
        <w:tc>
          <w:tcPr>
            <w:tcW w:w="980" w:type="dxa"/>
            <w:vAlign w:val="bottom"/>
          </w:tcPr>
          <w:p>
            <w:pPr>
              <w:jc w:val="right"/>
              <w:spacing w:after="0"/>
              <w:rPr>
                <w:sz w:val="20"/>
                <w:szCs w:val="20"/>
                <w:color w:val="auto"/>
              </w:rPr>
            </w:pPr>
            <w:r>
              <w:rPr>
                <w:rFonts w:ascii="Arial" w:cs="Arial" w:eastAsia="Arial" w:hAnsi="Arial"/>
                <w:sz w:val="13"/>
                <w:szCs w:val="13"/>
                <w:color w:val="auto"/>
              </w:rPr>
              <w:t>4,787</w:t>
            </w:r>
          </w:p>
        </w:tc>
        <w:tc>
          <w:tcPr>
            <w:tcW w:w="0" w:type="dxa"/>
            <w:vAlign w:val="bottom"/>
          </w:tcPr>
          <w:p>
            <w:pPr>
              <w:spacing w:after="0"/>
              <w:rPr>
                <w:sz w:val="1"/>
                <w:szCs w:val="1"/>
                <w:color w:val="auto"/>
              </w:rPr>
            </w:pPr>
          </w:p>
        </w:tc>
      </w:tr>
    </w:tbl>
    <w:p>
      <w:pPr>
        <w:ind w:left="40"/>
        <w:spacing w:after="0" w:line="230" w:lineRule="auto"/>
        <w:rPr>
          <w:sz w:val="20"/>
          <w:szCs w:val="20"/>
          <w:color w:val="auto"/>
        </w:rPr>
      </w:pPr>
      <w:r>
        <w:rPr>
          <w:rFonts w:ascii="Arial" w:cs="Arial" w:eastAsia="Arial" w:hAnsi="Arial"/>
          <w:sz w:val="11"/>
          <w:szCs w:val="11"/>
          <w:color w:val="auto"/>
        </w:rPr>
        <w:t>Source: SBS</w:t>
      </w:r>
    </w:p>
    <w:p>
      <w:pPr>
        <w:ind w:left="40"/>
        <w:spacing w:after="0"/>
        <w:rPr>
          <w:sz w:val="20"/>
          <w:szCs w:val="20"/>
          <w:color w:val="auto"/>
        </w:rPr>
      </w:pPr>
      <w:r>
        <w:rPr>
          <w:rFonts w:ascii="Arial" w:cs="Arial" w:eastAsia="Arial" w:hAnsi="Arial"/>
          <w:sz w:val="11"/>
          <w:szCs w:val="11"/>
          <w:color w:val="auto"/>
        </w:rPr>
        <w:t>(1) Prima AFP estimate: Average of aggregated income for flow during the last 4 months, excluding special collections and voluntary contribution fees.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2" w:right="339" w:bottom="1440" w:gutter="0" w:footer="0" w:header="0"/>
        </w:sectPr>
      </w:pPr>
    </w:p>
    <w:bookmarkStart w:id="66" w:name="page67"/>
    <w:bookmarkEnd w:id="66"/>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12.6.8. Grupo Pacifico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Indicators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86" w:lineRule="exact"/>
        <w:rPr>
          <w:sz w:val="20"/>
          <w:szCs w:val="20"/>
          <w:color w:val="auto"/>
        </w:rPr>
      </w:pPr>
    </w:p>
    <w:tbl>
      <w:tblPr>
        <w:tblLayout w:type="fixed"/>
        <w:tblInd w:w="590" w:type="dxa"/>
        <w:tblCellMar>
          <w:top w:w="0" w:type="dxa"/>
          <w:left w:w="0" w:type="dxa"/>
          <w:bottom w:w="0" w:type="dxa"/>
          <w:right w:w="0" w:type="dxa"/>
        </w:tblCellMar>
      </w:tblPr>
      <w:tr>
        <w:trPr>
          <w:trHeight w:val="228"/>
        </w:trPr>
        <w:tc>
          <w:tcPr>
            <w:tcW w:w="3260" w:type="dxa"/>
            <w:vAlign w:val="bottom"/>
            <w:tcBorders>
              <w:right w:val="single" w:sz="8" w:color="auto"/>
            </w:tcBorders>
          </w:tcPr>
          <w:p>
            <w:pPr>
              <w:spacing w:after="0"/>
              <w:rPr>
                <w:sz w:val="19"/>
                <w:szCs w:val="19"/>
                <w:color w:val="auto"/>
              </w:rPr>
            </w:pPr>
          </w:p>
        </w:tc>
        <w:tc>
          <w:tcPr>
            <w:tcW w:w="1320" w:type="dxa"/>
            <w:vAlign w:val="bottom"/>
            <w:tcBorders>
              <w:top w:val="single" w:sz="8" w:color="auto"/>
            </w:tcBorders>
            <w:shd w:val="clear" w:color="auto" w:fill="2AD2C9"/>
          </w:tcPr>
          <w:p>
            <w:pPr>
              <w:spacing w:after="0"/>
              <w:rPr>
                <w:sz w:val="19"/>
                <w:szCs w:val="19"/>
                <w:color w:val="auto"/>
              </w:rPr>
            </w:pPr>
          </w:p>
        </w:tc>
        <w:tc>
          <w:tcPr>
            <w:tcW w:w="13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As of</w:t>
            </w:r>
          </w:p>
        </w:tc>
        <w:tc>
          <w:tcPr>
            <w:tcW w:w="1360" w:type="dxa"/>
            <w:vAlign w:val="bottom"/>
            <w:tcBorders>
              <w:top w:val="single" w:sz="8" w:color="auto"/>
              <w:right w:val="single" w:sz="8" w:color="auto"/>
            </w:tcBorders>
            <w:shd w:val="clear" w:color="auto" w:fill="2AD2C9"/>
          </w:tcPr>
          <w:p>
            <w:pPr>
              <w:spacing w:after="0"/>
              <w:rPr>
                <w:sz w:val="19"/>
                <w:szCs w:val="19"/>
                <w:color w:val="auto"/>
              </w:rPr>
            </w:pPr>
          </w:p>
        </w:tc>
        <w:tc>
          <w:tcPr>
            <w:tcW w:w="940" w:type="dxa"/>
            <w:vAlign w:val="bottom"/>
            <w:tcBorders>
              <w:top w:val="single" w:sz="8" w:color="auto"/>
            </w:tcBorders>
            <w:shd w:val="clear" w:color="auto" w:fill="2AD2C9"/>
          </w:tcPr>
          <w:p>
            <w:pPr>
              <w:spacing w:after="0"/>
              <w:rPr>
                <w:sz w:val="19"/>
                <w:szCs w:val="19"/>
                <w:color w:val="auto"/>
              </w:rPr>
            </w:pPr>
          </w:p>
        </w:tc>
        <w:tc>
          <w:tcPr>
            <w:tcW w:w="1880" w:type="dxa"/>
            <w:vAlign w:val="bottom"/>
            <w:tcBorders>
              <w:top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4"/>
                <w:szCs w:val="14"/>
                <w:b w:val="1"/>
                <w:bCs w:val="1"/>
                <w:color w:val="FFFFFF"/>
              </w:rPr>
              <w:t>% Change</w:t>
            </w:r>
          </w:p>
        </w:tc>
      </w:tr>
      <w:tr>
        <w:trPr>
          <w:trHeight w:val="217"/>
        </w:trPr>
        <w:tc>
          <w:tcPr>
            <w:tcW w:w="32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shd w:val="clear" w:color="auto" w:fill="2AD2C9"/>
          </w:tcPr>
          <w:p>
            <w:pPr>
              <w:ind w:left="440"/>
              <w:spacing w:after="0"/>
              <w:rPr>
                <w:sz w:val="20"/>
                <w:szCs w:val="20"/>
                <w:color w:val="auto"/>
              </w:rPr>
            </w:pPr>
            <w:r>
              <w:rPr>
                <w:rFonts w:ascii="Arial" w:cs="Arial" w:eastAsia="Arial" w:hAnsi="Arial"/>
                <w:sz w:val="14"/>
                <w:szCs w:val="14"/>
                <w:b w:val="1"/>
                <w:bCs w:val="1"/>
                <w:color w:val="FFFFFF"/>
              </w:rPr>
              <w:t>Mar-23</w:t>
            </w:r>
          </w:p>
        </w:tc>
        <w:tc>
          <w:tcPr>
            <w:tcW w:w="13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23</w:t>
            </w:r>
          </w:p>
        </w:tc>
        <w:tc>
          <w:tcPr>
            <w:tcW w:w="136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Arial" w:cs="Arial" w:eastAsia="Arial" w:hAnsi="Arial"/>
                <w:sz w:val="14"/>
                <w:szCs w:val="14"/>
                <w:b w:val="1"/>
                <w:bCs w:val="1"/>
                <w:color w:val="FFFFFF"/>
              </w:rPr>
              <w:t>Mar-24</w:t>
            </w:r>
          </w:p>
        </w:tc>
        <w:tc>
          <w:tcPr>
            <w:tcW w:w="940" w:type="dxa"/>
            <w:vAlign w:val="bottom"/>
            <w:tcBorders>
              <w:bottom w:val="single" w:sz="8" w:color="auto"/>
            </w:tcBorders>
            <w:shd w:val="clear" w:color="auto" w:fill="2AD2C9"/>
          </w:tcPr>
          <w:p>
            <w:pPr>
              <w:ind w:left="500"/>
              <w:spacing w:after="0"/>
              <w:rPr>
                <w:sz w:val="20"/>
                <w:szCs w:val="20"/>
                <w:color w:val="auto"/>
              </w:rPr>
            </w:pPr>
            <w:r>
              <w:rPr>
                <w:rFonts w:ascii="Arial" w:cs="Arial" w:eastAsia="Arial" w:hAnsi="Arial"/>
                <w:sz w:val="14"/>
                <w:szCs w:val="14"/>
                <w:b w:val="1"/>
                <w:bCs w:val="1"/>
                <w:color w:val="FFFFFF"/>
              </w:rPr>
              <w:t>QoQ</w:t>
            </w:r>
          </w:p>
        </w:tc>
        <w:tc>
          <w:tcPr>
            <w:tcW w:w="1880" w:type="dxa"/>
            <w:vAlign w:val="bottom"/>
            <w:tcBorders>
              <w:bottom w:val="single" w:sz="8" w:color="auto"/>
              <w:right w:val="single" w:sz="8" w:color="auto"/>
            </w:tcBorders>
            <w:shd w:val="clear" w:color="auto" w:fill="2AD2C9"/>
          </w:tcPr>
          <w:p>
            <w:pPr>
              <w:ind w:left="980"/>
              <w:spacing w:after="0"/>
              <w:rPr>
                <w:sz w:val="20"/>
                <w:szCs w:val="20"/>
                <w:color w:val="auto"/>
              </w:rPr>
            </w:pPr>
            <w:r>
              <w:rPr>
                <w:rFonts w:ascii="Arial" w:cs="Arial" w:eastAsia="Arial" w:hAnsi="Arial"/>
                <w:sz w:val="14"/>
                <w:szCs w:val="14"/>
                <w:b w:val="1"/>
                <w:bCs w:val="1"/>
                <w:color w:val="FFFFFF"/>
              </w:rPr>
              <w:t>YoY</w:t>
            </w:r>
          </w:p>
        </w:tc>
      </w:tr>
      <w:tr>
        <w:trPr>
          <w:trHeight w:val="203"/>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Total Assets</w:t>
            </w:r>
          </w:p>
        </w:tc>
        <w:tc>
          <w:tcPr>
            <w:tcW w:w="1320" w:type="dxa"/>
            <w:vAlign w:val="bottom"/>
          </w:tcPr>
          <w:p>
            <w:pPr>
              <w:jc w:val="center"/>
              <w:spacing w:after="0"/>
              <w:rPr>
                <w:sz w:val="20"/>
                <w:szCs w:val="20"/>
                <w:color w:val="auto"/>
              </w:rPr>
            </w:pPr>
            <w:r>
              <w:rPr>
                <w:rFonts w:ascii="Arial" w:cs="Arial" w:eastAsia="Arial" w:hAnsi="Arial"/>
                <w:sz w:val="14"/>
                <w:szCs w:val="14"/>
                <w:color w:val="auto"/>
              </w:rPr>
              <w:t>16,302,041</w:t>
            </w:r>
          </w:p>
        </w:tc>
        <w:tc>
          <w:tcPr>
            <w:tcW w:w="1340" w:type="dxa"/>
            <w:vAlign w:val="bottom"/>
          </w:tcPr>
          <w:p>
            <w:pPr>
              <w:jc w:val="center"/>
              <w:spacing w:after="0"/>
              <w:rPr>
                <w:sz w:val="20"/>
                <w:szCs w:val="20"/>
                <w:color w:val="auto"/>
              </w:rPr>
            </w:pPr>
            <w:r>
              <w:rPr>
                <w:rFonts w:ascii="Arial" w:cs="Arial" w:eastAsia="Arial" w:hAnsi="Arial"/>
                <w:sz w:val="14"/>
                <w:szCs w:val="14"/>
                <w:color w:val="auto"/>
              </w:rPr>
              <w:t>16,549,171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16,811,863</w:t>
            </w:r>
          </w:p>
        </w:tc>
        <w:tc>
          <w:tcPr>
            <w:tcW w:w="940" w:type="dxa"/>
            <w:vAlign w:val="bottom"/>
          </w:tcPr>
          <w:p>
            <w:pPr>
              <w:jc w:val="center"/>
              <w:ind w:left="308"/>
              <w:spacing w:after="0"/>
              <w:rPr>
                <w:sz w:val="20"/>
                <w:szCs w:val="20"/>
                <w:color w:val="auto"/>
              </w:rPr>
            </w:pPr>
            <w:r>
              <w:rPr>
                <w:rFonts w:ascii="Arial" w:cs="Arial" w:eastAsia="Arial" w:hAnsi="Arial"/>
                <w:sz w:val="14"/>
                <w:szCs w:val="14"/>
                <w:color w:val="auto"/>
              </w:rPr>
              <w:t>1.6%</w:t>
            </w:r>
          </w:p>
        </w:tc>
        <w:tc>
          <w:tcPr>
            <w:tcW w:w="188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rPr>
              <w:t>3.1%</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Investment on Securities (1)</w:t>
            </w:r>
          </w:p>
        </w:tc>
        <w:tc>
          <w:tcPr>
            <w:tcW w:w="1320" w:type="dxa"/>
            <w:vAlign w:val="bottom"/>
          </w:tcPr>
          <w:p>
            <w:pPr>
              <w:jc w:val="center"/>
              <w:spacing w:after="0"/>
              <w:rPr>
                <w:sz w:val="20"/>
                <w:szCs w:val="20"/>
                <w:color w:val="auto"/>
              </w:rPr>
            </w:pPr>
            <w:r>
              <w:rPr>
                <w:rFonts w:ascii="Arial" w:cs="Arial" w:eastAsia="Arial" w:hAnsi="Arial"/>
                <w:sz w:val="14"/>
                <w:szCs w:val="14"/>
                <w:color w:val="auto"/>
              </w:rPr>
              <w:t>11,191,968</w:t>
            </w:r>
          </w:p>
        </w:tc>
        <w:tc>
          <w:tcPr>
            <w:tcW w:w="1340" w:type="dxa"/>
            <w:vAlign w:val="bottom"/>
          </w:tcPr>
          <w:p>
            <w:pPr>
              <w:jc w:val="center"/>
              <w:spacing w:after="0"/>
              <w:rPr>
                <w:sz w:val="20"/>
                <w:szCs w:val="20"/>
                <w:color w:val="auto"/>
              </w:rPr>
            </w:pPr>
            <w:r>
              <w:rPr>
                <w:rFonts w:ascii="Arial" w:cs="Arial" w:eastAsia="Arial" w:hAnsi="Arial"/>
                <w:sz w:val="14"/>
                <w:szCs w:val="14"/>
                <w:color w:val="auto"/>
              </w:rPr>
              <w:t>12,704,842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12,485,677</w:t>
            </w:r>
          </w:p>
        </w:tc>
        <w:tc>
          <w:tcPr>
            <w:tcW w:w="940" w:type="dxa"/>
            <w:vAlign w:val="bottom"/>
          </w:tcPr>
          <w:p>
            <w:pPr>
              <w:jc w:val="center"/>
              <w:ind w:left="308"/>
              <w:spacing w:after="0"/>
              <w:rPr>
                <w:sz w:val="20"/>
                <w:szCs w:val="20"/>
                <w:color w:val="auto"/>
              </w:rPr>
            </w:pPr>
            <w:r>
              <w:rPr>
                <w:rFonts w:ascii="Arial" w:cs="Arial" w:eastAsia="Arial" w:hAnsi="Arial"/>
                <w:sz w:val="14"/>
                <w:szCs w:val="14"/>
                <w:color w:val="auto"/>
                <w:w w:val="98"/>
              </w:rPr>
              <w:t>-1.7%</w:t>
            </w:r>
          </w:p>
        </w:tc>
        <w:tc>
          <w:tcPr>
            <w:tcW w:w="188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rPr>
              <w:t>11.6%</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Total Liabilities</w:t>
            </w:r>
          </w:p>
        </w:tc>
        <w:tc>
          <w:tcPr>
            <w:tcW w:w="1320" w:type="dxa"/>
            <w:vAlign w:val="bottom"/>
          </w:tcPr>
          <w:p>
            <w:pPr>
              <w:jc w:val="center"/>
              <w:spacing w:after="0"/>
              <w:rPr>
                <w:sz w:val="20"/>
                <w:szCs w:val="20"/>
                <w:color w:val="auto"/>
              </w:rPr>
            </w:pPr>
            <w:r>
              <w:rPr>
                <w:rFonts w:ascii="Arial" w:cs="Arial" w:eastAsia="Arial" w:hAnsi="Arial"/>
                <w:sz w:val="14"/>
                <w:szCs w:val="14"/>
                <w:color w:val="auto"/>
              </w:rPr>
              <w:t>13,857,430</w:t>
            </w:r>
          </w:p>
        </w:tc>
        <w:tc>
          <w:tcPr>
            <w:tcW w:w="1340" w:type="dxa"/>
            <w:vAlign w:val="bottom"/>
          </w:tcPr>
          <w:p>
            <w:pPr>
              <w:jc w:val="center"/>
              <w:spacing w:after="0"/>
              <w:rPr>
                <w:sz w:val="20"/>
                <w:szCs w:val="20"/>
                <w:color w:val="auto"/>
              </w:rPr>
            </w:pPr>
            <w:r>
              <w:rPr>
                <w:rFonts w:ascii="Arial" w:cs="Arial" w:eastAsia="Arial" w:hAnsi="Arial"/>
                <w:sz w:val="14"/>
                <w:szCs w:val="14"/>
                <w:color w:val="auto"/>
              </w:rPr>
              <w:t>13,443,688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13,920,334</w:t>
            </w:r>
          </w:p>
        </w:tc>
        <w:tc>
          <w:tcPr>
            <w:tcW w:w="940" w:type="dxa"/>
            <w:vAlign w:val="bottom"/>
          </w:tcPr>
          <w:p>
            <w:pPr>
              <w:jc w:val="center"/>
              <w:ind w:left="308"/>
              <w:spacing w:after="0"/>
              <w:rPr>
                <w:sz w:val="20"/>
                <w:szCs w:val="20"/>
                <w:color w:val="auto"/>
              </w:rPr>
            </w:pPr>
            <w:r>
              <w:rPr>
                <w:rFonts w:ascii="Arial" w:cs="Arial" w:eastAsia="Arial" w:hAnsi="Arial"/>
                <w:sz w:val="14"/>
                <w:szCs w:val="14"/>
                <w:color w:val="auto"/>
              </w:rPr>
              <w:t>3.5%</w:t>
            </w:r>
          </w:p>
        </w:tc>
        <w:tc>
          <w:tcPr>
            <w:tcW w:w="1880" w:type="dxa"/>
            <w:vAlign w:val="bottom"/>
            <w:tcBorders>
              <w:right w:val="single" w:sz="8" w:color="auto"/>
            </w:tcBorders>
          </w:tcPr>
          <w:p>
            <w:pPr>
              <w:jc w:val="center"/>
              <w:ind w:left="288"/>
              <w:spacing w:after="0"/>
              <w:rPr>
                <w:sz w:val="20"/>
                <w:szCs w:val="20"/>
                <w:color w:val="auto"/>
              </w:rPr>
            </w:pPr>
            <w:r>
              <w:rPr>
                <w:rFonts w:ascii="Arial" w:cs="Arial" w:eastAsia="Arial" w:hAnsi="Arial"/>
                <w:sz w:val="14"/>
                <w:szCs w:val="14"/>
                <w:color w:val="auto"/>
              </w:rPr>
              <w:t>0.5%</w:t>
            </w:r>
          </w:p>
        </w:tc>
      </w:tr>
      <w:tr>
        <w:trPr>
          <w:trHeight w:val="220"/>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Net Equity</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2,431,696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3,086,571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2,878,536</w:t>
            </w:r>
          </w:p>
        </w:tc>
        <w:tc>
          <w:tcPr>
            <w:tcW w:w="9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8"/>
              </w:rPr>
              <w:t>-6.7%</w:t>
            </w:r>
          </w:p>
        </w:tc>
        <w:tc>
          <w:tcPr>
            <w:tcW w:w="188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color w:val="auto"/>
              </w:rPr>
              <w:t>18.4%</w:t>
            </w:r>
          </w:p>
        </w:tc>
      </w:tr>
    </w:tbl>
    <w:p>
      <w:pPr>
        <w:spacing w:after="0" w:line="188"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Statement of Income</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 Thousands, IFRS)</w:t>
      </w:r>
    </w:p>
    <w:p>
      <w:pPr>
        <w:spacing w:after="0" w:line="3" w:lineRule="exact"/>
        <w:rPr>
          <w:sz w:val="20"/>
          <w:szCs w:val="20"/>
          <w:color w:val="auto"/>
        </w:rPr>
      </w:pPr>
    </w:p>
    <w:tbl>
      <w:tblPr>
        <w:tblLayout w:type="fixed"/>
        <w:tblInd w:w="590" w:type="dxa"/>
        <w:tblCellMar>
          <w:top w:w="0" w:type="dxa"/>
          <w:left w:w="0" w:type="dxa"/>
          <w:bottom w:w="0" w:type="dxa"/>
          <w:right w:w="0" w:type="dxa"/>
        </w:tblCellMar>
      </w:tblPr>
      <w:tr>
        <w:trPr>
          <w:trHeight w:val="208"/>
        </w:trPr>
        <w:tc>
          <w:tcPr>
            <w:tcW w:w="3260" w:type="dxa"/>
            <w:vAlign w:val="bottom"/>
            <w:tcBorders>
              <w:right w:val="single" w:sz="8" w:color="auto"/>
            </w:tcBorders>
          </w:tcPr>
          <w:p>
            <w:pPr>
              <w:spacing w:after="0"/>
              <w:rPr>
                <w:sz w:val="18"/>
                <w:szCs w:val="18"/>
                <w:color w:val="auto"/>
              </w:rPr>
            </w:pPr>
          </w:p>
        </w:tc>
        <w:tc>
          <w:tcPr>
            <w:tcW w:w="1320" w:type="dxa"/>
            <w:vAlign w:val="bottom"/>
            <w:tcBorders>
              <w:top w:val="single" w:sz="8" w:color="auto"/>
            </w:tcBorders>
            <w:shd w:val="clear" w:color="auto" w:fill="2AD2C9"/>
          </w:tcPr>
          <w:p>
            <w:pPr>
              <w:spacing w:after="0"/>
              <w:rPr>
                <w:sz w:val="18"/>
                <w:szCs w:val="18"/>
                <w:color w:val="auto"/>
              </w:rPr>
            </w:pPr>
          </w:p>
        </w:tc>
        <w:tc>
          <w:tcPr>
            <w:tcW w:w="1340" w:type="dxa"/>
            <w:vAlign w:val="bottom"/>
            <w:tcBorders>
              <w:top w:val="single" w:sz="8" w:color="auto"/>
            </w:tcBorders>
            <w:shd w:val="clear" w:color="auto" w:fill="2AD2C9"/>
          </w:tcPr>
          <w:p>
            <w:pPr>
              <w:ind w:left="420"/>
              <w:spacing w:after="0"/>
              <w:rPr>
                <w:sz w:val="20"/>
                <w:szCs w:val="20"/>
                <w:color w:val="auto"/>
              </w:rPr>
            </w:pPr>
            <w:r>
              <w:rPr>
                <w:rFonts w:ascii="Arial" w:cs="Arial" w:eastAsia="Arial" w:hAnsi="Arial"/>
                <w:sz w:val="14"/>
                <w:szCs w:val="14"/>
                <w:b w:val="1"/>
                <w:bCs w:val="1"/>
                <w:color w:val="FFFFFF"/>
              </w:rPr>
              <w:t>Quarter</w:t>
            </w:r>
          </w:p>
        </w:tc>
        <w:tc>
          <w:tcPr>
            <w:tcW w:w="1360" w:type="dxa"/>
            <w:vAlign w:val="bottom"/>
            <w:tcBorders>
              <w:top w:val="single" w:sz="8" w:color="auto"/>
              <w:right w:val="single" w:sz="8" w:color="auto"/>
            </w:tcBorders>
            <w:shd w:val="clear" w:color="auto" w:fill="2AD2C9"/>
          </w:tcPr>
          <w:p>
            <w:pPr>
              <w:spacing w:after="0"/>
              <w:rPr>
                <w:sz w:val="18"/>
                <w:szCs w:val="18"/>
                <w:color w:val="auto"/>
              </w:rPr>
            </w:pPr>
          </w:p>
        </w:tc>
        <w:tc>
          <w:tcPr>
            <w:tcW w:w="980" w:type="dxa"/>
            <w:vAlign w:val="bottom"/>
            <w:tcBorders>
              <w:top w:val="single" w:sz="8" w:color="auto"/>
            </w:tcBorders>
            <w:shd w:val="clear" w:color="auto" w:fill="2AD2C9"/>
          </w:tcPr>
          <w:p>
            <w:pPr>
              <w:spacing w:after="0"/>
              <w:rPr>
                <w:sz w:val="18"/>
                <w:szCs w:val="18"/>
                <w:color w:val="auto"/>
              </w:rPr>
            </w:pPr>
          </w:p>
        </w:tc>
        <w:tc>
          <w:tcPr>
            <w:tcW w:w="1840" w:type="dxa"/>
            <w:vAlign w:val="bottom"/>
            <w:tcBorders>
              <w:top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 Change</w:t>
            </w:r>
          </w:p>
        </w:tc>
      </w:tr>
      <w:tr>
        <w:trPr>
          <w:trHeight w:val="217"/>
        </w:trPr>
        <w:tc>
          <w:tcPr>
            <w:tcW w:w="32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1Q23</w:t>
            </w:r>
          </w:p>
        </w:tc>
        <w:tc>
          <w:tcPr>
            <w:tcW w:w="13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4Q23</w:t>
            </w:r>
          </w:p>
        </w:tc>
        <w:tc>
          <w:tcPr>
            <w:tcW w:w="13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1Q24</w:t>
            </w:r>
          </w:p>
        </w:tc>
        <w:tc>
          <w:tcPr>
            <w:tcW w:w="980" w:type="dxa"/>
            <w:vAlign w:val="bottom"/>
            <w:tcBorders>
              <w:bottom w:val="single" w:sz="8" w:color="auto"/>
            </w:tcBorders>
            <w:shd w:val="clear" w:color="auto" w:fill="2AD2C9"/>
          </w:tcPr>
          <w:p>
            <w:pPr>
              <w:ind w:left="500"/>
              <w:spacing w:after="0"/>
              <w:rPr>
                <w:sz w:val="20"/>
                <w:szCs w:val="20"/>
                <w:color w:val="auto"/>
              </w:rPr>
            </w:pPr>
            <w:r>
              <w:rPr>
                <w:rFonts w:ascii="Arial" w:cs="Arial" w:eastAsia="Arial" w:hAnsi="Arial"/>
                <w:sz w:val="14"/>
                <w:szCs w:val="14"/>
                <w:b w:val="1"/>
                <w:bCs w:val="1"/>
                <w:color w:val="FFFFFF"/>
              </w:rPr>
              <w:t>QoQ</w:t>
            </w:r>
          </w:p>
        </w:tc>
        <w:tc>
          <w:tcPr>
            <w:tcW w:w="1840" w:type="dxa"/>
            <w:vAlign w:val="bottom"/>
            <w:tcBorders>
              <w:bottom w:val="single" w:sz="8" w:color="auto"/>
              <w:right w:val="single" w:sz="8" w:color="auto"/>
            </w:tcBorders>
            <w:shd w:val="clear" w:color="auto" w:fill="2AD2C9"/>
          </w:tcPr>
          <w:p>
            <w:pPr>
              <w:ind w:left="940"/>
              <w:spacing w:after="0"/>
              <w:rPr>
                <w:sz w:val="20"/>
                <w:szCs w:val="20"/>
                <w:color w:val="auto"/>
              </w:rPr>
            </w:pPr>
            <w:r>
              <w:rPr>
                <w:rFonts w:ascii="Arial" w:cs="Arial" w:eastAsia="Arial" w:hAnsi="Arial"/>
                <w:sz w:val="14"/>
                <w:szCs w:val="14"/>
                <w:b w:val="1"/>
                <w:bCs w:val="1"/>
                <w:color w:val="FFFFFF"/>
              </w:rPr>
              <w:t>YoY</w:t>
            </w:r>
          </w:p>
        </w:tc>
      </w:tr>
      <w:tr>
        <w:trPr>
          <w:trHeight w:val="203"/>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Insurance Service Result</w:t>
            </w:r>
          </w:p>
        </w:tc>
        <w:tc>
          <w:tcPr>
            <w:tcW w:w="1320" w:type="dxa"/>
            <w:vAlign w:val="bottom"/>
          </w:tcPr>
          <w:p>
            <w:pPr>
              <w:jc w:val="center"/>
              <w:spacing w:after="0"/>
              <w:rPr>
                <w:sz w:val="20"/>
                <w:szCs w:val="20"/>
                <w:color w:val="auto"/>
              </w:rPr>
            </w:pPr>
            <w:r>
              <w:rPr>
                <w:rFonts w:ascii="Arial" w:cs="Arial" w:eastAsia="Arial" w:hAnsi="Arial"/>
                <w:sz w:val="14"/>
                <w:szCs w:val="14"/>
                <w:color w:val="auto"/>
              </w:rPr>
              <w:t>296,390</w:t>
            </w:r>
          </w:p>
        </w:tc>
        <w:tc>
          <w:tcPr>
            <w:tcW w:w="1340" w:type="dxa"/>
            <w:vAlign w:val="bottom"/>
          </w:tcPr>
          <w:p>
            <w:pPr>
              <w:jc w:val="center"/>
              <w:spacing w:after="0"/>
              <w:rPr>
                <w:sz w:val="20"/>
                <w:szCs w:val="20"/>
                <w:color w:val="auto"/>
              </w:rPr>
            </w:pPr>
            <w:r>
              <w:rPr>
                <w:rFonts w:ascii="Arial" w:cs="Arial" w:eastAsia="Arial" w:hAnsi="Arial"/>
                <w:sz w:val="14"/>
                <w:szCs w:val="14"/>
                <w:color w:val="auto"/>
              </w:rPr>
              <w:t>255,886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341,794</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33.6%</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15.3%</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Reinsurance Result</w:t>
            </w:r>
          </w:p>
        </w:tc>
        <w:tc>
          <w:tcPr>
            <w:tcW w:w="1320" w:type="dxa"/>
            <w:vAlign w:val="bottom"/>
          </w:tcPr>
          <w:p>
            <w:pPr>
              <w:jc w:val="center"/>
              <w:spacing w:after="0"/>
              <w:rPr>
                <w:sz w:val="20"/>
                <w:szCs w:val="20"/>
                <w:color w:val="auto"/>
              </w:rPr>
            </w:pPr>
            <w:r>
              <w:rPr>
                <w:rFonts w:ascii="Arial" w:cs="Arial" w:eastAsia="Arial" w:hAnsi="Arial"/>
                <w:sz w:val="14"/>
                <w:szCs w:val="14"/>
                <w:color w:val="auto"/>
              </w:rPr>
              <w:t>-114,009</w:t>
            </w:r>
          </w:p>
        </w:tc>
        <w:tc>
          <w:tcPr>
            <w:tcW w:w="1340" w:type="dxa"/>
            <w:vAlign w:val="bottom"/>
          </w:tcPr>
          <w:p>
            <w:pPr>
              <w:jc w:val="center"/>
              <w:spacing w:after="0"/>
              <w:rPr>
                <w:sz w:val="20"/>
                <w:szCs w:val="20"/>
                <w:color w:val="auto"/>
              </w:rPr>
            </w:pPr>
            <w:r>
              <w:rPr>
                <w:rFonts w:ascii="Arial" w:cs="Arial" w:eastAsia="Arial" w:hAnsi="Arial"/>
                <w:sz w:val="14"/>
                <w:szCs w:val="14"/>
                <w:color w:val="auto"/>
              </w:rPr>
              <w:t>-96,996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-180,053</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85.6%</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57.9%</w:t>
            </w:r>
          </w:p>
        </w:tc>
      </w:tr>
      <w:tr>
        <w:trPr>
          <w:trHeight w:val="222"/>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Insurance underwriting result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182,381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158,890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161,741</w:t>
            </w: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rPr>
              <w:t>1.8%</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9"/>
              </w:rPr>
              <w:t>-11.3%</w:t>
            </w:r>
          </w:p>
        </w:tc>
      </w:tr>
      <w:tr>
        <w:trPr>
          <w:trHeight w:val="210"/>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Interest income</w:t>
            </w:r>
          </w:p>
        </w:tc>
        <w:tc>
          <w:tcPr>
            <w:tcW w:w="1320" w:type="dxa"/>
            <w:vAlign w:val="bottom"/>
          </w:tcPr>
          <w:p>
            <w:pPr>
              <w:jc w:val="center"/>
              <w:spacing w:after="0"/>
              <w:rPr>
                <w:sz w:val="20"/>
                <w:szCs w:val="20"/>
                <w:color w:val="auto"/>
              </w:rPr>
            </w:pPr>
            <w:r>
              <w:rPr>
                <w:rFonts w:ascii="Arial" w:cs="Arial" w:eastAsia="Arial" w:hAnsi="Arial"/>
                <w:sz w:val="14"/>
                <w:szCs w:val="14"/>
                <w:color w:val="auto"/>
              </w:rPr>
              <w:t>189,963</w:t>
            </w:r>
          </w:p>
        </w:tc>
        <w:tc>
          <w:tcPr>
            <w:tcW w:w="1340" w:type="dxa"/>
            <w:vAlign w:val="bottom"/>
          </w:tcPr>
          <w:p>
            <w:pPr>
              <w:jc w:val="center"/>
              <w:spacing w:after="0"/>
              <w:rPr>
                <w:sz w:val="20"/>
                <w:szCs w:val="20"/>
                <w:color w:val="auto"/>
              </w:rPr>
            </w:pPr>
            <w:r>
              <w:rPr>
                <w:rFonts w:ascii="Arial" w:cs="Arial" w:eastAsia="Arial" w:hAnsi="Arial"/>
                <w:sz w:val="14"/>
                <w:szCs w:val="14"/>
                <w:color w:val="auto"/>
              </w:rPr>
              <w:t>183,933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219,545</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19.4%</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15.6%</w:t>
            </w:r>
          </w:p>
        </w:tc>
      </w:tr>
      <w:tr>
        <w:trPr>
          <w:trHeight w:val="222"/>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i w:val="1"/>
                <w:iCs w:val="1"/>
                <w:color w:val="auto"/>
              </w:rPr>
              <w:t>Interest Expenses</w:t>
            </w:r>
          </w:p>
        </w:tc>
        <w:tc>
          <w:tcPr>
            <w:tcW w:w="1320" w:type="dxa"/>
            <w:vAlign w:val="bottom"/>
          </w:tcPr>
          <w:p>
            <w:pPr>
              <w:jc w:val="center"/>
              <w:spacing w:after="0"/>
              <w:rPr>
                <w:sz w:val="20"/>
                <w:szCs w:val="20"/>
                <w:color w:val="auto"/>
              </w:rPr>
            </w:pPr>
            <w:r>
              <w:rPr>
                <w:rFonts w:ascii="Arial" w:cs="Arial" w:eastAsia="Arial" w:hAnsi="Arial"/>
                <w:sz w:val="14"/>
                <w:szCs w:val="14"/>
                <w:color w:val="auto"/>
              </w:rPr>
              <w:t>-102,453</w:t>
            </w:r>
          </w:p>
        </w:tc>
        <w:tc>
          <w:tcPr>
            <w:tcW w:w="1340" w:type="dxa"/>
            <w:vAlign w:val="bottom"/>
          </w:tcPr>
          <w:p>
            <w:pPr>
              <w:jc w:val="center"/>
              <w:spacing w:after="0"/>
              <w:rPr>
                <w:sz w:val="20"/>
                <w:szCs w:val="20"/>
                <w:color w:val="auto"/>
              </w:rPr>
            </w:pPr>
            <w:r>
              <w:rPr>
                <w:rFonts w:ascii="Arial" w:cs="Arial" w:eastAsia="Arial" w:hAnsi="Arial"/>
                <w:sz w:val="14"/>
                <w:szCs w:val="14"/>
                <w:color w:val="auto"/>
              </w:rPr>
              <w:t>-126,387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-129,114</w:t>
            </w: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rPr>
              <w:t>2.2%</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26.0%</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Net Interest Income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87,510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57,546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90,431</w:t>
            </w: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rPr>
              <w:t>57.1%</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3.3%</w:t>
            </w:r>
          </w:p>
        </w:tc>
      </w:tr>
      <w:tr>
        <w:trPr>
          <w:trHeight w:val="210"/>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Fee Income and Gain in FX</w:t>
            </w:r>
          </w:p>
        </w:tc>
        <w:tc>
          <w:tcPr>
            <w:tcW w:w="1320" w:type="dxa"/>
            <w:vAlign w:val="bottom"/>
          </w:tcPr>
          <w:p>
            <w:pPr>
              <w:jc w:val="center"/>
              <w:spacing w:after="0"/>
              <w:rPr>
                <w:sz w:val="20"/>
                <w:szCs w:val="20"/>
                <w:color w:val="auto"/>
              </w:rPr>
            </w:pPr>
            <w:r>
              <w:rPr>
                <w:rFonts w:ascii="Arial" w:cs="Arial" w:eastAsia="Arial" w:hAnsi="Arial"/>
                <w:sz w:val="14"/>
                <w:szCs w:val="14"/>
                <w:color w:val="auto"/>
              </w:rPr>
              <w:t>-3,184</w:t>
            </w:r>
          </w:p>
        </w:tc>
        <w:tc>
          <w:tcPr>
            <w:tcW w:w="1340" w:type="dxa"/>
            <w:vAlign w:val="bottom"/>
          </w:tcPr>
          <w:p>
            <w:pPr>
              <w:jc w:val="center"/>
              <w:spacing w:after="0"/>
              <w:rPr>
                <w:sz w:val="20"/>
                <w:szCs w:val="20"/>
                <w:color w:val="auto"/>
              </w:rPr>
            </w:pPr>
            <w:r>
              <w:rPr>
                <w:rFonts w:ascii="Arial" w:cs="Arial" w:eastAsia="Arial" w:hAnsi="Arial"/>
                <w:sz w:val="14"/>
                <w:szCs w:val="14"/>
                <w:color w:val="auto"/>
              </w:rPr>
              <w:t>-2,744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-3,262</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rPr>
              <w:t>18.9%</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2.4%</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i w:val="1"/>
                <w:iCs w:val="1"/>
                <w:color w:val="auto"/>
              </w:rPr>
              <w:t>Other Income No Core:</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Net gain (loss) from exchange differences</w:t>
            </w:r>
          </w:p>
        </w:tc>
        <w:tc>
          <w:tcPr>
            <w:tcW w:w="1320" w:type="dxa"/>
            <w:vAlign w:val="bottom"/>
          </w:tcPr>
          <w:p>
            <w:pPr>
              <w:jc w:val="center"/>
              <w:spacing w:after="0"/>
              <w:rPr>
                <w:sz w:val="20"/>
                <w:szCs w:val="20"/>
                <w:color w:val="auto"/>
              </w:rPr>
            </w:pPr>
            <w:r>
              <w:rPr>
                <w:rFonts w:ascii="Arial" w:cs="Arial" w:eastAsia="Arial" w:hAnsi="Arial"/>
                <w:sz w:val="14"/>
                <w:szCs w:val="14"/>
                <w:color w:val="auto"/>
              </w:rPr>
              <w:t>-1,343</w:t>
            </w:r>
          </w:p>
        </w:tc>
        <w:tc>
          <w:tcPr>
            <w:tcW w:w="1340" w:type="dxa"/>
            <w:vAlign w:val="bottom"/>
          </w:tcPr>
          <w:p>
            <w:pPr>
              <w:jc w:val="center"/>
              <w:spacing w:after="0"/>
              <w:rPr>
                <w:sz w:val="20"/>
                <w:szCs w:val="20"/>
                <w:color w:val="auto"/>
              </w:rPr>
            </w:pPr>
            <w:r>
              <w:rPr>
                <w:rFonts w:ascii="Arial" w:cs="Arial" w:eastAsia="Arial" w:hAnsi="Arial"/>
                <w:sz w:val="14"/>
                <w:szCs w:val="14"/>
                <w:color w:val="auto"/>
              </w:rPr>
              <w:t>893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-182</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-120.4%</w:t>
            </w:r>
          </w:p>
        </w:tc>
        <w:tc>
          <w:tcPr>
            <w:tcW w:w="184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-86.4%</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Net loss on securities and associates</w:t>
            </w:r>
          </w:p>
        </w:tc>
        <w:tc>
          <w:tcPr>
            <w:tcW w:w="1320" w:type="dxa"/>
            <w:vAlign w:val="bottom"/>
          </w:tcPr>
          <w:p>
            <w:pPr>
              <w:jc w:val="center"/>
              <w:spacing w:after="0"/>
              <w:rPr>
                <w:sz w:val="20"/>
                <w:szCs w:val="20"/>
                <w:color w:val="auto"/>
              </w:rPr>
            </w:pPr>
            <w:r>
              <w:rPr>
                <w:rFonts w:ascii="Arial" w:cs="Arial" w:eastAsia="Arial" w:hAnsi="Arial"/>
                <w:sz w:val="14"/>
                <w:szCs w:val="14"/>
                <w:color w:val="auto"/>
              </w:rPr>
              <w:t>30,090</w:t>
            </w:r>
          </w:p>
        </w:tc>
        <w:tc>
          <w:tcPr>
            <w:tcW w:w="1340" w:type="dxa"/>
            <w:vAlign w:val="bottom"/>
          </w:tcPr>
          <w:p>
            <w:pPr>
              <w:jc w:val="center"/>
              <w:spacing w:after="0"/>
              <w:rPr>
                <w:sz w:val="20"/>
                <w:szCs w:val="20"/>
                <w:color w:val="auto"/>
              </w:rPr>
            </w:pPr>
            <w:r>
              <w:rPr>
                <w:rFonts w:ascii="Arial" w:cs="Arial" w:eastAsia="Arial" w:hAnsi="Arial"/>
                <w:sz w:val="14"/>
                <w:szCs w:val="14"/>
                <w:color w:val="auto"/>
              </w:rPr>
              <w:t>39,233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23,222</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-40.8%</w:t>
            </w:r>
          </w:p>
        </w:tc>
        <w:tc>
          <w:tcPr>
            <w:tcW w:w="184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-22.8%</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Other Income not operational</w:t>
            </w:r>
          </w:p>
        </w:tc>
        <w:tc>
          <w:tcPr>
            <w:tcW w:w="1320" w:type="dxa"/>
            <w:vAlign w:val="bottom"/>
          </w:tcPr>
          <w:p>
            <w:pPr>
              <w:jc w:val="center"/>
              <w:spacing w:after="0"/>
              <w:rPr>
                <w:sz w:val="20"/>
                <w:szCs w:val="20"/>
                <w:color w:val="auto"/>
              </w:rPr>
            </w:pPr>
            <w:r>
              <w:rPr>
                <w:rFonts w:ascii="Arial" w:cs="Arial" w:eastAsia="Arial" w:hAnsi="Arial"/>
                <w:sz w:val="14"/>
                <w:szCs w:val="14"/>
                <w:color w:val="auto"/>
              </w:rPr>
              <w:t>12,501</w:t>
            </w:r>
          </w:p>
        </w:tc>
        <w:tc>
          <w:tcPr>
            <w:tcW w:w="1340" w:type="dxa"/>
            <w:vAlign w:val="bottom"/>
          </w:tcPr>
          <w:p>
            <w:pPr>
              <w:jc w:val="center"/>
              <w:spacing w:after="0"/>
              <w:rPr>
                <w:sz w:val="20"/>
                <w:szCs w:val="20"/>
                <w:color w:val="auto"/>
              </w:rPr>
            </w:pPr>
            <w:r>
              <w:rPr>
                <w:rFonts w:ascii="Arial" w:cs="Arial" w:eastAsia="Arial" w:hAnsi="Arial"/>
                <w:sz w:val="14"/>
                <w:szCs w:val="14"/>
                <w:color w:val="auto"/>
              </w:rPr>
              <w:t>32,649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29,751</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8"/>
              </w:rPr>
              <w:t>-8.9%</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138.0%</w:t>
            </w:r>
          </w:p>
        </w:tc>
      </w:tr>
      <w:tr>
        <w:trPr>
          <w:trHeight w:val="222"/>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Other Income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38,064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70,031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49,529</w:t>
            </w: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-29.3%</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30.1%</w:t>
            </w:r>
          </w:p>
        </w:tc>
      </w:tr>
      <w:tr>
        <w:trPr>
          <w:trHeight w:val="210"/>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Operating expenses</w:t>
            </w:r>
          </w:p>
        </w:tc>
        <w:tc>
          <w:tcPr>
            <w:tcW w:w="1320" w:type="dxa"/>
            <w:vAlign w:val="bottom"/>
          </w:tcPr>
          <w:p>
            <w:pPr>
              <w:jc w:val="center"/>
              <w:spacing w:after="0"/>
              <w:rPr>
                <w:sz w:val="20"/>
                <w:szCs w:val="20"/>
                <w:color w:val="auto"/>
              </w:rPr>
            </w:pPr>
            <w:r>
              <w:rPr>
                <w:rFonts w:ascii="Arial" w:cs="Arial" w:eastAsia="Arial" w:hAnsi="Arial"/>
                <w:sz w:val="14"/>
                <w:szCs w:val="14"/>
                <w:color w:val="auto"/>
              </w:rPr>
              <w:t>-64,268</w:t>
            </w:r>
          </w:p>
        </w:tc>
        <w:tc>
          <w:tcPr>
            <w:tcW w:w="1340" w:type="dxa"/>
            <w:vAlign w:val="bottom"/>
          </w:tcPr>
          <w:p>
            <w:pPr>
              <w:jc w:val="center"/>
              <w:spacing w:after="0"/>
              <w:rPr>
                <w:sz w:val="20"/>
                <w:szCs w:val="20"/>
                <w:color w:val="auto"/>
              </w:rPr>
            </w:pPr>
            <w:r>
              <w:rPr>
                <w:rFonts w:ascii="Arial" w:cs="Arial" w:eastAsia="Arial" w:hAnsi="Arial"/>
                <w:sz w:val="14"/>
                <w:szCs w:val="14"/>
                <w:color w:val="auto"/>
              </w:rPr>
              <w:t>-85,485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-76,174</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-10.9%</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18.5%</w:t>
            </w:r>
          </w:p>
        </w:tc>
      </w:tr>
      <w:tr>
        <w:trPr>
          <w:trHeight w:val="216"/>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Other expenses</w:t>
            </w:r>
          </w:p>
        </w:tc>
        <w:tc>
          <w:tcPr>
            <w:tcW w:w="1320" w:type="dxa"/>
            <w:vAlign w:val="bottom"/>
          </w:tcPr>
          <w:p>
            <w:pPr>
              <w:jc w:val="center"/>
              <w:spacing w:after="0"/>
              <w:rPr>
                <w:sz w:val="20"/>
                <w:szCs w:val="20"/>
                <w:color w:val="auto"/>
              </w:rPr>
            </w:pPr>
            <w:r>
              <w:rPr>
                <w:rFonts w:ascii="Arial" w:cs="Arial" w:eastAsia="Arial" w:hAnsi="Arial"/>
                <w:sz w:val="14"/>
                <w:szCs w:val="14"/>
                <w:color w:val="auto"/>
              </w:rPr>
              <w:t>654</w:t>
            </w:r>
          </w:p>
        </w:tc>
        <w:tc>
          <w:tcPr>
            <w:tcW w:w="1340" w:type="dxa"/>
            <w:vAlign w:val="bottom"/>
          </w:tcPr>
          <w:p>
            <w:pPr>
              <w:jc w:val="center"/>
              <w:spacing w:after="0"/>
              <w:rPr>
                <w:sz w:val="20"/>
                <w:szCs w:val="20"/>
                <w:color w:val="auto"/>
              </w:rPr>
            </w:pPr>
            <w:r>
              <w:rPr>
                <w:rFonts w:ascii="Arial" w:cs="Arial" w:eastAsia="Arial" w:hAnsi="Arial"/>
                <w:sz w:val="14"/>
                <w:szCs w:val="14"/>
                <w:color w:val="auto"/>
              </w:rPr>
              <w:t>-35,317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-4,979</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-85.9%</w:t>
            </w:r>
          </w:p>
        </w:tc>
        <w:tc>
          <w:tcPr>
            <w:tcW w:w="184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-861.3%</w:t>
            </w:r>
          </w:p>
        </w:tc>
      </w:tr>
      <w:tr>
        <w:trPr>
          <w:trHeight w:val="222"/>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Total Expenses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-63,614</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-120,802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-81,153</w:t>
            </w:r>
          </w:p>
        </w:tc>
        <w:tc>
          <w:tcPr>
            <w:tcW w:w="98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-32.8%</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27.6%</w:t>
            </w:r>
          </w:p>
        </w:tc>
      </w:tr>
      <w:tr>
        <w:trPr>
          <w:trHeight w:val="210"/>
        </w:trPr>
        <w:tc>
          <w:tcPr>
            <w:tcW w:w="3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Income tax</w:t>
            </w:r>
          </w:p>
        </w:tc>
        <w:tc>
          <w:tcPr>
            <w:tcW w:w="1320" w:type="dxa"/>
            <w:vAlign w:val="bottom"/>
          </w:tcPr>
          <w:p>
            <w:pPr>
              <w:jc w:val="center"/>
              <w:spacing w:after="0"/>
              <w:rPr>
                <w:sz w:val="20"/>
                <w:szCs w:val="20"/>
                <w:color w:val="auto"/>
              </w:rPr>
            </w:pPr>
            <w:r>
              <w:rPr>
                <w:rFonts w:ascii="Arial" w:cs="Arial" w:eastAsia="Arial" w:hAnsi="Arial"/>
                <w:sz w:val="14"/>
                <w:szCs w:val="14"/>
                <w:color w:val="auto"/>
              </w:rPr>
              <w:t>-3,200</w:t>
            </w:r>
          </w:p>
        </w:tc>
        <w:tc>
          <w:tcPr>
            <w:tcW w:w="1340" w:type="dxa"/>
            <w:vAlign w:val="bottom"/>
          </w:tcPr>
          <w:p>
            <w:pPr>
              <w:jc w:val="center"/>
              <w:spacing w:after="0"/>
              <w:rPr>
                <w:sz w:val="20"/>
                <w:szCs w:val="20"/>
                <w:color w:val="auto"/>
              </w:rPr>
            </w:pPr>
            <w:r>
              <w:rPr>
                <w:rFonts w:ascii="Arial" w:cs="Arial" w:eastAsia="Arial" w:hAnsi="Arial"/>
                <w:sz w:val="14"/>
                <w:szCs w:val="14"/>
                <w:color w:val="auto"/>
              </w:rPr>
              <w:t>-29,667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-3,795</w:t>
            </w:r>
          </w:p>
        </w:tc>
        <w:tc>
          <w:tcPr>
            <w:tcW w:w="980" w:type="dxa"/>
            <w:vAlign w:val="bottom"/>
          </w:tcPr>
          <w:p>
            <w:pPr>
              <w:jc w:val="center"/>
              <w:ind w:left="268"/>
              <w:spacing w:after="0"/>
              <w:rPr>
                <w:sz w:val="20"/>
                <w:szCs w:val="20"/>
                <w:color w:val="auto"/>
              </w:rPr>
            </w:pPr>
            <w:r>
              <w:rPr>
                <w:rFonts w:ascii="Arial" w:cs="Arial" w:eastAsia="Arial" w:hAnsi="Arial"/>
                <w:sz w:val="14"/>
                <w:szCs w:val="14"/>
                <w:color w:val="auto"/>
                <w:w w:val="99"/>
              </w:rPr>
              <w:t>-87.2%</w:t>
            </w:r>
          </w:p>
        </w:tc>
        <w:tc>
          <w:tcPr>
            <w:tcW w:w="184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18.6%</w:t>
            </w:r>
          </w:p>
        </w:tc>
      </w:tr>
      <w:tr>
        <w:trPr>
          <w:trHeight w:val="223"/>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Net income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241,141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135,998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216,753</w:t>
            </w:r>
          </w:p>
        </w:tc>
        <w:tc>
          <w:tcPr>
            <w:tcW w:w="9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59.4%</w:t>
            </w:r>
          </w:p>
        </w:tc>
        <w:tc>
          <w:tcPr>
            <w:tcW w:w="1840" w:type="dxa"/>
            <w:vAlign w:val="bottom"/>
            <w:tcBorders>
              <w:bottom w:val="single" w:sz="8" w:color="auto"/>
              <w:right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-10.1%</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*Financial statements without consolidatio</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(1) Excluding investments in real estate.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agreement with Banmedica (in equal parts) of the businesses of:</w:t>
      </w:r>
    </w:p>
    <w:p>
      <w:pPr>
        <w:spacing w:after="0" w:line="9"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private health insurance managed by Grupo Pacifico and included in its Financial Statements in each of the accounting lines;</w:t>
      </w:r>
    </w:p>
    <w:p>
      <w:pPr>
        <w:ind w:left="660" w:hanging="328"/>
        <w:spacing w:after="0" w:line="23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corporate health insurance (dependent workers); and</w:t>
      </w: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180" w:lineRule="exact"/>
        <w:rPr>
          <w:sz w:val="20"/>
          <w:szCs w:val="20"/>
          <w:color w:val="auto"/>
        </w:rPr>
      </w:pPr>
    </w:p>
    <w:p>
      <w:pPr>
        <w:jc w:val="both"/>
        <w:ind w:right="900"/>
        <w:spacing w:after="0" w:line="253" w:lineRule="auto"/>
        <w:rPr>
          <w:sz w:val="20"/>
          <w:szCs w:val="20"/>
          <w:color w:val="auto"/>
        </w:rPr>
      </w:pPr>
      <w:r>
        <w:rPr>
          <w:rFonts w:ascii="Arial" w:cs="Arial" w:eastAsia="Arial" w:hAnsi="Arial"/>
          <w:sz w:val="18"/>
          <w:szCs w:val="18"/>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5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As explained before, corporate health insurance and medical services businesses are consolidated by Banmedica. The following table reflects the consolidated results from which Grupo Pacifico receives the 50% net income.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7" w:name="page68"/>
    <w:bookmarkEnd w:id="67"/>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health insurance and Medical Services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60" w:type="dxa"/>
            <w:vAlign w:val="bottom"/>
            <w:tcBorders>
              <w:top w:val="single" w:sz="8" w:color="auto"/>
            </w:tcBorders>
            <w:shd w:val="clear" w:color="auto" w:fill="2AD2C9"/>
          </w:tcPr>
          <w:p>
            <w:pPr>
              <w:spacing w:after="0"/>
              <w:rPr>
                <w:sz w:val="19"/>
                <w:szCs w:val="19"/>
                <w:color w:val="auto"/>
              </w:rPr>
            </w:pPr>
          </w:p>
        </w:tc>
        <w:tc>
          <w:tcPr>
            <w:tcW w:w="1100" w:type="dxa"/>
            <w:vAlign w:val="bottom"/>
            <w:tcBorders>
              <w:top w:val="single" w:sz="8" w:color="auto"/>
            </w:tcBorders>
            <w:shd w:val="clear" w:color="auto" w:fill="2AD2C9"/>
          </w:tcPr>
          <w:p>
            <w:pPr>
              <w:jc w:val="right"/>
              <w:ind w:right="268"/>
              <w:spacing w:after="0"/>
              <w:rPr>
                <w:sz w:val="20"/>
                <w:szCs w:val="20"/>
                <w:color w:val="auto"/>
              </w:rPr>
            </w:pPr>
            <w:r>
              <w:rPr>
                <w:rFonts w:ascii="Arial" w:cs="Arial" w:eastAsia="Arial" w:hAnsi="Arial"/>
                <w:sz w:val="14"/>
                <w:szCs w:val="14"/>
                <w:b w:val="1"/>
                <w:bCs w:val="1"/>
                <w:color w:val="FFFFFF"/>
              </w:rPr>
              <w:t>Quarterly</w:t>
            </w:r>
          </w:p>
        </w:tc>
        <w:tc>
          <w:tcPr>
            <w:tcW w:w="860" w:type="dxa"/>
            <w:vAlign w:val="bottom"/>
            <w:tcBorders>
              <w:top w:val="single" w:sz="8" w:color="auto"/>
              <w:right w:val="single" w:sz="8" w:color="auto"/>
            </w:tcBorders>
            <w:shd w:val="clear" w:color="auto" w:fill="2AD2C9"/>
          </w:tcPr>
          <w:p>
            <w:pPr>
              <w:spacing w:after="0"/>
              <w:rPr>
                <w:sz w:val="19"/>
                <w:szCs w:val="19"/>
                <w:color w:val="auto"/>
              </w:rPr>
            </w:pPr>
          </w:p>
        </w:tc>
        <w:tc>
          <w:tcPr>
            <w:tcW w:w="184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4"/>
                <w:szCs w:val="14"/>
                <w:b w:val="1"/>
                <w:bCs w:val="1"/>
                <w:color w:val="FFFFFF"/>
              </w:rPr>
              <w:t>% change</w:t>
            </w:r>
          </w:p>
        </w:tc>
        <w:tc>
          <w:tcPr>
            <w:tcW w:w="1000" w:type="dxa"/>
            <w:vAlign w:val="bottom"/>
          </w:tcPr>
          <w:p>
            <w:pPr>
              <w:spacing w:after="0"/>
              <w:rPr>
                <w:sz w:val="19"/>
                <w:szCs w:val="19"/>
                <w:color w:val="auto"/>
              </w:rPr>
            </w:pPr>
          </w:p>
        </w:tc>
      </w:tr>
      <w:tr>
        <w:trPr>
          <w:trHeight w:val="217"/>
        </w:trPr>
        <w:tc>
          <w:tcPr>
            <w:tcW w:w="10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shd w:val="clear" w:color="auto" w:fill="2AD2C9"/>
          </w:tcPr>
          <w:p>
            <w:pPr>
              <w:jc w:val="right"/>
              <w:ind w:right="308"/>
              <w:spacing w:after="0"/>
              <w:rPr>
                <w:sz w:val="20"/>
                <w:szCs w:val="20"/>
                <w:color w:val="auto"/>
              </w:rPr>
            </w:pPr>
            <w:r>
              <w:rPr>
                <w:rFonts w:ascii="Arial" w:cs="Arial" w:eastAsia="Arial" w:hAnsi="Arial"/>
                <w:sz w:val="14"/>
                <w:szCs w:val="14"/>
                <w:b w:val="1"/>
                <w:bCs w:val="1"/>
                <w:color w:val="FFFFFF"/>
              </w:rPr>
              <w:t>1Q22</w:t>
            </w:r>
          </w:p>
        </w:tc>
        <w:tc>
          <w:tcPr>
            <w:tcW w:w="1100" w:type="dxa"/>
            <w:vAlign w:val="bottom"/>
            <w:tcBorders>
              <w:bottom w:val="single" w:sz="8" w:color="auto"/>
            </w:tcBorders>
            <w:shd w:val="clear" w:color="auto" w:fill="2AD2C9"/>
          </w:tcPr>
          <w:p>
            <w:pPr>
              <w:jc w:val="right"/>
              <w:ind w:right="408"/>
              <w:spacing w:after="0"/>
              <w:rPr>
                <w:sz w:val="20"/>
                <w:szCs w:val="20"/>
                <w:color w:val="auto"/>
              </w:rPr>
            </w:pPr>
            <w:r>
              <w:rPr>
                <w:rFonts w:ascii="Arial" w:cs="Arial" w:eastAsia="Arial" w:hAnsi="Arial"/>
                <w:sz w:val="14"/>
                <w:szCs w:val="14"/>
                <w:b w:val="1"/>
                <w:bCs w:val="1"/>
                <w:color w:val="FFFFFF"/>
              </w:rPr>
              <w:t>4Q23</w:t>
            </w:r>
          </w:p>
        </w:tc>
        <w:tc>
          <w:tcPr>
            <w:tcW w:w="860" w:type="dxa"/>
            <w:vAlign w:val="bottom"/>
            <w:tcBorders>
              <w:bottom w:val="single" w:sz="8" w:color="auto"/>
              <w:right w:val="single" w:sz="8" w:color="auto"/>
            </w:tcBorders>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1Q24</w:t>
            </w:r>
          </w:p>
        </w:tc>
        <w:tc>
          <w:tcPr>
            <w:tcW w:w="90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QoQ</w:t>
            </w:r>
          </w:p>
        </w:tc>
        <w:tc>
          <w:tcPr>
            <w:tcW w:w="94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YoY</w:t>
            </w:r>
          </w:p>
        </w:tc>
        <w:tc>
          <w:tcPr>
            <w:tcW w:w="1000" w:type="dxa"/>
            <w:vAlign w:val="bottom"/>
          </w:tcPr>
          <w:p>
            <w:pPr>
              <w:spacing w:after="0"/>
              <w:rPr>
                <w:sz w:val="18"/>
                <w:szCs w:val="18"/>
                <w:color w:val="auto"/>
              </w:rPr>
            </w:pPr>
          </w:p>
        </w:tc>
      </w:tr>
      <w:tr>
        <w:trPr>
          <w:trHeight w:val="209"/>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b w:val="1"/>
                <w:bCs w:val="1"/>
                <w:color w:val="auto"/>
              </w:rPr>
              <w:t>Results</w:t>
            </w:r>
          </w:p>
        </w:tc>
        <w:tc>
          <w:tcPr>
            <w:tcW w:w="148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Net earned premiums</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340,905</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350,926</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357,999</w:t>
            </w:r>
          </w:p>
        </w:tc>
        <w:tc>
          <w:tcPr>
            <w:tcW w:w="900" w:type="dxa"/>
            <w:vAlign w:val="bottom"/>
          </w:tcPr>
          <w:p>
            <w:pPr>
              <w:jc w:val="center"/>
              <w:spacing w:after="0"/>
              <w:rPr>
                <w:sz w:val="20"/>
                <w:szCs w:val="20"/>
                <w:color w:val="auto"/>
              </w:rPr>
            </w:pPr>
            <w:r>
              <w:rPr>
                <w:rFonts w:ascii="Arial" w:cs="Arial" w:eastAsia="Arial" w:hAnsi="Arial"/>
                <w:sz w:val="14"/>
                <w:szCs w:val="14"/>
                <w:color w:val="auto"/>
              </w:rPr>
              <w:t>2.0%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1000" w:type="dxa"/>
            <w:vAlign w:val="bottom"/>
          </w:tcPr>
          <w:p>
            <w:pPr>
              <w:spacing w:after="0"/>
              <w:rPr>
                <w:sz w:val="18"/>
                <w:szCs w:val="18"/>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Net claims</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(259,039)</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(260,201)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(290,266)</w:t>
            </w:r>
          </w:p>
        </w:tc>
        <w:tc>
          <w:tcPr>
            <w:tcW w:w="900" w:type="dxa"/>
            <w:vAlign w:val="bottom"/>
          </w:tcPr>
          <w:p>
            <w:pPr>
              <w:jc w:val="center"/>
              <w:spacing w:after="0"/>
              <w:rPr>
                <w:sz w:val="20"/>
                <w:szCs w:val="20"/>
                <w:color w:val="auto"/>
              </w:rPr>
            </w:pPr>
            <w:r>
              <w:rPr>
                <w:rFonts w:ascii="Arial" w:cs="Arial" w:eastAsia="Arial" w:hAnsi="Arial"/>
                <w:sz w:val="14"/>
                <w:szCs w:val="14"/>
                <w:color w:val="auto"/>
              </w:rPr>
              <w:t>11.6%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12.1%</w:t>
            </w:r>
          </w:p>
        </w:tc>
        <w:tc>
          <w:tcPr>
            <w:tcW w:w="1000" w:type="dxa"/>
            <w:vAlign w:val="bottom"/>
          </w:tcPr>
          <w:p>
            <w:pPr>
              <w:spacing w:after="0"/>
              <w:rPr>
                <w:sz w:val="18"/>
                <w:szCs w:val="18"/>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Net fees</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(14,627)</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(14,818)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(15,658)</w:t>
            </w:r>
          </w:p>
        </w:tc>
        <w:tc>
          <w:tcPr>
            <w:tcW w:w="900" w:type="dxa"/>
            <w:vAlign w:val="bottom"/>
          </w:tcPr>
          <w:p>
            <w:pPr>
              <w:jc w:val="center"/>
              <w:spacing w:after="0"/>
              <w:rPr>
                <w:sz w:val="20"/>
                <w:szCs w:val="20"/>
                <w:color w:val="auto"/>
              </w:rPr>
            </w:pPr>
            <w:r>
              <w:rPr>
                <w:rFonts w:ascii="Arial" w:cs="Arial" w:eastAsia="Arial" w:hAnsi="Arial"/>
                <w:sz w:val="14"/>
                <w:szCs w:val="14"/>
                <w:color w:val="auto"/>
              </w:rPr>
              <w:t>5.7%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7.0%</w:t>
            </w:r>
          </w:p>
        </w:tc>
        <w:tc>
          <w:tcPr>
            <w:tcW w:w="1000" w:type="dxa"/>
            <w:vAlign w:val="bottom"/>
          </w:tcPr>
          <w:p>
            <w:pPr>
              <w:spacing w:after="0"/>
              <w:rPr>
                <w:sz w:val="18"/>
                <w:szCs w:val="18"/>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Net underwriting expenses</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(2,995)</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(3,262)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(3,305)</w:t>
            </w:r>
          </w:p>
        </w:tc>
        <w:tc>
          <w:tcPr>
            <w:tcW w:w="900" w:type="dxa"/>
            <w:vAlign w:val="bottom"/>
          </w:tcPr>
          <w:p>
            <w:pPr>
              <w:jc w:val="center"/>
              <w:spacing w:after="0"/>
              <w:rPr>
                <w:sz w:val="20"/>
                <w:szCs w:val="20"/>
                <w:color w:val="auto"/>
              </w:rPr>
            </w:pPr>
            <w:r>
              <w:rPr>
                <w:rFonts w:ascii="Arial" w:cs="Arial" w:eastAsia="Arial" w:hAnsi="Arial"/>
                <w:sz w:val="14"/>
                <w:szCs w:val="14"/>
                <w:color w:val="auto"/>
              </w:rPr>
              <w:t>1.3%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8"/>
                <w:szCs w:val="18"/>
                <w:color w:val="auto"/>
              </w:rPr>
            </w:pPr>
          </w:p>
        </w:tc>
      </w:tr>
      <w:tr>
        <w:trPr>
          <w:trHeight w:val="222"/>
        </w:trPr>
        <w:tc>
          <w:tcPr>
            <w:tcW w:w="1040" w:type="dxa"/>
            <w:vAlign w:val="bottom"/>
            <w:tcBorders>
              <w:right w:val="single" w:sz="8" w:color="auto"/>
            </w:tcBorders>
          </w:tcPr>
          <w:p>
            <w:pPr>
              <w:spacing w:after="0"/>
              <w:rPr>
                <w:sz w:val="19"/>
                <w:szCs w:val="19"/>
                <w:color w:val="auto"/>
              </w:rPr>
            </w:pPr>
          </w:p>
        </w:tc>
        <w:tc>
          <w:tcPr>
            <w:tcW w:w="2860" w:type="dxa"/>
            <w:vAlign w:val="bottom"/>
          </w:tcPr>
          <w:p>
            <w:pPr>
              <w:ind w:left="100"/>
              <w:spacing w:after="0"/>
              <w:rPr>
                <w:sz w:val="20"/>
                <w:szCs w:val="20"/>
                <w:color w:val="auto"/>
              </w:rPr>
            </w:pPr>
            <w:r>
              <w:rPr>
                <w:rFonts w:ascii="Arial" w:cs="Arial" w:eastAsia="Arial" w:hAnsi="Arial"/>
                <w:sz w:val="14"/>
                <w:szCs w:val="14"/>
                <w:b w:val="1"/>
                <w:bCs w:val="1"/>
                <w:color w:val="auto"/>
              </w:rPr>
              <w:t>Underwriting result</w:t>
            </w:r>
          </w:p>
        </w:tc>
        <w:tc>
          <w:tcPr>
            <w:tcW w:w="1480" w:type="dxa"/>
            <w:vAlign w:val="bottom"/>
            <w:tcBorders>
              <w:right w:val="single" w:sz="8" w:color="auto"/>
            </w:tcBorders>
          </w:tcPr>
          <w:p>
            <w:pPr>
              <w:spacing w:after="0"/>
              <w:rPr>
                <w:sz w:val="19"/>
                <w:szCs w:val="19"/>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64,243</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72,645</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48,769</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-32.9%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-24.1%</w:t>
            </w:r>
          </w:p>
        </w:tc>
        <w:tc>
          <w:tcPr>
            <w:tcW w:w="1000" w:type="dxa"/>
            <w:vAlign w:val="bottom"/>
          </w:tcPr>
          <w:p>
            <w:pPr>
              <w:spacing w:after="0"/>
              <w:rPr>
                <w:sz w:val="19"/>
                <w:szCs w:val="19"/>
                <w:color w:val="auto"/>
              </w:rPr>
            </w:pPr>
          </w:p>
        </w:tc>
      </w:tr>
      <w:tr>
        <w:trPr>
          <w:trHeight w:val="426"/>
        </w:trPr>
        <w:tc>
          <w:tcPr>
            <w:tcW w:w="1040" w:type="dxa"/>
            <w:vAlign w:val="bottom"/>
            <w:tcBorders>
              <w:right w:val="single" w:sz="8" w:color="auto"/>
            </w:tcBorders>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Net financial income</w:t>
            </w:r>
          </w:p>
        </w:tc>
        <w:tc>
          <w:tcPr>
            <w:tcW w:w="1480" w:type="dxa"/>
            <w:vAlign w:val="bottom"/>
            <w:tcBorders>
              <w:right w:val="single" w:sz="8" w:color="auto"/>
            </w:tcBorders>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4,133</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5,035</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5,776</w:t>
            </w:r>
          </w:p>
        </w:tc>
        <w:tc>
          <w:tcPr>
            <w:tcW w:w="900" w:type="dxa"/>
            <w:vAlign w:val="bottom"/>
          </w:tcPr>
          <w:p>
            <w:pPr>
              <w:jc w:val="center"/>
              <w:spacing w:after="0"/>
              <w:rPr>
                <w:sz w:val="20"/>
                <w:szCs w:val="20"/>
                <w:color w:val="auto"/>
              </w:rPr>
            </w:pPr>
            <w:r>
              <w:rPr>
                <w:rFonts w:ascii="Arial" w:cs="Arial" w:eastAsia="Arial" w:hAnsi="Arial"/>
                <w:sz w:val="14"/>
                <w:szCs w:val="14"/>
                <w:color w:val="auto"/>
              </w:rPr>
              <w:t>14.7%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39.8%</w:t>
            </w:r>
          </w:p>
        </w:tc>
        <w:tc>
          <w:tcPr>
            <w:tcW w:w="1000" w:type="dxa"/>
            <w:vAlign w:val="bottom"/>
          </w:tcPr>
          <w:p>
            <w:pPr>
              <w:spacing w:after="0"/>
              <w:rPr>
                <w:sz w:val="24"/>
                <w:szCs w:val="24"/>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Total expenses</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(22,469)</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(33,987)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(25,897)</w:t>
            </w:r>
          </w:p>
        </w:tc>
        <w:tc>
          <w:tcPr>
            <w:tcW w:w="900" w:type="dxa"/>
            <w:vAlign w:val="bottom"/>
          </w:tcPr>
          <w:p>
            <w:pPr>
              <w:jc w:val="center"/>
              <w:spacing w:after="0"/>
              <w:rPr>
                <w:sz w:val="20"/>
                <w:szCs w:val="20"/>
                <w:color w:val="auto"/>
              </w:rPr>
            </w:pPr>
            <w:r>
              <w:rPr>
                <w:rFonts w:ascii="Arial" w:cs="Arial" w:eastAsia="Arial" w:hAnsi="Arial"/>
                <w:sz w:val="14"/>
                <w:szCs w:val="14"/>
                <w:color w:val="auto"/>
              </w:rPr>
              <w:t>-23.8%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15.3%</w:t>
            </w:r>
          </w:p>
        </w:tc>
        <w:tc>
          <w:tcPr>
            <w:tcW w:w="1000" w:type="dxa"/>
            <w:vAlign w:val="bottom"/>
          </w:tcPr>
          <w:p>
            <w:pPr>
              <w:spacing w:after="0"/>
              <w:rPr>
                <w:sz w:val="18"/>
                <w:szCs w:val="18"/>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2,709</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2,036</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2,216</w:t>
            </w:r>
          </w:p>
        </w:tc>
        <w:tc>
          <w:tcPr>
            <w:tcW w:w="900" w:type="dxa"/>
            <w:vAlign w:val="bottom"/>
          </w:tcPr>
          <w:p>
            <w:pPr>
              <w:jc w:val="center"/>
              <w:spacing w:after="0"/>
              <w:rPr>
                <w:sz w:val="20"/>
                <w:szCs w:val="20"/>
                <w:color w:val="auto"/>
              </w:rPr>
            </w:pPr>
            <w:r>
              <w:rPr>
                <w:rFonts w:ascii="Arial" w:cs="Arial" w:eastAsia="Arial" w:hAnsi="Arial"/>
                <w:sz w:val="14"/>
                <w:szCs w:val="14"/>
                <w:color w:val="auto"/>
              </w:rPr>
              <w:t>8.8%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-18.2%</w:t>
            </w:r>
          </w:p>
        </w:tc>
        <w:tc>
          <w:tcPr>
            <w:tcW w:w="1000" w:type="dxa"/>
            <w:vAlign w:val="bottom"/>
          </w:tcPr>
          <w:p>
            <w:pPr>
              <w:spacing w:after="0"/>
              <w:rPr>
                <w:sz w:val="18"/>
                <w:szCs w:val="18"/>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Traslations results</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(1,180)</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(1,596)</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900" w:type="dxa"/>
            <w:vAlign w:val="bottom"/>
          </w:tcPr>
          <w:p>
            <w:pPr>
              <w:jc w:val="center"/>
              <w:spacing w:after="0"/>
              <w:rPr>
                <w:sz w:val="20"/>
                <w:szCs w:val="20"/>
                <w:color w:val="auto"/>
              </w:rPr>
            </w:pPr>
            <w:r>
              <w:rPr>
                <w:rFonts w:ascii="Arial" w:cs="Arial" w:eastAsia="Arial" w:hAnsi="Arial"/>
                <w:sz w:val="14"/>
                <w:szCs w:val="14"/>
                <w:color w:val="auto"/>
              </w:rPr>
              <w:t>-104.0%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-105.4%</w:t>
            </w:r>
          </w:p>
        </w:tc>
        <w:tc>
          <w:tcPr>
            <w:tcW w:w="1000" w:type="dxa"/>
            <w:vAlign w:val="bottom"/>
          </w:tcPr>
          <w:p>
            <w:pPr>
              <w:spacing w:after="0"/>
              <w:rPr>
                <w:sz w:val="18"/>
                <w:szCs w:val="18"/>
                <w:color w:val="auto"/>
              </w:rPr>
            </w:pPr>
          </w:p>
        </w:tc>
      </w:tr>
      <w:tr>
        <w:trPr>
          <w:trHeight w:val="216"/>
        </w:trPr>
        <w:tc>
          <w:tcPr>
            <w:tcW w:w="1040" w:type="dxa"/>
            <w:vAlign w:val="bottom"/>
            <w:tcBorders>
              <w:right w:val="single" w:sz="8" w:color="auto"/>
            </w:tcBorders>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4"/>
                <w:szCs w:val="14"/>
                <w:color w:val="auto"/>
              </w:rPr>
              <w:t>Income tax</w:t>
            </w:r>
          </w:p>
        </w:tc>
        <w:tc>
          <w:tcPr>
            <w:tcW w:w="1480" w:type="dxa"/>
            <w:vAlign w:val="bottom"/>
            <w:tcBorders>
              <w:right w:val="single" w:sz="8" w:color="auto"/>
            </w:tcBorders>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(15,249)</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(13,532)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(9,193)</w:t>
            </w:r>
          </w:p>
        </w:tc>
        <w:tc>
          <w:tcPr>
            <w:tcW w:w="900" w:type="dxa"/>
            <w:vAlign w:val="bottom"/>
          </w:tcPr>
          <w:p>
            <w:pPr>
              <w:jc w:val="center"/>
              <w:spacing w:after="0"/>
              <w:rPr>
                <w:sz w:val="20"/>
                <w:szCs w:val="20"/>
                <w:color w:val="auto"/>
              </w:rPr>
            </w:pPr>
            <w:r>
              <w:rPr>
                <w:rFonts w:ascii="Arial" w:cs="Arial" w:eastAsia="Arial" w:hAnsi="Arial"/>
                <w:sz w:val="14"/>
                <w:szCs w:val="14"/>
                <w:color w:val="auto"/>
              </w:rPr>
              <w:t>-32.1%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-39.7%</w:t>
            </w:r>
          </w:p>
        </w:tc>
        <w:tc>
          <w:tcPr>
            <w:tcW w:w="1000" w:type="dxa"/>
            <w:vAlign w:val="bottom"/>
          </w:tcPr>
          <w:p>
            <w:pPr>
              <w:spacing w:after="0"/>
              <w:rPr>
                <w:sz w:val="18"/>
                <w:szCs w:val="18"/>
                <w:color w:val="auto"/>
              </w:rPr>
            </w:pPr>
          </w:p>
        </w:tc>
      </w:tr>
      <w:tr>
        <w:trPr>
          <w:trHeight w:val="438"/>
        </w:trPr>
        <w:tc>
          <w:tcPr>
            <w:tcW w:w="1040" w:type="dxa"/>
            <w:vAlign w:val="bottom"/>
            <w:tcBorders>
              <w:right w:val="single" w:sz="8" w:color="auto"/>
            </w:tcBorders>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14"/>
                <w:szCs w:val="14"/>
                <w:b w:val="1"/>
                <w:bCs w:val="1"/>
                <w:color w:val="auto"/>
              </w:rPr>
              <w:t>Net income before Medical services</w:t>
            </w:r>
          </w:p>
        </w:tc>
        <w:tc>
          <w:tcPr>
            <w:tcW w:w="1480" w:type="dxa"/>
            <w:vAlign w:val="bottom"/>
            <w:tcBorders>
              <w:right w:val="single" w:sz="8" w:color="auto"/>
            </w:tcBorders>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32,187</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30,602</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21,734</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-29.0%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-32.5%</w:t>
            </w:r>
          </w:p>
        </w:tc>
        <w:tc>
          <w:tcPr>
            <w:tcW w:w="1000" w:type="dxa"/>
            <w:vAlign w:val="bottom"/>
          </w:tcPr>
          <w:p>
            <w:pPr>
              <w:spacing w:after="0"/>
              <w:rPr>
                <w:sz w:val="24"/>
                <w:szCs w:val="24"/>
                <w:color w:val="auto"/>
              </w:rPr>
            </w:pPr>
          </w:p>
        </w:tc>
      </w:tr>
      <w:tr>
        <w:trPr>
          <w:trHeight w:val="432"/>
        </w:trPr>
        <w:tc>
          <w:tcPr>
            <w:tcW w:w="1040" w:type="dxa"/>
            <w:vAlign w:val="bottom"/>
            <w:tcBorders>
              <w:right w:val="single" w:sz="8" w:color="auto"/>
            </w:tcBorders>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14"/>
                <w:szCs w:val="14"/>
                <w:b w:val="1"/>
                <w:bCs w:val="1"/>
                <w:color w:val="auto"/>
              </w:rPr>
              <w:t>Net income of Medical services</w:t>
            </w:r>
          </w:p>
        </w:tc>
        <w:tc>
          <w:tcPr>
            <w:tcW w:w="1480" w:type="dxa"/>
            <w:vAlign w:val="bottom"/>
            <w:tcBorders>
              <w:right w:val="single" w:sz="8" w:color="auto"/>
            </w:tcBorders>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28,462</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30,083</w:t>
            </w:r>
          </w:p>
        </w:tc>
        <w:tc>
          <w:tcPr>
            <w:tcW w:w="8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31,106</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3.4%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9.3%</w:t>
            </w:r>
          </w:p>
        </w:tc>
        <w:tc>
          <w:tcPr>
            <w:tcW w:w="1000" w:type="dxa"/>
            <w:vAlign w:val="bottom"/>
          </w:tcPr>
          <w:p>
            <w:pPr>
              <w:spacing w:after="0"/>
              <w:rPr>
                <w:sz w:val="24"/>
                <w:szCs w:val="24"/>
                <w:color w:val="auto"/>
              </w:rPr>
            </w:pPr>
          </w:p>
        </w:tc>
      </w:tr>
      <w:tr>
        <w:trPr>
          <w:trHeight w:val="433"/>
        </w:trPr>
        <w:tc>
          <w:tcPr>
            <w:tcW w:w="1040" w:type="dxa"/>
            <w:vAlign w:val="bottom"/>
            <w:tcBorders>
              <w:right w:val="single" w:sz="8" w:color="auto"/>
            </w:tcBorders>
          </w:tcPr>
          <w:p>
            <w:pPr>
              <w:spacing w:after="0"/>
              <w:rPr>
                <w:sz w:val="24"/>
                <w:szCs w:val="24"/>
                <w:color w:val="auto"/>
              </w:rPr>
            </w:pPr>
          </w:p>
        </w:tc>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Net income</w:t>
            </w:r>
          </w:p>
        </w:tc>
        <w:tc>
          <w:tcPr>
            <w:tcW w:w="14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60,649</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60,685</w:t>
            </w:r>
          </w:p>
        </w:tc>
        <w:tc>
          <w:tcPr>
            <w:tcW w:w="8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52,840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-12.9%</w:t>
            </w:r>
          </w:p>
        </w:tc>
        <w:tc>
          <w:tcPr>
            <w:tcW w:w="1000" w:type="dxa"/>
            <w:vAlign w:val="bottom"/>
          </w:tcPr>
          <w:p>
            <w:pPr>
              <w:spacing w:after="0"/>
              <w:rPr>
                <w:sz w:val="24"/>
                <w:szCs w:val="24"/>
                <w:color w:val="auto"/>
              </w:rPr>
            </w:pPr>
          </w:p>
        </w:tc>
      </w:tr>
      <w:tr>
        <w:trPr>
          <w:trHeight w:val="339"/>
        </w:trPr>
        <w:tc>
          <w:tcPr>
            <w:tcW w:w="3900" w:type="dxa"/>
            <w:vAlign w:val="bottom"/>
            <w:gridSpan w:val="2"/>
          </w:tcPr>
          <w:p>
            <w:pPr>
              <w:ind w:left="940"/>
              <w:spacing w:after="0"/>
              <w:rPr>
                <w:sz w:val="20"/>
                <w:szCs w:val="20"/>
                <w:color w:val="auto"/>
              </w:rPr>
            </w:pPr>
            <w:r>
              <w:rPr>
                <w:rFonts w:ascii="Arial" w:cs="Arial" w:eastAsia="Arial" w:hAnsi="Arial"/>
                <w:sz w:val="11"/>
                <w:szCs w:val="11"/>
                <w:color w:val="auto"/>
              </w:rPr>
              <w:t>(1) Reported under IFRS 4 standards.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38"/>
        </w:trPr>
        <w:tc>
          <w:tcPr>
            <w:tcW w:w="10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40" w:type="dxa"/>
            <w:vAlign w:val="bottom"/>
            <w:gridSpan w:val="3"/>
          </w:tcPr>
          <w:p>
            <w:pPr>
              <w:jc w:val="right"/>
              <w:ind w:right="428"/>
              <w:spacing w:after="0"/>
              <w:rPr>
                <w:sz w:val="20"/>
                <w:szCs w:val="20"/>
                <w:color w:val="auto"/>
              </w:rPr>
            </w:pPr>
            <w:r>
              <w:rPr>
                <w:rFonts w:ascii="Arial" w:cs="Arial" w:eastAsia="Arial" w:hAnsi="Arial"/>
                <w:sz w:val="14"/>
                <w:szCs w:val="14"/>
                <w:color w:val="0000FF"/>
              </w:rPr>
              <w:t>Datos elaborados por BCP para uso Interno</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66</w:t>
            </w:r>
          </w:p>
        </w:tc>
      </w:tr>
      <w:tr>
        <w:trPr>
          <w:trHeight w:val="429"/>
        </w:trPr>
        <w:tc>
          <w:tcPr>
            <w:tcW w:w="10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8" w:name="page69"/>
    <w:bookmarkEnd w:id="68"/>
    <w:p>
      <w:pPr>
        <w:jc w:val="right"/>
        <w:ind w:right="240"/>
        <w:spacing w:after="0"/>
        <w:tabs>
          <w:tab w:leader="none" w:pos="8260" w:val="left"/>
          <w:tab w:leader="none" w:pos="388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12.6.9. Investment Management &amp; Advisory </w:t>
      </w:r>
      <w:r>
        <w:rPr>
          <w:rFonts w:ascii="Arial" w:cs="Arial" w:eastAsia="Arial" w:hAnsi="Arial"/>
          <w:sz w:val="29"/>
          <w:szCs w:val="29"/>
          <w:b w:val="1"/>
          <w:bCs w:val="1"/>
          <w:color w:val="auto"/>
          <w:vertAlign w:val="superscript"/>
        </w:rPr>
        <w:t>*</w:t>
      </w:r>
    </w:p>
    <w:p>
      <w:pPr>
        <w:spacing w:after="0" w:line="80" w:lineRule="exact"/>
        <w:rPr>
          <w:sz w:val="20"/>
          <w:szCs w:val="20"/>
          <w:color w:val="auto"/>
        </w:rPr>
      </w:pPr>
    </w:p>
    <w:tbl>
      <w:tblPr>
        <w:tblLayout w:type="fixed"/>
        <w:tblInd w:w="1030" w:type="dxa"/>
        <w:tblCellMar>
          <w:top w:w="0" w:type="dxa"/>
          <w:left w:w="0" w:type="dxa"/>
          <w:bottom w:w="0" w:type="dxa"/>
          <w:right w:w="0" w:type="dxa"/>
        </w:tblCellMar>
      </w:tblPr>
      <w:tr>
        <w:trPr>
          <w:trHeight w:val="227"/>
        </w:trPr>
        <w:tc>
          <w:tcPr>
            <w:tcW w:w="4300" w:type="dxa"/>
            <w:vAlign w:val="bottom"/>
            <w:tcBorders>
              <w:top w:val="single" w:sz="8" w:color="auto"/>
              <w:left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4"/>
                <w:szCs w:val="14"/>
                <w:b w:val="1"/>
                <w:bCs w:val="1"/>
                <w:color w:val="FFFFFF"/>
              </w:rPr>
              <w:t>Investment Management &amp; Advisory</w:t>
            </w:r>
          </w:p>
        </w:tc>
        <w:tc>
          <w:tcPr>
            <w:tcW w:w="1020" w:type="dxa"/>
            <w:vAlign w:val="bottom"/>
            <w:tcBorders>
              <w:top w:val="single" w:sz="8" w:color="auto"/>
            </w:tcBorders>
            <w:shd w:val="clear" w:color="auto" w:fill="2AD2C9"/>
          </w:tcPr>
          <w:p>
            <w:pPr>
              <w:spacing w:after="0"/>
              <w:rPr>
                <w:sz w:val="19"/>
                <w:szCs w:val="19"/>
                <w:color w:val="auto"/>
              </w:rPr>
            </w:pPr>
          </w:p>
        </w:tc>
        <w:tc>
          <w:tcPr>
            <w:tcW w:w="1020" w:type="dxa"/>
            <w:vAlign w:val="bottom"/>
            <w:tcBorders>
              <w:top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9"/>
                <w:szCs w:val="19"/>
                <w:color w:val="auto"/>
              </w:rPr>
            </w:pPr>
          </w:p>
        </w:tc>
        <w:tc>
          <w:tcPr>
            <w:tcW w:w="186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4"/>
                <w:szCs w:val="14"/>
                <w:b w:val="1"/>
                <w:bCs w:val="1"/>
                <w:color w:val="FFFFFF"/>
              </w:rPr>
              <w:t>% change</w:t>
            </w:r>
          </w:p>
        </w:tc>
      </w:tr>
      <w:tr>
        <w:trPr>
          <w:trHeight w:val="217"/>
        </w:trPr>
        <w:tc>
          <w:tcPr>
            <w:tcW w:w="4300" w:type="dxa"/>
            <w:vAlign w:val="bottom"/>
            <w:tcBorders>
              <w:left w:val="single" w:sz="8" w:color="auto"/>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4"/>
                <w:szCs w:val="14"/>
                <w:b w:val="1"/>
                <w:bCs w:val="1"/>
                <w:color w:val="FFFFFF"/>
              </w:rPr>
              <w:t>S/000</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1Q23</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4Q23</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1Q24</w:t>
            </w:r>
          </w:p>
        </w:tc>
        <w:tc>
          <w:tcPr>
            <w:tcW w:w="8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QoQ</w:t>
            </w:r>
          </w:p>
        </w:tc>
        <w:tc>
          <w:tcPr>
            <w:tcW w:w="98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YoY</w:t>
            </w:r>
          </w:p>
        </w:tc>
      </w:tr>
      <w:tr>
        <w:trPr>
          <w:trHeight w:val="203"/>
        </w:trPr>
        <w:tc>
          <w:tcPr>
            <w:tcW w:w="4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Net interest income</w:t>
            </w:r>
          </w:p>
        </w:tc>
        <w:tc>
          <w:tcPr>
            <w:tcW w:w="1020" w:type="dxa"/>
            <w:vAlign w:val="bottom"/>
          </w:tcPr>
          <w:p>
            <w:pPr>
              <w:jc w:val="center"/>
              <w:spacing w:after="0"/>
              <w:rPr>
                <w:sz w:val="20"/>
                <w:szCs w:val="20"/>
                <w:color w:val="auto"/>
              </w:rPr>
            </w:pPr>
            <w:r>
              <w:rPr>
                <w:rFonts w:ascii="Arial" w:cs="Arial" w:eastAsia="Arial" w:hAnsi="Arial"/>
                <w:sz w:val="14"/>
                <w:szCs w:val="14"/>
                <w:color w:val="auto"/>
              </w:rPr>
              <w:t>22,042</w:t>
            </w:r>
          </w:p>
        </w:tc>
        <w:tc>
          <w:tcPr>
            <w:tcW w:w="1020" w:type="dxa"/>
            <w:vAlign w:val="bottom"/>
          </w:tcPr>
          <w:p>
            <w:pPr>
              <w:jc w:val="center"/>
              <w:spacing w:after="0"/>
              <w:rPr>
                <w:sz w:val="20"/>
                <w:szCs w:val="20"/>
                <w:color w:val="auto"/>
              </w:rPr>
            </w:pPr>
            <w:r>
              <w:rPr>
                <w:rFonts w:ascii="Arial" w:cs="Arial" w:eastAsia="Arial" w:hAnsi="Arial"/>
                <w:sz w:val="14"/>
                <w:szCs w:val="14"/>
                <w:color w:val="auto"/>
              </w:rPr>
              <w:t>18,757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6,460</w:t>
            </w:r>
          </w:p>
        </w:tc>
        <w:tc>
          <w:tcPr>
            <w:tcW w:w="880" w:type="dxa"/>
            <w:vAlign w:val="bottom"/>
          </w:tcPr>
          <w:p>
            <w:pPr>
              <w:jc w:val="center"/>
              <w:spacing w:after="0"/>
              <w:rPr>
                <w:sz w:val="20"/>
                <w:szCs w:val="20"/>
                <w:color w:val="auto"/>
              </w:rPr>
            </w:pPr>
            <w:r>
              <w:rPr>
                <w:rFonts w:ascii="Arial" w:cs="Arial" w:eastAsia="Arial" w:hAnsi="Arial"/>
                <w:sz w:val="14"/>
                <w:szCs w:val="14"/>
                <w:color w:val="auto"/>
              </w:rPr>
              <w:t>-65.6%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-71%</w:t>
            </w:r>
          </w:p>
        </w:tc>
      </w:tr>
      <w:tr>
        <w:trPr>
          <w:trHeight w:val="216"/>
        </w:trPr>
        <w:tc>
          <w:tcPr>
            <w:tcW w:w="4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Non-financial income</w:t>
            </w:r>
          </w:p>
        </w:tc>
        <w:tc>
          <w:tcPr>
            <w:tcW w:w="1020" w:type="dxa"/>
            <w:vAlign w:val="bottom"/>
          </w:tcPr>
          <w:p>
            <w:pPr>
              <w:jc w:val="center"/>
              <w:spacing w:after="0"/>
              <w:rPr>
                <w:sz w:val="20"/>
                <w:szCs w:val="20"/>
                <w:color w:val="auto"/>
              </w:rPr>
            </w:pPr>
            <w:r>
              <w:rPr>
                <w:rFonts w:ascii="Arial" w:cs="Arial" w:eastAsia="Arial" w:hAnsi="Arial"/>
                <w:sz w:val="14"/>
                <w:szCs w:val="14"/>
                <w:color w:val="auto"/>
              </w:rPr>
              <w:t>192,785</w:t>
            </w:r>
          </w:p>
        </w:tc>
        <w:tc>
          <w:tcPr>
            <w:tcW w:w="1020" w:type="dxa"/>
            <w:vAlign w:val="bottom"/>
          </w:tcPr>
          <w:p>
            <w:pPr>
              <w:jc w:val="center"/>
              <w:spacing w:after="0"/>
              <w:rPr>
                <w:sz w:val="20"/>
                <w:szCs w:val="20"/>
                <w:color w:val="auto"/>
              </w:rPr>
            </w:pPr>
            <w:r>
              <w:rPr>
                <w:rFonts w:ascii="Arial" w:cs="Arial" w:eastAsia="Arial" w:hAnsi="Arial"/>
                <w:sz w:val="14"/>
                <w:szCs w:val="14"/>
                <w:color w:val="auto"/>
              </w:rPr>
              <w:t>226,078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233,390</w:t>
            </w:r>
          </w:p>
        </w:tc>
        <w:tc>
          <w:tcPr>
            <w:tcW w:w="880" w:type="dxa"/>
            <w:vAlign w:val="bottom"/>
          </w:tcPr>
          <w:p>
            <w:pPr>
              <w:jc w:val="center"/>
              <w:spacing w:after="0"/>
              <w:rPr>
                <w:sz w:val="20"/>
                <w:szCs w:val="20"/>
                <w:color w:val="auto"/>
              </w:rPr>
            </w:pPr>
            <w:r>
              <w:rPr>
                <w:rFonts w:ascii="Arial" w:cs="Arial" w:eastAsia="Arial" w:hAnsi="Arial"/>
                <w:sz w:val="14"/>
                <w:szCs w:val="14"/>
                <w:color w:val="auto"/>
              </w:rPr>
              <w:t>3.2%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21.1%</w:t>
            </w:r>
          </w:p>
        </w:tc>
      </w:tr>
      <w:tr>
        <w:trPr>
          <w:trHeight w:val="216"/>
        </w:trPr>
        <w:tc>
          <w:tcPr>
            <w:tcW w:w="430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Fee income</w:t>
            </w:r>
          </w:p>
        </w:tc>
        <w:tc>
          <w:tcPr>
            <w:tcW w:w="1020" w:type="dxa"/>
            <w:vAlign w:val="bottom"/>
          </w:tcPr>
          <w:p>
            <w:pPr>
              <w:jc w:val="center"/>
              <w:spacing w:after="0"/>
              <w:rPr>
                <w:sz w:val="20"/>
                <w:szCs w:val="20"/>
                <w:color w:val="auto"/>
              </w:rPr>
            </w:pPr>
            <w:r>
              <w:rPr>
                <w:rFonts w:ascii="Arial" w:cs="Arial" w:eastAsia="Arial" w:hAnsi="Arial"/>
                <w:sz w:val="14"/>
                <w:szCs w:val="14"/>
                <w:color w:val="auto"/>
              </w:rPr>
              <w:t>122,861</w:t>
            </w:r>
          </w:p>
        </w:tc>
        <w:tc>
          <w:tcPr>
            <w:tcW w:w="1020" w:type="dxa"/>
            <w:vAlign w:val="bottom"/>
          </w:tcPr>
          <w:p>
            <w:pPr>
              <w:jc w:val="center"/>
              <w:spacing w:after="0"/>
              <w:rPr>
                <w:sz w:val="20"/>
                <w:szCs w:val="20"/>
                <w:color w:val="auto"/>
              </w:rPr>
            </w:pPr>
            <w:r>
              <w:rPr>
                <w:rFonts w:ascii="Arial" w:cs="Arial" w:eastAsia="Arial" w:hAnsi="Arial"/>
                <w:sz w:val="14"/>
                <w:szCs w:val="14"/>
                <w:color w:val="auto"/>
              </w:rPr>
              <w:t>147,019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145,099</w:t>
            </w:r>
          </w:p>
        </w:tc>
        <w:tc>
          <w:tcPr>
            <w:tcW w:w="880" w:type="dxa"/>
            <w:vAlign w:val="bottom"/>
          </w:tcPr>
          <w:p>
            <w:pPr>
              <w:jc w:val="center"/>
              <w:spacing w:after="0"/>
              <w:rPr>
                <w:sz w:val="20"/>
                <w:szCs w:val="20"/>
                <w:color w:val="auto"/>
              </w:rPr>
            </w:pPr>
            <w:r>
              <w:rPr>
                <w:rFonts w:ascii="Arial" w:cs="Arial" w:eastAsia="Arial" w:hAnsi="Arial"/>
                <w:sz w:val="14"/>
                <w:szCs w:val="14"/>
                <w:color w:val="auto"/>
              </w:rPr>
              <w:t>-1.3%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18.1%</w:t>
            </w:r>
          </w:p>
        </w:tc>
      </w:tr>
      <w:tr>
        <w:trPr>
          <w:trHeight w:val="216"/>
        </w:trPr>
        <w:tc>
          <w:tcPr>
            <w:tcW w:w="430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Net gain on foreign exchange transactions</w:t>
            </w:r>
          </w:p>
        </w:tc>
        <w:tc>
          <w:tcPr>
            <w:tcW w:w="1020" w:type="dxa"/>
            <w:vAlign w:val="bottom"/>
          </w:tcPr>
          <w:p>
            <w:pPr>
              <w:jc w:val="center"/>
              <w:spacing w:after="0"/>
              <w:rPr>
                <w:sz w:val="20"/>
                <w:szCs w:val="20"/>
                <w:color w:val="auto"/>
              </w:rPr>
            </w:pPr>
            <w:r>
              <w:rPr>
                <w:rFonts w:ascii="Arial" w:cs="Arial" w:eastAsia="Arial" w:hAnsi="Arial"/>
                <w:sz w:val="14"/>
                <w:szCs w:val="14"/>
                <w:color w:val="auto"/>
              </w:rPr>
              <w:t>16,084</w:t>
            </w:r>
          </w:p>
        </w:tc>
        <w:tc>
          <w:tcPr>
            <w:tcW w:w="1020" w:type="dxa"/>
            <w:vAlign w:val="bottom"/>
          </w:tcPr>
          <w:p>
            <w:pPr>
              <w:jc w:val="center"/>
              <w:spacing w:after="0"/>
              <w:rPr>
                <w:sz w:val="20"/>
                <w:szCs w:val="20"/>
                <w:color w:val="auto"/>
              </w:rPr>
            </w:pPr>
            <w:r>
              <w:rPr>
                <w:rFonts w:ascii="Arial" w:cs="Arial" w:eastAsia="Arial" w:hAnsi="Arial"/>
                <w:sz w:val="14"/>
                <w:szCs w:val="14"/>
                <w:color w:val="auto"/>
              </w:rPr>
              <w:t>14,844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12,638</w:t>
            </w:r>
          </w:p>
        </w:tc>
        <w:tc>
          <w:tcPr>
            <w:tcW w:w="880" w:type="dxa"/>
            <w:vAlign w:val="bottom"/>
          </w:tcPr>
          <w:p>
            <w:pPr>
              <w:jc w:val="center"/>
              <w:spacing w:after="0"/>
              <w:rPr>
                <w:sz w:val="20"/>
                <w:szCs w:val="20"/>
                <w:color w:val="auto"/>
              </w:rPr>
            </w:pPr>
            <w:r>
              <w:rPr>
                <w:rFonts w:ascii="Arial" w:cs="Arial" w:eastAsia="Arial" w:hAnsi="Arial"/>
                <w:sz w:val="14"/>
                <w:szCs w:val="14"/>
                <w:color w:val="auto"/>
              </w:rPr>
              <w:t>-14.9%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-21.4%</w:t>
            </w:r>
          </w:p>
        </w:tc>
      </w:tr>
      <w:tr>
        <w:trPr>
          <w:trHeight w:val="216"/>
        </w:trPr>
        <w:tc>
          <w:tcPr>
            <w:tcW w:w="430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Net gain on sales of securities</w:t>
            </w:r>
          </w:p>
        </w:tc>
        <w:tc>
          <w:tcPr>
            <w:tcW w:w="1020" w:type="dxa"/>
            <w:vAlign w:val="bottom"/>
          </w:tcPr>
          <w:p>
            <w:pPr>
              <w:jc w:val="center"/>
              <w:spacing w:after="0"/>
              <w:rPr>
                <w:sz w:val="20"/>
                <w:szCs w:val="20"/>
                <w:color w:val="auto"/>
              </w:rPr>
            </w:pPr>
            <w:r>
              <w:rPr>
                <w:rFonts w:ascii="Arial" w:cs="Arial" w:eastAsia="Arial" w:hAnsi="Arial"/>
                <w:sz w:val="14"/>
                <w:szCs w:val="14"/>
                <w:color w:val="auto"/>
              </w:rPr>
              <w:t>51,902</w:t>
            </w:r>
          </w:p>
        </w:tc>
        <w:tc>
          <w:tcPr>
            <w:tcW w:w="1020" w:type="dxa"/>
            <w:vAlign w:val="bottom"/>
          </w:tcPr>
          <w:p>
            <w:pPr>
              <w:jc w:val="center"/>
              <w:spacing w:after="0"/>
              <w:rPr>
                <w:sz w:val="20"/>
                <w:szCs w:val="20"/>
                <w:color w:val="auto"/>
              </w:rPr>
            </w:pPr>
            <w:r>
              <w:rPr>
                <w:rFonts w:ascii="Arial" w:cs="Arial" w:eastAsia="Arial" w:hAnsi="Arial"/>
                <w:sz w:val="14"/>
                <w:szCs w:val="14"/>
                <w:color w:val="auto"/>
              </w:rPr>
              <w:t>64,928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54,569</w:t>
            </w:r>
          </w:p>
        </w:tc>
        <w:tc>
          <w:tcPr>
            <w:tcW w:w="880" w:type="dxa"/>
            <w:vAlign w:val="bottom"/>
          </w:tcPr>
          <w:p>
            <w:pPr>
              <w:jc w:val="center"/>
              <w:spacing w:after="0"/>
              <w:rPr>
                <w:sz w:val="20"/>
                <w:szCs w:val="20"/>
                <w:color w:val="auto"/>
              </w:rPr>
            </w:pPr>
            <w:r>
              <w:rPr>
                <w:rFonts w:ascii="Arial" w:cs="Arial" w:eastAsia="Arial" w:hAnsi="Arial"/>
                <w:sz w:val="14"/>
                <w:szCs w:val="14"/>
                <w:color w:val="auto"/>
              </w:rPr>
              <w:t>-16.0%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r>
      <w:tr>
        <w:trPr>
          <w:trHeight w:val="216"/>
        </w:trPr>
        <w:tc>
          <w:tcPr>
            <w:tcW w:w="430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Derivative Result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(28,858)</w:t>
            </w:r>
          </w:p>
        </w:tc>
        <w:tc>
          <w:tcPr>
            <w:tcW w:w="1020" w:type="dxa"/>
            <w:vAlign w:val="bottom"/>
          </w:tcPr>
          <w:p>
            <w:pPr>
              <w:jc w:val="center"/>
              <w:spacing w:after="0"/>
              <w:rPr>
                <w:sz w:val="20"/>
                <w:szCs w:val="20"/>
                <w:color w:val="auto"/>
              </w:rPr>
            </w:pPr>
            <w:r>
              <w:rPr>
                <w:rFonts w:ascii="Arial" w:cs="Arial" w:eastAsia="Arial" w:hAnsi="Arial"/>
                <w:sz w:val="14"/>
                <w:szCs w:val="14"/>
                <w:color w:val="auto"/>
              </w:rPr>
              <w:t>(16,731)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22,028</w:t>
            </w:r>
          </w:p>
        </w:tc>
        <w:tc>
          <w:tcPr>
            <w:tcW w:w="880" w:type="dxa"/>
            <w:vAlign w:val="bottom"/>
          </w:tcPr>
          <w:p>
            <w:pPr>
              <w:jc w:val="center"/>
              <w:spacing w:after="0"/>
              <w:rPr>
                <w:sz w:val="20"/>
                <w:szCs w:val="20"/>
                <w:color w:val="auto"/>
              </w:rPr>
            </w:pPr>
            <w:r>
              <w:rPr>
                <w:rFonts w:ascii="Arial" w:cs="Arial" w:eastAsia="Arial" w:hAnsi="Arial"/>
                <w:sz w:val="14"/>
                <w:szCs w:val="14"/>
                <w:color w:val="auto"/>
              </w:rPr>
              <w:t>-231.7%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-176.3%</w:t>
            </w:r>
          </w:p>
        </w:tc>
      </w:tr>
      <w:tr>
        <w:trPr>
          <w:trHeight w:val="216"/>
        </w:trPr>
        <w:tc>
          <w:tcPr>
            <w:tcW w:w="430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Result from exposure to the exchange rate</w:t>
            </w:r>
          </w:p>
        </w:tc>
        <w:tc>
          <w:tcPr>
            <w:tcW w:w="1020" w:type="dxa"/>
            <w:vAlign w:val="bottom"/>
          </w:tcPr>
          <w:p>
            <w:pPr>
              <w:jc w:val="center"/>
              <w:spacing w:after="0"/>
              <w:rPr>
                <w:sz w:val="20"/>
                <w:szCs w:val="20"/>
                <w:color w:val="auto"/>
              </w:rPr>
            </w:pPr>
            <w:r>
              <w:rPr>
                <w:rFonts w:ascii="Arial" w:cs="Arial" w:eastAsia="Arial" w:hAnsi="Arial"/>
                <w:sz w:val="14"/>
                <w:szCs w:val="14"/>
                <w:color w:val="auto"/>
              </w:rPr>
              <w:t>22,997</w:t>
            </w:r>
          </w:p>
        </w:tc>
        <w:tc>
          <w:tcPr>
            <w:tcW w:w="1020" w:type="dxa"/>
            <w:vAlign w:val="bottom"/>
          </w:tcPr>
          <w:p>
            <w:pPr>
              <w:jc w:val="center"/>
              <w:spacing w:after="0"/>
              <w:rPr>
                <w:sz w:val="20"/>
                <w:szCs w:val="20"/>
                <w:color w:val="auto"/>
              </w:rPr>
            </w:pPr>
            <w:r>
              <w:rPr>
                <w:rFonts w:ascii="Arial" w:cs="Arial" w:eastAsia="Arial" w:hAnsi="Arial"/>
                <w:sz w:val="14"/>
                <w:szCs w:val="14"/>
                <w:color w:val="auto"/>
              </w:rPr>
              <w:t>9,470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(12,973)</w:t>
            </w:r>
          </w:p>
        </w:tc>
        <w:tc>
          <w:tcPr>
            <w:tcW w:w="880" w:type="dxa"/>
            <w:vAlign w:val="bottom"/>
          </w:tcPr>
          <w:p>
            <w:pPr>
              <w:jc w:val="center"/>
              <w:spacing w:after="0"/>
              <w:rPr>
                <w:sz w:val="20"/>
                <w:szCs w:val="20"/>
                <w:color w:val="auto"/>
              </w:rPr>
            </w:pPr>
            <w:r>
              <w:rPr>
                <w:rFonts w:ascii="Arial" w:cs="Arial" w:eastAsia="Arial" w:hAnsi="Arial"/>
                <w:sz w:val="14"/>
                <w:szCs w:val="14"/>
                <w:color w:val="auto"/>
              </w:rPr>
              <w:t>-237.0%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-156.4%</w:t>
            </w:r>
          </w:p>
        </w:tc>
      </w:tr>
      <w:tr>
        <w:trPr>
          <w:trHeight w:val="216"/>
        </w:trPr>
        <w:tc>
          <w:tcPr>
            <w:tcW w:w="4300" w:type="dxa"/>
            <w:vAlign w:val="bottom"/>
            <w:tcBorders>
              <w:left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Other income</w:t>
            </w:r>
          </w:p>
        </w:tc>
        <w:tc>
          <w:tcPr>
            <w:tcW w:w="1020" w:type="dxa"/>
            <w:vAlign w:val="bottom"/>
          </w:tcPr>
          <w:p>
            <w:pPr>
              <w:jc w:val="center"/>
              <w:spacing w:after="0"/>
              <w:rPr>
                <w:sz w:val="20"/>
                <w:szCs w:val="20"/>
                <w:color w:val="auto"/>
              </w:rPr>
            </w:pPr>
            <w:r>
              <w:rPr>
                <w:rFonts w:ascii="Arial" w:cs="Arial" w:eastAsia="Arial" w:hAnsi="Arial"/>
                <w:sz w:val="14"/>
                <w:szCs w:val="14"/>
                <w:color w:val="auto"/>
              </w:rPr>
              <w:t>7,799</w:t>
            </w:r>
          </w:p>
        </w:tc>
        <w:tc>
          <w:tcPr>
            <w:tcW w:w="1020" w:type="dxa"/>
            <w:vAlign w:val="bottom"/>
          </w:tcPr>
          <w:p>
            <w:pPr>
              <w:jc w:val="center"/>
              <w:spacing w:after="0"/>
              <w:rPr>
                <w:sz w:val="20"/>
                <w:szCs w:val="20"/>
                <w:color w:val="auto"/>
              </w:rPr>
            </w:pPr>
            <w:r>
              <w:rPr>
                <w:rFonts w:ascii="Arial" w:cs="Arial" w:eastAsia="Arial" w:hAnsi="Arial"/>
                <w:sz w:val="14"/>
                <w:szCs w:val="14"/>
                <w:color w:val="auto"/>
              </w:rPr>
              <w:t>6,548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12,029</w:t>
            </w:r>
          </w:p>
        </w:tc>
        <w:tc>
          <w:tcPr>
            <w:tcW w:w="880" w:type="dxa"/>
            <w:vAlign w:val="bottom"/>
          </w:tcPr>
          <w:p>
            <w:pPr>
              <w:jc w:val="center"/>
              <w:spacing w:after="0"/>
              <w:rPr>
                <w:sz w:val="20"/>
                <w:szCs w:val="20"/>
                <w:color w:val="auto"/>
              </w:rPr>
            </w:pPr>
            <w:r>
              <w:rPr>
                <w:rFonts w:ascii="Arial" w:cs="Arial" w:eastAsia="Arial" w:hAnsi="Arial"/>
                <w:sz w:val="14"/>
                <w:szCs w:val="14"/>
                <w:color w:val="auto"/>
              </w:rPr>
              <w:t>83.7%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54.2%</w:t>
            </w:r>
          </w:p>
        </w:tc>
      </w:tr>
      <w:tr>
        <w:trPr>
          <w:trHeight w:val="224"/>
        </w:trPr>
        <w:tc>
          <w:tcPr>
            <w:tcW w:w="4300" w:type="dxa"/>
            <w:vAlign w:val="bottom"/>
            <w:tcBorders>
              <w:left w:val="single" w:sz="8" w:color="auto"/>
              <w:bottom w:val="single" w:sz="8" w:color="auto"/>
              <w:right w:val="single" w:sz="8" w:color="auto"/>
            </w:tcBorders>
          </w:tcPr>
          <w:p>
            <w:pPr>
              <w:ind w:left="120"/>
              <w:spacing w:after="0" w:line="224"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(163,109)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(192,097)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(180,091)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-6.2%</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10.4%</w:t>
            </w:r>
          </w:p>
        </w:tc>
      </w:tr>
      <w:tr>
        <w:trPr>
          <w:trHeight w:val="208"/>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Operating income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51,718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52,738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59,759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13.3%</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15.5%</w:t>
            </w:r>
          </w:p>
        </w:tc>
      </w:tr>
      <w:tr>
        <w:trPr>
          <w:trHeight w:val="203"/>
        </w:trPr>
        <w:tc>
          <w:tcPr>
            <w:tcW w:w="4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Income taxes</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(7,611)</w:t>
            </w:r>
          </w:p>
        </w:tc>
        <w:tc>
          <w:tcPr>
            <w:tcW w:w="1020" w:type="dxa"/>
            <w:vAlign w:val="bottom"/>
          </w:tcPr>
          <w:p>
            <w:pPr>
              <w:jc w:val="center"/>
              <w:spacing w:after="0"/>
              <w:rPr>
                <w:sz w:val="20"/>
                <w:szCs w:val="20"/>
                <w:color w:val="auto"/>
              </w:rPr>
            </w:pPr>
            <w:r>
              <w:rPr>
                <w:rFonts w:ascii="Arial" w:cs="Arial" w:eastAsia="Arial" w:hAnsi="Arial"/>
                <w:sz w:val="14"/>
                <w:szCs w:val="14"/>
                <w:color w:val="auto"/>
              </w:rPr>
              <w:t>(10,006)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(10,943)</w:t>
            </w:r>
          </w:p>
        </w:tc>
        <w:tc>
          <w:tcPr>
            <w:tcW w:w="880" w:type="dxa"/>
            <w:vAlign w:val="bottom"/>
          </w:tcPr>
          <w:p>
            <w:pPr>
              <w:jc w:val="center"/>
              <w:spacing w:after="0"/>
              <w:rPr>
                <w:sz w:val="20"/>
                <w:szCs w:val="20"/>
                <w:color w:val="auto"/>
              </w:rPr>
            </w:pPr>
            <w:r>
              <w:rPr>
                <w:rFonts w:ascii="Arial" w:cs="Arial" w:eastAsia="Arial" w:hAnsi="Arial"/>
                <w:sz w:val="14"/>
                <w:szCs w:val="14"/>
                <w:color w:val="auto"/>
              </w:rPr>
              <w:t>9.4%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43.8%</w:t>
            </w:r>
          </w:p>
        </w:tc>
      </w:tr>
      <w:tr>
        <w:trPr>
          <w:trHeight w:val="22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Non-controlling interest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(175)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(6,818)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2,576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-137.8%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-1572.0%</w:t>
            </w:r>
          </w:p>
        </w:tc>
      </w:tr>
      <w:tr>
        <w:trPr>
          <w:trHeight w:val="212"/>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44,282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49,550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46,240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4.4%</w:t>
            </w:r>
          </w:p>
        </w:tc>
      </w:tr>
    </w:tbl>
    <w:p>
      <w:pPr>
        <w:spacing w:after="0" w:line="189" w:lineRule="exact"/>
        <w:rPr>
          <w:sz w:val="20"/>
          <w:szCs w:val="20"/>
          <w:color w:val="auto"/>
        </w:rPr>
      </w:pPr>
    </w:p>
    <w:p>
      <w:pPr>
        <w:ind w:left="1440"/>
        <w:spacing w:after="0"/>
        <w:rPr>
          <w:sz w:val="20"/>
          <w:szCs w:val="20"/>
          <w:color w:val="auto"/>
        </w:rPr>
      </w:pPr>
      <w:r>
        <w:rPr>
          <w:rFonts w:ascii="Arial" w:cs="Arial" w:eastAsia="Arial" w:hAnsi="Arial"/>
          <w:sz w:val="11"/>
          <w:szCs w:val="11"/>
          <w:color w:val="auto"/>
        </w:rPr>
        <w:t>* Includes ASB and Credicorp Capital. Does not include Wealth Management at BCP.</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1"/>
          <w:szCs w:val="11"/>
          <w:color w:val="auto"/>
        </w:rPr>
        <w:t>(1) Includes: Salaries and employee’s benefits + Administrative expenses + Assigned expenses + Depreciation and amortization + Tax and contributions + Other expenses.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69" w:name="page70"/>
    <w:bookmarkEnd w:id="69"/>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137795</wp:posOffset>
            </wp:positionV>
            <wp:extent cx="6060440" cy="6978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60440" cy="697801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FFFFFF"/>
        </w:rPr>
        <w:t xml:space="preserve">Table of calculations </w:t>
      </w:r>
      <w:r>
        <w:rPr>
          <w:rFonts w:ascii="Arial" w:cs="Arial" w:eastAsia="Arial" w:hAnsi="Arial"/>
          <w:sz w:val="20"/>
          <w:szCs w:val="20"/>
          <w:color w:val="FFFFFF"/>
          <w:vertAlign w:val="superscript"/>
        </w:rPr>
        <w:t>(1)</w:t>
      </w:r>
    </w:p>
    <w:tbl>
      <w:tblPr>
        <w:tblLayout w:type="fixed"/>
        <w:tblInd w:w="860" w:type="dxa"/>
        <w:tblCellMar>
          <w:top w:w="0" w:type="dxa"/>
          <w:left w:w="0" w:type="dxa"/>
          <w:bottom w:w="0" w:type="dxa"/>
          <w:right w:w="0" w:type="dxa"/>
        </w:tblCellMar>
      </w:tblPr>
      <w:tr>
        <w:trPr>
          <w:trHeight w:val="165"/>
        </w:trPr>
        <w:tc>
          <w:tcPr>
            <w:tcW w:w="1160" w:type="dxa"/>
            <w:vAlign w:val="bottom"/>
            <w:tcBorders>
              <w:top w:val="single" w:sz="8" w:color="auto"/>
              <w:right w:val="single" w:sz="8" w:color="auto"/>
            </w:tcBorders>
          </w:tcPr>
          <w:p>
            <w:pPr>
              <w:spacing w:after="0"/>
              <w:rPr>
                <w:sz w:val="14"/>
                <w:szCs w:val="14"/>
                <w:color w:val="auto"/>
              </w:rPr>
            </w:pPr>
          </w:p>
        </w:tc>
        <w:tc>
          <w:tcPr>
            <w:tcW w:w="22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Interest earning assets</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440" w:type="dxa"/>
            <w:vAlign w:val="bottom"/>
            <w:tcBorders>
              <w:top w:val="single" w:sz="8" w:color="auto"/>
            </w:tcBorders>
            <w:gridSpan w:val="16"/>
          </w:tcPr>
          <w:p>
            <w:pPr>
              <w:jc w:val="center"/>
              <w:ind w:right="1760"/>
              <w:spacing w:after="0"/>
              <w:rPr>
                <w:sz w:val="20"/>
                <w:szCs w:val="20"/>
                <w:color w:val="auto"/>
              </w:rPr>
            </w:pPr>
            <w:r>
              <w:rPr>
                <w:rFonts w:ascii="Arial" w:cs="Arial" w:eastAsia="Arial" w:hAnsi="Arial"/>
                <w:sz w:val="13"/>
                <w:szCs w:val="13"/>
                <w:color w:val="auto"/>
                <w:w w:val="96"/>
              </w:rPr>
              <w:t>Cash and due from banks + Total investments</w:t>
            </w: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580" w:type="dxa"/>
            <w:vAlign w:val="bottom"/>
            <w:gridSpan w:val="20"/>
            <w:vMerge w:val="restart"/>
          </w:tcPr>
          <w:p>
            <w:pPr>
              <w:jc w:val="center"/>
              <w:ind w:right="620"/>
              <w:spacing w:after="0"/>
              <w:rPr>
                <w:sz w:val="20"/>
                <w:szCs w:val="20"/>
                <w:color w:val="auto"/>
              </w:rPr>
            </w:pPr>
            <w:r>
              <w:rPr>
                <w:rFonts w:ascii="Arial" w:cs="Arial" w:eastAsia="Arial" w:hAnsi="Arial"/>
                <w:sz w:val="13"/>
                <w:szCs w:val="13"/>
                <w:color w:val="auto"/>
                <w:w w:val="96"/>
              </w:rPr>
              <w:t>+ Cash collateral, reverse repurchase agreements and securities borrowing + Loans</w:t>
            </w:r>
          </w:p>
        </w:tc>
        <w:tc>
          <w:tcPr>
            <w:tcW w:w="0" w:type="dxa"/>
            <w:vAlign w:val="bottom"/>
          </w:tcPr>
          <w:p>
            <w:pPr>
              <w:spacing w:after="0"/>
              <w:rPr>
                <w:sz w:val="1"/>
                <w:szCs w:val="1"/>
                <w:color w:val="auto"/>
              </w:rPr>
            </w:pPr>
          </w:p>
        </w:tc>
      </w:tr>
      <w:tr>
        <w:trPr>
          <w:trHeight w:val="62"/>
        </w:trPr>
        <w:tc>
          <w:tcPr>
            <w:tcW w:w="116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58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6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Funding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80" w:type="dxa"/>
            <w:vAlign w:val="bottom"/>
            <w:gridSpan w:val="20"/>
          </w:tcPr>
          <w:p>
            <w:pPr>
              <w:jc w:val="center"/>
              <w:ind w:right="600"/>
              <w:spacing w:after="0"/>
              <w:rPr>
                <w:sz w:val="20"/>
                <w:szCs w:val="20"/>
                <w:color w:val="auto"/>
              </w:rPr>
            </w:pPr>
            <w:r>
              <w:rPr>
                <w:rFonts w:ascii="Arial" w:cs="Arial" w:eastAsia="Arial" w:hAnsi="Arial"/>
                <w:sz w:val="13"/>
                <w:szCs w:val="13"/>
                <w:color w:val="auto"/>
                <w:w w:val="96"/>
              </w:rPr>
              <w:t>Deposits and obligations + Due to banks and correspondents + BCRP instruments</w:t>
            </w: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580" w:type="dxa"/>
            <w:vAlign w:val="bottom"/>
            <w:gridSpan w:val="20"/>
            <w:vMerge w:val="restart"/>
          </w:tcPr>
          <w:p>
            <w:pPr>
              <w:jc w:val="center"/>
              <w:ind w:right="620"/>
              <w:spacing w:after="0"/>
              <w:rPr>
                <w:sz w:val="20"/>
                <w:szCs w:val="20"/>
                <w:color w:val="auto"/>
              </w:rPr>
            </w:pPr>
            <w:r>
              <w:rPr>
                <w:rFonts w:ascii="Arial" w:cs="Arial" w:eastAsia="Arial" w:hAnsi="Arial"/>
                <w:sz w:val="13"/>
                <w:szCs w:val="13"/>
                <w:color w:val="auto"/>
                <w:w w:val="96"/>
              </w:rPr>
              <w:t>+ Repurchase agreements with clients and third parties + Bonds and notes issued</w:t>
            </w:r>
          </w:p>
        </w:tc>
        <w:tc>
          <w:tcPr>
            <w:tcW w:w="0" w:type="dxa"/>
            <w:vAlign w:val="bottom"/>
          </w:tcPr>
          <w:p>
            <w:pPr>
              <w:spacing w:after="0"/>
              <w:rPr>
                <w:sz w:val="1"/>
                <w:szCs w:val="1"/>
                <w:color w:val="auto"/>
              </w:rPr>
            </w:pPr>
          </w:p>
        </w:tc>
      </w:tr>
      <w:tr>
        <w:trPr>
          <w:trHeight w:val="62"/>
        </w:trPr>
        <w:tc>
          <w:tcPr>
            <w:tcW w:w="116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58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6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Net Interest Margin (NIM)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Borders>
              <w:bottom w:val="single" w:sz="8" w:color="auto"/>
            </w:tcBorders>
            <w:gridSpan w:val="11"/>
          </w:tcPr>
          <w:p>
            <w:pPr>
              <w:jc w:val="center"/>
              <w:spacing w:after="0"/>
              <w:rPr>
                <w:sz w:val="20"/>
                <w:szCs w:val="20"/>
                <w:color w:val="auto"/>
              </w:rPr>
            </w:pPr>
            <w:r>
              <w:rPr>
                <w:rFonts w:ascii="Arial" w:cs="Arial" w:eastAsia="Arial" w:hAnsi="Arial"/>
                <w:sz w:val="13"/>
                <w:szCs w:val="13"/>
                <w:color w:val="auto"/>
                <w:w w:val="96"/>
              </w:rPr>
              <w:t>Net Interest Income (excluding Net Insurance Financial Expenses)</w:t>
            </w:r>
          </w:p>
        </w:tc>
        <w:tc>
          <w:tcPr>
            <w:tcW w:w="12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20" w:type="dxa"/>
            <w:vAlign w:val="bottom"/>
            <w:gridSpan w:val="15"/>
            <w:vMerge w:val="restart"/>
          </w:tcPr>
          <w:p>
            <w:pPr>
              <w:jc w:val="center"/>
              <w:ind w:right="1880"/>
              <w:spacing w:after="0"/>
              <w:rPr>
                <w:sz w:val="20"/>
                <w:szCs w:val="20"/>
                <w:color w:val="auto"/>
              </w:rPr>
            </w:pPr>
            <w:r>
              <w:rPr>
                <w:rFonts w:ascii="Arial" w:cs="Arial" w:eastAsia="Arial" w:hAnsi="Arial"/>
                <w:sz w:val="13"/>
                <w:szCs w:val="13"/>
                <w:color w:val="auto"/>
                <w:w w:val="96"/>
              </w:rPr>
              <w:t>Average Interest Earning Assets</w:t>
            </w: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20" w:type="dxa"/>
            <w:vAlign w:val="bottom"/>
            <w:gridSpan w:val="1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16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Risk-adjusted Net Interest Margin</w:t>
            </w:r>
          </w:p>
        </w:tc>
        <w:tc>
          <w:tcPr>
            <w:tcW w:w="6160" w:type="dxa"/>
            <w:vAlign w:val="bottom"/>
            <w:gridSpan w:val="23"/>
          </w:tcPr>
          <w:p>
            <w:pPr>
              <w:jc w:val="center"/>
              <w:ind w:right="20"/>
              <w:spacing w:after="0"/>
              <w:rPr>
                <w:sz w:val="20"/>
                <w:szCs w:val="20"/>
                <w:color w:val="auto"/>
              </w:rPr>
            </w:pPr>
            <w:r>
              <w:rPr>
                <w:rFonts w:ascii="Arial" w:cs="Arial" w:eastAsia="Arial" w:hAnsi="Arial"/>
                <w:sz w:val="13"/>
                <w:szCs w:val="13"/>
                <w:color w:val="auto"/>
                <w:w w:val="96"/>
              </w:rPr>
              <w:t>Annualized Net Interest Income (excluding Net Insurance Financial Expenses) — Annualized Provisions</w:t>
            </w:r>
          </w:p>
        </w:tc>
        <w:tc>
          <w:tcPr>
            <w:tcW w:w="0" w:type="dxa"/>
            <w:vAlign w:val="bottom"/>
          </w:tcPr>
          <w:p>
            <w:pPr>
              <w:spacing w:after="0"/>
              <w:rPr>
                <w:sz w:val="1"/>
                <w:szCs w:val="1"/>
                <w:color w:val="auto"/>
              </w:rPr>
            </w:pPr>
          </w:p>
        </w:tc>
      </w:tr>
      <w:tr>
        <w:trPr>
          <w:trHeight w:val="172"/>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(Risk-adjusted NIM)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gridSpan w:val="17"/>
          </w:tcPr>
          <w:p>
            <w:pPr>
              <w:jc w:val="center"/>
              <w:ind w:right="1260"/>
              <w:spacing w:after="0"/>
              <w:rPr>
                <w:sz w:val="20"/>
                <w:szCs w:val="20"/>
                <w:color w:val="auto"/>
              </w:rPr>
            </w:pPr>
            <w:r>
              <w:rPr>
                <w:rFonts w:ascii="Arial" w:cs="Arial" w:eastAsia="Arial" w:hAnsi="Arial"/>
                <w:sz w:val="13"/>
                <w:szCs w:val="13"/>
                <w:color w:val="auto"/>
                <w:w w:val="96"/>
              </w:rPr>
              <w:t>Average period end and period beginning interest earning assets</w:t>
            </w:r>
          </w:p>
        </w:tc>
        <w:tc>
          <w:tcPr>
            <w:tcW w:w="0" w:type="dxa"/>
            <w:vAlign w:val="bottom"/>
          </w:tcPr>
          <w:p>
            <w:pPr>
              <w:spacing w:after="0"/>
              <w:rPr>
                <w:sz w:val="1"/>
                <w:szCs w:val="1"/>
                <w:color w:val="auto"/>
              </w:rPr>
            </w:pPr>
          </w:p>
        </w:tc>
      </w:tr>
      <w:tr>
        <w:trPr>
          <w:trHeight w:val="103"/>
        </w:trPr>
        <w:tc>
          <w:tcPr>
            <w:tcW w:w="1160" w:type="dxa"/>
            <w:vAlign w:val="bottom"/>
            <w:tcBorders>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Funding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80" w:type="dxa"/>
            <w:vAlign w:val="bottom"/>
            <w:gridSpan w:val="18"/>
          </w:tcPr>
          <w:p>
            <w:pPr>
              <w:jc w:val="center"/>
              <w:ind w:right="1120"/>
              <w:spacing w:after="0"/>
              <w:rPr>
                <w:sz w:val="20"/>
                <w:szCs w:val="20"/>
                <w:color w:val="auto"/>
              </w:rPr>
            </w:pPr>
            <w:r>
              <w:rPr>
                <w:rFonts w:ascii="Arial" w:cs="Arial" w:eastAsia="Arial" w:hAnsi="Arial"/>
                <w:sz w:val="13"/>
                <w:szCs w:val="13"/>
                <w:color w:val="auto"/>
                <w:w w:val="96"/>
              </w:rPr>
              <w:t>Interest Expense (Does not Include Net Insurance Financial Expenses)</w:t>
            </w: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Profitability</w:t>
            </w: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600" w:type="dxa"/>
            <w:vAlign w:val="bottom"/>
            <w:tcBorders>
              <w:top w:val="single" w:sz="8" w:color="auto"/>
            </w:tcBorders>
            <w:gridSpan w:val="7"/>
            <w:vMerge w:val="restart"/>
          </w:tcPr>
          <w:p>
            <w:pPr>
              <w:jc w:val="center"/>
              <w:ind w:right="1360"/>
              <w:spacing w:after="0"/>
              <w:rPr>
                <w:sz w:val="20"/>
                <w:szCs w:val="20"/>
                <w:color w:val="auto"/>
              </w:rPr>
            </w:pPr>
            <w:r>
              <w:rPr>
                <w:rFonts w:ascii="Arial" w:cs="Arial" w:eastAsia="Arial" w:hAnsi="Arial"/>
                <w:sz w:val="13"/>
                <w:szCs w:val="13"/>
                <w:color w:val="auto"/>
                <w:w w:val="96"/>
              </w:rPr>
              <w:t>Average Funding</w:t>
            </w:r>
          </w:p>
        </w:tc>
        <w:tc>
          <w:tcPr>
            <w:tcW w:w="1120" w:type="dxa"/>
            <w:vAlign w:val="bottom"/>
            <w:gridSpan w:val="5"/>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vMerge w:val="continue"/>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0" w:type="dxa"/>
            <w:vAlign w:val="bottom"/>
            <w:gridSpan w:val="7"/>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160" w:type="dxa"/>
            <w:vAlign w:val="bottom"/>
            <w:tcBorders>
              <w:right w:val="single" w:sz="8" w:color="auto"/>
            </w:tcBorders>
            <w:vMerge w:val="continue"/>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160" w:type="dxa"/>
            <w:vAlign w:val="bottom"/>
            <w:tcBorders>
              <w:right w:val="single" w:sz="8" w:color="auto"/>
            </w:tcBorders>
            <w:vMerge w:val="continue"/>
          </w:tcPr>
          <w:p>
            <w:pPr>
              <w:spacing w:after="0"/>
              <w:rPr>
                <w:sz w:val="5"/>
                <w:szCs w:val="5"/>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Core income</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580" w:type="dxa"/>
            <w:vAlign w:val="bottom"/>
            <w:gridSpan w:val="20"/>
            <w:vMerge w:val="restart"/>
          </w:tcPr>
          <w:p>
            <w:pPr>
              <w:jc w:val="center"/>
              <w:ind w:right="600"/>
              <w:spacing w:after="0"/>
              <w:rPr>
                <w:sz w:val="20"/>
                <w:szCs w:val="20"/>
                <w:color w:val="auto"/>
              </w:rPr>
            </w:pPr>
            <w:r>
              <w:rPr>
                <w:rFonts w:ascii="Arial" w:cs="Arial" w:eastAsia="Arial" w:hAnsi="Arial"/>
                <w:sz w:val="13"/>
                <w:szCs w:val="13"/>
                <w:color w:val="auto"/>
                <w:w w:val="97"/>
              </w:rPr>
              <w:t>Net Interest Margin + Fee Income + Net Gain on Foreign exchange transactions</w:t>
            </w:r>
          </w:p>
        </w:tc>
        <w:tc>
          <w:tcPr>
            <w:tcW w:w="0" w:type="dxa"/>
            <w:vAlign w:val="bottom"/>
          </w:tcPr>
          <w:p>
            <w:pPr>
              <w:spacing w:after="0"/>
              <w:rPr>
                <w:sz w:val="1"/>
                <w:szCs w:val="1"/>
                <w:color w:val="auto"/>
              </w:rPr>
            </w:pPr>
          </w:p>
        </w:tc>
      </w:tr>
      <w:tr>
        <w:trPr>
          <w:trHeight w:val="203"/>
        </w:trPr>
        <w:tc>
          <w:tcPr>
            <w:tcW w:w="116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gridSpan w:val="2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160" w:type="dxa"/>
            <w:vAlign w:val="bottom"/>
            <w:tcBorders>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16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Other core income</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940" w:type="dxa"/>
            <w:vAlign w:val="bottom"/>
            <w:gridSpan w:val="17"/>
          </w:tcPr>
          <w:p>
            <w:pPr>
              <w:jc w:val="center"/>
              <w:ind w:right="1260"/>
              <w:spacing w:after="0"/>
              <w:rPr>
                <w:sz w:val="20"/>
                <w:szCs w:val="20"/>
                <w:color w:val="auto"/>
              </w:rPr>
            </w:pPr>
            <w:r>
              <w:rPr>
                <w:rFonts w:ascii="Arial" w:cs="Arial" w:eastAsia="Arial" w:hAnsi="Arial"/>
                <w:sz w:val="13"/>
                <w:szCs w:val="13"/>
                <w:color w:val="auto"/>
                <w:w w:val="96"/>
              </w:rPr>
              <w:t>Fee Income + Net Gain on Foreign exchange transactions</w:t>
            </w:r>
          </w:p>
        </w:tc>
        <w:tc>
          <w:tcPr>
            <w:tcW w:w="0" w:type="dxa"/>
            <w:vAlign w:val="bottom"/>
          </w:tcPr>
          <w:p>
            <w:pPr>
              <w:spacing w:after="0"/>
              <w:rPr>
                <w:sz w:val="1"/>
                <w:szCs w:val="1"/>
                <w:color w:val="auto"/>
              </w:rPr>
            </w:pPr>
          </w:p>
        </w:tc>
      </w:tr>
      <w:tr>
        <w:trPr>
          <w:trHeight w:val="103"/>
        </w:trPr>
        <w:tc>
          <w:tcPr>
            <w:tcW w:w="1160" w:type="dxa"/>
            <w:vAlign w:val="bottom"/>
            <w:tcBorders>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Other non-core income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80" w:type="dxa"/>
            <w:vAlign w:val="bottom"/>
            <w:gridSpan w:val="21"/>
          </w:tcPr>
          <w:p>
            <w:pPr>
              <w:jc w:val="center"/>
              <w:ind w:right="440"/>
              <w:spacing w:after="0"/>
              <w:rPr>
                <w:sz w:val="20"/>
                <w:szCs w:val="20"/>
                <w:color w:val="auto"/>
              </w:rPr>
            </w:pPr>
            <w:r>
              <w:rPr>
                <w:rFonts w:ascii="Arial" w:cs="Arial" w:eastAsia="Arial" w:hAnsi="Arial"/>
                <w:sz w:val="13"/>
                <w:szCs w:val="13"/>
                <w:color w:val="auto"/>
                <w:w w:val="96"/>
              </w:rPr>
              <w:t>Net Gain Securities + Net Gain from associates + Net Gain of derivatives held for trading</w:t>
            </w: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80" w:type="dxa"/>
            <w:vAlign w:val="bottom"/>
            <w:gridSpan w:val="18"/>
            <w:vMerge w:val="restart"/>
          </w:tcPr>
          <w:p>
            <w:pPr>
              <w:jc w:val="center"/>
              <w:ind w:right="1100"/>
              <w:spacing w:after="0"/>
              <w:rPr>
                <w:sz w:val="20"/>
                <w:szCs w:val="20"/>
                <w:color w:val="auto"/>
              </w:rPr>
            </w:pPr>
            <w:r>
              <w:rPr>
                <w:rFonts w:ascii="Arial" w:cs="Arial" w:eastAsia="Arial" w:hAnsi="Arial"/>
                <w:sz w:val="13"/>
                <w:szCs w:val="13"/>
                <w:color w:val="auto"/>
                <w:w w:val="96"/>
              </w:rPr>
              <w:t>+ Net Gain from exchange differences + Other non operative income</w:t>
            </w:r>
          </w:p>
        </w:tc>
        <w:tc>
          <w:tcPr>
            <w:tcW w:w="0" w:type="dxa"/>
            <w:vAlign w:val="bottom"/>
          </w:tcPr>
          <w:p>
            <w:pPr>
              <w:spacing w:after="0"/>
              <w:rPr>
                <w:sz w:val="1"/>
                <w:szCs w:val="1"/>
                <w:color w:val="auto"/>
              </w:rPr>
            </w:pPr>
          </w:p>
        </w:tc>
      </w:tr>
      <w:tr>
        <w:trPr>
          <w:trHeight w:val="62"/>
        </w:trPr>
        <w:tc>
          <w:tcPr>
            <w:tcW w:w="116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8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6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Return on average assets (ROA)</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40" w:type="dxa"/>
            <w:vAlign w:val="bottom"/>
            <w:gridSpan w:val="16"/>
          </w:tcPr>
          <w:p>
            <w:pPr>
              <w:jc w:val="center"/>
              <w:ind w:right="1760"/>
              <w:spacing w:after="0"/>
              <w:rPr>
                <w:sz w:val="20"/>
                <w:szCs w:val="20"/>
                <w:color w:val="auto"/>
              </w:rPr>
            </w:pPr>
            <w:r>
              <w:rPr>
                <w:rFonts w:ascii="Arial" w:cs="Arial" w:eastAsia="Arial" w:hAnsi="Arial"/>
                <w:sz w:val="13"/>
                <w:szCs w:val="13"/>
                <w:color w:val="auto"/>
                <w:w w:val="96"/>
              </w:rPr>
              <w:t>Annualized Net Income attributable to Credicorp</w:t>
            </w: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960" w:type="dxa"/>
            <w:vAlign w:val="bottom"/>
            <w:tcBorders>
              <w:top w:val="single" w:sz="8" w:color="auto"/>
            </w:tcBorders>
            <w:gridSpan w:val="5"/>
            <w:vMerge w:val="restart"/>
          </w:tcPr>
          <w:p>
            <w:pPr>
              <w:jc w:val="center"/>
              <w:ind w:right="720"/>
              <w:spacing w:after="0"/>
              <w:rPr>
                <w:sz w:val="20"/>
                <w:szCs w:val="20"/>
                <w:color w:val="auto"/>
              </w:rPr>
            </w:pPr>
            <w:r>
              <w:rPr>
                <w:rFonts w:ascii="Arial" w:cs="Arial" w:eastAsia="Arial" w:hAnsi="Arial"/>
                <w:sz w:val="13"/>
                <w:szCs w:val="13"/>
                <w:color w:val="auto"/>
                <w:w w:val="96"/>
              </w:rPr>
              <w:t>Average Assets</w:t>
            </w:r>
          </w:p>
        </w:tc>
        <w:tc>
          <w:tcPr>
            <w:tcW w:w="1760" w:type="dxa"/>
            <w:vAlign w:val="bottom"/>
            <w:gridSpan w:val="7"/>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gridSpan w:val="5"/>
            <w:vMerge w:val="continue"/>
          </w:tcPr>
          <w:p>
            <w:pPr>
              <w:spacing w:after="0"/>
              <w:rPr>
                <w:sz w:val="6"/>
                <w:szCs w:val="6"/>
                <w:color w:val="auto"/>
              </w:rPr>
            </w:pPr>
          </w:p>
        </w:tc>
        <w:tc>
          <w:tcPr>
            <w:tcW w:w="17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160" w:type="dxa"/>
            <w:vAlign w:val="bottom"/>
            <w:tcBorders>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Return on average equity (ROE)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40" w:type="dxa"/>
            <w:vAlign w:val="bottom"/>
            <w:gridSpan w:val="16"/>
          </w:tcPr>
          <w:p>
            <w:pPr>
              <w:jc w:val="center"/>
              <w:ind w:right="1760"/>
              <w:spacing w:after="0"/>
              <w:rPr>
                <w:sz w:val="20"/>
                <w:szCs w:val="20"/>
                <w:color w:val="auto"/>
              </w:rPr>
            </w:pPr>
            <w:r>
              <w:rPr>
                <w:rFonts w:ascii="Arial" w:cs="Arial" w:eastAsia="Arial" w:hAnsi="Arial"/>
                <w:sz w:val="13"/>
                <w:szCs w:val="13"/>
                <w:color w:val="auto"/>
                <w:w w:val="96"/>
              </w:rPr>
              <w:t>Annualized Net Income attributable to Credicorp</w:t>
            </w: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960" w:type="dxa"/>
            <w:vAlign w:val="bottom"/>
            <w:tcBorders>
              <w:top w:val="single" w:sz="8" w:color="auto"/>
            </w:tcBorders>
            <w:gridSpan w:val="5"/>
            <w:vMerge w:val="restart"/>
          </w:tcPr>
          <w:p>
            <w:pPr>
              <w:jc w:val="center"/>
              <w:ind w:right="720"/>
              <w:spacing w:after="0"/>
              <w:rPr>
                <w:sz w:val="20"/>
                <w:szCs w:val="20"/>
                <w:color w:val="auto"/>
              </w:rPr>
            </w:pPr>
            <w:r>
              <w:rPr>
                <w:rFonts w:ascii="Arial" w:cs="Arial" w:eastAsia="Arial" w:hAnsi="Arial"/>
                <w:sz w:val="13"/>
                <w:szCs w:val="13"/>
                <w:color w:val="auto"/>
                <w:w w:val="96"/>
              </w:rPr>
              <w:t>Average Net Equity</w:t>
            </w:r>
          </w:p>
        </w:tc>
        <w:tc>
          <w:tcPr>
            <w:tcW w:w="1760" w:type="dxa"/>
            <w:vAlign w:val="bottom"/>
            <w:gridSpan w:val="7"/>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gridSpan w:val="5"/>
            <w:vMerge w:val="continue"/>
          </w:tcPr>
          <w:p>
            <w:pPr>
              <w:spacing w:after="0"/>
              <w:rPr>
                <w:sz w:val="6"/>
                <w:szCs w:val="6"/>
                <w:color w:val="auto"/>
              </w:rPr>
            </w:pPr>
          </w:p>
        </w:tc>
        <w:tc>
          <w:tcPr>
            <w:tcW w:w="17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Internal overdue ratio</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12"/>
          </w:tcPr>
          <w:p>
            <w:pPr>
              <w:jc w:val="center"/>
              <w:ind w:right="2480"/>
              <w:spacing w:after="0"/>
              <w:rPr>
                <w:sz w:val="20"/>
                <w:szCs w:val="20"/>
                <w:color w:val="auto"/>
              </w:rPr>
            </w:pPr>
            <w:r>
              <w:rPr>
                <w:rFonts w:ascii="Arial" w:cs="Arial" w:eastAsia="Arial" w:hAnsi="Arial"/>
                <w:sz w:val="13"/>
                <w:szCs w:val="13"/>
                <w:color w:val="auto"/>
                <w:w w:val="96"/>
              </w:rPr>
              <w:t>Internal overdue loans</w:t>
            </w: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Total Loans</w:t>
            </w:r>
          </w:p>
        </w:tc>
        <w:tc>
          <w:tcPr>
            <w:tcW w:w="2480" w:type="dxa"/>
            <w:vAlign w:val="bottom"/>
            <w:gridSpan w:val="11"/>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48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16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Non – performing loans ratio</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5"/>
          </w:tcPr>
          <w:p>
            <w:pPr>
              <w:jc w:val="center"/>
              <w:ind w:right="1880"/>
              <w:spacing w:after="0"/>
              <w:rPr>
                <w:sz w:val="20"/>
                <w:szCs w:val="20"/>
                <w:color w:val="auto"/>
              </w:rPr>
            </w:pPr>
            <w:r>
              <w:rPr>
                <w:rFonts w:ascii="Arial" w:cs="Arial" w:eastAsia="Arial" w:hAnsi="Arial"/>
                <w:sz w:val="13"/>
                <w:szCs w:val="13"/>
                <w:color w:val="auto"/>
                <w:w w:val="96"/>
              </w:rPr>
              <w:t>(Internal overdue loans + Refinanced loans)</w:t>
            </w:r>
          </w:p>
        </w:tc>
        <w:tc>
          <w:tcPr>
            <w:tcW w:w="0" w:type="dxa"/>
            <w:vAlign w:val="bottom"/>
          </w:tcPr>
          <w:p>
            <w:pPr>
              <w:spacing w:after="0"/>
              <w:rPr>
                <w:sz w:val="1"/>
                <w:szCs w:val="1"/>
                <w:color w:val="auto"/>
              </w:rPr>
            </w:pPr>
          </w:p>
        </w:tc>
      </w:tr>
      <w:tr>
        <w:trPr>
          <w:trHeight w:val="159"/>
        </w:trPr>
        <w:tc>
          <w:tcPr>
            <w:tcW w:w="11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(NPL ratio)</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center"/>
              <w:ind w:right="600"/>
              <w:spacing w:after="0"/>
              <w:rPr>
                <w:sz w:val="20"/>
                <w:szCs w:val="20"/>
                <w:color w:val="auto"/>
              </w:rPr>
            </w:pPr>
            <w:r>
              <w:rPr>
                <w:rFonts w:ascii="Arial" w:cs="Arial" w:eastAsia="Arial" w:hAnsi="Arial"/>
                <w:sz w:val="13"/>
                <w:szCs w:val="13"/>
                <w:color w:val="auto"/>
                <w:w w:val="94"/>
              </w:rPr>
              <w:t>Total Loans</w:t>
            </w:r>
          </w:p>
        </w:tc>
        <w:tc>
          <w:tcPr>
            <w:tcW w:w="820" w:type="dxa"/>
            <w:vAlign w:val="bottom"/>
            <w:gridSpan w:val="4"/>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160" w:type="dxa"/>
            <w:vAlign w:val="bottom"/>
            <w:tcBorders>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Portfolio</w:t>
            </w: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Coverage ratio of internal</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40" w:type="dxa"/>
            <w:vAlign w:val="bottom"/>
            <w:gridSpan w:val="13"/>
          </w:tcPr>
          <w:p>
            <w:pPr>
              <w:jc w:val="center"/>
              <w:ind w:right="2360"/>
              <w:spacing w:after="0"/>
              <w:rPr>
                <w:sz w:val="20"/>
                <w:szCs w:val="20"/>
                <w:color w:val="auto"/>
              </w:rPr>
            </w:pPr>
            <w:r>
              <w:rPr>
                <w:rFonts w:ascii="Arial" w:cs="Arial" w:eastAsia="Arial" w:hAnsi="Arial"/>
                <w:sz w:val="13"/>
                <w:szCs w:val="13"/>
                <w:color w:val="auto"/>
                <w:w w:val="96"/>
              </w:rPr>
              <w:t>Allowance for loans losses</w:t>
            </w:r>
          </w:p>
        </w:tc>
        <w:tc>
          <w:tcPr>
            <w:tcW w:w="0" w:type="dxa"/>
            <w:vAlign w:val="bottom"/>
          </w:tcPr>
          <w:p>
            <w:pPr>
              <w:spacing w:after="0"/>
              <w:rPr>
                <w:sz w:val="1"/>
                <w:szCs w:val="1"/>
                <w:color w:val="auto"/>
              </w:rPr>
            </w:pPr>
          </w:p>
        </w:tc>
      </w:tr>
      <w:tr>
        <w:trPr>
          <w:trHeight w:val="43"/>
        </w:trPr>
        <w:tc>
          <w:tcPr>
            <w:tcW w:w="1160" w:type="dxa"/>
            <w:vAlign w:val="bottom"/>
            <w:tcBorders>
              <w:right w:val="single" w:sz="8" w:color="auto"/>
            </w:tcBorders>
            <w:vMerge w:val="continue"/>
          </w:tcPr>
          <w:p>
            <w:pPr>
              <w:spacing w:after="0"/>
              <w:rPr>
                <w:sz w:val="3"/>
                <w:szCs w:val="3"/>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overdue loans</w:t>
            </w: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3"/>
                <w:szCs w:val="13"/>
                <w:color w:val="auto"/>
                <w:w w:val="96"/>
              </w:rPr>
              <w:t>Internal overdue loans</w:t>
            </w:r>
          </w:p>
        </w:tc>
        <w:tc>
          <w:tcPr>
            <w:tcW w:w="2360" w:type="dxa"/>
            <w:vAlign w:val="bottom"/>
            <w:gridSpan w:val="10"/>
            <w:vMerge w:val="restart"/>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quality</w:t>
            </w:r>
          </w:p>
        </w:tc>
        <w:tc>
          <w:tcPr>
            <w:tcW w:w="222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3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160" w:type="dxa"/>
            <w:vAlign w:val="bottom"/>
            <w:tcBorders>
              <w:right w:val="single" w:sz="8" w:color="auto"/>
            </w:tcBorders>
            <w:vMerge w:val="continue"/>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1160" w:type="dxa"/>
            <w:vAlign w:val="bottom"/>
            <w:tcBorders>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Coverage ratio of non –</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00" w:type="dxa"/>
            <w:vAlign w:val="bottom"/>
            <w:gridSpan w:val="14"/>
          </w:tcPr>
          <w:p>
            <w:pPr>
              <w:jc w:val="center"/>
              <w:ind w:right="2300"/>
              <w:spacing w:after="0"/>
              <w:rPr>
                <w:sz w:val="20"/>
                <w:szCs w:val="20"/>
                <w:color w:val="auto"/>
              </w:rPr>
            </w:pPr>
            <w:r>
              <w:rPr>
                <w:rFonts w:ascii="Arial" w:cs="Arial" w:eastAsia="Arial" w:hAnsi="Arial"/>
                <w:sz w:val="13"/>
                <w:szCs w:val="13"/>
                <w:color w:val="auto"/>
                <w:w w:val="96"/>
              </w:rPr>
              <w:t>Allowance for loans losses</w:t>
            </w:r>
          </w:p>
        </w:tc>
        <w:tc>
          <w:tcPr>
            <w:tcW w:w="0" w:type="dxa"/>
            <w:vAlign w:val="bottom"/>
          </w:tcPr>
          <w:p>
            <w:pPr>
              <w:spacing w:after="0"/>
              <w:rPr>
                <w:sz w:val="1"/>
                <w:szCs w:val="1"/>
                <w:color w:val="auto"/>
              </w:rPr>
            </w:pPr>
          </w:p>
        </w:tc>
      </w:tr>
      <w:tr>
        <w:trPr>
          <w:trHeight w:val="159"/>
        </w:trPr>
        <w:tc>
          <w:tcPr>
            <w:tcW w:w="11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performing loans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w w:val="96"/>
              </w:rPr>
              <w:t>Non – performing loans</w:t>
            </w:r>
          </w:p>
        </w:tc>
        <w:tc>
          <w:tcPr>
            <w:tcW w:w="130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160" w:type="dxa"/>
            <w:vAlign w:val="bottom"/>
            <w:tcBorders>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Cost of risk</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gridSpan w:val="19"/>
          </w:tcPr>
          <w:p>
            <w:pPr>
              <w:jc w:val="center"/>
              <w:ind w:right="1060"/>
              <w:spacing w:after="0"/>
              <w:rPr>
                <w:sz w:val="20"/>
                <w:szCs w:val="20"/>
                <w:color w:val="auto"/>
              </w:rPr>
            </w:pPr>
            <w:r>
              <w:rPr>
                <w:rFonts w:ascii="Arial" w:cs="Arial" w:eastAsia="Arial" w:hAnsi="Arial"/>
                <w:sz w:val="13"/>
                <w:szCs w:val="13"/>
                <w:color w:val="auto"/>
                <w:w w:val="97"/>
              </w:rPr>
              <w:t>Annualized provision for credit losses on loans portfolio, net of recoveries</w:t>
            </w: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660" w:type="dxa"/>
            <w:vAlign w:val="bottom"/>
            <w:tcBorders>
              <w:top w:val="single" w:sz="8" w:color="auto"/>
            </w:tcBorders>
            <w:gridSpan w:val="8"/>
            <w:vMerge w:val="restart"/>
          </w:tcPr>
          <w:p>
            <w:pPr>
              <w:jc w:val="center"/>
              <w:ind w:right="1400"/>
              <w:spacing w:after="0"/>
              <w:rPr>
                <w:sz w:val="20"/>
                <w:szCs w:val="20"/>
                <w:color w:val="auto"/>
              </w:rPr>
            </w:pPr>
            <w:r>
              <w:rPr>
                <w:rFonts w:ascii="Arial" w:cs="Arial" w:eastAsia="Arial" w:hAnsi="Arial"/>
                <w:sz w:val="13"/>
                <w:szCs w:val="13"/>
                <w:color w:val="auto"/>
                <w:w w:val="95"/>
              </w:rPr>
              <w:t>Average Total Loans</w:t>
            </w:r>
          </w:p>
        </w:tc>
        <w:tc>
          <w:tcPr>
            <w:tcW w:w="1060" w:type="dxa"/>
            <w:vAlign w:val="bottom"/>
            <w:gridSpan w:val="4"/>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gridSpan w:val="8"/>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1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Operating expenses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80" w:type="dxa"/>
            <w:vAlign w:val="bottom"/>
            <w:gridSpan w:val="21"/>
          </w:tcPr>
          <w:p>
            <w:pPr>
              <w:jc w:val="center"/>
              <w:ind w:right="420"/>
              <w:spacing w:after="0"/>
              <w:rPr>
                <w:sz w:val="20"/>
                <w:szCs w:val="20"/>
                <w:color w:val="auto"/>
              </w:rPr>
            </w:pPr>
            <w:r>
              <w:rPr>
                <w:rFonts w:ascii="Arial" w:cs="Arial" w:eastAsia="Arial" w:hAnsi="Arial"/>
                <w:sz w:val="13"/>
                <w:szCs w:val="13"/>
                <w:color w:val="auto"/>
                <w:w w:val="96"/>
              </w:rPr>
              <w:t>Salaries and empoyees benefits + Administrtive expenses + Depreciation and amortization</w:t>
            </w: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40" w:type="dxa"/>
            <w:vAlign w:val="bottom"/>
            <w:gridSpan w:val="16"/>
            <w:vMerge w:val="restart"/>
          </w:tcPr>
          <w:p>
            <w:pPr>
              <w:jc w:val="center"/>
              <w:ind w:right="1740"/>
              <w:spacing w:after="0"/>
              <w:rPr>
                <w:sz w:val="20"/>
                <w:szCs w:val="20"/>
                <w:color w:val="auto"/>
              </w:rPr>
            </w:pPr>
            <w:r>
              <w:rPr>
                <w:rFonts w:ascii="Arial" w:cs="Arial" w:eastAsia="Arial" w:hAnsi="Arial"/>
                <w:sz w:val="13"/>
                <w:szCs w:val="13"/>
                <w:color w:val="auto"/>
                <w:w w:val="96"/>
              </w:rPr>
              <w:t>+ Association in participation + Acquisition cost</w:t>
            </w:r>
          </w:p>
        </w:tc>
        <w:tc>
          <w:tcPr>
            <w:tcW w:w="0" w:type="dxa"/>
            <w:vAlign w:val="bottom"/>
          </w:tcPr>
          <w:p>
            <w:pPr>
              <w:spacing w:after="0"/>
              <w:rPr>
                <w:sz w:val="1"/>
                <w:szCs w:val="1"/>
                <w:color w:val="auto"/>
              </w:rPr>
            </w:pPr>
          </w:p>
        </w:tc>
      </w:tr>
      <w:tr>
        <w:trPr>
          <w:trHeight w:val="62"/>
        </w:trPr>
        <w:tc>
          <w:tcPr>
            <w:tcW w:w="116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4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Operating Income</w:t>
            </w:r>
          </w:p>
        </w:tc>
        <w:tc>
          <w:tcPr>
            <w:tcW w:w="6160" w:type="dxa"/>
            <w:vAlign w:val="bottom"/>
            <w:gridSpan w:val="23"/>
          </w:tcPr>
          <w:p>
            <w:pPr>
              <w:jc w:val="center"/>
              <w:ind w:right="40"/>
              <w:spacing w:after="0"/>
              <w:rPr>
                <w:sz w:val="20"/>
                <w:szCs w:val="20"/>
                <w:color w:val="auto"/>
              </w:rPr>
            </w:pPr>
            <w:r>
              <w:rPr>
                <w:rFonts w:ascii="Arial" w:cs="Arial" w:eastAsia="Arial" w:hAnsi="Arial"/>
                <w:sz w:val="13"/>
                <w:szCs w:val="13"/>
                <w:color w:val="auto"/>
                <w:w w:val="96"/>
              </w:rPr>
              <w:t>Net interest, similar income, and expenses + Fee income + Net gain on foreign exchange transactions</w:t>
            </w: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Operating</w:t>
            </w:r>
          </w:p>
        </w:tc>
        <w:tc>
          <w:tcPr>
            <w:tcW w:w="2220" w:type="dxa"/>
            <w:vAlign w:val="bottom"/>
            <w:tcBorders>
              <w:right w:val="single" w:sz="8" w:color="auto"/>
            </w:tcBorders>
            <w:vMerge w:val="continue"/>
          </w:tcPr>
          <w:p>
            <w:pPr>
              <w:spacing w:after="0"/>
              <w:rPr>
                <w:sz w:val="9"/>
                <w:szCs w:val="9"/>
                <w:color w:val="auto"/>
              </w:rPr>
            </w:pPr>
          </w:p>
        </w:tc>
        <w:tc>
          <w:tcPr>
            <w:tcW w:w="6160" w:type="dxa"/>
            <w:vAlign w:val="bottom"/>
            <w:gridSpan w:val="23"/>
            <w:vMerge w:val="restart"/>
          </w:tcPr>
          <w:p>
            <w:pPr>
              <w:jc w:val="center"/>
              <w:ind w:right="20"/>
              <w:spacing w:after="0"/>
              <w:rPr>
                <w:sz w:val="20"/>
                <w:szCs w:val="20"/>
                <w:color w:val="auto"/>
              </w:rPr>
            </w:pPr>
            <w:r>
              <w:rPr>
                <w:rFonts w:ascii="Arial" w:cs="Arial" w:eastAsia="Arial" w:hAnsi="Arial"/>
                <w:sz w:val="13"/>
                <w:szCs w:val="13"/>
                <w:color w:val="auto"/>
                <w:w w:val="96"/>
              </w:rPr>
              <w:t>+ Net gain from associates + Net gain on derivatives held for trading + Net gain from echange differences</w:t>
            </w:r>
          </w:p>
        </w:tc>
        <w:tc>
          <w:tcPr>
            <w:tcW w:w="0" w:type="dxa"/>
            <w:vAlign w:val="bottom"/>
          </w:tcPr>
          <w:p>
            <w:pPr>
              <w:spacing w:after="0"/>
              <w:rPr>
                <w:sz w:val="1"/>
                <w:szCs w:val="1"/>
                <w:color w:val="auto"/>
              </w:rPr>
            </w:pPr>
          </w:p>
        </w:tc>
      </w:tr>
      <w:tr>
        <w:trPr>
          <w:trHeight w:val="62"/>
        </w:trPr>
        <w:tc>
          <w:tcPr>
            <w:tcW w:w="1160" w:type="dxa"/>
            <w:vAlign w:val="bottom"/>
            <w:tcBorders>
              <w:right w:val="single" w:sz="8" w:color="auto"/>
            </w:tcBorders>
            <w:vMerge w:val="continue"/>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616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160" w:type="dxa"/>
            <w:vAlign w:val="bottom"/>
            <w:tcBorders>
              <w:right w:val="single" w:sz="8" w:color="auto"/>
            </w:tcBorders>
            <w:vMerge w:val="continue"/>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performance</w:t>
            </w:r>
          </w:p>
        </w:tc>
        <w:tc>
          <w:tcPr>
            <w:tcW w:w="222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160" w:type="dxa"/>
            <w:vAlign w:val="bottom"/>
            <w:tcBorders>
              <w:right w:val="single" w:sz="8" w:color="auto"/>
            </w:tcBorders>
            <w:vMerge w:val="continue"/>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780" w:type="dxa"/>
            <w:vAlign w:val="bottom"/>
            <w:gridSpan w:val="21"/>
            <w:vMerge w:val="restart"/>
          </w:tcPr>
          <w:p>
            <w:pPr>
              <w:jc w:val="center"/>
              <w:ind w:right="420"/>
              <w:spacing w:after="0"/>
              <w:rPr>
                <w:sz w:val="20"/>
                <w:szCs w:val="20"/>
                <w:color w:val="auto"/>
              </w:rPr>
            </w:pPr>
            <w:r>
              <w:rPr>
                <w:rFonts w:ascii="Arial" w:cs="Arial" w:eastAsia="Arial" w:hAnsi="Arial"/>
                <w:sz w:val="13"/>
                <w:szCs w:val="13"/>
                <w:color w:val="auto"/>
                <w:w w:val="96"/>
              </w:rPr>
              <w:t>Salaries and employee benefits + Administrativeexpenses + Depreciation and amortization</w:t>
            </w:r>
          </w:p>
        </w:tc>
        <w:tc>
          <w:tcPr>
            <w:tcW w:w="0" w:type="dxa"/>
            <w:vAlign w:val="bottom"/>
          </w:tcPr>
          <w:p>
            <w:pPr>
              <w:spacing w:after="0"/>
              <w:rPr>
                <w:sz w:val="1"/>
                <w:szCs w:val="1"/>
                <w:color w:val="auto"/>
              </w:rPr>
            </w:pPr>
          </w:p>
        </w:tc>
      </w:tr>
      <w:tr>
        <w:trPr>
          <w:trHeight w:val="139"/>
        </w:trPr>
        <w:tc>
          <w:tcPr>
            <w:tcW w:w="116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80" w:type="dxa"/>
            <w:vAlign w:val="bottom"/>
            <w:gridSpan w:val="2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Efficiency ratio</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00" w:type="dxa"/>
            <w:vAlign w:val="bottom"/>
            <w:gridSpan w:val="14"/>
          </w:tcPr>
          <w:p>
            <w:pPr>
              <w:jc w:val="center"/>
              <w:ind w:right="2300"/>
              <w:spacing w:after="0"/>
              <w:rPr>
                <w:sz w:val="20"/>
                <w:szCs w:val="20"/>
                <w:color w:val="auto"/>
              </w:rPr>
            </w:pPr>
            <w:r>
              <w:rPr>
                <w:rFonts w:ascii="Arial" w:cs="Arial" w:eastAsia="Arial" w:hAnsi="Arial"/>
                <w:sz w:val="13"/>
                <w:szCs w:val="13"/>
                <w:color w:val="auto"/>
                <w:w w:val="96"/>
              </w:rPr>
              <w:t>+ Association in participation</w:t>
            </w:r>
          </w:p>
        </w:tc>
        <w:tc>
          <w:tcPr>
            <w:tcW w:w="0" w:type="dxa"/>
            <w:vAlign w:val="bottom"/>
          </w:tcPr>
          <w:p>
            <w:pPr>
              <w:spacing w:after="0"/>
              <w:rPr>
                <w:sz w:val="1"/>
                <w:szCs w:val="1"/>
                <w:color w:val="auto"/>
              </w:rPr>
            </w:pPr>
          </w:p>
        </w:tc>
      </w:tr>
      <w:tr>
        <w:trPr>
          <w:trHeight w:val="124"/>
        </w:trPr>
        <w:tc>
          <w:tcPr>
            <w:tcW w:w="116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160" w:type="dxa"/>
            <w:vAlign w:val="bottom"/>
            <w:tcBorders>
              <w:top w:val="single" w:sz="8" w:color="auto"/>
            </w:tcBorders>
            <w:gridSpan w:val="18"/>
          </w:tcPr>
          <w:p>
            <w:pPr>
              <w:jc w:val="center"/>
              <w:ind w:right="200"/>
              <w:spacing w:after="0" w:line="124" w:lineRule="exact"/>
              <w:rPr>
                <w:sz w:val="20"/>
                <w:szCs w:val="20"/>
                <w:color w:val="auto"/>
              </w:rPr>
            </w:pPr>
            <w:r>
              <w:rPr>
                <w:rFonts w:ascii="Arial" w:cs="Arial" w:eastAsia="Arial" w:hAnsi="Arial"/>
                <w:sz w:val="13"/>
                <w:szCs w:val="13"/>
                <w:color w:val="auto"/>
                <w:w w:val="97"/>
              </w:rPr>
              <w:t>Net interest, similar income and expenses + Fee Income + Net gain on foreign</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780" w:type="dxa"/>
            <w:vAlign w:val="bottom"/>
            <w:gridSpan w:val="21"/>
          </w:tcPr>
          <w:p>
            <w:pPr>
              <w:jc w:val="center"/>
              <w:ind w:right="400"/>
              <w:spacing w:after="0" w:line="135" w:lineRule="exact"/>
              <w:rPr>
                <w:sz w:val="20"/>
                <w:szCs w:val="20"/>
                <w:color w:val="auto"/>
              </w:rPr>
            </w:pPr>
            <w:r>
              <w:rPr>
                <w:rFonts w:ascii="Arial" w:cs="Arial" w:eastAsia="Arial" w:hAnsi="Arial"/>
                <w:sz w:val="13"/>
                <w:szCs w:val="13"/>
                <w:color w:val="auto"/>
                <w:w w:val="96"/>
              </w:rPr>
              <w:t>exchange transactions + Net gain from associates+Net gain on derivatives held for trading</w:t>
            </w:r>
          </w:p>
        </w:tc>
        <w:tc>
          <w:tcPr>
            <w:tcW w:w="0" w:type="dxa"/>
            <w:vAlign w:val="bottom"/>
          </w:tcPr>
          <w:p>
            <w:pPr>
              <w:spacing w:after="0"/>
              <w:rPr>
                <w:sz w:val="1"/>
                <w:szCs w:val="1"/>
                <w:color w:val="auto"/>
              </w:rPr>
            </w:pPr>
          </w:p>
        </w:tc>
      </w:tr>
      <w:tr>
        <w:trPr>
          <w:trHeight w:val="166"/>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gridSpan w:val="17"/>
          </w:tcPr>
          <w:p>
            <w:pPr>
              <w:jc w:val="center"/>
              <w:ind w:right="1260"/>
              <w:spacing w:after="0"/>
              <w:rPr>
                <w:sz w:val="20"/>
                <w:szCs w:val="20"/>
                <w:color w:val="auto"/>
              </w:rPr>
            </w:pPr>
            <w:r>
              <w:rPr>
                <w:rFonts w:ascii="Arial" w:cs="Arial" w:eastAsia="Arial" w:hAnsi="Arial"/>
                <w:sz w:val="13"/>
                <w:szCs w:val="13"/>
                <w:color w:val="auto"/>
                <w:w w:val="97"/>
              </w:rPr>
              <w:t>+ Result on exchange differences+Insurance Underwriting Result</w:t>
            </w:r>
          </w:p>
        </w:tc>
        <w:tc>
          <w:tcPr>
            <w:tcW w:w="0" w:type="dxa"/>
            <w:vAlign w:val="bottom"/>
          </w:tcPr>
          <w:p>
            <w:pPr>
              <w:spacing w:after="0"/>
              <w:rPr>
                <w:sz w:val="1"/>
                <w:szCs w:val="1"/>
                <w:color w:val="auto"/>
              </w:rPr>
            </w:pPr>
          </w:p>
        </w:tc>
      </w:tr>
      <w:tr>
        <w:trPr>
          <w:trHeight w:val="109"/>
        </w:trPr>
        <w:tc>
          <w:tcPr>
            <w:tcW w:w="11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16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Liquidity Coverage ratio</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80" w:type="dxa"/>
            <w:vAlign w:val="bottom"/>
            <w:gridSpan w:val="20"/>
          </w:tcPr>
          <w:p>
            <w:pPr>
              <w:jc w:val="center"/>
              <w:ind w:right="620"/>
              <w:spacing w:after="0"/>
              <w:rPr>
                <w:sz w:val="20"/>
                <w:szCs w:val="20"/>
                <w:color w:val="auto"/>
              </w:rPr>
            </w:pPr>
            <w:r>
              <w:rPr>
                <w:rFonts w:ascii="Arial" w:cs="Arial" w:eastAsia="Arial" w:hAnsi="Arial"/>
                <w:sz w:val="13"/>
                <w:szCs w:val="13"/>
                <w:color w:val="auto"/>
                <w:w w:val="96"/>
              </w:rPr>
              <w:t>Total High Quality Liquid Assets + Min( Total Inflow30 days ; 75% * Total Outflow30 days)</w:t>
            </w: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100" w:type="dxa"/>
            <w:vAlign w:val="bottom"/>
            <w:tcBorders>
              <w:top w:val="single" w:sz="8" w:color="auto"/>
            </w:tcBorders>
            <w:gridSpan w:val="9"/>
            <w:vMerge w:val="restart"/>
          </w:tcPr>
          <w:p>
            <w:pPr>
              <w:jc w:val="center"/>
              <w:ind w:right="1860"/>
              <w:spacing w:after="0"/>
              <w:rPr>
                <w:sz w:val="20"/>
                <w:szCs w:val="20"/>
                <w:color w:val="auto"/>
              </w:rPr>
            </w:pPr>
            <w:r>
              <w:rPr>
                <w:rFonts w:ascii="Arial" w:cs="Arial" w:eastAsia="Arial" w:hAnsi="Arial"/>
                <w:sz w:val="13"/>
                <w:szCs w:val="13"/>
                <w:color w:val="auto"/>
                <w:w w:val="95"/>
              </w:rPr>
              <w:t>Total Outflow 30 days</w:t>
            </w:r>
          </w:p>
        </w:tc>
        <w:tc>
          <w:tcPr>
            <w:tcW w:w="620" w:type="dxa"/>
            <w:vAlign w:val="bottom"/>
            <w:gridSpan w:val="3"/>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00" w:type="dxa"/>
            <w:vAlign w:val="bottom"/>
            <w:gridSpan w:val="9"/>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16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Regulatory Capital ratio</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12"/>
          </w:tcPr>
          <w:p>
            <w:pPr>
              <w:jc w:val="center"/>
              <w:ind w:right="2480"/>
              <w:spacing w:after="0"/>
              <w:rPr>
                <w:sz w:val="20"/>
                <w:szCs w:val="20"/>
                <w:color w:val="auto"/>
              </w:rPr>
            </w:pPr>
            <w:r>
              <w:rPr>
                <w:rFonts w:ascii="Arial" w:cs="Arial" w:eastAsia="Arial" w:hAnsi="Arial"/>
                <w:sz w:val="13"/>
                <w:szCs w:val="13"/>
                <w:color w:val="auto"/>
                <w:w w:val="97"/>
              </w:rPr>
              <w:t>Regulatory Capital</w:t>
            </w: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40" w:type="dxa"/>
            <w:vAlign w:val="bottom"/>
            <w:gridSpan w:val="13"/>
            <w:vMerge w:val="restart"/>
          </w:tcPr>
          <w:p>
            <w:pPr>
              <w:jc w:val="center"/>
              <w:ind w:right="2340"/>
              <w:spacing w:after="0"/>
              <w:rPr>
                <w:sz w:val="20"/>
                <w:szCs w:val="20"/>
                <w:color w:val="auto"/>
              </w:rPr>
            </w:pPr>
            <w:r>
              <w:rPr>
                <w:rFonts w:ascii="Arial" w:cs="Arial" w:eastAsia="Arial" w:hAnsi="Arial"/>
                <w:sz w:val="13"/>
                <w:szCs w:val="13"/>
                <w:color w:val="auto"/>
                <w:w w:val="96"/>
              </w:rPr>
              <w:t>Risk — weighted assets</w:t>
            </w:r>
          </w:p>
        </w:tc>
        <w:tc>
          <w:tcPr>
            <w:tcW w:w="0" w:type="dxa"/>
            <w:vAlign w:val="bottom"/>
          </w:tcPr>
          <w:p>
            <w:pPr>
              <w:spacing w:after="0"/>
              <w:rPr>
                <w:sz w:val="1"/>
                <w:szCs w:val="1"/>
                <w:color w:val="auto"/>
              </w:rPr>
            </w:pPr>
          </w:p>
        </w:tc>
      </w:tr>
      <w:tr>
        <w:trPr>
          <w:trHeight w:val="61"/>
        </w:trPr>
        <w:tc>
          <w:tcPr>
            <w:tcW w:w="116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22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160" w:type="dxa"/>
            <w:vAlign w:val="bottom"/>
            <w:tcBorders>
              <w:right w:val="single" w:sz="8" w:color="auto"/>
            </w:tcBorders>
            <w:vMerge w:val="continue"/>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Adequacy</w:t>
            </w: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Tier 1 ratio</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80"/>
              <w:spacing w:after="0" w:line="193" w:lineRule="exact"/>
              <w:rPr>
                <w:sz w:val="20"/>
                <w:szCs w:val="20"/>
                <w:color w:val="auto"/>
              </w:rPr>
            </w:pPr>
            <w:r>
              <w:rPr>
                <w:rFonts w:ascii="Arial" w:cs="Arial" w:eastAsia="Arial" w:hAnsi="Arial"/>
                <w:sz w:val="13"/>
                <w:szCs w:val="13"/>
                <w:color w:val="auto"/>
                <w:w w:val="88"/>
              </w:rPr>
              <w:t>Tier 1</w:t>
            </w:r>
            <w:r>
              <w:rPr>
                <w:rFonts w:ascii="Arial" w:cs="Arial" w:eastAsia="Arial" w:hAnsi="Arial"/>
                <w:sz w:val="20"/>
                <w:szCs w:val="20"/>
                <w:color w:val="auto"/>
                <w:w w:val="88"/>
                <w:vertAlign w:val="superscript"/>
              </w:rPr>
              <w:t>(2)</w:t>
            </w:r>
          </w:p>
        </w:tc>
        <w:tc>
          <w:tcPr>
            <w:tcW w:w="2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40" w:type="dxa"/>
            <w:vAlign w:val="bottom"/>
            <w:gridSpan w:val="13"/>
            <w:vMerge w:val="restart"/>
          </w:tcPr>
          <w:p>
            <w:pPr>
              <w:jc w:val="center"/>
              <w:ind w:right="2340"/>
              <w:spacing w:after="0"/>
              <w:rPr>
                <w:sz w:val="20"/>
                <w:szCs w:val="20"/>
                <w:color w:val="auto"/>
              </w:rPr>
            </w:pPr>
            <w:r>
              <w:rPr>
                <w:rFonts w:ascii="Arial" w:cs="Arial" w:eastAsia="Arial" w:hAnsi="Arial"/>
                <w:sz w:val="13"/>
                <w:szCs w:val="13"/>
                <w:color w:val="auto"/>
                <w:w w:val="96"/>
              </w:rPr>
              <w:t>Risk — weighted assets</w:t>
            </w: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4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1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 xml:space="preserve">Common Equity Tier 1 ratio </w:t>
            </w:r>
            <w:r>
              <w:rPr>
                <w:rFonts w:ascii="Arial" w:cs="Arial" w:eastAsia="Arial" w:hAnsi="Arial"/>
                <w:sz w:val="20"/>
                <w:szCs w:val="20"/>
                <w:b w:val="1"/>
                <w:bCs w:val="1"/>
                <w:color w:val="auto"/>
                <w:vertAlign w:val="superscript"/>
              </w:rPr>
              <w:t>(3)</w:t>
            </w:r>
          </w:p>
        </w:tc>
        <w:tc>
          <w:tcPr>
            <w:tcW w:w="6160" w:type="dxa"/>
            <w:vAlign w:val="bottom"/>
            <w:gridSpan w:val="23"/>
          </w:tcPr>
          <w:p>
            <w:pPr>
              <w:jc w:val="center"/>
              <w:ind w:right="20"/>
              <w:spacing w:after="0"/>
              <w:rPr>
                <w:sz w:val="20"/>
                <w:szCs w:val="20"/>
                <w:color w:val="auto"/>
              </w:rPr>
            </w:pPr>
            <w:r>
              <w:rPr>
                <w:rFonts w:ascii="Arial" w:cs="Arial" w:eastAsia="Arial" w:hAnsi="Arial"/>
                <w:sz w:val="13"/>
                <w:szCs w:val="13"/>
                <w:color w:val="auto"/>
                <w:w w:val="96"/>
              </w:rPr>
              <w:t xml:space="preserve">Capital + Reserves — 100% of applicable deductions </w:t>
            </w:r>
            <w:r>
              <w:rPr>
                <w:rFonts w:ascii="Arial" w:cs="Arial" w:eastAsia="Arial" w:hAnsi="Arial"/>
                <w:sz w:val="20"/>
                <w:szCs w:val="20"/>
                <w:color w:val="auto"/>
                <w:w w:val="96"/>
                <w:vertAlign w:val="superscript"/>
              </w:rPr>
              <w:t>(4)</w:t>
            </w:r>
            <w:r>
              <w:rPr>
                <w:rFonts w:ascii="Arial" w:cs="Arial" w:eastAsia="Arial" w:hAnsi="Arial"/>
                <w:sz w:val="13"/>
                <w:szCs w:val="13"/>
                <w:color w:val="auto"/>
                <w:w w:val="96"/>
              </w:rPr>
              <w:t xml:space="preserve"> + Retained Earnings + Unrealized gains or losses</w:t>
            </w:r>
          </w:p>
        </w:tc>
        <w:tc>
          <w:tcPr>
            <w:tcW w:w="0" w:type="dxa"/>
            <w:vAlign w:val="bottom"/>
          </w:tcPr>
          <w:p>
            <w:pPr>
              <w:spacing w:after="0"/>
              <w:rPr>
                <w:sz w:val="1"/>
                <w:szCs w:val="1"/>
                <w:color w:val="auto"/>
              </w:rPr>
            </w:pPr>
          </w:p>
        </w:tc>
      </w:tr>
      <w:tr>
        <w:trPr>
          <w:trHeight w:val="115"/>
        </w:trPr>
        <w:tc>
          <w:tcPr>
            <w:tcW w:w="116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580" w:type="dxa"/>
            <w:vAlign w:val="bottom"/>
            <w:tcBorders>
              <w:top w:val="single" w:sz="8" w:color="auto"/>
            </w:tcBorders>
            <w:gridSpan w:val="12"/>
            <w:vMerge w:val="restart"/>
          </w:tcPr>
          <w:p>
            <w:pPr>
              <w:jc w:val="center"/>
              <w:ind w:right="2080"/>
              <w:spacing w:after="0"/>
              <w:rPr>
                <w:sz w:val="20"/>
                <w:szCs w:val="20"/>
                <w:color w:val="auto"/>
              </w:rPr>
            </w:pPr>
            <w:r>
              <w:rPr>
                <w:rFonts w:ascii="Arial" w:cs="Arial" w:eastAsia="Arial" w:hAnsi="Arial"/>
                <w:sz w:val="13"/>
                <w:szCs w:val="13"/>
                <w:color w:val="auto"/>
                <w:w w:val="96"/>
              </w:rPr>
              <w:t>Risk — weighted assets</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160" w:type="dxa"/>
            <w:vAlign w:val="bottom"/>
            <w:tcBorders>
              <w:righ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580" w:type="dxa"/>
            <w:vAlign w:val="bottom"/>
            <w:gridSpan w:val="12"/>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spacing w:after="0" w:line="5" w:lineRule="exact"/>
        <w:rPr>
          <w:rFonts w:ascii="Arial" w:cs="Arial" w:eastAsia="Arial" w:hAnsi="Arial"/>
          <w:sz w:val="11"/>
          <w:szCs w:val="11"/>
          <w:color w:val="auto"/>
        </w:rPr>
      </w:pPr>
    </w:p>
    <w:p>
      <w:pPr>
        <w:ind w:left="180" w:hanging="172"/>
        <w:spacing w:after="0" w:line="230" w:lineRule="auto"/>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Includes investment in subsidiaries, goodwill, intangibles and deferred tax that rely on future profitability.</w:t>
      </w:r>
    </w:p>
    <w:p>
      <w:pPr>
        <w:ind w:left="180" w:hanging="172"/>
        <w:spacing w:after="0"/>
        <w:tabs>
          <w:tab w:leader="none" w:pos="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Common Equity Tier 1 = Capital Stock + Reserves + Accumulated earnings – Unrealized profits or losses - 100% deductions (investment in subsidiaries, goodwill, intangible assets and deferred tax assets based on future returns).</w:t>
      </w:r>
    </w:p>
    <w:p>
      <w:pPr>
        <w:spacing w:after="0" w:line="6" w:lineRule="exact"/>
        <w:rPr>
          <w:rFonts w:ascii="Arial" w:cs="Arial" w:eastAsia="Arial" w:hAnsi="Arial"/>
          <w:sz w:val="10"/>
          <w:szCs w:val="10"/>
          <w:color w:val="auto"/>
        </w:rPr>
      </w:pPr>
    </w:p>
    <w:p>
      <w:pPr>
        <w:ind w:left="180" w:hanging="172"/>
        <w:spacing w:after="0"/>
        <w:tabs>
          <w:tab w:leader="none" w:pos="1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Includes investment in subsidiaries, goodwill, intangible assets and deferred taxes based on future returns.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240"/>
              <w:spacing w:after="0"/>
              <w:rPr>
                <w:sz w:val="20"/>
                <w:szCs w:val="20"/>
                <w:color w:val="auto"/>
              </w:rPr>
            </w:pPr>
            <w:r>
              <w:rPr>
                <w:rFonts w:ascii="Arial" w:cs="Arial" w:eastAsia="Arial" w:hAnsi="Arial"/>
                <w:sz w:val="14"/>
                <w:szCs w:val="14"/>
                <w:color w:val="0000FF"/>
              </w:rPr>
              <w:t>Datos elaborados por BCP para uso Interno</w:t>
            </w:r>
          </w:p>
        </w:tc>
        <w:tc>
          <w:tcPr>
            <w:tcW w:w="22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429"/>
        </w:trPr>
        <w:tc>
          <w:tcPr>
            <w:tcW w:w="9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70" w:name="page71"/>
    <w:bookmarkEnd w:id="70"/>
    <w:p>
      <w:pPr>
        <w:ind w:left="2720"/>
        <w:spacing w:after="0"/>
        <w:tabs>
          <w:tab w:leader="none" w:pos="2940" w:val="left"/>
          <w:tab w:leader="none" w:pos="7320" w:val="left"/>
        </w:tabs>
        <w:rPr>
          <w:sz w:val="20"/>
          <w:szCs w:val="20"/>
          <w:color w:val="auto"/>
        </w:rPr>
      </w:pPr>
      <w:r>
        <w:rPr>
          <w:rFonts w:ascii="Arial" w:cs="Arial" w:eastAsia="Arial" w:hAnsi="Arial"/>
          <w:sz w:val="39"/>
          <w:szCs w:val="39"/>
          <w:color w:val="A6A6A6"/>
          <w:vertAlign w:val="superscript"/>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4800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w:t>
      </w:r>
      <w:r>
        <w:rPr>
          <w:sz w:val="20"/>
          <w:szCs w:val="20"/>
          <w:color w:val="auto"/>
        </w:rPr>
        <w:tab/>
      </w:r>
      <w:r>
        <w:rPr>
          <w:rFonts w:ascii="Arial" w:cs="Arial" w:eastAsia="Arial" w:hAnsi="Arial"/>
          <w:sz w:val="40"/>
          <w:szCs w:val="40"/>
          <w:b w:val="1"/>
          <w:bCs w:val="1"/>
          <w:color w:val="A6A6A6"/>
          <w:vertAlign w:val="superscript"/>
        </w:rPr>
        <w:t>Earning Release 1Q / 2024</w:t>
      </w:r>
      <w:r>
        <w:rPr>
          <w:sz w:val="20"/>
          <w:szCs w:val="20"/>
          <w:color w:val="auto"/>
        </w:rPr>
        <w:tab/>
      </w:r>
      <w:r>
        <w:rPr>
          <w:rFonts w:ascii="Arial" w:cs="Arial" w:eastAsia="Arial" w:hAnsi="Arial"/>
          <w:sz w:val="19"/>
          <w:szCs w:val="19"/>
          <w:b w:val="1"/>
          <w:bCs w:val="1"/>
          <w:color w:val="E93BAC"/>
        </w:rPr>
        <w:t>Analysis of 1Q24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3600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12.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12.8. Glossary of terms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60" w:type="dxa"/>
            <w:vAlign w:val="bottom"/>
            <w:tcBorders>
              <w:right w:val="single" w:sz="8" w:color="auto"/>
            </w:tcBorders>
          </w:tcPr>
          <w:p>
            <w:pPr>
              <w:spacing w:after="0"/>
              <w:rPr>
                <w:sz w:val="17"/>
                <w:szCs w:val="17"/>
                <w:color w:val="auto"/>
              </w:rPr>
            </w:pPr>
          </w:p>
        </w:tc>
        <w:tc>
          <w:tcPr>
            <w:tcW w:w="2520" w:type="dxa"/>
            <w:vAlign w:val="bottom"/>
            <w:tcBorders>
              <w:top w:val="single" w:sz="8" w:color="auto"/>
              <w:bottom w:val="single" w:sz="8" w:color="auto"/>
            </w:tcBorders>
            <w:shd w:val="clear" w:color="auto" w:fill="2AD2C9"/>
          </w:tcPr>
          <w:p>
            <w:pPr>
              <w:ind w:left="1680"/>
              <w:spacing w:after="0"/>
              <w:rPr>
                <w:sz w:val="20"/>
                <w:szCs w:val="20"/>
                <w:color w:val="auto"/>
              </w:rPr>
            </w:pPr>
            <w:r>
              <w:rPr>
                <w:rFonts w:ascii="Arial" w:cs="Arial" w:eastAsia="Arial" w:hAnsi="Arial"/>
                <w:sz w:val="13"/>
                <w:szCs w:val="13"/>
                <w:b w:val="1"/>
                <w:bCs w:val="1"/>
                <w:color w:val="FFFFFF"/>
              </w:rPr>
              <w:t>Term</w:t>
            </w:r>
          </w:p>
        </w:tc>
        <w:tc>
          <w:tcPr>
            <w:tcW w:w="1200" w:type="dxa"/>
            <w:vAlign w:val="bottom"/>
            <w:tcBorders>
              <w:top w:val="single" w:sz="8" w:color="auto"/>
              <w:bottom w:val="single" w:sz="8" w:color="auto"/>
              <w:right w:val="single" w:sz="8" w:color="auto"/>
            </w:tcBorders>
            <w:shd w:val="clear" w:color="auto" w:fill="2AD2C9"/>
          </w:tcPr>
          <w:p>
            <w:pPr>
              <w:spacing w:after="0"/>
              <w:rPr>
                <w:sz w:val="17"/>
                <w:szCs w:val="17"/>
                <w:color w:val="auto"/>
              </w:rPr>
            </w:pPr>
          </w:p>
        </w:tc>
        <w:tc>
          <w:tcPr>
            <w:tcW w:w="5240" w:type="dxa"/>
            <w:vAlign w:val="bottom"/>
            <w:tcBorders>
              <w:top w:val="single" w:sz="8" w:color="auto"/>
              <w:bottom w:val="single" w:sz="8" w:color="auto"/>
              <w:right w:val="single" w:sz="8" w:color="auto"/>
            </w:tcBorders>
            <w:shd w:val="clear" w:color="auto" w:fill="2AD2C9"/>
          </w:tcPr>
          <w:p>
            <w:pPr>
              <w:ind w:left="2320"/>
              <w:spacing w:after="0"/>
              <w:rPr>
                <w:sz w:val="20"/>
                <w:szCs w:val="20"/>
                <w:color w:val="auto"/>
              </w:rPr>
            </w:pPr>
            <w:r>
              <w:rPr>
                <w:rFonts w:ascii="Arial" w:cs="Arial" w:eastAsia="Arial" w:hAnsi="Arial"/>
                <w:sz w:val="13"/>
                <w:szCs w:val="13"/>
                <w:b w:val="1"/>
                <w:bCs w:val="1"/>
                <w:color w:val="FFFFFF"/>
              </w:rPr>
              <w:t>Definition</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60" w:type="dxa"/>
            <w:vAlign w:val="bottom"/>
            <w:tcBorders>
              <w:right w:val="single" w:sz="8" w:color="auto"/>
            </w:tcBorders>
          </w:tcPr>
          <w:p>
            <w:pPr>
              <w:spacing w:after="0"/>
              <w:rPr>
                <w:sz w:val="12"/>
                <w:szCs w:val="12"/>
                <w:color w:val="auto"/>
              </w:rPr>
            </w:pPr>
          </w:p>
        </w:tc>
        <w:tc>
          <w:tcPr>
            <w:tcW w:w="37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Government Program Loans (“GP” or “GP Loans”)</w:t>
            </w:r>
          </w:p>
        </w:tc>
        <w:tc>
          <w:tcPr>
            <w:tcW w:w="524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3"/>
                <w:szCs w:val="13"/>
                <w:color w:val="auto"/>
              </w:rPr>
              <w:t>Loan Portfolio related to Reactiva Peru and FAE-Mype and Impulso Myperu programs to</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160" w:type="dxa"/>
            <w:vAlign w:val="bottom"/>
            <w:tcBorders>
              <w:right w:val="single" w:sz="8" w:color="auto"/>
            </w:tcBorders>
          </w:tcPr>
          <w:p>
            <w:pPr>
              <w:spacing w:after="0"/>
              <w:rPr>
                <w:sz w:val="9"/>
                <w:szCs w:val="9"/>
                <w:color w:val="auto"/>
              </w:rPr>
            </w:pPr>
          </w:p>
        </w:tc>
        <w:tc>
          <w:tcPr>
            <w:tcW w:w="3720" w:type="dxa"/>
            <w:vAlign w:val="bottom"/>
            <w:tcBorders>
              <w:right w:val="single" w:sz="8" w:color="auto"/>
            </w:tcBorders>
            <w:gridSpan w:val="2"/>
            <w:vMerge w:val="continue"/>
          </w:tcPr>
          <w:p>
            <w:pPr>
              <w:spacing w:after="0"/>
              <w:rPr>
                <w:sz w:val="9"/>
                <w:szCs w:val="9"/>
                <w:color w:val="auto"/>
              </w:rPr>
            </w:pPr>
          </w:p>
        </w:tc>
        <w:tc>
          <w:tcPr>
            <w:tcW w:w="5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color w:val="auto"/>
              </w:rPr>
              <w:t>respond quickly and effectively to liquidity needs and maintain the payment chain</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5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160" w:type="dxa"/>
            <w:vAlign w:val="bottom"/>
            <w:tcBorders>
              <w:righ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tcPr>
          <w:p>
            <w:pPr>
              <w:ind w:left="80"/>
              <w:spacing w:after="0" w:line="144" w:lineRule="exact"/>
              <w:rPr>
                <w:sz w:val="20"/>
                <w:szCs w:val="20"/>
                <w:color w:val="auto"/>
              </w:rPr>
            </w:pPr>
            <w:r>
              <w:rPr>
                <w:rFonts w:ascii="Arial" w:cs="Arial" w:eastAsia="Arial" w:hAnsi="Arial"/>
                <w:sz w:val="13"/>
                <w:szCs w:val="13"/>
                <w:color w:val="auto"/>
              </w:rPr>
              <w:t>Stock of financially included clients through BCP since 2020. New clients with BCP</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60" w:type="dxa"/>
            <w:vAlign w:val="bottom"/>
            <w:tcBorders>
              <w:right w:val="single" w:sz="8" w:color="auto"/>
            </w:tcBorders>
          </w:tcPr>
          <w:p>
            <w:pPr>
              <w:spacing w:after="0"/>
              <w:rPr>
                <w:sz w:val="11"/>
                <w:szCs w:val="11"/>
                <w:color w:val="auto"/>
              </w:rPr>
            </w:pPr>
          </w:p>
        </w:tc>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Financially Included</w:t>
            </w:r>
          </w:p>
        </w:tc>
        <w:tc>
          <w:tcPr>
            <w:tcW w:w="1200" w:type="dxa"/>
            <w:vAlign w:val="bottom"/>
            <w:tcBorders>
              <w:right w:val="single" w:sz="8" w:color="auto"/>
            </w:tcBorders>
          </w:tcPr>
          <w:p>
            <w:pPr>
              <w:spacing w:after="0"/>
              <w:rPr>
                <w:sz w:val="11"/>
                <w:szCs w:val="11"/>
                <w:color w:val="auto"/>
              </w:rPr>
            </w:pPr>
          </w:p>
        </w:tc>
        <w:tc>
          <w:tcPr>
            <w:tcW w:w="52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8"/>
              </w:rPr>
              <w:t>savings accounts or new Yape a-liates that: (i)Do not have debt in the financial system nor</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Borders>
              <w:right w:val="single" w:sz="8" w:color="auto"/>
            </w:tcBorders>
          </w:tcPr>
          <w:p>
            <w:pPr>
              <w:spacing w:after="0"/>
              <w:rPr>
                <w:sz w:val="11"/>
                <w:szCs w:val="11"/>
                <w:color w:val="auto"/>
              </w:rPr>
            </w:pPr>
          </w:p>
        </w:tc>
        <w:tc>
          <w:tcPr>
            <w:tcW w:w="2520" w:type="dxa"/>
            <w:vAlign w:val="bottom"/>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52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other BCP products in the 12 months prior to their inclusion,</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Borders>
              <w:righ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524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and (ii) Have performed at least 3 monthly transactions on average through any BCP</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Borders>
              <w:right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5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channel in the last three months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tcBorders>
              <w:right w:val="single" w:sz="8" w:color="auto"/>
            </w:tcBorders>
          </w:tcPr>
          <w:p>
            <w:pPr>
              <w:spacing w:after="0"/>
              <w:rPr>
                <w:sz w:val="16"/>
                <w:szCs w:val="16"/>
                <w:color w:val="auto"/>
              </w:rPr>
            </w:pPr>
          </w:p>
        </w:tc>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MAU</w:t>
            </w:r>
          </w:p>
        </w:tc>
        <w:tc>
          <w:tcPr>
            <w:tcW w:w="1200" w:type="dxa"/>
            <w:vAlign w:val="bottom"/>
            <w:tcBorders>
              <w:bottom w:val="single" w:sz="8" w:color="auto"/>
              <w:right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Monthly Active Users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TPV</w:t>
            </w:r>
          </w:p>
        </w:tc>
        <w:tc>
          <w:tcPr>
            <w:tcW w:w="1200" w:type="dxa"/>
            <w:vAlign w:val="bottom"/>
            <w:tcBorders>
              <w:bottom w:val="single" w:sz="8" w:color="auto"/>
              <w:right w:val="single" w:sz="8" w:color="auto"/>
            </w:tcBorders>
          </w:tcPr>
          <w:p>
            <w:pPr>
              <w:spacing w:after="0"/>
              <w:rPr>
                <w:sz w:val="15"/>
                <w:szCs w:val="15"/>
                <w:color w:val="auto"/>
              </w:rPr>
            </w:pPr>
          </w:p>
        </w:tc>
        <w:tc>
          <w:tcPr>
            <w:tcW w:w="5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Total Payment Volume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GMV</w:t>
            </w:r>
          </w:p>
        </w:tc>
        <w:tc>
          <w:tcPr>
            <w:tcW w:w="1200" w:type="dxa"/>
            <w:vAlign w:val="bottom"/>
            <w:tcBorders>
              <w:bottom w:val="single" w:sz="8" w:color="auto"/>
              <w:right w:val="single" w:sz="8" w:color="auto"/>
            </w:tcBorders>
          </w:tcPr>
          <w:p>
            <w:pPr>
              <w:spacing w:after="0"/>
              <w:rPr>
                <w:sz w:val="15"/>
                <w:szCs w:val="15"/>
                <w:color w:val="auto"/>
              </w:rPr>
            </w:pPr>
          </w:p>
        </w:tc>
        <w:tc>
          <w:tcPr>
            <w:tcW w:w="5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Gross Merchant Volume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440" w:type="dxa"/>
            <w:vAlign w:val="bottom"/>
            <w:gridSpan w:val="2"/>
          </w:tcPr>
          <w:p>
            <w:pPr>
              <w:ind w:left="560"/>
              <w:spacing w:after="0"/>
              <w:rPr>
                <w:sz w:val="20"/>
                <w:szCs w:val="20"/>
                <w:color w:val="auto"/>
              </w:rPr>
            </w:pPr>
            <w:r>
              <w:rPr>
                <w:rFonts w:ascii="Arial" w:cs="Arial" w:eastAsia="Arial" w:hAnsi="Arial"/>
                <w:sz w:val="14"/>
                <w:szCs w:val="14"/>
                <w:color w:val="0000FF"/>
              </w:rPr>
              <w:t>Datos elaborados por BCP para uso Interno</w:t>
            </w:r>
          </w:p>
        </w:tc>
        <w:tc>
          <w:tcPr>
            <w:tcW w:w="112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429"/>
        </w:trPr>
        <w:tc>
          <w:tcPr>
            <w:tcW w:w="1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8" w:right="339" w:bottom="1440" w:gutter="0" w:footer="0" w:header="0"/>
        </w:sectPr>
      </w:pPr>
    </w:p>
    <w:bookmarkStart w:id="71" w:name="page72"/>
    <w:bookmarkEnd w:id="71"/>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lowerRoman"/>
      <w:start w:val="2"/>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lvl w:ilvl="1">
      <w:lvlJc w:val="left"/>
      <w:lvlText w:val="○"/>
      <w:numFmt w:val="bullet"/>
      <w:start w:val="1"/>
    </w:lvl>
  </w:abstractNum>
  <w:abstractNum w:abstractNumId="28">
    <w:nsid w:val="2A487CB0"/>
    <w:multiLevelType w:val="hybridMultilevel"/>
    <w:lvl w:ilvl="0">
      <w:lvlJc w:val="left"/>
      <w:lvlText w:val="●"/>
      <w:numFmt w:val="bullet"/>
      <w:start w:val="1"/>
    </w:lvl>
    <w:lvl w:ilvl="1">
      <w:lvlJc w:val="left"/>
      <w:lvlText w:val="○"/>
      <w:numFmt w:val="bullet"/>
      <w:start w:val="1"/>
    </w:lvl>
  </w:abstractNum>
  <w:abstractNum w:abstractNumId="29">
    <w:nsid w:val="1D4ED43B"/>
    <w:multiLevelType w:val="hybridMultilevel"/>
    <w:lvl w:ilvl="0">
      <w:lvlJc w:val="left"/>
      <w:lvlText w:val="1"/>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lvl w:ilvl="1">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bullet"/>
      <w:start w:val="1"/>
    </w:lvl>
  </w:abstractNum>
  <w:abstractNum w:abstractNumId="43">
    <w:nsid w:val="3DC240FB"/>
    <w:multiLevelType w:val="hybridMultilevel"/>
    <w:lvl w:ilvl="0">
      <w:lvlJc w:val="left"/>
      <w:lvlText w:val="2"/>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6"/>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2024-05-14T05:21:44Z</dcterms:created>
  <dcterms:modified xsi:type="dcterms:W3CDTF">2024-05-14T05:21:44Z</dcterms:modified>
</cp:coreProperties>
</file>