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May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87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May 12</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CONASEV Resolution for Material Events, Reserved Information and Other Communications N° 107-2002-EF/94.10, as modified by CONASEV Resolution N° 009-2003-EF/94.10, Credicorp Ltd. complies with notifying you of the following Material Event.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Today May 12</w:t>
      </w:r>
      <w:r>
        <w:rPr>
          <w:rFonts w:ascii="Arial" w:cs="Arial" w:eastAsia="Arial" w:hAnsi="Arial"/>
          <w:sz w:val="28"/>
          <w:szCs w:val="28"/>
          <w:color w:val="auto"/>
          <w:vertAlign w:val="superscript"/>
        </w:rPr>
        <w:t>th</w:t>
      </w:r>
      <w:r>
        <w:rPr>
          <w:rFonts w:ascii="Arial" w:cs="Arial" w:eastAsia="Arial" w:hAnsi="Arial"/>
          <w:sz w:val="17"/>
          <w:szCs w:val="17"/>
          <w:color w:val="auto"/>
        </w:rPr>
        <w:t>, 2014, Credicorp Ltd. made the third capital contribution of US$ 16,456,930 (sixteen million, four hundred fifty six thousand and nine hundred thirty US dollar and 00/100) to its subsidiary Credicorp Capital Ltd. This contribution is part of the capital increase approved by Credicorp’s Board of Directors at its meeting held on September 26</w:t>
      </w:r>
      <w:r>
        <w:rPr>
          <w:rFonts w:ascii="Arial" w:cs="Arial" w:eastAsia="Arial" w:hAnsi="Arial"/>
          <w:sz w:val="28"/>
          <w:szCs w:val="28"/>
          <w:color w:val="auto"/>
          <w:vertAlign w:val="superscript"/>
        </w:rPr>
        <w:t>th</w:t>
      </w:r>
      <w:r>
        <w:rPr>
          <w:rFonts w:ascii="Arial" w:cs="Arial" w:eastAsia="Arial" w:hAnsi="Arial"/>
          <w:sz w:val="17"/>
          <w:szCs w:val="17"/>
          <w:color w:val="auto"/>
        </w:rPr>
        <w:t>, 2012, which was communicated through the material event of September 27</w:t>
      </w:r>
      <w:r>
        <w:rPr>
          <w:rFonts w:ascii="Arial" w:cs="Arial" w:eastAsia="Arial" w:hAnsi="Arial"/>
          <w:sz w:val="28"/>
          <w:szCs w:val="28"/>
          <w:color w:val="auto"/>
          <w:vertAlign w:val="superscript"/>
        </w:rPr>
        <w:t>th</w:t>
      </w:r>
      <w:r>
        <w:rPr>
          <w:rFonts w:ascii="Arial" w:cs="Arial" w:eastAsia="Arial" w:hAnsi="Arial"/>
          <w:sz w:val="17"/>
          <w:szCs w:val="17"/>
          <w:color w:val="auto"/>
        </w:rPr>
        <w:t>, 2012.</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12</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2019-12-06T13:48:00Z</dcterms:created>
  <dcterms:modified xsi:type="dcterms:W3CDTF">2019-12-06T13:48:00Z</dcterms:modified>
</cp:coreProperties>
</file>