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2" w:name="page3"/>
    <w:bookmarkEnd w:id="2"/>
    <w:p>
      <w:pPr>
        <w:ind w:left="9260"/>
        <w:spacing w:after="0"/>
        <w:rPr>
          <w:sz w:val="20"/>
          <w:szCs w:val="20"/>
          <w:color w:val="auto"/>
        </w:rPr>
      </w:pPr>
      <w:r>
        <w:rPr>
          <w:rFonts w:ascii="Calibri" w:cs="Calibri" w:eastAsia="Calibri" w:hAnsi="Calibri"/>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6840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84085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3" w:name="page4"/>
    <w:bookmarkEnd w:id="3"/>
    <w:p>
      <w:pPr>
        <w:ind w:left="2700"/>
        <w:spacing w:after="0"/>
        <w:tabs>
          <w:tab w:leader="none" w:pos="296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49"/>
          <w:szCs w:val="49"/>
          <w:b w:val="1"/>
          <w:bCs w:val="1"/>
          <w:color w:val="2AD2C8"/>
        </w:rPr>
        <w:t>Table of Contents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269"/>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Operatng and Financial Highlights</w:t>
            </w:r>
          </w:p>
        </w:tc>
        <w:tc>
          <w:tcPr>
            <w:tcW w:w="3120" w:type="dxa"/>
            <w:vAlign w:val="bottom"/>
          </w:tcPr>
          <w:p>
            <w:pPr>
              <w:jc w:val="right"/>
              <w:spacing w:after="0"/>
              <w:rPr>
                <w:sz w:val="20"/>
                <w:szCs w:val="20"/>
                <w:color w:val="auto"/>
              </w:rPr>
            </w:pPr>
            <w:r>
              <w:rPr>
                <w:rFonts w:ascii="Calibri" w:cs="Calibri" w:eastAsia="Calibri" w:hAnsi="Calibri"/>
                <w:sz w:val="22"/>
                <w:szCs w:val="22"/>
                <w:color w:val="auto"/>
              </w:rPr>
              <w:t>02</w:t>
            </w:r>
          </w:p>
        </w:tc>
      </w:tr>
      <w:tr>
        <w:trPr>
          <w:trHeight w:val="540"/>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Senior Management Quotes</w:t>
            </w:r>
          </w:p>
        </w:tc>
        <w:tc>
          <w:tcPr>
            <w:tcW w:w="3120" w:type="dxa"/>
            <w:vAlign w:val="bottom"/>
          </w:tcPr>
          <w:p>
            <w:pPr>
              <w:jc w:val="right"/>
              <w:spacing w:after="0"/>
              <w:rPr>
                <w:sz w:val="20"/>
                <w:szCs w:val="20"/>
                <w:color w:val="auto"/>
              </w:rPr>
            </w:pPr>
            <w:r>
              <w:rPr>
                <w:rFonts w:ascii="Calibri" w:cs="Calibri" w:eastAsia="Calibri" w:hAnsi="Calibri"/>
                <w:sz w:val="22"/>
                <w:szCs w:val="22"/>
                <w:color w:val="auto"/>
              </w:rPr>
              <w:t>03</w:t>
            </w:r>
          </w:p>
        </w:tc>
      </w:tr>
      <w:tr>
        <w:trPr>
          <w:trHeight w:val="540"/>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Third Quarter 2024 Earnings Conference Call</w:t>
            </w:r>
          </w:p>
        </w:tc>
        <w:tc>
          <w:tcPr>
            <w:tcW w:w="3120" w:type="dxa"/>
            <w:vAlign w:val="bottom"/>
          </w:tcPr>
          <w:p>
            <w:pPr>
              <w:jc w:val="right"/>
              <w:spacing w:after="0"/>
              <w:rPr>
                <w:sz w:val="20"/>
                <w:szCs w:val="20"/>
                <w:color w:val="auto"/>
              </w:rPr>
            </w:pPr>
            <w:r>
              <w:rPr>
                <w:rFonts w:ascii="Calibri" w:cs="Calibri" w:eastAsia="Calibri" w:hAnsi="Calibri"/>
                <w:sz w:val="22"/>
                <w:szCs w:val="22"/>
                <w:color w:val="auto"/>
              </w:rPr>
              <w:t>04</w:t>
            </w:r>
          </w:p>
        </w:tc>
      </w:tr>
      <w:tr>
        <w:trPr>
          <w:trHeight w:val="540"/>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Summary of Financial Performance and Outlook</w:t>
            </w:r>
          </w:p>
        </w:tc>
        <w:tc>
          <w:tcPr>
            <w:tcW w:w="3120" w:type="dxa"/>
            <w:vAlign w:val="bottom"/>
          </w:tcPr>
          <w:p>
            <w:pPr>
              <w:jc w:val="right"/>
              <w:spacing w:after="0"/>
              <w:rPr>
                <w:sz w:val="20"/>
                <w:szCs w:val="20"/>
                <w:color w:val="auto"/>
              </w:rPr>
            </w:pPr>
            <w:r>
              <w:rPr>
                <w:rFonts w:ascii="Calibri" w:cs="Calibri" w:eastAsia="Calibri" w:hAnsi="Calibri"/>
                <w:sz w:val="22"/>
                <w:szCs w:val="22"/>
                <w:color w:val="auto"/>
              </w:rPr>
              <w:t>05</w:t>
            </w:r>
          </w:p>
        </w:tc>
      </w:tr>
      <w:tr>
        <w:trPr>
          <w:trHeight w:val="540"/>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Financial Overview</w:t>
            </w:r>
          </w:p>
        </w:tc>
        <w:tc>
          <w:tcPr>
            <w:tcW w:w="3120" w:type="dxa"/>
            <w:vAlign w:val="bottom"/>
          </w:tcPr>
          <w:p>
            <w:pPr>
              <w:jc w:val="right"/>
              <w:spacing w:after="0"/>
              <w:rPr>
                <w:sz w:val="20"/>
                <w:szCs w:val="20"/>
                <w:color w:val="auto"/>
              </w:rPr>
            </w:pPr>
            <w:r>
              <w:rPr>
                <w:rFonts w:ascii="Calibri" w:cs="Calibri" w:eastAsia="Calibri" w:hAnsi="Calibri"/>
                <w:sz w:val="22"/>
                <w:szCs w:val="22"/>
                <w:color w:val="auto"/>
              </w:rPr>
              <w:t>10</w:t>
            </w:r>
          </w:p>
        </w:tc>
      </w:tr>
      <w:tr>
        <w:trPr>
          <w:trHeight w:val="540"/>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Credicorp’s Strategy Update</w:t>
            </w:r>
          </w:p>
        </w:tc>
        <w:tc>
          <w:tcPr>
            <w:tcW w:w="3120" w:type="dxa"/>
            <w:vAlign w:val="bottom"/>
          </w:tcPr>
          <w:p>
            <w:pPr>
              <w:jc w:val="right"/>
              <w:spacing w:after="0"/>
              <w:rPr>
                <w:sz w:val="20"/>
                <w:szCs w:val="20"/>
                <w:color w:val="auto"/>
              </w:rPr>
            </w:pPr>
            <w:r>
              <w:rPr>
                <w:rFonts w:ascii="Calibri" w:cs="Calibri" w:eastAsia="Calibri" w:hAnsi="Calibri"/>
                <w:sz w:val="22"/>
                <w:szCs w:val="22"/>
                <w:color w:val="auto"/>
              </w:rPr>
              <w:t>11</w:t>
            </w:r>
          </w:p>
        </w:tc>
      </w:tr>
      <w:tr>
        <w:trPr>
          <w:trHeight w:val="473"/>
        </w:trPr>
        <w:tc>
          <w:tcPr>
            <w:tcW w:w="7180" w:type="dxa"/>
            <w:vAlign w:val="bottom"/>
          </w:tcPr>
          <w:p>
            <w:pPr>
              <w:spacing w:after="0"/>
              <w:rPr>
                <w:sz w:val="20"/>
                <w:szCs w:val="20"/>
                <w:color w:val="auto"/>
              </w:rPr>
            </w:pPr>
            <w:r>
              <w:rPr>
                <w:rFonts w:ascii="Calibri" w:cs="Calibri" w:eastAsia="Calibri" w:hAnsi="Calibri"/>
                <w:sz w:val="22"/>
                <w:szCs w:val="22"/>
                <w:b w:val="1"/>
                <w:bCs w:val="1"/>
                <w:color w:val="A6A6A6"/>
              </w:rPr>
              <w:t>Analysis of 3Q24 Consolidated Results</w:t>
            </w: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-2159635</wp:posOffset>
            </wp:positionV>
            <wp:extent cx="13716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13716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13716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1371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13716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13716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3716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5430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p>
      <w:pPr>
        <w:spacing w:after="0" w:line="175"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01</w:t>
      </w:r>
    </w:p>
    <w:p>
      <w:pPr>
        <w:spacing w:after="0" w:line="218"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02</w:t>
      </w:r>
    </w:p>
    <w:p>
      <w:pPr>
        <w:spacing w:after="0" w:line="233"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03</w:t>
      </w:r>
    </w:p>
    <w:p>
      <w:pPr>
        <w:spacing w:after="0" w:line="216"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04</w:t>
      </w:r>
    </w:p>
    <w:p>
      <w:pPr>
        <w:spacing w:after="0" w:line="231"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05</w:t>
      </w:r>
    </w:p>
    <w:p>
      <w:pPr>
        <w:spacing w:after="0" w:line="220"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06</w:t>
      </w:r>
    </w:p>
    <w:p>
      <w:pPr>
        <w:spacing w:after="0" w:line="216"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07</w:t>
      </w:r>
    </w:p>
    <w:p>
      <w:pPr>
        <w:spacing w:after="0" w:line="218"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08</w:t>
      </w:r>
    </w:p>
    <w:p>
      <w:pPr>
        <w:spacing w:after="0" w:line="231"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09</w:t>
      </w:r>
    </w:p>
    <w:p>
      <w:pPr>
        <w:spacing w:after="0" w:line="218"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10</w:t>
      </w:r>
    </w:p>
    <w:p>
      <w:pPr>
        <w:spacing w:after="0" w:line="231"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11</w:t>
      </w:r>
    </w:p>
    <w:p>
      <w:pPr>
        <w:spacing w:after="0" w:line="231" w:lineRule="exact"/>
        <w:rPr>
          <w:sz w:val="20"/>
          <w:szCs w:val="20"/>
          <w:color w:val="auto"/>
        </w:rPr>
      </w:pPr>
    </w:p>
    <w:p>
      <w:pPr>
        <w:ind w:left="920"/>
        <w:spacing w:after="0"/>
        <w:rPr>
          <w:sz w:val="20"/>
          <w:szCs w:val="20"/>
          <w:color w:val="auto"/>
        </w:rPr>
      </w:pPr>
      <w:r>
        <w:rPr>
          <w:rFonts w:ascii="Calibri" w:cs="Calibri" w:eastAsia="Calibri" w:hAnsi="Calibri"/>
          <w:sz w:val="43"/>
          <w:szCs w:val="43"/>
          <w:b w:val="1"/>
          <w:bCs w:val="1"/>
          <w:color w:val="E93BAC"/>
        </w:rPr>
        <w:t>12</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220" w:type="dxa"/>
            <w:vAlign w:val="bottom"/>
          </w:tcPr>
          <w:p>
            <w:pPr>
              <w:spacing w:after="0"/>
              <w:rPr>
                <w:sz w:val="20"/>
                <w:szCs w:val="20"/>
                <w:color w:val="auto"/>
              </w:rPr>
            </w:pPr>
            <w:r>
              <w:rPr>
                <w:rFonts w:ascii="Calibri" w:cs="Calibri" w:eastAsia="Calibri" w:hAnsi="Calibri"/>
                <w:sz w:val="22"/>
                <w:szCs w:val="22"/>
                <w:color w:val="E93BAC"/>
              </w:rPr>
              <w:t>Loan Portolio</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16</w:t>
            </w:r>
          </w:p>
        </w:tc>
      </w:tr>
      <w:tr>
        <w:trPr>
          <w:trHeight w:val="797"/>
        </w:trPr>
        <w:tc>
          <w:tcPr>
            <w:tcW w:w="6220" w:type="dxa"/>
            <w:vAlign w:val="bottom"/>
          </w:tcPr>
          <w:p>
            <w:pPr>
              <w:spacing w:after="0"/>
              <w:rPr>
                <w:sz w:val="20"/>
                <w:szCs w:val="20"/>
                <w:color w:val="auto"/>
              </w:rPr>
            </w:pPr>
            <w:r>
              <w:rPr>
                <w:rFonts w:ascii="Calibri" w:cs="Calibri" w:eastAsia="Calibri" w:hAnsi="Calibri"/>
                <w:sz w:val="22"/>
                <w:szCs w:val="22"/>
                <w:color w:val="E93BAC"/>
              </w:rPr>
              <w:t>Deposits</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19</w:t>
            </w:r>
          </w:p>
        </w:tc>
      </w:tr>
      <w:tr>
        <w:trPr>
          <w:trHeight w:val="743"/>
        </w:trPr>
        <w:tc>
          <w:tcPr>
            <w:tcW w:w="6220" w:type="dxa"/>
            <w:vAlign w:val="bottom"/>
          </w:tcPr>
          <w:p>
            <w:pPr>
              <w:spacing w:after="0"/>
              <w:rPr>
                <w:sz w:val="20"/>
                <w:szCs w:val="20"/>
                <w:color w:val="auto"/>
              </w:rPr>
            </w:pPr>
            <w:r>
              <w:rPr>
                <w:rFonts w:ascii="Calibri" w:cs="Calibri" w:eastAsia="Calibri" w:hAnsi="Calibri"/>
                <w:sz w:val="22"/>
                <w:szCs w:val="22"/>
                <w:color w:val="E93BAC"/>
              </w:rPr>
              <w:t>Interest Earning Assets and Funding</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22</w:t>
            </w:r>
          </w:p>
        </w:tc>
      </w:tr>
      <w:tr>
        <w:trPr>
          <w:trHeight w:val="756"/>
        </w:trPr>
        <w:tc>
          <w:tcPr>
            <w:tcW w:w="6220" w:type="dxa"/>
            <w:vAlign w:val="bottom"/>
          </w:tcPr>
          <w:p>
            <w:pPr>
              <w:spacing w:after="0"/>
              <w:rPr>
                <w:sz w:val="20"/>
                <w:szCs w:val="20"/>
                <w:color w:val="auto"/>
              </w:rPr>
            </w:pPr>
            <w:r>
              <w:rPr>
                <w:rFonts w:ascii="Calibri" w:cs="Calibri" w:eastAsia="Calibri" w:hAnsi="Calibri"/>
                <w:sz w:val="22"/>
                <w:szCs w:val="22"/>
                <w:color w:val="E93BAC"/>
              </w:rPr>
              <w:t>Net Interest Income (NII)</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23</w:t>
            </w:r>
          </w:p>
        </w:tc>
      </w:tr>
      <w:tr>
        <w:trPr>
          <w:trHeight w:val="797"/>
        </w:trPr>
        <w:tc>
          <w:tcPr>
            <w:tcW w:w="6220" w:type="dxa"/>
            <w:vAlign w:val="bottom"/>
          </w:tcPr>
          <w:p>
            <w:pPr>
              <w:spacing w:after="0"/>
              <w:rPr>
                <w:sz w:val="20"/>
                <w:szCs w:val="20"/>
                <w:color w:val="auto"/>
              </w:rPr>
            </w:pPr>
            <w:r>
              <w:rPr>
                <w:rFonts w:ascii="Calibri" w:cs="Calibri" w:eastAsia="Calibri" w:hAnsi="Calibri"/>
                <w:sz w:val="22"/>
                <w:szCs w:val="22"/>
                <w:color w:val="E93BAC"/>
              </w:rPr>
              <w:t>Portolio Quality and Provisions</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27</w:t>
            </w:r>
          </w:p>
        </w:tc>
      </w:tr>
      <w:tr>
        <w:trPr>
          <w:trHeight w:val="700"/>
        </w:trPr>
        <w:tc>
          <w:tcPr>
            <w:tcW w:w="6220" w:type="dxa"/>
            <w:vAlign w:val="bottom"/>
          </w:tcPr>
          <w:p>
            <w:pPr>
              <w:spacing w:after="0"/>
              <w:rPr>
                <w:sz w:val="20"/>
                <w:szCs w:val="20"/>
                <w:color w:val="auto"/>
              </w:rPr>
            </w:pPr>
            <w:r>
              <w:rPr>
                <w:rFonts w:ascii="Calibri" w:cs="Calibri" w:eastAsia="Calibri" w:hAnsi="Calibri"/>
                <w:sz w:val="22"/>
                <w:szCs w:val="22"/>
                <w:color w:val="E93BAC"/>
              </w:rPr>
              <w:t>Other Income</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31</w:t>
            </w:r>
          </w:p>
        </w:tc>
      </w:tr>
      <w:tr>
        <w:trPr>
          <w:trHeight w:val="744"/>
        </w:trPr>
        <w:tc>
          <w:tcPr>
            <w:tcW w:w="6220" w:type="dxa"/>
            <w:vAlign w:val="bottom"/>
          </w:tcPr>
          <w:p>
            <w:pPr>
              <w:spacing w:after="0"/>
              <w:rPr>
                <w:sz w:val="20"/>
                <w:szCs w:val="20"/>
                <w:color w:val="auto"/>
              </w:rPr>
            </w:pPr>
            <w:r>
              <w:rPr>
                <w:rFonts w:ascii="Calibri" w:cs="Calibri" w:eastAsia="Calibri" w:hAnsi="Calibri"/>
                <w:sz w:val="22"/>
                <w:szCs w:val="22"/>
                <w:color w:val="E93BAC"/>
              </w:rPr>
              <w:t>Insurance Underwritng Results</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34</w:t>
            </w:r>
          </w:p>
        </w:tc>
      </w:tr>
      <w:tr>
        <w:trPr>
          <w:trHeight w:val="743"/>
        </w:trPr>
        <w:tc>
          <w:tcPr>
            <w:tcW w:w="6220" w:type="dxa"/>
            <w:vAlign w:val="bottom"/>
          </w:tcPr>
          <w:p>
            <w:pPr>
              <w:spacing w:after="0"/>
              <w:rPr>
                <w:sz w:val="20"/>
                <w:szCs w:val="20"/>
                <w:color w:val="auto"/>
              </w:rPr>
            </w:pPr>
            <w:r>
              <w:rPr>
                <w:rFonts w:ascii="Calibri" w:cs="Calibri" w:eastAsia="Calibri" w:hAnsi="Calibri"/>
                <w:sz w:val="22"/>
                <w:szCs w:val="22"/>
                <w:color w:val="E93BAC"/>
              </w:rPr>
              <w:t>Operatng Expenses</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36</w:t>
            </w:r>
          </w:p>
        </w:tc>
      </w:tr>
      <w:tr>
        <w:trPr>
          <w:trHeight w:val="742"/>
        </w:trPr>
        <w:tc>
          <w:tcPr>
            <w:tcW w:w="6220" w:type="dxa"/>
            <w:vAlign w:val="bottom"/>
          </w:tcPr>
          <w:p>
            <w:pPr>
              <w:spacing w:after="0"/>
              <w:rPr>
                <w:sz w:val="20"/>
                <w:szCs w:val="20"/>
                <w:color w:val="auto"/>
              </w:rPr>
            </w:pPr>
            <w:r>
              <w:rPr>
                <w:rFonts w:ascii="Calibri" w:cs="Calibri" w:eastAsia="Calibri" w:hAnsi="Calibri"/>
                <w:sz w:val="22"/>
                <w:szCs w:val="22"/>
                <w:color w:val="E93BAC"/>
              </w:rPr>
              <w:t>Operatng Efciency</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38</w:t>
            </w:r>
          </w:p>
        </w:tc>
      </w:tr>
      <w:tr>
        <w:trPr>
          <w:trHeight w:val="754"/>
        </w:trPr>
        <w:tc>
          <w:tcPr>
            <w:tcW w:w="6220" w:type="dxa"/>
            <w:vAlign w:val="bottom"/>
          </w:tcPr>
          <w:p>
            <w:pPr>
              <w:spacing w:after="0"/>
              <w:rPr>
                <w:sz w:val="20"/>
                <w:szCs w:val="20"/>
                <w:color w:val="auto"/>
              </w:rPr>
            </w:pPr>
            <w:r>
              <w:rPr>
                <w:rFonts w:ascii="Calibri" w:cs="Calibri" w:eastAsia="Calibri" w:hAnsi="Calibri"/>
                <w:sz w:val="22"/>
                <w:szCs w:val="22"/>
                <w:color w:val="E93BAC"/>
              </w:rPr>
              <w:t>Regulatory Capital</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39</w:t>
            </w:r>
          </w:p>
        </w:tc>
      </w:tr>
      <w:tr>
        <w:trPr>
          <w:trHeight w:val="743"/>
        </w:trPr>
        <w:tc>
          <w:tcPr>
            <w:tcW w:w="6220" w:type="dxa"/>
            <w:vAlign w:val="bottom"/>
          </w:tcPr>
          <w:p>
            <w:pPr>
              <w:spacing w:after="0"/>
              <w:rPr>
                <w:sz w:val="20"/>
                <w:szCs w:val="20"/>
                <w:color w:val="auto"/>
              </w:rPr>
            </w:pPr>
            <w:r>
              <w:rPr>
                <w:rFonts w:ascii="Calibri" w:cs="Calibri" w:eastAsia="Calibri" w:hAnsi="Calibri"/>
                <w:sz w:val="22"/>
                <w:szCs w:val="22"/>
                <w:color w:val="E93BAC"/>
              </w:rPr>
              <w:t>Economic Outlook</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41</w:t>
            </w:r>
          </w:p>
        </w:tc>
      </w:tr>
      <w:tr>
        <w:trPr>
          <w:trHeight w:val="756"/>
        </w:trPr>
        <w:tc>
          <w:tcPr>
            <w:tcW w:w="6220" w:type="dxa"/>
            <w:vAlign w:val="bottom"/>
          </w:tcPr>
          <w:p>
            <w:pPr>
              <w:spacing w:after="0"/>
              <w:rPr>
                <w:sz w:val="20"/>
                <w:szCs w:val="20"/>
                <w:color w:val="auto"/>
              </w:rPr>
            </w:pPr>
            <w:r>
              <w:rPr>
                <w:rFonts w:ascii="Calibri" w:cs="Calibri" w:eastAsia="Calibri" w:hAnsi="Calibri"/>
                <w:sz w:val="22"/>
                <w:szCs w:val="22"/>
                <w:color w:val="E93BAC"/>
              </w:rPr>
              <w:t>Appendix</w:t>
            </w:r>
          </w:p>
        </w:tc>
        <w:tc>
          <w:tcPr>
            <w:tcW w:w="3320" w:type="dxa"/>
            <w:vAlign w:val="bottom"/>
          </w:tcPr>
          <w:p>
            <w:pPr>
              <w:jc w:val="right"/>
              <w:spacing w:after="0"/>
              <w:rPr>
                <w:sz w:val="20"/>
                <w:szCs w:val="20"/>
                <w:color w:val="auto"/>
              </w:rPr>
            </w:pPr>
            <w:r>
              <w:rPr>
                <w:rFonts w:ascii="Calibri" w:cs="Calibri" w:eastAsia="Calibri" w:hAnsi="Calibri"/>
                <w:sz w:val="22"/>
                <w:szCs w:val="22"/>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327025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360" w:space="340"/>
            <w:col w:w="9540"/>
          </w:cols>
          <w:pgMar w:left="320" w:top="307" w:right="339" w:bottom="1440" w:gutter="0" w:footer="0" w:header="0"/>
          <w:type w:val="continuous"/>
        </w:sectPr>
      </w:pPr>
    </w:p>
    <w:bookmarkStart w:id="4" w:name="page5"/>
    <w:bookmarkEnd w:id="4"/>
    <w:p>
      <w:pPr>
        <w:ind w:left="2700"/>
        <w:spacing w:after="0"/>
        <w:tabs>
          <w:tab w:leader="none" w:pos="296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2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2009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Credicorp Ltd. Reports Financial and Operatng Results for 3Q24</w:t>
      </w:r>
    </w:p>
    <w:p>
      <w:pPr>
        <w:spacing w:after="0" w:line="167" w:lineRule="exact"/>
        <w:rPr>
          <w:sz w:val="20"/>
          <w:szCs w:val="20"/>
          <w:color w:val="auto"/>
        </w:rPr>
      </w:pPr>
    </w:p>
    <w:p>
      <w:pPr>
        <w:jc w:val="center"/>
        <w:spacing w:after="0" w:line="246" w:lineRule="auto"/>
        <w:rPr>
          <w:sz w:val="20"/>
          <w:szCs w:val="20"/>
          <w:color w:val="auto"/>
        </w:rPr>
      </w:pPr>
      <w:r>
        <w:rPr>
          <w:rFonts w:ascii="Calibri" w:cs="Calibri" w:eastAsia="Calibri" w:hAnsi="Calibri"/>
          <w:sz w:val="16"/>
          <w:szCs w:val="16"/>
          <w:i w:val="1"/>
          <w:iCs w:val="1"/>
          <w:color w:val="auto"/>
        </w:rPr>
        <w:t>Record 3Q24 net income of S/1,524 million, supported by a strengthened margin, improved CoR, diversifed non-interest revenue streams and cost control. Maintain 2024 ROE guidance of ~17%.</w:t>
      </w:r>
    </w:p>
    <w:p>
      <w:pPr>
        <w:spacing w:after="0" w:line="151" w:lineRule="exact"/>
        <w:rPr>
          <w:sz w:val="20"/>
          <w:szCs w:val="20"/>
          <w:color w:val="auto"/>
        </w:rPr>
      </w:pPr>
    </w:p>
    <w:p>
      <w:pPr>
        <w:jc w:val="center"/>
        <w:spacing w:after="0"/>
        <w:rPr>
          <w:sz w:val="20"/>
          <w:szCs w:val="20"/>
          <w:color w:val="auto"/>
        </w:rPr>
      </w:pPr>
      <w:r>
        <w:rPr>
          <w:rFonts w:ascii="Calibri" w:cs="Calibri" w:eastAsia="Calibri" w:hAnsi="Calibri"/>
          <w:sz w:val="16"/>
          <w:szCs w:val="16"/>
          <w:i w:val="1"/>
          <w:iCs w:val="1"/>
          <w:color w:val="auto"/>
        </w:rPr>
        <w:t>Resilient NIM at 6.4% refects our low-cost funding advantage, atributable to our comprehensive value propositon, and a disciplined interest rate management strategy.</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6"/>
          <w:szCs w:val="16"/>
          <w:i w:val="1"/>
          <w:iCs w:val="1"/>
          <w:color w:val="auto"/>
        </w:rPr>
        <w:t>Yape reached +13 million monthly actve users, on track to meet goal of 16.5 million by 2026.</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Lima, Peru – November 7, 2024 – Credicorp Ltd. (“Credicorp” or “the Company”) (NYSE: BAP | BVL: BAP), </w:t>
      </w:r>
      <w:r>
        <w:rPr>
          <w:rFonts w:ascii="Calibri" w:cs="Calibri" w:eastAsia="Calibri" w:hAnsi="Calibri"/>
          <w:sz w:val="18"/>
          <w:szCs w:val="18"/>
          <w:color w:val="auto"/>
        </w:rPr>
        <w:t>the leading fnancial services holding company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Peru with a presence in Chile, Colombia, Bolivia, and Panama today reported its unaudited results for the quarter ended September 30, 2024. Financial results are expressed in Soles and are presented in accordance with IFRS.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3Q24 OPERATING AND FINANCIAL HIGHLIGHTS</w:t>
      </w:r>
    </w:p>
    <w:p>
      <w:pPr>
        <w:spacing w:after="0" w:line="204" w:lineRule="exact"/>
        <w:rPr>
          <w:sz w:val="20"/>
          <w:szCs w:val="20"/>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Net Income </w:t>
      </w:r>
      <w:r>
        <w:rPr>
          <w:rFonts w:ascii="Calibri" w:cs="Calibri" w:eastAsia="Calibri" w:hAnsi="Calibri"/>
          <w:sz w:val="18"/>
          <w:szCs w:val="18"/>
          <w:color w:val="auto"/>
        </w:rPr>
        <w:t>atributed to Credicorp increased 13.8% QoQ and 21.3% YoY to a record high S/1,523.8 million in 3Q24, with ROE at 18.5%, up from 16.2%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3Q23.</w:t>
      </w:r>
    </w:p>
    <w:p>
      <w:pPr>
        <w:spacing w:after="0" w:line="204"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Total Loans</w:t>
      </w:r>
      <w:r>
        <w:rPr>
          <w:rFonts w:ascii="Calibri" w:cs="Calibri" w:eastAsia="Calibri" w:hAnsi="Calibri"/>
          <w:sz w:val="18"/>
          <w:szCs w:val="18"/>
          <w:color w:val="auto"/>
        </w:rPr>
        <w:t>, measured in average daily balances (ADB) declined 1.2%, both QoQ and YoY. The sequental contracton refects higher amortzatons of long-term Corporate Banking loans, more stringent originaton at Mibanco, and higher loan amortzaton of Retail Banking loans at BCP.</w:t>
      </w:r>
    </w:p>
    <w:p>
      <w:pPr>
        <w:spacing w:after="0" w:line="204"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Total Deposits </w:t>
      </w:r>
      <w:r>
        <w:rPr>
          <w:rFonts w:ascii="Calibri" w:cs="Calibri" w:eastAsia="Calibri" w:hAnsi="Calibri"/>
          <w:sz w:val="18"/>
          <w:szCs w:val="18"/>
          <w:color w:val="auto"/>
        </w:rPr>
        <w:t>increased 1.6% QoQ and 4.0% YoY, mainly driven by sustained expansion in Low-Cost Deposits, in a context of higher fnancial system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liquidity boosted by pension fund withdrawals. Low-cost deposits accounted for 69.7% of total deposits.</w:t>
      </w:r>
    </w:p>
    <w:p>
      <w:pPr>
        <w:spacing w:after="0" w:line="204"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NPL Rato </w:t>
      </w:r>
      <w:r>
        <w:rPr>
          <w:rFonts w:ascii="Calibri" w:cs="Calibri" w:eastAsia="Calibri" w:hAnsi="Calibri"/>
          <w:sz w:val="18"/>
          <w:szCs w:val="18"/>
          <w:color w:val="auto"/>
        </w:rPr>
        <w:t>decreased 12 bps QoQ to 5.9%, fueled by improvements in risk management processes at BCP and Mibanco, together with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implementaton of debt relief facilites in June and July at Mibanco.</w:t>
      </w:r>
    </w:p>
    <w:p>
      <w:pPr>
        <w:spacing w:after="0" w:line="204"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Provisions </w:t>
      </w:r>
      <w:r>
        <w:rPr>
          <w:rFonts w:ascii="Calibri" w:cs="Calibri" w:eastAsia="Calibri" w:hAnsi="Calibri"/>
          <w:sz w:val="18"/>
          <w:szCs w:val="18"/>
          <w:color w:val="auto"/>
        </w:rPr>
        <w:t>declined 20.6% QoQ, refectng improved customers’ payment performance together with risk management measures at Retail Banking at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BCP and Mibanco. CoR closed at 2.4%, down 64 bps QoQ and 15 bps YoY.</w:t>
      </w:r>
    </w:p>
    <w:p>
      <w:pPr>
        <w:spacing w:after="0" w:line="204"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Core Income </w:t>
      </w:r>
      <w:r>
        <w:rPr>
          <w:rFonts w:ascii="Calibri" w:cs="Calibri" w:eastAsia="Calibri" w:hAnsi="Calibri"/>
          <w:sz w:val="18"/>
          <w:szCs w:val="18"/>
          <w:color w:val="auto"/>
        </w:rPr>
        <w:t>was up 0.8% QoQ (+3.7% excluding BCP Bolivia impacted by regulatory changes in foreign transfers) and 9.8% YoY, mainly driven by lower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cost of funding and increased Fee Income from credit cards, debit cards and Yape transactons.</w:t>
      </w:r>
    </w:p>
    <w:p>
      <w:pPr>
        <w:spacing w:after="0" w:line="204" w:lineRule="exact"/>
        <w:rPr>
          <w:rFonts w:ascii="Calibri" w:cs="Calibri" w:eastAsia="Calibri" w:hAnsi="Calibri"/>
          <w:sz w:val="18"/>
          <w:szCs w:val="18"/>
          <w:color w:val="auto"/>
        </w:rPr>
      </w:pPr>
    </w:p>
    <w:p>
      <w:pPr>
        <w:ind w:left="340" w:hanging="332"/>
        <w:spacing w:after="0"/>
        <w:tabs>
          <w:tab w:leader="none" w:pos="340" w:val="left"/>
        </w:tabs>
        <w:numPr>
          <w:ilvl w:val="0"/>
          <w:numId w:val="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Insurance Underwritng Results </w:t>
      </w:r>
      <w:r>
        <w:rPr>
          <w:rFonts w:ascii="Calibri" w:cs="Calibri" w:eastAsia="Calibri" w:hAnsi="Calibri"/>
          <w:sz w:val="17"/>
          <w:szCs w:val="17"/>
          <w:color w:val="auto"/>
        </w:rPr>
        <w:t>decreased 7.5% QoQ and 11.8% YoY. QoQ performance refects less favorable Reinsurance Results in the P&amp;C business.</w:t>
      </w:r>
    </w:p>
    <w:p>
      <w:pPr>
        <w:spacing w:after="0" w:line="210" w:lineRule="exact"/>
        <w:rPr>
          <w:rFonts w:ascii="Calibri" w:cs="Calibri" w:eastAsia="Calibri" w:hAnsi="Calibri"/>
          <w:sz w:val="17"/>
          <w:szCs w:val="17"/>
          <w:color w:val="auto"/>
        </w:rPr>
      </w:pPr>
    </w:p>
    <w:p>
      <w:pPr>
        <w:jc w:val="both"/>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Yape’s Monthly Actve Users (MAU) </w:t>
      </w:r>
      <w:r>
        <w:rPr>
          <w:rFonts w:ascii="Calibri" w:cs="Calibri" w:eastAsia="Calibri" w:hAnsi="Calibri"/>
          <w:sz w:val="18"/>
          <w:szCs w:val="18"/>
          <w:color w:val="auto"/>
        </w:rPr>
        <w:t>increased to 13 million in 3Q24, generatng an average of 44 transactons per month. Afer reaching break-even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May 2024, the super app contnues its growth trend in its three business lines: payments, fnancial and marketplace, with monthly revenues and costs per actve user reaching S/4.9 and S/4.3, respectvely.</w:t>
      </w:r>
    </w:p>
    <w:p>
      <w:pPr>
        <w:spacing w:after="0" w:line="205"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Efciency Rato </w:t>
      </w:r>
      <w:r>
        <w:rPr>
          <w:rFonts w:ascii="Calibri" w:cs="Calibri" w:eastAsia="Calibri" w:hAnsi="Calibri"/>
          <w:sz w:val="18"/>
          <w:szCs w:val="18"/>
          <w:color w:val="auto"/>
        </w:rPr>
        <w:t>improved 50 bps YoY to 44.6% in 9M24. Operatng expenses increased 8.8% YTD, with disruptve initatves expenses at Credicorp</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accountng for 12.0% of the total and up 28.1% YoY.</w:t>
      </w:r>
    </w:p>
    <w:p>
      <w:pPr>
        <w:spacing w:after="0" w:line="204"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
        </w:numPr>
        <w:rPr>
          <w:rFonts w:ascii="Calibri" w:cs="Calibri" w:eastAsia="Calibri" w:hAnsi="Calibri"/>
          <w:sz w:val="18"/>
          <w:szCs w:val="18"/>
          <w:color w:val="auto"/>
        </w:rPr>
      </w:pPr>
      <w:r>
        <w:rPr>
          <w:rFonts w:ascii="Calibri" w:cs="Calibri" w:eastAsia="Calibri" w:hAnsi="Calibri"/>
          <w:sz w:val="18"/>
          <w:szCs w:val="18"/>
          <w:b w:val="1"/>
          <w:bCs w:val="1"/>
          <w:color w:val="auto"/>
        </w:rPr>
        <w:t>Strong capital base</w:t>
      </w:r>
      <w:r>
        <w:rPr>
          <w:rFonts w:ascii="Calibri" w:cs="Calibri" w:eastAsia="Calibri" w:hAnsi="Calibri"/>
          <w:sz w:val="18"/>
          <w:szCs w:val="18"/>
          <w:color w:val="auto"/>
        </w:rPr>
        <w:t>, with IFRS CET1 Rato at BCP increased to 13.4% at quarter-end, up 137 bps QoQ, while Mibanco’s IFRS CET1 Rato increased 121 bps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QoQ to 17.9% for the same period. It is worth mentoning that both BCP and Mibanco have not declare special dividends yet.</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SUBSEQUENT EVENTS</w:t>
      </w:r>
    </w:p>
    <w:p>
      <w:pPr>
        <w:spacing w:after="0" w:line="199" w:lineRule="exact"/>
        <w:rPr>
          <w:sz w:val="20"/>
          <w:szCs w:val="20"/>
          <w:color w:val="auto"/>
        </w:rPr>
      </w:pPr>
    </w:p>
    <w:p>
      <w:pPr>
        <w:ind w:left="340" w:hanging="332"/>
        <w:spacing w:after="0"/>
        <w:tabs>
          <w:tab w:leader="none" w:pos="3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On Oct 18, 2024, Credicorp paid a special dividend of S/11 per share which took the dividend payout rato to 75.3% for the year.</w:t>
      </w:r>
    </w:p>
    <w:p>
      <w:pPr>
        <w:spacing w:after="0" w:line="203"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On Oct 25, 2024, Tenpo Bank Chile received the provisional authorizaton certfcate from the Chilean Financial Market Commission for its subsequent incorporaton as a banking entty.</w:t>
      </w:r>
    </w:p>
    <w:p>
      <w:pPr>
        <w:spacing w:after="0" w:line="204" w:lineRule="exact"/>
        <w:rPr>
          <w:rFonts w:ascii="Calibri" w:cs="Calibri" w:eastAsia="Calibri" w:hAnsi="Calibri"/>
          <w:sz w:val="18"/>
          <w:szCs w:val="18"/>
          <w:color w:val="auto"/>
        </w:rPr>
      </w:pPr>
    </w:p>
    <w:p>
      <w:pPr>
        <w:jc w:val="both"/>
        <w:ind w:left="340" w:hanging="332"/>
        <w:spacing w:after="0" w:line="229" w:lineRule="auto"/>
        <w:tabs>
          <w:tab w:leader="none" w:pos="340" w:val="left"/>
        </w:tabs>
        <w:numPr>
          <w:ilvl w:val="0"/>
          <w:numId w:val="2"/>
        </w:numPr>
        <w:rPr>
          <w:rFonts w:ascii="Calibri" w:cs="Calibri" w:eastAsia="Calibri" w:hAnsi="Calibri"/>
          <w:sz w:val="20"/>
          <w:szCs w:val="20"/>
          <w:color w:val="auto"/>
        </w:rPr>
      </w:pPr>
      <w:r>
        <w:rPr>
          <w:rFonts w:ascii="Calibri" w:cs="Calibri" w:eastAsia="Calibri" w:hAnsi="Calibri"/>
          <w:sz w:val="18"/>
          <w:szCs w:val="18"/>
          <w:color w:val="auto"/>
        </w:rPr>
        <w:t>On Nov 1, 2024, Credicorp entered into an agreement to acquire Empresas Banmedica’s 50% ownership stake in the joint venture established in 2014 between Pacífco Compañía de Seguros y Reaseguros S.A. and Empresas Banmedica. This included equal partcipaton in three businesses: private medical insurance, corporate health insurance for employees, and medical services. The acquisiton will be accretve for Credicorp from closing and is subject to regulatory approvals and other standard conditons.</w:t>
      </w:r>
    </w:p>
    <w:p>
      <w:pPr>
        <w:spacing w:after="0" w:line="38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 w:name="page6"/>
    <w:bookmarkEnd w:id="5"/>
    <w:p>
      <w:pPr>
        <w:ind w:left="2700"/>
        <w:spacing w:after="0"/>
        <w:tabs>
          <w:tab w:leader="none" w:pos="296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2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72009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149225</wp:posOffset>
            </wp:positionV>
            <wp:extent cx="6129655" cy="2777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96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 w:name="page7"/>
    <w:bookmarkEnd w:id="6"/>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20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350"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FFFFFF"/>
        </w:rPr>
        <w:t>Third Quarter 2024 Earnings Conference Call</w:t>
      </w:r>
    </w:p>
    <w:p>
      <w:pPr>
        <w:spacing w:after="0" w:line="26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THIRD QUARTER 2024 EARNINGS CONFERENCE CALL</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21212"/>
        </w:rPr>
        <w:t xml:space="preserve">Date: </w:t>
      </w:r>
      <w:r>
        <w:rPr>
          <w:rFonts w:ascii="Calibri" w:cs="Calibri" w:eastAsia="Calibri" w:hAnsi="Calibri"/>
          <w:sz w:val="20"/>
          <w:szCs w:val="20"/>
          <w:color w:val="121212"/>
        </w:rPr>
        <w:t>Friday, November 8</w:t>
      </w:r>
      <w:r>
        <w:rPr>
          <w:rFonts w:ascii="Calibri" w:cs="Calibri" w:eastAsia="Calibri" w:hAnsi="Calibri"/>
          <w:sz w:val="32"/>
          <w:szCs w:val="32"/>
          <w:color w:val="121212"/>
          <w:vertAlign w:val="superscript"/>
        </w:rPr>
        <w:t>th</w:t>
      </w:r>
      <w:r>
        <w:rPr>
          <w:rFonts w:ascii="Calibri" w:cs="Calibri" w:eastAsia="Calibri" w:hAnsi="Calibri"/>
          <w:sz w:val="20"/>
          <w:szCs w:val="20"/>
          <w:color w:val="121212"/>
        </w:rPr>
        <w:t>, 2024</w:t>
      </w:r>
    </w:p>
    <w:p>
      <w:pPr>
        <w:spacing w:after="0" w:line="5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21212"/>
        </w:rPr>
        <w:t xml:space="preserve">Time: </w:t>
      </w:r>
      <w:r>
        <w:rPr>
          <w:rFonts w:ascii="Calibri" w:cs="Calibri" w:eastAsia="Calibri" w:hAnsi="Calibri"/>
          <w:sz w:val="20"/>
          <w:szCs w:val="20"/>
          <w:color w:val="121212"/>
        </w:rPr>
        <w:t>9:30 am E.T. (9:30 am Lima, Perú)</w:t>
      </w:r>
    </w:p>
    <w:p>
      <w:pPr>
        <w:spacing w:after="0" w:line="252" w:lineRule="exact"/>
        <w:rPr>
          <w:sz w:val="20"/>
          <w:szCs w:val="20"/>
          <w:color w:val="auto"/>
        </w:rPr>
      </w:pPr>
    </w:p>
    <w:p>
      <w:pPr>
        <w:ind w:right="480"/>
        <w:spacing w:after="0" w:line="234" w:lineRule="auto"/>
        <w:rPr>
          <w:sz w:val="20"/>
          <w:szCs w:val="20"/>
          <w:color w:val="auto"/>
        </w:rPr>
      </w:pPr>
      <w:r>
        <w:rPr>
          <w:rFonts w:ascii="Calibri" w:cs="Calibri" w:eastAsia="Calibri" w:hAnsi="Calibri"/>
          <w:sz w:val="20"/>
          <w:szCs w:val="20"/>
          <w:b w:val="1"/>
          <w:bCs w:val="1"/>
          <w:color w:val="121212"/>
        </w:rPr>
        <w:t xml:space="preserve">Hosts: </w:t>
      </w:r>
      <w:r>
        <w:rPr>
          <w:rFonts w:ascii="Calibri" w:cs="Calibri" w:eastAsia="Calibri" w:hAnsi="Calibri"/>
          <w:sz w:val="20"/>
          <w:szCs w:val="20"/>
          <w:color w:val="121212"/>
        </w:rPr>
        <w:t>Gianfranco Ferrari - Chief Executve Ofcer, Alejandro Perez Reyes - Chief Financial Ofcer, Francesca Rafo - Chief Innovaton</w:t>
      </w:r>
      <w:r>
        <w:rPr>
          <w:rFonts w:ascii="Calibri" w:cs="Calibri" w:eastAsia="Calibri" w:hAnsi="Calibri"/>
          <w:sz w:val="20"/>
          <w:szCs w:val="20"/>
          <w:b w:val="1"/>
          <w:bCs w:val="1"/>
          <w:color w:val="121212"/>
        </w:rPr>
        <w:t xml:space="preserve"> </w:t>
      </w:r>
      <w:r>
        <w:rPr>
          <w:rFonts w:ascii="Calibri" w:cs="Calibri" w:eastAsia="Calibri" w:hAnsi="Calibri"/>
          <w:sz w:val="20"/>
          <w:szCs w:val="20"/>
          <w:color w:val="121212"/>
        </w:rPr>
        <w:t>Of</w:t>
      </w:r>
      <w:r>
        <w:rPr>
          <w:rFonts w:ascii="Calibri" w:cs="Calibri" w:eastAsia="Calibri" w:hAnsi="Calibri"/>
          <w:sz w:val="20"/>
          <w:szCs w:val="20"/>
          <w:color w:val="000000"/>
        </w:rPr>
        <w:t>fcer, Cesar Rios - Chief Risk Ofcer, Carlos Sotelo - Mibanco CFO and Investor Relatons Team.</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To pre-register for the listen-only webcast presentaton use the following link:</w:t>
      </w:r>
    </w:p>
    <w:p>
      <w:pPr>
        <w:spacing w:after="0" w:line="238" w:lineRule="auto"/>
        <w:rPr>
          <w:sz w:val="20"/>
          <w:szCs w:val="20"/>
          <w:color w:val="auto"/>
        </w:rPr>
      </w:pPr>
      <w:r>
        <w:rPr>
          <w:rFonts w:ascii="Calibri" w:cs="Calibri" w:eastAsia="Calibri" w:hAnsi="Calibri"/>
          <w:sz w:val="20"/>
          <w:szCs w:val="20"/>
          <w:u w:val="single" w:color="auto"/>
          <w:color w:val="auto"/>
        </w:rPr>
        <w:t>htps://dpregister.com/DiamondPassRegistraton/register?confrmatonNumber=10193845&amp;linkSecurityString=fdcb54 848f</w:t>
      </w:r>
    </w:p>
    <w:p>
      <w:pPr>
        <w:spacing w:after="0" w:line="158" w:lineRule="exact"/>
        <w:rPr>
          <w:sz w:val="20"/>
          <w:szCs w:val="20"/>
          <w:color w:val="auto"/>
        </w:rPr>
      </w:pPr>
    </w:p>
    <w:p>
      <w:pPr>
        <w:ind w:right="420"/>
        <w:spacing w:after="0" w:line="234" w:lineRule="auto"/>
        <w:rPr>
          <w:sz w:val="20"/>
          <w:szCs w:val="20"/>
          <w:color w:val="auto"/>
        </w:rPr>
      </w:pPr>
      <w:r>
        <w:rPr>
          <w:rFonts w:ascii="Calibri" w:cs="Calibri" w:eastAsia="Calibri" w:hAnsi="Calibri"/>
          <w:sz w:val="20"/>
          <w:szCs w:val="20"/>
          <w:color w:val="auto"/>
        </w:rPr>
        <w:t>Callers who pre-register will be given a conference passcode and unique PIN to gain immediate access to the call and bypass the live operator. Partcipants may pre-register at any tme, including up to and afer the call start tme.</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Those unable to pre-register may dial in by calling:</w:t>
      </w:r>
    </w:p>
    <w:p>
      <w:pPr>
        <w:spacing w:after="0" w:line="238" w:lineRule="auto"/>
        <w:rPr>
          <w:sz w:val="20"/>
          <w:szCs w:val="20"/>
          <w:color w:val="auto"/>
        </w:rPr>
      </w:pPr>
      <w:r>
        <w:rPr>
          <w:rFonts w:ascii="Calibri" w:cs="Calibri" w:eastAsia="Calibri" w:hAnsi="Calibri"/>
          <w:sz w:val="20"/>
          <w:szCs w:val="20"/>
          <w:b w:val="1"/>
          <w:bCs w:val="1"/>
          <w:color w:val="auto"/>
        </w:rPr>
        <w:t xml:space="preserve">1 844 435 0321 </w:t>
      </w:r>
      <w:r>
        <w:rPr>
          <w:rFonts w:ascii="Calibri" w:cs="Calibri" w:eastAsia="Calibri" w:hAnsi="Calibri"/>
          <w:sz w:val="20"/>
          <w:szCs w:val="20"/>
          <w:color w:val="auto"/>
        </w:rPr>
        <w:t>(U.S. toll free)</w:t>
      </w:r>
    </w:p>
    <w:p>
      <w:pPr>
        <w:spacing w:after="0"/>
        <w:rPr>
          <w:sz w:val="20"/>
          <w:szCs w:val="20"/>
          <w:color w:val="auto"/>
        </w:rPr>
      </w:pPr>
      <w:r>
        <w:rPr>
          <w:rFonts w:ascii="Calibri" w:cs="Calibri" w:eastAsia="Calibri" w:hAnsi="Calibri"/>
          <w:sz w:val="20"/>
          <w:szCs w:val="20"/>
          <w:b w:val="1"/>
          <w:bCs w:val="1"/>
          <w:color w:val="auto"/>
        </w:rPr>
        <w:t xml:space="preserve">1 412 317 5615 </w:t>
      </w:r>
      <w:r>
        <w:rPr>
          <w:rFonts w:ascii="Calibri" w:cs="Calibri" w:eastAsia="Calibri" w:hAnsi="Calibri"/>
          <w:sz w:val="20"/>
          <w:szCs w:val="20"/>
          <w:color w:val="auto"/>
        </w:rPr>
        <w:t>(Internatonal)</w:t>
      </w:r>
    </w:p>
    <w:p>
      <w:pPr>
        <w:spacing w:after="0" w:line="238" w:lineRule="auto"/>
        <w:rPr>
          <w:sz w:val="20"/>
          <w:szCs w:val="20"/>
          <w:color w:val="auto"/>
        </w:rPr>
      </w:pPr>
      <w:r>
        <w:rPr>
          <w:rFonts w:ascii="Calibri" w:cs="Calibri" w:eastAsia="Calibri" w:hAnsi="Calibri"/>
          <w:sz w:val="20"/>
          <w:szCs w:val="20"/>
          <w:b w:val="1"/>
          <w:bCs w:val="1"/>
          <w:color w:val="auto"/>
        </w:rPr>
        <w:t xml:space="preserve">Partcipant Web Phone: </w:t>
      </w:r>
      <w:r>
        <w:rPr>
          <w:rFonts w:ascii="Calibri" w:cs="Calibri" w:eastAsia="Calibri" w:hAnsi="Calibri"/>
          <w:sz w:val="20"/>
          <w:szCs w:val="20"/>
          <w:u w:val="single" w:color="auto"/>
          <w:color w:val="auto"/>
        </w:rPr>
        <w:t>Click Here</w:t>
      </w:r>
    </w:p>
    <w:p>
      <w:pPr>
        <w:spacing w:after="0"/>
        <w:rPr>
          <w:sz w:val="20"/>
          <w:szCs w:val="20"/>
          <w:color w:val="auto"/>
        </w:rPr>
      </w:pPr>
      <w:r>
        <w:rPr>
          <w:rFonts w:ascii="Calibri" w:cs="Calibri" w:eastAsia="Calibri" w:hAnsi="Calibri"/>
          <w:sz w:val="20"/>
          <w:szCs w:val="20"/>
          <w:b w:val="1"/>
          <w:bCs w:val="1"/>
          <w:color w:val="auto"/>
        </w:rPr>
        <w:t>Conference ID: Credicorp Conference Call</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The webcast will be archived for one year on our investor relatons website at:</w:t>
      </w:r>
    </w:p>
    <w:p>
      <w:pPr>
        <w:spacing w:after="0" w:line="238" w:lineRule="auto"/>
        <w:rPr>
          <w:sz w:val="20"/>
          <w:szCs w:val="20"/>
          <w:color w:val="auto"/>
        </w:rPr>
      </w:pPr>
      <w:r>
        <w:rPr>
          <w:rFonts w:ascii="Calibri" w:cs="Calibri" w:eastAsia="Calibri" w:hAnsi="Calibri"/>
          <w:sz w:val="20"/>
          <w:szCs w:val="20"/>
          <w:u w:val="single" w:color="auto"/>
          <w:color w:val="auto"/>
        </w:rPr>
        <w:t>htps://credicorp.gcs-web.com/events-and-presentatons/upcoming-events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For a full version of Credicorp´s Second Quarter 2024 Earnings Release, please visit:</w:t>
      </w:r>
    </w:p>
    <w:p>
      <w:pPr>
        <w:spacing w:after="0" w:line="238" w:lineRule="auto"/>
        <w:rPr>
          <w:sz w:val="20"/>
          <w:szCs w:val="20"/>
          <w:color w:val="auto"/>
        </w:rPr>
      </w:pPr>
      <w:r>
        <w:rPr>
          <w:rFonts w:ascii="Calibri" w:cs="Calibri" w:eastAsia="Calibri" w:hAnsi="Calibri"/>
          <w:sz w:val="20"/>
          <w:szCs w:val="20"/>
          <w:u w:val="single" w:color="auto"/>
          <w:color w:val="auto"/>
        </w:rPr>
        <w:t>htps://credicorp.gcs-web.com/fnancial-informaton/quarterly-results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ind w:left="2700"/>
        <w:spacing w:after="0"/>
        <w:tabs>
          <w:tab w:leader="none" w:pos="29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Loans in Average Daily Balances (ADB)</w:t>
      </w:r>
    </w:p>
    <w:p>
      <w:pPr>
        <w:spacing w:after="0" w:line="159"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Total loans, measured in ADB, dropped 1.2% QoQ to stand at S/140,574 million. This evoluton was primarily atributable to: (i) Corporate Banking at BCP, which registered an uptck in amortzatons of long-term loans, (ii) Mibanco, due to stricter lending guidelines and (iii) Consumer and Credit cards, which reported growth in amortzatons. This decline was partally ofset by growth in loans through SME-Business and Mortgage.</w:t>
      </w:r>
    </w:p>
    <w:p>
      <w:pPr>
        <w:spacing w:after="0" w:line="154"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YoY, total loans fell 1.2%, driven mainly by: (i) Mibanco, which implemented stricter credit guidelines, (ii) Middle Market Banking, which reported an uptck in amortzatons of long-term loans, (iii) SME- Pyme, which registered amortzatons of Government Program loans and (iv) Consumer, where the decline was driven by the same factors seen QoQ. YTD, the drop in total loans was ofset by growth in Mortgage and BCP Bolivia.</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color w:val="auto"/>
        </w:rPr>
        <w:t>YTD, loans in ADB dropped 1.4%, driven mainly by Mibanco and Corporate Banking.</w:t>
      </w:r>
    </w:p>
    <w:p>
      <w:pPr>
        <w:spacing w:after="0" w:line="13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Deposits</w:t>
      </w:r>
    </w:p>
    <w:p>
      <w:pPr>
        <w:spacing w:after="0" w:line="199"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Our deposit base, measured in quarter-end balances, expanded 1.6% QoQ. This evoluton was fueled by an increase in Demand and Savings balances (low-cost deposits), in a context of excess liquidity from pension fund withdrawals, and partally ofset by a decrease in the Time Deposit balance.</w:t>
      </w:r>
    </w:p>
    <w:p>
      <w:pPr>
        <w:spacing w:after="0" w:line="152"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YoY, the deposit base increased 4.0%. This growth was spurred mainly by an uptck in Low-cost deposits, which increased 13.9% and represented 69.7% of our total deposit base at quarter-end.</w:t>
      </w:r>
    </w:p>
    <w:p>
      <w:pPr>
        <w:spacing w:after="0" w:line="219"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At BCP, the Liquidity Coverage Rato (LCR) in PEN at 30 days currency stood at 167.6% under regulatory standards and 139.9% based on more stringent internal standards. On its part, the USD 30-day LCR stood at 187.1% and 141.1% under regulatory and more stringent internal standards, respectvely.</w:t>
      </w:r>
    </w:p>
    <w:p>
      <w:pPr>
        <w:spacing w:after="0" w:line="13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Net Interest Income (NII) and Margin (NIM)</w:t>
      </w:r>
    </w:p>
    <w:p>
      <w:pPr>
        <w:spacing w:after="0" w:line="186"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NII rose 3.5% QoQ, driven primarily by a decrease in Interest and Similar Expenses, as low-cost deposits contnue to gain terrain in the funding mix. In this context, NIM stood at 6.43% at quarter-end, compared to 6.33% in 2Q24.</w:t>
      </w:r>
    </w:p>
    <w:p>
      <w:pPr>
        <w:spacing w:after="0" w:line="111" w:lineRule="exact"/>
        <w:rPr>
          <w:sz w:val="20"/>
          <w:szCs w:val="20"/>
          <w:color w:val="auto"/>
        </w:rPr>
      </w:pPr>
    </w:p>
    <w:p>
      <w:pPr>
        <w:jc w:val="both"/>
        <w:ind w:right="740"/>
        <w:spacing w:after="0" w:line="252" w:lineRule="auto"/>
        <w:rPr>
          <w:sz w:val="20"/>
          <w:szCs w:val="20"/>
          <w:color w:val="auto"/>
        </w:rPr>
      </w:pPr>
      <w:r>
        <w:rPr>
          <w:rFonts w:ascii="Calibri" w:cs="Calibri" w:eastAsia="Calibri" w:hAnsi="Calibri"/>
          <w:sz w:val="17"/>
          <w:szCs w:val="17"/>
          <w:color w:val="auto"/>
        </w:rPr>
        <w:t>YoY, NII rose 10.3%, driven primarily by Interest and Similar Income, which in turn was fueled by a higher balance of Available Funds and a greater share of retail loans in BCP’s loan mix. Interest and Similar Expenses dropped 10.2% on the back of growth in low-cost deposits’ share of total funding. In this context, NIM rose 32 bps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875030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360045</wp:posOffset>
            </wp:positionV>
            <wp:extent cx="2665730" cy="6069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5730" cy="606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6920" w:space="720"/>
            <w:col w:w="3600"/>
          </w:cols>
          <w:pgMar w:left="320" w:top="348" w:right="339" w:bottom="1440" w:gutter="0" w:footer="0" w:header="0"/>
        </w:sectPr>
      </w:pPr>
    </w:p>
    <w:bookmarkStart w:id="8" w:name="page9"/>
    <w:bookmarkEnd w:id="8"/>
    <w:p>
      <w:pPr>
        <w:ind w:left="2700"/>
        <w:spacing w:after="0"/>
        <w:tabs>
          <w:tab w:leader="none" w:pos="29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Portolio Quality and Cost of Risk</w:t>
      </w:r>
    </w:p>
    <w:p>
      <w:pPr>
        <w:spacing w:after="0" w:line="253"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QoQ, the NPL balance dropped 4.8%, driven primarily by BCP and Mibanco. At BCP, the decline was fueled mainly by debt repayment in Wholesale Banking, Consumer and Credit Cards in a context marked by an uptck in personal liquidity following pension fund releases. At Mibanco, the reducton in the NPL balance was driven by a decrease in overdue loans afer originaton guidelines were tghtened; collectons management improved; and facilites were rolled out.</w:t>
      </w:r>
    </w:p>
    <w:p>
      <w:pPr>
        <w:spacing w:after="0" w:line="154"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 xml:space="preserve">YoY, the NPL portolio declined 3.5%, driven by BCP. This reducton was mainly atributable to: (i) </w:t>
      </w:r>
      <w:r>
        <w:rPr>
          <w:rFonts w:ascii="Calibri" w:cs="Calibri" w:eastAsia="Calibri" w:hAnsi="Calibri"/>
          <w:sz w:val="18"/>
          <w:szCs w:val="18"/>
          <w:b w:val="1"/>
          <w:bCs w:val="1"/>
          <w:color w:val="auto"/>
        </w:rPr>
        <w:t>Wholesale Banking</w:t>
      </w:r>
      <w:r>
        <w:rPr>
          <w:rFonts w:ascii="Calibri" w:cs="Calibri" w:eastAsia="Calibri" w:hAnsi="Calibri"/>
          <w:sz w:val="18"/>
          <w:szCs w:val="18"/>
          <w:color w:val="auto"/>
        </w:rPr>
        <w:t xml:space="preserve">, which reported debt repayment among specifc corporate clients, and (ii)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which registered an uptck in honoring of Reactva guarantees. These dynamics were partally ofset by the evoluton in </w:t>
      </w:r>
      <w:r>
        <w:rPr>
          <w:rFonts w:ascii="Calibri" w:cs="Calibri" w:eastAsia="Calibri" w:hAnsi="Calibri"/>
          <w:sz w:val="18"/>
          <w:szCs w:val="18"/>
          <w:b w:val="1"/>
          <w:bCs w:val="1"/>
          <w:color w:val="auto"/>
        </w:rPr>
        <w:t xml:space="preserve">Consumer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Credit Cards </w:t>
      </w:r>
      <w:r>
        <w:rPr>
          <w:rFonts w:ascii="Calibri" w:cs="Calibri" w:eastAsia="Calibri" w:hAnsi="Calibri"/>
          <w:sz w:val="18"/>
          <w:szCs w:val="18"/>
          <w:color w:val="auto"/>
        </w:rPr>
        <w:t>and to a lesser extent, in</w:t>
      </w:r>
      <w:r>
        <w:rPr>
          <w:rFonts w:ascii="Calibri" w:cs="Calibri" w:eastAsia="Calibri" w:hAnsi="Calibri"/>
          <w:sz w:val="18"/>
          <w:szCs w:val="18"/>
          <w:b w:val="1"/>
          <w:bCs w:val="1"/>
          <w:color w:val="auto"/>
        </w:rPr>
        <w:t xml:space="preserve"> Mortgage</w:t>
      </w:r>
      <w:r>
        <w:rPr>
          <w:rFonts w:ascii="Calibri" w:cs="Calibri" w:eastAsia="Calibri" w:hAnsi="Calibri"/>
          <w:sz w:val="18"/>
          <w:szCs w:val="18"/>
          <w:color w:val="auto"/>
        </w:rPr>
        <w:t>.</w:t>
      </w:r>
    </w:p>
    <w:p>
      <w:pPr>
        <w:spacing w:after="0" w:line="139"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In this context, and given the evoluton of the loan portolio, the NPL rato stood at 5.9% at quarter-end, down 12 bps QoQ and 11 bps YoY.</w:t>
      </w:r>
    </w:p>
    <w:p>
      <w:pPr>
        <w:spacing w:after="0" w:line="272" w:lineRule="exact"/>
        <w:rPr>
          <w:sz w:val="20"/>
          <w:szCs w:val="20"/>
          <w:color w:val="auto"/>
        </w:rPr>
      </w:pPr>
    </w:p>
    <w:p>
      <w:pPr>
        <w:jc w:val="both"/>
        <w:ind w:right="740"/>
        <w:spacing w:after="0" w:line="249" w:lineRule="auto"/>
        <w:rPr>
          <w:sz w:val="20"/>
          <w:szCs w:val="20"/>
          <w:color w:val="auto"/>
        </w:rPr>
      </w:pPr>
      <w:r>
        <w:rPr>
          <w:rFonts w:ascii="Calibri" w:cs="Calibri" w:eastAsia="Calibri" w:hAnsi="Calibri"/>
          <w:sz w:val="17"/>
          <w:szCs w:val="17"/>
          <w:color w:val="auto"/>
        </w:rPr>
        <w:t xml:space="preserve">Provisions this quarter dropped 20.6% QoQ, driven primarily by BCP and Mibanco. At </w:t>
      </w:r>
      <w:r>
        <w:rPr>
          <w:rFonts w:ascii="Calibri" w:cs="Calibri" w:eastAsia="Calibri" w:hAnsi="Calibri"/>
          <w:sz w:val="17"/>
          <w:szCs w:val="17"/>
          <w:b w:val="1"/>
          <w:bCs w:val="1"/>
          <w:color w:val="auto"/>
        </w:rPr>
        <w:t xml:space="preserve">BCP Stand-alone, </w:t>
      </w:r>
      <w:r>
        <w:rPr>
          <w:rFonts w:ascii="Calibri" w:cs="Calibri" w:eastAsia="Calibri" w:hAnsi="Calibri"/>
          <w:sz w:val="17"/>
          <w:szCs w:val="17"/>
          <w:color w:val="auto"/>
        </w:rPr>
        <w:t>the reducton in provisions was mainly atributable to Retail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Banking. In Individuals, partcularly in </w:t>
      </w:r>
      <w:r>
        <w:rPr>
          <w:rFonts w:ascii="Calibri" w:cs="Calibri" w:eastAsia="Calibri" w:hAnsi="Calibri"/>
          <w:sz w:val="17"/>
          <w:szCs w:val="17"/>
          <w:b w:val="1"/>
          <w:bCs w:val="1"/>
          <w:color w:val="auto"/>
        </w:rPr>
        <w:t>Consumer and Credit Cards,</w:t>
      </w:r>
      <w:r>
        <w:rPr>
          <w:rFonts w:ascii="Calibri" w:cs="Calibri" w:eastAsia="Calibri" w:hAnsi="Calibri"/>
          <w:sz w:val="17"/>
          <w:szCs w:val="17"/>
          <w:color w:val="auto"/>
        </w:rPr>
        <w:t xml:space="preserve"> provisions fell afer:</w:t>
      </w:r>
    </w:p>
    <w:p>
      <w:pPr>
        <w:spacing w:after="0" w:line="2" w:lineRule="exact"/>
        <w:rPr>
          <w:sz w:val="20"/>
          <w:szCs w:val="20"/>
          <w:color w:val="auto"/>
        </w:rPr>
      </w:pPr>
    </w:p>
    <w:p>
      <w:pPr>
        <w:jc w:val="both"/>
        <w:ind w:right="740" w:firstLine="8"/>
        <w:spacing w:after="0" w:line="235" w:lineRule="auto"/>
        <w:tabs>
          <w:tab w:leader="none" w:pos="228"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 xml:space="preserve">the weight of newer and healthier vintages within the loan portolio rose, (ii) rescheduling eforts were ramped up in the last quarter and (iii) debt repayments rose in a context marked by higher liquidity across the system. In </w:t>
      </w:r>
      <w:r>
        <w:rPr>
          <w:rFonts w:ascii="Calibri" w:cs="Calibri" w:eastAsia="Calibri" w:hAnsi="Calibri"/>
          <w:sz w:val="18"/>
          <w:szCs w:val="18"/>
          <w:b w:val="1"/>
          <w:bCs w:val="1"/>
          <w:color w:val="auto"/>
        </w:rPr>
        <w:t>SMEs</w:t>
      </w:r>
      <w:r>
        <w:rPr>
          <w:rFonts w:ascii="Calibri" w:cs="Calibri" w:eastAsia="Calibri" w:hAnsi="Calibri"/>
          <w:sz w:val="18"/>
          <w:szCs w:val="18"/>
          <w:color w:val="auto"/>
        </w:rPr>
        <w:t xml:space="preserve">, the contracton in provisions refected mainly the fact that (i) newer and healthier vintages increased their weight within total loans and (ii) less refnancing was granted. At </w:t>
      </w:r>
      <w:r>
        <w:rPr>
          <w:rFonts w:ascii="Calibri" w:cs="Calibri" w:eastAsia="Calibri" w:hAnsi="Calibri"/>
          <w:sz w:val="18"/>
          <w:szCs w:val="18"/>
          <w:b w:val="1"/>
          <w:bCs w:val="1"/>
          <w:color w:val="auto"/>
        </w:rPr>
        <w:t>Mibanco,</w:t>
      </w:r>
      <w:r>
        <w:rPr>
          <w:rFonts w:ascii="Calibri" w:cs="Calibri" w:eastAsia="Calibri" w:hAnsi="Calibri"/>
          <w:sz w:val="18"/>
          <w:szCs w:val="18"/>
          <w:color w:val="auto"/>
        </w:rPr>
        <w:t xml:space="preserve"> the reducton in provisions was also primarily atributable to an improvement in the payment performance.</w:t>
      </w:r>
    </w:p>
    <w:p>
      <w:pPr>
        <w:spacing w:after="0" w:line="154" w:lineRule="exact"/>
        <w:rPr>
          <w:sz w:val="20"/>
          <w:szCs w:val="20"/>
          <w:color w:val="auto"/>
        </w:rPr>
      </w:pPr>
    </w:p>
    <w:p>
      <w:pPr>
        <w:jc w:val="both"/>
        <w:ind w:right="740"/>
        <w:spacing w:after="0" w:line="235" w:lineRule="auto"/>
        <w:rPr>
          <w:sz w:val="20"/>
          <w:szCs w:val="20"/>
          <w:color w:val="auto"/>
        </w:rPr>
      </w:pPr>
      <w:r>
        <w:rPr>
          <w:rFonts w:ascii="Calibri" w:cs="Calibri" w:eastAsia="Calibri" w:hAnsi="Calibri"/>
          <w:sz w:val="18"/>
          <w:szCs w:val="18"/>
          <w:color w:val="auto"/>
        </w:rPr>
        <w:t xml:space="preserve">YoY, provisions dropped 5.4%, driven primarily by </w:t>
      </w:r>
      <w:r>
        <w:rPr>
          <w:rFonts w:ascii="Calibri" w:cs="Calibri" w:eastAsia="Calibri" w:hAnsi="Calibri"/>
          <w:sz w:val="18"/>
          <w:szCs w:val="18"/>
          <w:b w:val="1"/>
          <w:bCs w:val="1"/>
          <w:color w:val="auto"/>
        </w:rPr>
        <w:t>BCP</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Mibanco</w:t>
      </w:r>
      <w:r>
        <w:rPr>
          <w:rFonts w:ascii="Calibri" w:cs="Calibri" w:eastAsia="Calibri" w:hAnsi="Calibri"/>
          <w:sz w:val="18"/>
          <w:szCs w:val="18"/>
          <w:color w:val="auto"/>
        </w:rPr>
        <w:t xml:space="preserve">. This decline was mainly atributable to: (i) </w:t>
      </w:r>
      <w:r>
        <w:rPr>
          <w:rFonts w:ascii="Calibri" w:cs="Calibri" w:eastAsia="Calibri" w:hAnsi="Calibri"/>
          <w:sz w:val="18"/>
          <w:szCs w:val="18"/>
          <w:b w:val="1"/>
          <w:bCs w:val="1"/>
          <w:color w:val="auto"/>
        </w:rPr>
        <w:t>Consumer</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due to the same dynamics as those seen QoQ; and (ii) </w:t>
      </w:r>
      <w:r>
        <w:rPr>
          <w:rFonts w:ascii="Calibri" w:cs="Calibri" w:eastAsia="Calibri" w:hAnsi="Calibri"/>
          <w:sz w:val="18"/>
          <w:szCs w:val="18"/>
          <w:b w:val="1"/>
          <w:bCs w:val="1"/>
          <w:color w:val="auto"/>
        </w:rPr>
        <w:t>Mortgage</w:t>
      </w:r>
      <w:r>
        <w:rPr>
          <w:rFonts w:ascii="Calibri" w:cs="Calibri" w:eastAsia="Calibri" w:hAnsi="Calibri"/>
          <w:sz w:val="18"/>
          <w:szCs w:val="18"/>
          <w:color w:val="auto"/>
        </w:rPr>
        <w:t>, where payment performance improved afer personal liquidity levels rose.</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Cost of Risk dropped to 2.40% while the NPL Coverage Rato stood at 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360680</wp:posOffset>
            </wp:positionV>
            <wp:extent cx="2623185" cy="2031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23185" cy="203136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2948940</wp:posOffset>
            </wp:positionV>
            <wp:extent cx="2905760" cy="1963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0576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2">
            <w:col w:w="6920" w:space="720"/>
            <w:col w:w="3600"/>
          </w:cols>
          <w:pgMar w:left="320" w:top="348" w:right="339" w:bottom="1440" w:gutter="0" w:footer="0" w:header="0"/>
        </w:sectPr>
      </w:pPr>
    </w:p>
    <w:bookmarkStart w:id="9" w:name="page10"/>
    <w:bookmarkEnd w:id="9"/>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-175895</wp:posOffset>
            </wp:positionV>
            <wp:extent cx="2811780" cy="2186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11780" cy="2186305"/>
                    </a:xfrm>
                    <a:prstGeom prst="rect">
                      <a:avLst/>
                    </a:prstGeom>
                    <a:noFill/>
                  </pic:spPr>
                </pic:pic>
              </a:graphicData>
            </a:graphic>
          </wp:anchor>
        </w:drawing>
      </w:r>
    </w:p>
    <w:p>
      <w:pPr>
        <w:jc w:val="both"/>
        <w:ind w:right="5060"/>
        <w:spacing w:after="0" w:line="235" w:lineRule="auto"/>
        <w:rPr>
          <w:sz w:val="20"/>
          <w:szCs w:val="20"/>
          <w:color w:val="auto"/>
        </w:rPr>
      </w:pPr>
      <w:r>
        <w:rPr>
          <w:rFonts w:ascii="Calibri" w:cs="Calibri" w:eastAsia="Calibri" w:hAnsi="Calibri"/>
          <w:sz w:val="18"/>
          <w:szCs w:val="18"/>
          <w:color w:val="auto"/>
        </w:rPr>
        <w:t>Other Income was impacted by our operatons at BCP Bolivia, which in turn were impacted by regulatory changes related to foreign transfers. If we exclude BCP Bolivia, Other Core Income increased 3.8% QoQ, driven mainly by BCP. This growth was primarily atributable to an increase in the use of debit and credit cards and to a lesser extent, to growth in the transactons volume through Yape. YoY and YTD, Other Core Income increased 18.7% and 14.6% respectvely. Growth in both periods was fueled mainly by (i) BCP, through the same dynamics seen QoQ and, to a lesser extent, through (ii) Credicorp Capital, via an increase in Fee Income, primarily through our Capital Markets and Wealth management businesses.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Insurance Underwritng Result</w:t>
      </w:r>
    </w:p>
    <w:p>
      <w:pPr>
        <w:spacing w:after="0" w:line="307" w:lineRule="exact"/>
        <w:rPr>
          <w:sz w:val="20"/>
          <w:szCs w:val="20"/>
          <w:color w:val="auto"/>
        </w:rPr>
      </w:pPr>
    </w:p>
    <w:p>
      <w:pPr>
        <w:jc w:val="both"/>
        <w:ind w:right="5060"/>
        <w:spacing w:after="0" w:line="235" w:lineRule="auto"/>
        <w:rPr>
          <w:sz w:val="20"/>
          <w:szCs w:val="20"/>
          <w:color w:val="auto"/>
        </w:rPr>
      </w:pPr>
      <w:r>
        <w:rPr>
          <w:rFonts w:ascii="Calibri" w:cs="Calibri" w:eastAsia="Calibri" w:hAnsi="Calibri"/>
          <w:sz w:val="18"/>
          <w:szCs w:val="18"/>
          <w:color w:val="auto"/>
        </w:rPr>
        <w:t>The Insurance Underwritng Result fell 7.5% QoQ. This evoluton was driven mainly by a deterioraton in the Reinsurance Result in P &amp; C and by an uptck in Service Expenses for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-154940</wp:posOffset>
            </wp:positionV>
            <wp:extent cx="2322830" cy="2417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22830" cy="2417445"/>
                    </a:xfrm>
                    <a:prstGeom prst="rect">
                      <a:avLst/>
                    </a:prstGeom>
                    <a:noFill/>
                  </pic:spPr>
                </pic:pic>
              </a:graphicData>
            </a:graphic>
          </wp:anchor>
        </w:drawing>
      </w:r>
    </w:p>
    <w:p>
      <w:pPr>
        <w:spacing w:after="0" w:line="131" w:lineRule="exact"/>
        <w:rPr>
          <w:sz w:val="20"/>
          <w:szCs w:val="20"/>
          <w:color w:val="auto"/>
        </w:rPr>
      </w:pPr>
    </w:p>
    <w:p>
      <w:pPr>
        <w:ind w:right="5060"/>
        <w:spacing w:after="0" w:line="235" w:lineRule="auto"/>
        <w:rPr>
          <w:sz w:val="20"/>
          <w:szCs w:val="20"/>
          <w:color w:val="auto"/>
        </w:rPr>
      </w:pPr>
      <w:r>
        <w:rPr>
          <w:rFonts w:ascii="Calibri" w:cs="Calibri" w:eastAsia="Calibri" w:hAnsi="Calibri"/>
          <w:sz w:val="18"/>
          <w:szCs w:val="18"/>
          <w:color w:val="auto"/>
        </w:rPr>
        <w:t>YoY, the result dropped 11.8%, fueled primarily by a deterioraton in the Reinsurance Result and growth in Service Expenses, both in P &amp; C.</w:t>
      </w:r>
    </w:p>
    <w:p>
      <w:pPr>
        <w:spacing w:after="0" w:line="150" w:lineRule="exact"/>
        <w:rPr>
          <w:sz w:val="20"/>
          <w:szCs w:val="20"/>
          <w:color w:val="auto"/>
        </w:rPr>
      </w:pPr>
    </w:p>
    <w:p>
      <w:pPr>
        <w:jc w:val="both"/>
        <w:ind w:right="5060"/>
        <w:spacing w:after="0" w:line="235" w:lineRule="auto"/>
        <w:rPr>
          <w:sz w:val="20"/>
          <w:szCs w:val="20"/>
          <w:color w:val="auto"/>
        </w:rPr>
      </w:pPr>
      <w:r>
        <w:rPr>
          <w:rFonts w:ascii="Calibri" w:cs="Calibri" w:eastAsia="Calibri" w:hAnsi="Calibri"/>
          <w:sz w:val="18"/>
          <w:szCs w:val="18"/>
          <w:color w:val="auto"/>
        </w:rPr>
        <w:t>YTD, the Insurance Underwritng Result decreased 4.1%. This evoluton was driven mainly by a deterioraton in the Reinsurance Result, primarily in P &amp; 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Efciency</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color w:val="auto"/>
        </w:rPr>
        <w:t>Operatng expenses increased 8.2% YTD, driven primarily by core businesses at BCP</w:t>
      </w:r>
    </w:p>
    <w:p>
      <w:pPr>
        <w:spacing w:after="0" w:line="235" w:lineRule="auto"/>
        <w:rPr>
          <w:sz w:val="20"/>
          <w:szCs w:val="20"/>
          <w:color w:val="auto"/>
        </w:rPr>
      </w:pPr>
      <w:r>
        <w:rPr>
          <w:rFonts w:ascii="Calibri" w:cs="Calibri" w:eastAsia="Calibri" w:hAnsi="Calibri"/>
          <w:sz w:val="18"/>
          <w:szCs w:val="18"/>
          <w:color w:val="auto"/>
        </w:rPr>
        <w:t>Stand-alone and disruptve initatves at the Credicorp level. On its part, Operatng</w:t>
      </w:r>
    </w:p>
    <w:p>
      <w:pPr>
        <w:spacing w:after="0" w:line="236" w:lineRule="auto"/>
        <w:rPr>
          <w:sz w:val="20"/>
          <w:szCs w:val="20"/>
          <w:color w:val="auto"/>
        </w:rPr>
      </w:pPr>
      <w:r>
        <w:rPr>
          <w:rFonts w:ascii="Calibri" w:cs="Calibri" w:eastAsia="Calibri" w:hAnsi="Calibri"/>
          <w:sz w:val="18"/>
          <w:szCs w:val="18"/>
          <w:color w:val="auto"/>
        </w:rPr>
        <w:t>Income increased 9.4% YTD.</w:t>
      </w:r>
    </w:p>
    <w:p>
      <w:pPr>
        <w:spacing w:after="0" w:line="150" w:lineRule="exact"/>
        <w:rPr>
          <w:sz w:val="20"/>
          <w:szCs w:val="20"/>
          <w:color w:val="auto"/>
        </w:rPr>
      </w:pPr>
    </w:p>
    <w:p>
      <w:pPr>
        <w:jc w:val="both"/>
        <w:ind w:right="5060"/>
        <w:spacing w:after="0" w:line="235" w:lineRule="auto"/>
        <w:rPr>
          <w:sz w:val="20"/>
          <w:szCs w:val="20"/>
          <w:color w:val="auto"/>
        </w:rPr>
      </w:pPr>
      <w:r>
        <w:rPr>
          <w:rFonts w:ascii="Calibri" w:cs="Calibri" w:eastAsia="Calibri" w:hAnsi="Calibri"/>
          <w:sz w:val="18"/>
          <w:szCs w:val="18"/>
          <w:color w:val="auto"/>
        </w:rPr>
        <w:t>As a result, during 9M24, the Efciency rato stood at 44.5%, which represents a slight improvement of 59 bps over the fgure in 9M23.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169545</wp:posOffset>
            </wp:positionV>
            <wp:extent cx="1928495" cy="1663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849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 w:name="page11"/>
    <w:bookmarkEnd w:id="10"/>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2AD2C8"/>
        </w:rPr>
        <w:t>Net Income atributable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-47625</wp:posOffset>
            </wp:positionV>
            <wp:extent cx="2922905" cy="1962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22905" cy="1962785"/>
                    </a:xfrm>
                    <a:prstGeom prst="rect">
                      <a:avLst/>
                    </a:prstGeom>
                    <a:noFill/>
                  </pic:spPr>
                </pic:pic>
              </a:graphicData>
            </a:graphic>
          </wp:anchor>
        </w:drawing>
      </w:r>
    </w:p>
    <w:p>
      <w:pPr>
        <w:spacing w:after="0" w:line="179" w:lineRule="exact"/>
        <w:rPr>
          <w:sz w:val="20"/>
          <w:szCs w:val="20"/>
          <w:color w:val="auto"/>
        </w:rPr>
      </w:pPr>
    </w:p>
    <w:p>
      <w:pPr>
        <w:jc w:val="both"/>
        <w:ind w:right="5060"/>
        <w:spacing w:after="0" w:line="235" w:lineRule="auto"/>
        <w:rPr>
          <w:sz w:val="20"/>
          <w:szCs w:val="20"/>
          <w:color w:val="auto"/>
        </w:rPr>
      </w:pPr>
      <w:r>
        <w:rPr>
          <w:rFonts w:ascii="Calibri" w:cs="Calibri" w:eastAsia="Calibri" w:hAnsi="Calibri"/>
          <w:sz w:val="18"/>
          <w:szCs w:val="18"/>
          <w:color w:val="auto"/>
        </w:rPr>
        <w:t>In 3Q24, net income atributable to Credicorp stood at S/1,523.8 million (up +13.8% QoQ and +23.1% YoY) Net Shareholders’ Equity totaled S/33,463 million (+3.2% QoQ and +7.0% YoY). In this context, ROE stood at 18.5%.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Calibri" w:cs="Calibri" w:eastAsia="Calibri" w:hAnsi="Calibri"/>
          <w:sz w:val="25"/>
          <w:szCs w:val="25"/>
          <w:b w:val="1"/>
          <w:bCs w:val="1"/>
          <w:color w:val="2AD2C8"/>
        </w:rPr>
        <w:t>Contributons and ROE by subsidiary in 3Q24</w:t>
      </w:r>
    </w:p>
    <w:p>
      <w:pPr>
        <w:spacing w:after="0" w:line="39"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17145</wp:posOffset>
            </wp:positionV>
            <wp:extent cx="6009005" cy="2520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900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hanging="212"/>
        <w:spacing w:after="0"/>
        <w:tabs>
          <w:tab w:leader="none" w:pos="220" w:val="left"/>
        </w:tabs>
        <w:numPr>
          <w:ilvl w:val="0"/>
          <w:numId w:val="4"/>
        </w:numPr>
        <w:rPr>
          <w:rFonts w:ascii="Calibri" w:cs="Calibri" w:eastAsia="Calibri" w:hAnsi="Calibri"/>
          <w:sz w:val="12"/>
          <w:szCs w:val="12"/>
          <w:color w:val="auto"/>
        </w:rPr>
      </w:pPr>
      <w:r>
        <w:rPr>
          <w:rFonts w:ascii="Calibri" w:cs="Calibri" w:eastAsia="Calibri" w:hAnsi="Calibri"/>
          <w:sz w:val="12"/>
          <w:szCs w:val="12"/>
          <w:color w:val="auto"/>
        </w:rPr>
        <w:t>At BCP Stand Alone, the fgure is lower than net income because it does not include gains on investments in other Credicorp subsidiaries (Mibanco).</w:t>
      </w:r>
    </w:p>
    <w:p>
      <w:pPr>
        <w:ind w:left="220" w:hanging="212"/>
        <w:spacing w:after="0" w:line="221" w:lineRule="auto"/>
        <w:tabs>
          <w:tab w:leader="none" w:pos="220" w:val="left"/>
        </w:tabs>
        <w:numPr>
          <w:ilvl w:val="0"/>
          <w:numId w:val="4"/>
        </w:numPr>
        <w:rPr>
          <w:rFonts w:ascii="Calibri" w:cs="Calibri" w:eastAsia="Calibri" w:hAnsi="Calibri"/>
          <w:sz w:val="12"/>
          <w:szCs w:val="12"/>
          <w:color w:val="auto"/>
        </w:rPr>
      </w:pPr>
      <w:r>
        <w:rPr>
          <w:rFonts w:ascii="Calibri" w:cs="Calibri" w:eastAsia="Calibri" w:hAnsi="Calibri"/>
          <w:sz w:val="12"/>
          <w:szCs w:val="12"/>
          <w:color w:val="auto"/>
        </w:rPr>
        <w:t>At Mibanco, the fgure is lower than net income because Credicorp owns 99.921% of Mibanco (directly and indirectly).</w:t>
      </w:r>
    </w:p>
    <w:p>
      <w:pPr>
        <w:ind w:left="220" w:hanging="212"/>
        <w:spacing w:after="0" w:line="221" w:lineRule="auto"/>
        <w:tabs>
          <w:tab w:leader="none" w:pos="220" w:val="left"/>
        </w:tabs>
        <w:numPr>
          <w:ilvl w:val="0"/>
          <w:numId w:val="4"/>
        </w:numPr>
        <w:rPr>
          <w:rFonts w:ascii="Calibri" w:cs="Calibri" w:eastAsia="Calibri" w:hAnsi="Calibri"/>
          <w:sz w:val="12"/>
          <w:szCs w:val="12"/>
          <w:color w:val="auto"/>
        </w:rPr>
      </w:pPr>
      <w:r>
        <w:rPr>
          <w:rFonts w:ascii="Calibri" w:cs="Calibri" w:eastAsia="Calibri" w:hAnsi="Calibri"/>
          <w:sz w:val="12"/>
          <w:szCs w:val="12"/>
          <w:color w:val="auto"/>
        </w:rPr>
        <w:t>The Contributon of Grupo Pacifco presented here is higher than the earnings reported for Pacifco Seguros because it includes 100% of Crediseguros (including 48% under Grupo Credito).</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 w:name="page12"/>
    <w:bookmarkEnd w:id="11"/>
    <w:p>
      <w:pPr>
        <w:ind w:left="1580"/>
        <w:spacing w:after="0"/>
        <w:tabs>
          <w:tab w:leader="none" w:pos="1800" w:val="left"/>
          <w:tab w:leader="none" w:pos="650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337820</wp:posOffset>
            </wp:positionV>
            <wp:extent cx="4989195" cy="640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9195" cy="6403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53"/>
        </w:trPr>
        <w:tc>
          <w:tcPr>
            <w:tcW w:w="2560" w:type="dxa"/>
            <w:vAlign w:val="bottom"/>
            <w:tcBorders>
              <w:left w:val="single" w:sz="8" w:color="auto"/>
            </w:tcBorders>
            <w:shd w:val="clear" w:color="auto" w:fill="000000"/>
          </w:tcPr>
          <w:p>
            <w:pPr>
              <w:spacing w:after="0"/>
              <w:rPr>
                <w:sz w:val="24"/>
                <w:szCs w:val="24"/>
                <w:color w:val="auto"/>
              </w:rPr>
            </w:pPr>
          </w:p>
        </w:tc>
        <w:tc>
          <w:tcPr>
            <w:tcW w:w="2100" w:type="dxa"/>
            <w:vAlign w:val="bottom"/>
            <w:gridSpan w:val="2"/>
            <w:shd w:val="clear" w:color="auto" w:fill="000000"/>
          </w:tcPr>
          <w:p>
            <w:pPr>
              <w:jc w:val="right"/>
              <w:ind w:right="41"/>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color w:val="BFBFBF"/>
              </w:rPr>
              <w:t>Earnings Release 3Q / 24</w:t>
            </w:r>
          </w:p>
        </w:tc>
        <w:tc>
          <w:tcPr>
            <w:tcW w:w="880" w:type="dxa"/>
            <w:vAlign w:val="bottom"/>
            <w:shd w:val="clear" w:color="auto" w:fill="000000"/>
          </w:tcPr>
          <w:p>
            <w:pPr>
              <w:spacing w:after="0"/>
              <w:rPr>
                <w:sz w:val="24"/>
                <w:szCs w:val="24"/>
                <w:color w:val="auto"/>
              </w:rPr>
            </w:pPr>
          </w:p>
        </w:tc>
        <w:tc>
          <w:tcPr>
            <w:tcW w:w="820" w:type="dxa"/>
            <w:vAlign w:val="bottom"/>
            <w:tcBorders>
              <w:right w:val="single" w:sz="8" w:color="auto"/>
            </w:tcBorders>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2520" w:type="dxa"/>
            <w:vAlign w:val="bottom"/>
            <w:tcBorders>
              <w:right w:val="single" w:sz="8" w:color="auto"/>
            </w:tcBorders>
            <w:gridSpan w:val="3"/>
            <w:shd w:val="clear" w:color="auto" w:fill="000000"/>
          </w:tcPr>
          <w:p>
            <w:pPr>
              <w:jc w:val="right"/>
              <w:spacing w:after="0"/>
              <w:rPr>
                <w:sz w:val="20"/>
                <w:szCs w:val="20"/>
                <w:color w:val="auto"/>
              </w:rPr>
            </w:pPr>
            <w:r>
              <w:rPr>
                <w:rFonts w:ascii="Calibri" w:cs="Calibri" w:eastAsia="Calibri" w:hAnsi="Calibri"/>
                <w:sz w:val="16"/>
                <w:szCs w:val="16"/>
                <w:color w:val="ED3FA8"/>
              </w:rPr>
              <w:t>Analysis of 3Q24 Consolidated Results</w:t>
            </w:r>
          </w:p>
        </w:tc>
        <w:tc>
          <w:tcPr>
            <w:tcW w:w="10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560" w:type="dxa"/>
            <w:vAlign w:val="bottom"/>
            <w:tcBorders>
              <w:left w:val="single" w:sz="8" w:color="auto"/>
            </w:tcBorders>
            <w:shd w:val="clear" w:color="auto" w:fill="000000"/>
          </w:tcPr>
          <w:p>
            <w:pPr>
              <w:spacing w:after="0"/>
              <w:rPr>
                <w:sz w:val="24"/>
                <w:szCs w:val="24"/>
                <w:color w:val="auto"/>
              </w:rPr>
            </w:pPr>
          </w:p>
        </w:tc>
        <w:tc>
          <w:tcPr>
            <w:tcW w:w="960" w:type="dxa"/>
            <w:vAlign w:val="bottom"/>
            <w:tcBorders>
              <w:right w:val="single" w:sz="8" w:color="auto"/>
            </w:tcBorders>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880" w:type="dxa"/>
            <w:vAlign w:val="bottom"/>
            <w:shd w:val="clear" w:color="auto" w:fill="000000"/>
          </w:tcPr>
          <w:p>
            <w:pPr>
              <w:spacing w:after="0"/>
              <w:rPr>
                <w:sz w:val="24"/>
                <w:szCs w:val="24"/>
                <w:color w:val="auto"/>
              </w:rPr>
            </w:pPr>
          </w:p>
        </w:tc>
        <w:tc>
          <w:tcPr>
            <w:tcW w:w="820" w:type="dxa"/>
            <w:vAlign w:val="bottom"/>
            <w:tcBorders>
              <w:right w:val="single" w:sz="8" w:color="auto"/>
            </w:tcBorders>
            <w:shd w:val="clear" w:color="auto" w:fill="000000"/>
          </w:tcPr>
          <w:p>
            <w:pPr>
              <w:spacing w:after="0"/>
              <w:rPr>
                <w:sz w:val="24"/>
                <w:szCs w:val="24"/>
                <w:color w:val="auto"/>
              </w:rPr>
            </w:pPr>
          </w:p>
        </w:tc>
        <w:tc>
          <w:tcPr>
            <w:tcW w:w="70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1500" w:type="dxa"/>
            <w:vAlign w:val="bottom"/>
            <w:shd w:val="clear" w:color="auto" w:fill="000000"/>
          </w:tcPr>
          <w:p>
            <w:pPr>
              <w:spacing w:after="0"/>
              <w:rPr>
                <w:sz w:val="24"/>
                <w:szCs w:val="24"/>
                <w:color w:val="auto"/>
              </w:rPr>
            </w:pPr>
          </w:p>
        </w:tc>
        <w:tc>
          <w:tcPr>
            <w:tcW w:w="920" w:type="dxa"/>
            <w:vAlign w:val="bottom"/>
            <w:tcBorders>
              <w:right w:val="single" w:sz="8" w:color="auto"/>
            </w:tcBorders>
            <w:shd w:val="clear" w:color="auto" w:fill="000000"/>
          </w:tcPr>
          <w:p>
            <w:pPr>
              <w:spacing w:after="0"/>
              <w:rPr>
                <w:sz w:val="24"/>
                <w:szCs w:val="24"/>
                <w:color w:val="auto"/>
              </w:rPr>
            </w:pPr>
          </w:p>
        </w:tc>
        <w:tc>
          <w:tcPr>
            <w:tcW w:w="10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60" w:type="dxa"/>
            <w:vAlign w:val="bottom"/>
            <w:tcBorders>
              <w:left w:val="single" w:sz="8" w:color="2AD2C8"/>
            </w:tcBorders>
            <w:shd w:val="clear" w:color="auto" w:fill="2AD2C8"/>
          </w:tcPr>
          <w:p>
            <w:pPr>
              <w:ind w:left="60"/>
              <w:spacing w:after="0"/>
              <w:rPr>
                <w:sz w:val="20"/>
                <w:szCs w:val="20"/>
                <w:color w:val="auto"/>
              </w:rPr>
            </w:pPr>
            <w:r>
              <w:rPr>
                <w:rFonts w:ascii="Calibri" w:cs="Calibri" w:eastAsia="Calibri" w:hAnsi="Calibri"/>
                <w:sz w:val="20"/>
                <w:szCs w:val="20"/>
                <w:b w:val="1"/>
                <w:bCs w:val="1"/>
                <w:color w:val="FFFFFF"/>
              </w:rPr>
              <w:t>Financial Overview</w:t>
            </w:r>
          </w:p>
        </w:tc>
        <w:tc>
          <w:tcPr>
            <w:tcW w:w="960" w:type="dxa"/>
            <w:vAlign w:val="bottom"/>
            <w:tcBorders>
              <w:right w:val="single" w:sz="8" w:color="2AD2C8"/>
            </w:tcBorders>
            <w:shd w:val="clear" w:color="auto" w:fill="2AD2C8"/>
          </w:tcPr>
          <w:p>
            <w:pPr>
              <w:spacing w:after="0"/>
              <w:rPr>
                <w:sz w:val="22"/>
                <w:szCs w:val="22"/>
                <w:color w:val="auto"/>
              </w:rPr>
            </w:pPr>
          </w:p>
        </w:tc>
        <w:tc>
          <w:tcPr>
            <w:tcW w:w="1140" w:type="dxa"/>
            <w:vAlign w:val="bottom"/>
            <w:shd w:val="clear" w:color="auto" w:fill="2AD2C8"/>
          </w:tcPr>
          <w:p>
            <w:pPr>
              <w:spacing w:after="0"/>
              <w:rPr>
                <w:sz w:val="22"/>
                <w:szCs w:val="22"/>
                <w:color w:val="auto"/>
              </w:rPr>
            </w:pPr>
          </w:p>
        </w:tc>
        <w:tc>
          <w:tcPr>
            <w:tcW w:w="880" w:type="dxa"/>
            <w:vAlign w:val="bottom"/>
            <w:shd w:val="clear" w:color="auto" w:fill="2AD2C8"/>
          </w:tcPr>
          <w:p>
            <w:pPr>
              <w:spacing w:after="0"/>
              <w:rPr>
                <w:sz w:val="22"/>
                <w:szCs w:val="22"/>
                <w:color w:val="auto"/>
              </w:rPr>
            </w:pPr>
          </w:p>
        </w:tc>
        <w:tc>
          <w:tcPr>
            <w:tcW w:w="820" w:type="dxa"/>
            <w:vAlign w:val="bottom"/>
            <w:tcBorders>
              <w:right w:val="single" w:sz="8" w:color="2AD2C8"/>
            </w:tcBorders>
            <w:shd w:val="clear" w:color="auto" w:fill="2AD2C8"/>
          </w:tcPr>
          <w:p>
            <w:pPr>
              <w:spacing w:after="0"/>
              <w:rPr>
                <w:sz w:val="22"/>
                <w:szCs w:val="22"/>
                <w:color w:val="auto"/>
              </w:rPr>
            </w:pPr>
          </w:p>
        </w:tc>
        <w:tc>
          <w:tcPr>
            <w:tcW w:w="700" w:type="dxa"/>
            <w:vAlign w:val="bottom"/>
            <w:shd w:val="clear" w:color="auto" w:fill="2AD2C8"/>
          </w:tcPr>
          <w:p>
            <w:pPr>
              <w:spacing w:after="0"/>
              <w:rPr>
                <w:sz w:val="22"/>
                <w:szCs w:val="22"/>
                <w:color w:val="auto"/>
              </w:rPr>
            </w:pPr>
          </w:p>
        </w:tc>
        <w:tc>
          <w:tcPr>
            <w:tcW w:w="580" w:type="dxa"/>
            <w:vAlign w:val="bottom"/>
            <w:shd w:val="clear" w:color="auto" w:fill="2AD2C8"/>
          </w:tcPr>
          <w:p>
            <w:pPr>
              <w:spacing w:after="0"/>
              <w:rPr>
                <w:sz w:val="22"/>
                <w:szCs w:val="22"/>
                <w:color w:val="auto"/>
              </w:rPr>
            </w:pPr>
          </w:p>
        </w:tc>
        <w:tc>
          <w:tcPr>
            <w:tcW w:w="100" w:type="dxa"/>
            <w:vAlign w:val="bottom"/>
            <w:tcBorders>
              <w:right w:val="single" w:sz="8" w:color="2AD2C8"/>
            </w:tcBorders>
            <w:shd w:val="clear" w:color="auto" w:fill="2AD2C8"/>
          </w:tcPr>
          <w:p>
            <w:pPr>
              <w:spacing w:after="0"/>
              <w:rPr>
                <w:sz w:val="22"/>
                <w:szCs w:val="22"/>
                <w:color w:val="auto"/>
              </w:rPr>
            </w:pPr>
          </w:p>
        </w:tc>
        <w:tc>
          <w:tcPr>
            <w:tcW w:w="1500" w:type="dxa"/>
            <w:vAlign w:val="bottom"/>
            <w:shd w:val="clear" w:color="auto" w:fill="2AD2C8"/>
          </w:tcPr>
          <w:p>
            <w:pPr>
              <w:spacing w:after="0"/>
              <w:rPr>
                <w:sz w:val="22"/>
                <w:szCs w:val="22"/>
                <w:color w:val="auto"/>
              </w:rPr>
            </w:pPr>
          </w:p>
        </w:tc>
        <w:tc>
          <w:tcPr>
            <w:tcW w:w="920" w:type="dxa"/>
            <w:vAlign w:val="bottom"/>
            <w:tcBorders>
              <w:right w:val="single" w:sz="8" w:color="2AD2C8"/>
            </w:tcBorders>
            <w:shd w:val="clear" w:color="auto" w:fill="2AD2C8"/>
          </w:tcPr>
          <w:p>
            <w:pPr>
              <w:spacing w:after="0"/>
              <w:rPr>
                <w:sz w:val="22"/>
                <w:szCs w:val="22"/>
                <w:color w:val="auto"/>
              </w:rPr>
            </w:pPr>
          </w:p>
        </w:tc>
        <w:tc>
          <w:tcPr>
            <w:tcW w:w="1080" w:type="dxa"/>
            <w:vAlign w:val="bottom"/>
            <w:tcBorders>
              <w:right w:val="single" w:sz="8" w:color="2AD2C8"/>
            </w:tcBorders>
            <w:shd w:val="clear" w:color="auto" w:fill="2AD2C8"/>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560" w:type="dxa"/>
            <w:vAlign w:val="bottom"/>
            <w:tcBorders>
              <w:left w:val="single" w:sz="8" w:color="2AD2C8"/>
            </w:tcBorders>
            <w:shd w:val="clear" w:color="auto" w:fill="2AD2C8"/>
          </w:tcPr>
          <w:p>
            <w:pPr>
              <w:spacing w:after="0"/>
              <w:rPr>
                <w:sz w:val="7"/>
                <w:szCs w:val="7"/>
                <w:color w:val="auto"/>
              </w:rPr>
            </w:pPr>
          </w:p>
        </w:tc>
        <w:tc>
          <w:tcPr>
            <w:tcW w:w="960" w:type="dxa"/>
            <w:vAlign w:val="bottom"/>
            <w:tcBorders>
              <w:right w:val="single" w:sz="8" w:color="2AD2C8"/>
            </w:tcBorders>
            <w:shd w:val="clear" w:color="auto" w:fill="2AD2C8"/>
          </w:tcPr>
          <w:p>
            <w:pPr>
              <w:spacing w:after="0"/>
              <w:rPr>
                <w:sz w:val="7"/>
                <w:szCs w:val="7"/>
                <w:color w:val="auto"/>
              </w:rPr>
            </w:pPr>
          </w:p>
        </w:tc>
        <w:tc>
          <w:tcPr>
            <w:tcW w:w="1140" w:type="dxa"/>
            <w:vAlign w:val="bottom"/>
            <w:shd w:val="clear" w:color="auto" w:fill="2AD2C8"/>
          </w:tcPr>
          <w:p>
            <w:pPr>
              <w:spacing w:after="0"/>
              <w:rPr>
                <w:sz w:val="7"/>
                <w:szCs w:val="7"/>
                <w:color w:val="auto"/>
              </w:rPr>
            </w:pPr>
          </w:p>
        </w:tc>
        <w:tc>
          <w:tcPr>
            <w:tcW w:w="880" w:type="dxa"/>
            <w:vAlign w:val="bottom"/>
            <w:shd w:val="clear" w:color="auto" w:fill="2AD2C8"/>
          </w:tcPr>
          <w:p>
            <w:pPr>
              <w:spacing w:after="0"/>
              <w:rPr>
                <w:sz w:val="7"/>
                <w:szCs w:val="7"/>
                <w:color w:val="auto"/>
              </w:rPr>
            </w:pPr>
          </w:p>
        </w:tc>
        <w:tc>
          <w:tcPr>
            <w:tcW w:w="820" w:type="dxa"/>
            <w:vAlign w:val="bottom"/>
            <w:tcBorders>
              <w:right w:val="single" w:sz="8" w:color="2AD2C8"/>
            </w:tcBorders>
            <w:shd w:val="clear" w:color="auto" w:fill="2AD2C8"/>
          </w:tcPr>
          <w:p>
            <w:pPr>
              <w:spacing w:after="0"/>
              <w:rPr>
                <w:sz w:val="7"/>
                <w:szCs w:val="7"/>
                <w:color w:val="auto"/>
              </w:rPr>
            </w:pPr>
          </w:p>
        </w:tc>
        <w:tc>
          <w:tcPr>
            <w:tcW w:w="1280" w:type="dxa"/>
            <w:vAlign w:val="bottom"/>
            <w:gridSpan w:val="2"/>
            <w:shd w:val="clear" w:color="auto" w:fill="2AD2C8"/>
          </w:tcPr>
          <w:p>
            <w:pPr>
              <w:spacing w:after="0"/>
              <w:rPr>
                <w:sz w:val="7"/>
                <w:szCs w:val="7"/>
                <w:color w:val="auto"/>
              </w:rPr>
            </w:pPr>
          </w:p>
        </w:tc>
        <w:tc>
          <w:tcPr>
            <w:tcW w:w="100" w:type="dxa"/>
            <w:vAlign w:val="bottom"/>
            <w:tcBorders>
              <w:right w:val="single" w:sz="8" w:color="2AD2C8"/>
            </w:tcBorders>
            <w:shd w:val="clear" w:color="auto" w:fill="2AD2C8"/>
          </w:tcPr>
          <w:p>
            <w:pPr>
              <w:spacing w:after="0"/>
              <w:rPr>
                <w:sz w:val="7"/>
                <w:szCs w:val="7"/>
                <w:color w:val="auto"/>
              </w:rPr>
            </w:pPr>
          </w:p>
        </w:tc>
        <w:tc>
          <w:tcPr>
            <w:tcW w:w="1500" w:type="dxa"/>
            <w:vAlign w:val="bottom"/>
            <w:shd w:val="clear" w:color="auto" w:fill="2AD2C8"/>
          </w:tcPr>
          <w:p>
            <w:pPr>
              <w:spacing w:after="0"/>
              <w:rPr>
                <w:sz w:val="7"/>
                <w:szCs w:val="7"/>
                <w:color w:val="auto"/>
              </w:rPr>
            </w:pPr>
          </w:p>
        </w:tc>
        <w:tc>
          <w:tcPr>
            <w:tcW w:w="920" w:type="dxa"/>
            <w:vAlign w:val="bottom"/>
            <w:tcBorders>
              <w:right w:val="single" w:sz="8" w:color="2AD2C8"/>
            </w:tcBorders>
            <w:shd w:val="clear" w:color="auto" w:fill="2AD2C8"/>
          </w:tcPr>
          <w:p>
            <w:pPr>
              <w:spacing w:after="0"/>
              <w:rPr>
                <w:sz w:val="7"/>
                <w:szCs w:val="7"/>
                <w:color w:val="auto"/>
              </w:rPr>
            </w:pPr>
          </w:p>
        </w:tc>
        <w:tc>
          <w:tcPr>
            <w:tcW w:w="1080" w:type="dxa"/>
            <w:vAlign w:val="bottom"/>
            <w:tcBorders>
              <w:right w:val="single" w:sz="8" w:color="2AD2C8"/>
            </w:tcBorders>
            <w:shd w:val="clear" w:color="auto" w:fill="2AD2C8"/>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tcBorders>
            <w:shd w:val="clear" w:color="auto" w:fill="2AD2C8"/>
          </w:tcPr>
          <w:p>
            <w:pPr>
              <w:ind w:left="60"/>
              <w:spacing w:after="0"/>
              <w:rPr>
                <w:sz w:val="20"/>
                <w:szCs w:val="20"/>
                <w:color w:val="auto"/>
              </w:rPr>
            </w:pPr>
            <w:r>
              <w:rPr>
                <w:rFonts w:ascii="Calibri" w:cs="Calibri" w:eastAsia="Calibri" w:hAnsi="Calibri"/>
                <w:sz w:val="13"/>
                <w:szCs w:val="13"/>
                <w:b w:val="1"/>
                <w:bCs w:val="1"/>
                <w:color w:val="FFFFFF"/>
              </w:rPr>
              <w:t>Credicorp Ltd.</w:t>
            </w:r>
          </w:p>
        </w:tc>
        <w:tc>
          <w:tcPr>
            <w:tcW w:w="960" w:type="dxa"/>
            <w:vAlign w:val="bottom"/>
            <w:tcBorders>
              <w:right w:val="single" w:sz="8" w:color="auto"/>
            </w:tcBorders>
            <w:shd w:val="clear" w:color="auto" w:fill="2AD2C8"/>
          </w:tcPr>
          <w:p>
            <w:pPr>
              <w:spacing w:after="0"/>
              <w:rPr>
                <w:sz w:val="16"/>
                <w:szCs w:val="16"/>
                <w:color w:val="auto"/>
              </w:rPr>
            </w:pPr>
          </w:p>
        </w:tc>
        <w:tc>
          <w:tcPr>
            <w:tcW w:w="1140" w:type="dxa"/>
            <w:vAlign w:val="bottom"/>
            <w:shd w:val="clear" w:color="auto" w:fill="2AD2C8"/>
          </w:tcPr>
          <w:p>
            <w:pPr>
              <w:spacing w:after="0"/>
              <w:rPr>
                <w:sz w:val="16"/>
                <w:szCs w:val="16"/>
                <w:color w:val="auto"/>
              </w:rPr>
            </w:pPr>
          </w:p>
        </w:tc>
        <w:tc>
          <w:tcPr>
            <w:tcW w:w="880" w:type="dxa"/>
            <w:vAlign w:val="bottom"/>
            <w:shd w:val="clear" w:color="auto" w:fill="2AD2C8"/>
          </w:tcPr>
          <w:p>
            <w:pPr>
              <w:jc w:val="right"/>
              <w:ind w:right="321"/>
              <w:spacing w:after="0"/>
              <w:rPr>
                <w:sz w:val="20"/>
                <w:szCs w:val="20"/>
                <w:color w:val="auto"/>
              </w:rPr>
            </w:pPr>
            <w:r>
              <w:rPr>
                <w:rFonts w:ascii="Calibri" w:cs="Calibri" w:eastAsia="Calibri" w:hAnsi="Calibri"/>
                <w:sz w:val="13"/>
                <w:szCs w:val="13"/>
                <w:b w:val="1"/>
                <w:bCs w:val="1"/>
                <w:color w:val="FFFFFF"/>
              </w:rPr>
              <w:t>Quarter</w:t>
            </w:r>
          </w:p>
        </w:tc>
        <w:tc>
          <w:tcPr>
            <w:tcW w:w="820" w:type="dxa"/>
            <w:vAlign w:val="bottom"/>
            <w:tcBorders>
              <w:right w:val="single" w:sz="8" w:color="auto"/>
            </w:tcBorders>
            <w:shd w:val="clear" w:color="auto" w:fill="2AD2C8"/>
          </w:tcPr>
          <w:p>
            <w:pPr>
              <w:spacing w:after="0"/>
              <w:rPr>
                <w:sz w:val="16"/>
                <w:szCs w:val="16"/>
                <w:color w:val="auto"/>
              </w:rPr>
            </w:pPr>
          </w:p>
        </w:tc>
        <w:tc>
          <w:tcPr>
            <w:tcW w:w="1280" w:type="dxa"/>
            <w:vAlign w:val="bottom"/>
            <w:gridSpan w:val="2"/>
            <w:shd w:val="clear" w:color="auto" w:fill="2AD2C8"/>
          </w:tcPr>
          <w:p>
            <w:pPr>
              <w:ind w:left="420"/>
              <w:spacing w:after="0"/>
              <w:rPr>
                <w:sz w:val="20"/>
                <w:szCs w:val="20"/>
                <w:color w:val="auto"/>
              </w:rPr>
            </w:pPr>
            <w:r>
              <w:rPr>
                <w:rFonts w:ascii="Calibri" w:cs="Calibri" w:eastAsia="Calibri" w:hAnsi="Calibri"/>
                <w:sz w:val="13"/>
                <w:szCs w:val="13"/>
                <w:b w:val="1"/>
                <w:bCs w:val="1"/>
                <w:color w:val="FFFFFF"/>
              </w:rPr>
              <w:t>% change</w:t>
            </w:r>
          </w:p>
        </w:tc>
        <w:tc>
          <w:tcPr>
            <w:tcW w:w="100" w:type="dxa"/>
            <w:vAlign w:val="bottom"/>
            <w:tcBorders>
              <w:right w:val="single" w:sz="8" w:color="auto"/>
            </w:tcBorders>
            <w:shd w:val="clear" w:color="auto" w:fill="2AD2C8"/>
          </w:tcPr>
          <w:p>
            <w:pPr>
              <w:spacing w:after="0"/>
              <w:rPr>
                <w:sz w:val="16"/>
                <w:szCs w:val="16"/>
                <w:color w:val="auto"/>
              </w:rPr>
            </w:pPr>
          </w:p>
        </w:tc>
        <w:tc>
          <w:tcPr>
            <w:tcW w:w="1500" w:type="dxa"/>
            <w:vAlign w:val="bottom"/>
            <w:shd w:val="clear" w:color="auto" w:fill="2AD2C8"/>
          </w:tcPr>
          <w:p>
            <w:pPr>
              <w:jc w:val="right"/>
              <w:ind w:right="581"/>
              <w:spacing w:after="0"/>
              <w:rPr>
                <w:sz w:val="20"/>
                <w:szCs w:val="20"/>
                <w:color w:val="auto"/>
              </w:rPr>
            </w:pPr>
            <w:r>
              <w:rPr>
                <w:rFonts w:ascii="Calibri" w:cs="Calibri" w:eastAsia="Calibri" w:hAnsi="Calibri"/>
                <w:sz w:val="13"/>
                <w:szCs w:val="13"/>
                <w:b w:val="1"/>
                <w:bCs w:val="1"/>
                <w:color w:val="FFFFFF"/>
              </w:rPr>
              <w:t>As of</w:t>
            </w:r>
          </w:p>
        </w:tc>
        <w:tc>
          <w:tcPr>
            <w:tcW w:w="920" w:type="dxa"/>
            <w:vAlign w:val="bottom"/>
            <w:tcBorders>
              <w:right w:val="single" w:sz="8" w:color="auto"/>
            </w:tcBorders>
            <w:shd w:val="clear" w:color="auto" w:fill="2AD2C8"/>
          </w:tcPr>
          <w:p>
            <w:pPr>
              <w:spacing w:after="0"/>
              <w:rPr>
                <w:sz w:val="16"/>
                <w:szCs w:val="16"/>
                <w:color w:val="auto"/>
              </w:rPr>
            </w:pPr>
          </w:p>
        </w:tc>
        <w:tc>
          <w:tcPr>
            <w:tcW w:w="1080" w:type="dxa"/>
            <w:vAlign w:val="bottom"/>
            <w:tcBorders>
              <w:right w:val="single" w:sz="8" w:color="auto"/>
            </w:tcBorders>
            <w:shd w:val="clear" w:color="auto" w:fill="2AD2C8"/>
          </w:tcPr>
          <w:p>
            <w:pPr>
              <w:jc w:val="center"/>
              <w:spacing w:after="0"/>
              <w:rPr>
                <w:sz w:val="20"/>
                <w:szCs w:val="20"/>
                <w:color w:val="auto"/>
              </w:rPr>
            </w:pPr>
            <w:r>
              <w:rPr>
                <w:rFonts w:ascii="Calibri" w:cs="Calibri" w:eastAsia="Calibri" w:hAnsi="Calibri"/>
                <w:sz w:val="13"/>
                <w:szCs w:val="13"/>
                <w:b w:val="1"/>
                <w:bCs w:val="1"/>
                <w:color w:val="FFFFFF"/>
                <w:w w:val="98"/>
              </w:rPr>
              <w:t>% change</w:t>
            </w:r>
          </w:p>
        </w:tc>
        <w:tc>
          <w:tcPr>
            <w:tcW w:w="0" w:type="dxa"/>
            <w:vAlign w:val="bottom"/>
          </w:tcPr>
          <w:p>
            <w:pPr>
              <w:spacing w:after="0"/>
              <w:rPr>
                <w:sz w:val="1"/>
                <w:szCs w:val="1"/>
                <w:color w:val="auto"/>
              </w:rPr>
            </w:pPr>
          </w:p>
        </w:tc>
      </w:tr>
      <w:tr>
        <w:trPr>
          <w:trHeight w:val="154"/>
        </w:trPr>
        <w:tc>
          <w:tcPr>
            <w:tcW w:w="2560" w:type="dxa"/>
            <w:vAlign w:val="bottom"/>
            <w:tcBorders>
              <w:left w:val="single" w:sz="8" w:color="auto"/>
              <w:bottom w:val="single" w:sz="8" w:color="auto"/>
            </w:tcBorders>
            <w:shd w:val="clear" w:color="auto" w:fill="2AD2C8"/>
          </w:tcPr>
          <w:p>
            <w:pPr>
              <w:ind w:left="80"/>
              <w:spacing w:after="0" w:line="149" w:lineRule="exact"/>
              <w:rPr>
                <w:sz w:val="20"/>
                <w:szCs w:val="20"/>
                <w:color w:val="auto"/>
              </w:rPr>
            </w:pPr>
            <w:r>
              <w:rPr>
                <w:rFonts w:ascii="Calibri" w:cs="Calibri" w:eastAsia="Calibri" w:hAnsi="Calibri"/>
                <w:sz w:val="13"/>
                <w:szCs w:val="13"/>
                <w:b w:val="1"/>
                <w:bCs w:val="1"/>
                <w:color w:val="FFFFFF"/>
              </w:rPr>
              <w:t>S/ 000</w:t>
            </w:r>
          </w:p>
        </w:tc>
        <w:tc>
          <w:tcPr>
            <w:tcW w:w="960" w:type="dxa"/>
            <w:vAlign w:val="bottom"/>
            <w:tcBorders>
              <w:bottom w:val="single" w:sz="8" w:color="auto"/>
              <w:right w:val="single" w:sz="8" w:color="auto"/>
            </w:tcBorders>
            <w:shd w:val="clear" w:color="auto" w:fill="2AD2C8"/>
          </w:tcPr>
          <w:p>
            <w:pPr>
              <w:spacing w:after="0"/>
              <w:rPr>
                <w:sz w:val="13"/>
                <w:szCs w:val="13"/>
                <w:color w:val="auto"/>
              </w:rPr>
            </w:pPr>
          </w:p>
        </w:tc>
        <w:tc>
          <w:tcPr>
            <w:tcW w:w="1140" w:type="dxa"/>
            <w:vAlign w:val="bottom"/>
            <w:tcBorders>
              <w:bottom w:val="single" w:sz="8" w:color="auto"/>
            </w:tcBorders>
            <w:shd w:val="clear" w:color="auto" w:fill="2AD2C8"/>
          </w:tcPr>
          <w:p>
            <w:pPr>
              <w:jc w:val="right"/>
              <w:ind w:right="461"/>
              <w:spacing w:after="0" w:line="149" w:lineRule="exact"/>
              <w:rPr>
                <w:sz w:val="20"/>
                <w:szCs w:val="20"/>
                <w:color w:val="auto"/>
              </w:rPr>
            </w:pPr>
            <w:r>
              <w:rPr>
                <w:rFonts w:ascii="Calibri" w:cs="Calibri" w:eastAsia="Calibri" w:hAnsi="Calibri"/>
                <w:sz w:val="13"/>
                <w:szCs w:val="13"/>
                <w:b w:val="1"/>
                <w:bCs w:val="1"/>
                <w:color w:val="FFFFFF"/>
              </w:rPr>
              <w:t>3Q23</w:t>
            </w:r>
          </w:p>
        </w:tc>
        <w:tc>
          <w:tcPr>
            <w:tcW w:w="880" w:type="dxa"/>
            <w:vAlign w:val="bottom"/>
            <w:tcBorders>
              <w:bottom w:val="single" w:sz="8" w:color="auto"/>
            </w:tcBorders>
            <w:shd w:val="clear" w:color="auto" w:fill="2AD2C8"/>
          </w:tcPr>
          <w:p>
            <w:pPr>
              <w:jc w:val="right"/>
              <w:ind w:right="381"/>
              <w:spacing w:after="0" w:line="149" w:lineRule="exact"/>
              <w:rPr>
                <w:sz w:val="20"/>
                <w:szCs w:val="20"/>
                <w:color w:val="auto"/>
              </w:rPr>
            </w:pPr>
            <w:r>
              <w:rPr>
                <w:rFonts w:ascii="Calibri" w:cs="Calibri" w:eastAsia="Calibri" w:hAnsi="Calibri"/>
                <w:sz w:val="13"/>
                <w:szCs w:val="13"/>
                <w:b w:val="1"/>
                <w:bCs w:val="1"/>
                <w:color w:val="FFFFFF"/>
              </w:rPr>
              <w:t>2Q24</w:t>
            </w:r>
          </w:p>
        </w:tc>
        <w:tc>
          <w:tcPr>
            <w:tcW w:w="820" w:type="dxa"/>
            <w:vAlign w:val="bottom"/>
            <w:tcBorders>
              <w:bottom w:val="single" w:sz="8" w:color="auto"/>
              <w:right w:val="single" w:sz="8" w:color="auto"/>
            </w:tcBorders>
            <w:shd w:val="clear" w:color="auto" w:fill="2AD2C8"/>
          </w:tcPr>
          <w:p>
            <w:pPr>
              <w:jc w:val="right"/>
              <w:ind w:right="281"/>
              <w:spacing w:after="0" w:line="149" w:lineRule="exact"/>
              <w:rPr>
                <w:sz w:val="20"/>
                <w:szCs w:val="20"/>
                <w:color w:val="auto"/>
              </w:rPr>
            </w:pPr>
            <w:r>
              <w:rPr>
                <w:rFonts w:ascii="Calibri" w:cs="Calibri" w:eastAsia="Calibri" w:hAnsi="Calibri"/>
                <w:sz w:val="13"/>
                <w:szCs w:val="13"/>
                <w:b w:val="1"/>
                <w:bCs w:val="1"/>
                <w:color w:val="FFFFFF"/>
              </w:rPr>
              <w:t>3Q24</w:t>
            </w:r>
          </w:p>
        </w:tc>
        <w:tc>
          <w:tcPr>
            <w:tcW w:w="700" w:type="dxa"/>
            <w:vAlign w:val="bottom"/>
            <w:tcBorders>
              <w:bottom w:val="single" w:sz="8" w:color="auto"/>
            </w:tcBorders>
            <w:shd w:val="clear" w:color="auto" w:fill="2AD2C8"/>
          </w:tcPr>
          <w:p>
            <w:pPr>
              <w:ind w:left="340"/>
              <w:spacing w:after="0" w:line="149" w:lineRule="exact"/>
              <w:rPr>
                <w:sz w:val="20"/>
                <w:szCs w:val="20"/>
                <w:color w:val="auto"/>
              </w:rPr>
            </w:pPr>
            <w:r>
              <w:rPr>
                <w:rFonts w:ascii="Calibri" w:cs="Calibri" w:eastAsia="Calibri" w:hAnsi="Calibri"/>
                <w:sz w:val="13"/>
                <w:szCs w:val="13"/>
                <w:b w:val="1"/>
                <w:bCs w:val="1"/>
                <w:color w:val="FFFFFF"/>
              </w:rPr>
              <w:t>QoQ</w:t>
            </w:r>
          </w:p>
        </w:tc>
        <w:tc>
          <w:tcPr>
            <w:tcW w:w="580" w:type="dxa"/>
            <w:vAlign w:val="bottom"/>
            <w:tcBorders>
              <w:bottom w:val="single" w:sz="8" w:color="auto"/>
            </w:tcBorders>
            <w:shd w:val="clear" w:color="auto" w:fill="2AD2C8"/>
          </w:tcPr>
          <w:p>
            <w:pPr>
              <w:ind w:left="120"/>
              <w:spacing w:after="0" w:line="149" w:lineRule="exact"/>
              <w:rPr>
                <w:sz w:val="20"/>
                <w:szCs w:val="20"/>
                <w:color w:val="auto"/>
              </w:rPr>
            </w:pPr>
            <w:r>
              <w:rPr>
                <w:rFonts w:ascii="Calibri" w:cs="Calibri" w:eastAsia="Calibri" w:hAnsi="Calibri"/>
                <w:sz w:val="13"/>
                <w:szCs w:val="13"/>
                <w:b w:val="1"/>
                <w:bCs w:val="1"/>
                <w:color w:val="FFFFFF"/>
              </w:rPr>
              <w:t>YoY</w:t>
            </w:r>
          </w:p>
        </w:tc>
        <w:tc>
          <w:tcPr>
            <w:tcW w:w="100" w:type="dxa"/>
            <w:vAlign w:val="bottom"/>
            <w:tcBorders>
              <w:bottom w:val="single" w:sz="8" w:color="auto"/>
              <w:right w:val="single" w:sz="8" w:color="auto"/>
            </w:tcBorders>
            <w:shd w:val="clear" w:color="auto" w:fill="2AD2C8"/>
          </w:tcPr>
          <w:p>
            <w:pPr>
              <w:spacing w:after="0"/>
              <w:rPr>
                <w:sz w:val="13"/>
                <w:szCs w:val="13"/>
                <w:color w:val="auto"/>
              </w:rPr>
            </w:pPr>
          </w:p>
        </w:tc>
        <w:tc>
          <w:tcPr>
            <w:tcW w:w="1500" w:type="dxa"/>
            <w:vAlign w:val="bottom"/>
            <w:tcBorders>
              <w:bottom w:val="single" w:sz="8" w:color="auto"/>
            </w:tcBorders>
            <w:shd w:val="clear" w:color="auto" w:fill="2AD2C8"/>
          </w:tcPr>
          <w:p>
            <w:pPr>
              <w:jc w:val="right"/>
              <w:ind w:right="541"/>
              <w:spacing w:after="0" w:line="149" w:lineRule="exact"/>
              <w:rPr>
                <w:sz w:val="20"/>
                <w:szCs w:val="20"/>
                <w:color w:val="auto"/>
              </w:rPr>
            </w:pPr>
            <w:r>
              <w:rPr>
                <w:rFonts w:ascii="Calibri" w:cs="Calibri" w:eastAsia="Calibri" w:hAnsi="Calibri"/>
                <w:sz w:val="13"/>
                <w:szCs w:val="13"/>
                <w:b w:val="1"/>
                <w:bCs w:val="1"/>
                <w:color w:val="FFFFFF"/>
              </w:rPr>
              <w:t>Sep 23</w:t>
            </w:r>
          </w:p>
        </w:tc>
        <w:tc>
          <w:tcPr>
            <w:tcW w:w="920" w:type="dxa"/>
            <w:vAlign w:val="bottom"/>
            <w:tcBorders>
              <w:bottom w:val="single" w:sz="8" w:color="auto"/>
              <w:right w:val="single" w:sz="8" w:color="auto"/>
            </w:tcBorders>
            <w:shd w:val="clear" w:color="auto" w:fill="2AD2C8"/>
          </w:tcPr>
          <w:p>
            <w:pPr>
              <w:jc w:val="right"/>
              <w:ind w:right="241"/>
              <w:spacing w:after="0" w:line="149" w:lineRule="exact"/>
              <w:rPr>
                <w:sz w:val="20"/>
                <w:szCs w:val="20"/>
                <w:color w:val="auto"/>
              </w:rPr>
            </w:pPr>
            <w:r>
              <w:rPr>
                <w:rFonts w:ascii="Calibri" w:cs="Calibri" w:eastAsia="Calibri" w:hAnsi="Calibri"/>
                <w:sz w:val="13"/>
                <w:szCs w:val="13"/>
                <w:b w:val="1"/>
                <w:bCs w:val="1"/>
                <w:color w:val="FFFFFF"/>
              </w:rPr>
              <w:t>Sep 24</w:t>
            </w:r>
          </w:p>
        </w:tc>
        <w:tc>
          <w:tcPr>
            <w:tcW w:w="1080" w:type="dxa"/>
            <w:vAlign w:val="bottom"/>
            <w:tcBorders>
              <w:bottom w:val="single" w:sz="8" w:color="auto"/>
              <w:right w:val="single" w:sz="8" w:color="auto"/>
            </w:tcBorders>
            <w:shd w:val="clear" w:color="auto" w:fill="2AD2C8"/>
          </w:tcPr>
          <w:p>
            <w:pPr>
              <w:jc w:val="center"/>
              <w:spacing w:after="0" w:line="149" w:lineRule="exact"/>
              <w:rPr>
                <w:sz w:val="20"/>
                <w:szCs w:val="20"/>
                <w:color w:val="auto"/>
              </w:rPr>
            </w:pPr>
            <w:r>
              <w:rPr>
                <w:rFonts w:ascii="Calibri" w:cs="Calibri" w:eastAsia="Calibri" w:hAnsi="Calibri"/>
                <w:sz w:val="13"/>
                <w:szCs w:val="13"/>
                <w:b w:val="1"/>
                <w:bCs w:val="1"/>
                <w:color w:val="FFFFFF"/>
                <w:w w:val="96"/>
              </w:rPr>
              <w:t>Sep 24 / Sep 23</w:t>
            </w:r>
          </w:p>
        </w:tc>
        <w:tc>
          <w:tcPr>
            <w:tcW w:w="0" w:type="dxa"/>
            <w:vAlign w:val="bottom"/>
          </w:tcPr>
          <w:p>
            <w:pPr>
              <w:spacing w:after="0"/>
              <w:rPr>
                <w:sz w:val="1"/>
                <w:szCs w:val="1"/>
                <w:color w:val="auto"/>
              </w:rPr>
            </w:pPr>
          </w:p>
        </w:tc>
      </w:tr>
      <w:tr>
        <w:trPr>
          <w:trHeight w:val="132"/>
        </w:trPr>
        <w:tc>
          <w:tcPr>
            <w:tcW w:w="2560" w:type="dxa"/>
            <w:vAlign w:val="bottom"/>
            <w:tcBorders>
              <w:left w:val="single" w:sz="8" w:color="auto"/>
            </w:tcBorders>
          </w:tcPr>
          <w:p>
            <w:pPr>
              <w:ind w:left="60"/>
              <w:spacing w:after="0" w:line="132" w:lineRule="exact"/>
              <w:rPr>
                <w:sz w:val="20"/>
                <w:szCs w:val="20"/>
                <w:color w:val="auto"/>
              </w:rPr>
            </w:pPr>
            <w:r>
              <w:rPr>
                <w:rFonts w:ascii="Calibri" w:cs="Calibri" w:eastAsia="Calibri" w:hAnsi="Calibri"/>
                <w:sz w:val="12"/>
                <w:szCs w:val="12"/>
                <w:color w:val="auto"/>
              </w:rPr>
              <w:t>Net interest, similar income and expenses</w:t>
            </w:r>
          </w:p>
        </w:tc>
        <w:tc>
          <w:tcPr>
            <w:tcW w:w="960" w:type="dxa"/>
            <w:vAlign w:val="bottom"/>
            <w:tcBorders>
              <w:right w:val="single" w:sz="8" w:color="auto"/>
            </w:tcBorders>
          </w:tcPr>
          <w:p>
            <w:pPr>
              <w:spacing w:after="0"/>
              <w:rPr>
                <w:sz w:val="11"/>
                <w:szCs w:val="11"/>
                <w:color w:val="auto"/>
              </w:rPr>
            </w:pPr>
          </w:p>
        </w:tc>
        <w:tc>
          <w:tcPr>
            <w:tcW w:w="1140" w:type="dxa"/>
            <w:vAlign w:val="bottom"/>
          </w:tcPr>
          <w:p>
            <w:pPr>
              <w:jc w:val="right"/>
              <w:ind w:right="201"/>
              <w:spacing w:after="0" w:line="132" w:lineRule="exact"/>
              <w:rPr>
                <w:sz w:val="20"/>
                <w:szCs w:val="20"/>
                <w:color w:val="auto"/>
              </w:rPr>
            </w:pPr>
            <w:r>
              <w:rPr>
                <w:rFonts w:ascii="Calibri" w:cs="Calibri" w:eastAsia="Calibri" w:hAnsi="Calibri"/>
                <w:sz w:val="12"/>
                <w:szCs w:val="12"/>
                <w:color w:val="auto"/>
              </w:rPr>
              <w:t>3,254,043</w:t>
            </w:r>
          </w:p>
        </w:tc>
        <w:tc>
          <w:tcPr>
            <w:tcW w:w="880" w:type="dxa"/>
            <w:vAlign w:val="bottom"/>
          </w:tcPr>
          <w:p>
            <w:pPr>
              <w:jc w:val="right"/>
              <w:ind w:right="141"/>
              <w:spacing w:after="0" w:line="132" w:lineRule="exact"/>
              <w:rPr>
                <w:sz w:val="20"/>
                <w:szCs w:val="20"/>
                <w:color w:val="auto"/>
              </w:rPr>
            </w:pPr>
            <w:r>
              <w:rPr>
                <w:rFonts w:ascii="Calibri" w:cs="Calibri" w:eastAsia="Calibri" w:hAnsi="Calibri"/>
                <w:sz w:val="12"/>
                <w:szCs w:val="12"/>
                <w:color w:val="auto"/>
              </w:rPr>
              <w:t>3,468,464</w:t>
            </w:r>
          </w:p>
        </w:tc>
        <w:tc>
          <w:tcPr>
            <w:tcW w:w="820" w:type="dxa"/>
            <w:vAlign w:val="bottom"/>
            <w:tcBorders>
              <w:right w:val="single" w:sz="8" w:color="auto"/>
            </w:tcBorders>
          </w:tcPr>
          <w:p>
            <w:pPr>
              <w:jc w:val="right"/>
              <w:ind w:right="1"/>
              <w:spacing w:after="0" w:line="132" w:lineRule="exact"/>
              <w:rPr>
                <w:sz w:val="20"/>
                <w:szCs w:val="20"/>
                <w:color w:val="auto"/>
              </w:rPr>
            </w:pPr>
            <w:r>
              <w:rPr>
                <w:rFonts w:ascii="Calibri" w:cs="Calibri" w:eastAsia="Calibri" w:hAnsi="Calibri"/>
                <w:sz w:val="12"/>
                <w:szCs w:val="12"/>
                <w:color w:val="auto"/>
              </w:rPr>
              <w:t>3,590,750</w:t>
            </w:r>
          </w:p>
        </w:tc>
        <w:tc>
          <w:tcPr>
            <w:tcW w:w="700" w:type="dxa"/>
            <w:vAlign w:val="bottom"/>
          </w:tcPr>
          <w:p>
            <w:pPr>
              <w:jc w:val="center"/>
              <w:spacing w:after="0" w:line="132" w:lineRule="exact"/>
              <w:rPr>
                <w:sz w:val="20"/>
                <w:szCs w:val="20"/>
                <w:color w:val="auto"/>
              </w:rPr>
            </w:pPr>
            <w:r>
              <w:rPr>
                <w:rFonts w:ascii="Calibri" w:cs="Calibri" w:eastAsia="Calibri" w:hAnsi="Calibri"/>
                <w:sz w:val="12"/>
                <w:szCs w:val="12"/>
                <w:color w:val="auto"/>
              </w:rPr>
              <w:t>3.5%</w:t>
            </w:r>
          </w:p>
        </w:tc>
        <w:tc>
          <w:tcPr>
            <w:tcW w:w="580" w:type="dxa"/>
            <w:vAlign w:val="bottom"/>
          </w:tcPr>
          <w:p>
            <w:pPr>
              <w:jc w:val="center"/>
              <w:ind w:left="41"/>
              <w:spacing w:after="0" w:line="132" w:lineRule="exact"/>
              <w:rPr>
                <w:sz w:val="20"/>
                <w:szCs w:val="20"/>
                <w:color w:val="auto"/>
              </w:rPr>
            </w:pPr>
            <w:r>
              <w:rPr>
                <w:rFonts w:ascii="Calibri" w:cs="Calibri" w:eastAsia="Calibri" w:hAnsi="Calibri"/>
                <w:sz w:val="12"/>
                <w:szCs w:val="12"/>
                <w:color w:val="auto"/>
                <w:w w:val="93"/>
              </w:rPr>
              <w:t>10.3%</w:t>
            </w:r>
          </w:p>
        </w:tc>
        <w:tc>
          <w:tcPr>
            <w:tcW w:w="100" w:type="dxa"/>
            <w:vAlign w:val="bottom"/>
            <w:tcBorders>
              <w:right w:val="single" w:sz="8" w:color="auto"/>
            </w:tcBorders>
          </w:tcPr>
          <w:p>
            <w:pPr>
              <w:spacing w:after="0"/>
              <w:rPr>
                <w:sz w:val="11"/>
                <w:szCs w:val="11"/>
                <w:color w:val="auto"/>
              </w:rPr>
            </w:pPr>
          </w:p>
        </w:tc>
        <w:tc>
          <w:tcPr>
            <w:tcW w:w="1500" w:type="dxa"/>
            <w:vAlign w:val="bottom"/>
          </w:tcPr>
          <w:p>
            <w:pPr>
              <w:jc w:val="right"/>
              <w:ind w:right="261"/>
              <w:spacing w:after="0" w:line="132" w:lineRule="exact"/>
              <w:rPr>
                <w:sz w:val="20"/>
                <w:szCs w:val="20"/>
                <w:color w:val="auto"/>
              </w:rPr>
            </w:pPr>
            <w:r>
              <w:rPr>
                <w:rFonts w:ascii="Calibri" w:cs="Calibri" w:eastAsia="Calibri" w:hAnsi="Calibri"/>
                <w:sz w:val="12"/>
                <w:szCs w:val="12"/>
                <w:color w:val="auto"/>
              </w:rPr>
              <w:t>9,590,288</w:t>
            </w:r>
          </w:p>
        </w:tc>
        <w:tc>
          <w:tcPr>
            <w:tcW w:w="920" w:type="dxa"/>
            <w:vAlign w:val="bottom"/>
            <w:tcBorders>
              <w:right w:val="single" w:sz="8" w:color="auto"/>
            </w:tcBorders>
          </w:tcPr>
          <w:p>
            <w:pPr>
              <w:jc w:val="right"/>
              <w:ind w:right="1"/>
              <w:spacing w:after="0" w:line="132" w:lineRule="exact"/>
              <w:rPr>
                <w:sz w:val="20"/>
                <w:szCs w:val="20"/>
                <w:color w:val="auto"/>
              </w:rPr>
            </w:pPr>
            <w:r>
              <w:rPr>
                <w:rFonts w:ascii="Calibri" w:cs="Calibri" w:eastAsia="Calibri" w:hAnsi="Calibri"/>
                <w:sz w:val="12"/>
                <w:szCs w:val="12"/>
                <w:color w:val="auto"/>
              </w:rPr>
              <w:t>10,485,337</w:t>
            </w:r>
          </w:p>
        </w:tc>
        <w:tc>
          <w:tcPr>
            <w:tcW w:w="108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2"/>
                <w:szCs w:val="12"/>
                <w:color w:val="auto"/>
              </w:rPr>
              <w:t>9.3%</w:t>
            </w:r>
          </w:p>
        </w:tc>
        <w:tc>
          <w:tcPr>
            <w:tcW w:w="0" w:type="dxa"/>
            <w:vAlign w:val="bottom"/>
          </w:tcPr>
          <w:p>
            <w:pPr>
              <w:spacing w:after="0"/>
              <w:rPr>
                <w:sz w:val="1"/>
                <w:szCs w:val="1"/>
                <w:color w:val="auto"/>
              </w:rPr>
            </w:pPr>
          </w:p>
        </w:tc>
      </w:tr>
      <w:tr>
        <w:trPr>
          <w:trHeight w:val="138"/>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color w:val="auto"/>
              </w:rPr>
              <w:t>Provision for credit losses on loan portolio, net of</w:t>
            </w:r>
          </w:p>
        </w:tc>
        <w:tc>
          <w:tcPr>
            <w:tcW w:w="960" w:type="dxa"/>
            <w:vAlign w:val="bottom"/>
            <w:tcBorders>
              <w:right w:val="single" w:sz="8" w:color="auto"/>
            </w:tcBorders>
          </w:tcPr>
          <w:p>
            <w:pPr>
              <w:spacing w:after="0"/>
              <w:rPr>
                <w:sz w:val="11"/>
                <w:szCs w:val="11"/>
                <w:color w:val="auto"/>
              </w:rPr>
            </w:pPr>
          </w:p>
        </w:tc>
        <w:tc>
          <w:tcPr>
            <w:tcW w:w="1140" w:type="dxa"/>
            <w:vAlign w:val="bottom"/>
            <w:vMerge w:val="restart"/>
          </w:tcPr>
          <w:p>
            <w:pPr>
              <w:jc w:val="right"/>
              <w:ind w:right="161"/>
              <w:spacing w:after="0"/>
              <w:rPr>
                <w:sz w:val="20"/>
                <w:szCs w:val="20"/>
                <w:color w:val="auto"/>
              </w:rPr>
            </w:pPr>
            <w:r>
              <w:rPr>
                <w:rFonts w:ascii="Calibri" w:cs="Calibri" w:eastAsia="Calibri" w:hAnsi="Calibri"/>
                <w:sz w:val="12"/>
                <w:szCs w:val="12"/>
                <w:color w:val="auto"/>
              </w:rPr>
              <w:t>(917,642)</w:t>
            </w:r>
          </w:p>
        </w:tc>
        <w:tc>
          <w:tcPr>
            <w:tcW w:w="880" w:type="dxa"/>
            <w:vAlign w:val="bottom"/>
            <w:vMerge w:val="restart"/>
          </w:tcPr>
          <w:p>
            <w:pPr>
              <w:jc w:val="right"/>
              <w:ind w:right="101"/>
              <w:spacing w:after="0"/>
              <w:rPr>
                <w:sz w:val="20"/>
                <w:szCs w:val="20"/>
                <w:color w:val="auto"/>
              </w:rPr>
            </w:pPr>
            <w:r>
              <w:rPr>
                <w:rFonts w:ascii="Calibri" w:cs="Calibri" w:eastAsia="Calibri" w:hAnsi="Calibri"/>
                <w:sz w:val="12"/>
                <w:szCs w:val="12"/>
                <w:color w:val="auto"/>
              </w:rPr>
              <w:t>(1,093,371)</w:t>
            </w:r>
          </w:p>
        </w:tc>
        <w:tc>
          <w:tcPr>
            <w:tcW w:w="82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2"/>
                <w:szCs w:val="12"/>
                <w:color w:val="auto"/>
              </w:rPr>
              <w:t>(868,081)</w:t>
            </w:r>
          </w:p>
        </w:tc>
        <w:tc>
          <w:tcPr>
            <w:tcW w:w="700" w:type="dxa"/>
            <w:vAlign w:val="bottom"/>
            <w:vMerge w:val="restart"/>
          </w:tcPr>
          <w:p>
            <w:pPr>
              <w:jc w:val="center"/>
              <w:spacing w:after="0"/>
              <w:rPr>
                <w:sz w:val="20"/>
                <w:szCs w:val="20"/>
                <w:color w:val="auto"/>
              </w:rPr>
            </w:pPr>
            <w:r>
              <w:rPr>
                <w:rFonts w:ascii="Calibri" w:cs="Calibri" w:eastAsia="Calibri" w:hAnsi="Calibri"/>
                <w:sz w:val="12"/>
                <w:szCs w:val="12"/>
                <w:color w:val="auto"/>
                <w:w w:val="95"/>
              </w:rPr>
              <w:t>-20.6%</w:t>
            </w:r>
          </w:p>
        </w:tc>
        <w:tc>
          <w:tcPr>
            <w:tcW w:w="580" w:type="dxa"/>
            <w:vAlign w:val="bottom"/>
            <w:vMerge w:val="restart"/>
          </w:tcPr>
          <w:p>
            <w:pPr>
              <w:jc w:val="center"/>
              <w:ind w:left="41"/>
              <w:spacing w:after="0"/>
              <w:rPr>
                <w:sz w:val="20"/>
                <w:szCs w:val="20"/>
                <w:color w:val="auto"/>
              </w:rPr>
            </w:pPr>
            <w:r>
              <w:rPr>
                <w:rFonts w:ascii="Calibri" w:cs="Calibri" w:eastAsia="Calibri" w:hAnsi="Calibri"/>
                <w:sz w:val="12"/>
                <w:szCs w:val="12"/>
                <w:color w:val="auto"/>
              </w:rPr>
              <w:t>-5.4%</w:t>
            </w:r>
          </w:p>
        </w:tc>
        <w:tc>
          <w:tcPr>
            <w:tcW w:w="100" w:type="dxa"/>
            <w:vAlign w:val="bottom"/>
            <w:tcBorders>
              <w:right w:val="single" w:sz="8" w:color="auto"/>
            </w:tcBorders>
          </w:tcPr>
          <w:p>
            <w:pPr>
              <w:spacing w:after="0"/>
              <w:rPr>
                <w:sz w:val="11"/>
                <w:szCs w:val="11"/>
                <w:color w:val="auto"/>
              </w:rPr>
            </w:pPr>
          </w:p>
        </w:tc>
        <w:tc>
          <w:tcPr>
            <w:tcW w:w="1500" w:type="dxa"/>
            <w:vAlign w:val="bottom"/>
            <w:vMerge w:val="restart"/>
          </w:tcPr>
          <w:p>
            <w:pPr>
              <w:jc w:val="right"/>
              <w:ind w:right="221"/>
              <w:spacing w:after="0"/>
              <w:rPr>
                <w:sz w:val="20"/>
                <w:szCs w:val="20"/>
                <w:color w:val="auto"/>
              </w:rPr>
            </w:pPr>
            <w:r>
              <w:rPr>
                <w:rFonts w:ascii="Calibri" w:cs="Calibri" w:eastAsia="Calibri" w:hAnsi="Calibri"/>
                <w:sz w:val="12"/>
                <w:szCs w:val="12"/>
                <w:color w:val="auto"/>
              </w:rPr>
              <w:t>(2,448,891)</w:t>
            </w:r>
          </w:p>
        </w:tc>
        <w:tc>
          <w:tcPr>
            <w:tcW w:w="92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2"/>
                <w:szCs w:val="12"/>
                <w:color w:val="auto"/>
              </w:rPr>
              <w:t>(2,776,151)</w:t>
            </w:r>
          </w:p>
        </w:tc>
        <w:tc>
          <w:tcPr>
            <w:tcW w:w="10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13.4%</w:t>
            </w:r>
          </w:p>
        </w:tc>
        <w:tc>
          <w:tcPr>
            <w:tcW w:w="0" w:type="dxa"/>
            <w:vAlign w:val="bottom"/>
          </w:tcPr>
          <w:p>
            <w:pPr>
              <w:spacing w:after="0"/>
              <w:rPr>
                <w:sz w:val="1"/>
                <w:szCs w:val="1"/>
                <w:color w:val="auto"/>
              </w:rPr>
            </w:pPr>
          </w:p>
        </w:tc>
      </w:tr>
      <w:tr>
        <w:trPr>
          <w:trHeight w:val="81"/>
        </w:trPr>
        <w:tc>
          <w:tcPr>
            <w:tcW w:w="2560" w:type="dxa"/>
            <w:vAlign w:val="bottom"/>
            <w:tcBorders>
              <w:left w:val="single" w:sz="8" w:color="auto"/>
            </w:tcBorders>
            <w:vMerge w:val="restart"/>
          </w:tcPr>
          <w:p>
            <w:pPr>
              <w:ind w:left="60"/>
              <w:spacing w:after="0"/>
              <w:rPr>
                <w:sz w:val="20"/>
                <w:szCs w:val="20"/>
                <w:color w:val="auto"/>
              </w:rPr>
            </w:pPr>
            <w:r>
              <w:rPr>
                <w:rFonts w:ascii="Calibri" w:cs="Calibri" w:eastAsia="Calibri" w:hAnsi="Calibri"/>
                <w:sz w:val="12"/>
                <w:szCs w:val="12"/>
                <w:color w:val="auto"/>
              </w:rPr>
              <w:t>recoveries</w:t>
            </w:r>
          </w:p>
        </w:tc>
        <w:tc>
          <w:tcPr>
            <w:tcW w:w="960" w:type="dxa"/>
            <w:vAlign w:val="bottom"/>
            <w:tcBorders>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500" w:type="dxa"/>
            <w:vAlign w:val="bottom"/>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560" w:type="dxa"/>
            <w:vAlign w:val="bottom"/>
            <w:tcBorders>
              <w:left w:val="single" w:sz="8" w:color="auto"/>
            </w:tcBorders>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b w:val="1"/>
                <w:bCs w:val="1"/>
                <w:color w:val="auto"/>
              </w:rPr>
              <w:t>Net interest, similar income and expenses,</w:t>
            </w:r>
          </w:p>
        </w:tc>
        <w:tc>
          <w:tcPr>
            <w:tcW w:w="960" w:type="dxa"/>
            <w:vAlign w:val="bottom"/>
            <w:tcBorders>
              <w:right w:val="single" w:sz="8" w:color="auto"/>
            </w:tcBorders>
          </w:tcPr>
          <w:p>
            <w:pPr>
              <w:spacing w:after="0"/>
              <w:rPr>
                <w:sz w:val="11"/>
                <w:szCs w:val="11"/>
                <w:color w:val="auto"/>
              </w:rPr>
            </w:pPr>
          </w:p>
        </w:tc>
        <w:tc>
          <w:tcPr>
            <w:tcW w:w="1140" w:type="dxa"/>
            <w:vAlign w:val="bottom"/>
            <w:vMerge w:val="restart"/>
          </w:tcPr>
          <w:p>
            <w:pPr>
              <w:jc w:val="right"/>
              <w:ind w:right="201"/>
              <w:spacing w:after="0"/>
              <w:rPr>
                <w:sz w:val="20"/>
                <w:szCs w:val="20"/>
                <w:color w:val="auto"/>
              </w:rPr>
            </w:pPr>
            <w:r>
              <w:rPr>
                <w:rFonts w:ascii="Calibri" w:cs="Calibri" w:eastAsia="Calibri" w:hAnsi="Calibri"/>
                <w:sz w:val="12"/>
                <w:szCs w:val="12"/>
                <w:b w:val="1"/>
                <w:bCs w:val="1"/>
                <w:color w:val="auto"/>
              </w:rPr>
              <w:t>2,336,401</w:t>
            </w:r>
          </w:p>
        </w:tc>
        <w:tc>
          <w:tcPr>
            <w:tcW w:w="880" w:type="dxa"/>
            <w:vAlign w:val="bottom"/>
            <w:vMerge w:val="restart"/>
          </w:tcPr>
          <w:p>
            <w:pPr>
              <w:jc w:val="right"/>
              <w:ind w:right="141"/>
              <w:spacing w:after="0"/>
              <w:rPr>
                <w:sz w:val="20"/>
                <w:szCs w:val="20"/>
                <w:color w:val="auto"/>
              </w:rPr>
            </w:pPr>
            <w:r>
              <w:rPr>
                <w:rFonts w:ascii="Calibri" w:cs="Calibri" w:eastAsia="Calibri" w:hAnsi="Calibri"/>
                <w:sz w:val="12"/>
                <w:szCs w:val="12"/>
                <w:b w:val="1"/>
                <w:bCs w:val="1"/>
                <w:color w:val="auto"/>
              </w:rPr>
              <w:t>2,375,093</w:t>
            </w:r>
          </w:p>
        </w:tc>
        <w:tc>
          <w:tcPr>
            <w:tcW w:w="820" w:type="dxa"/>
            <w:vAlign w:val="bottom"/>
            <w:tcBorders>
              <w:right w:val="single" w:sz="8" w:color="auto"/>
            </w:tcBorders>
            <w:vMerge w:val="restart"/>
          </w:tcPr>
          <w:p>
            <w:pPr>
              <w:jc w:val="right"/>
              <w:ind w:right="1"/>
              <w:spacing w:after="0"/>
              <w:rPr>
                <w:sz w:val="20"/>
                <w:szCs w:val="20"/>
                <w:color w:val="auto"/>
              </w:rPr>
            </w:pPr>
            <w:r>
              <w:rPr>
                <w:rFonts w:ascii="Calibri" w:cs="Calibri" w:eastAsia="Calibri" w:hAnsi="Calibri"/>
                <w:sz w:val="12"/>
                <w:szCs w:val="12"/>
                <w:b w:val="1"/>
                <w:bCs w:val="1"/>
                <w:color w:val="auto"/>
              </w:rPr>
              <w:t>2,722,669</w:t>
            </w:r>
          </w:p>
        </w:tc>
        <w:tc>
          <w:tcPr>
            <w:tcW w:w="700" w:type="dxa"/>
            <w:vAlign w:val="bottom"/>
            <w:vMerge w:val="restart"/>
          </w:tcPr>
          <w:p>
            <w:pPr>
              <w:jc w:val="center"/>
              <w:spacing w:after="0"/>
              <w:rPr>
                <w:sz w:val="20"/>
                <w:szCs w:val="20"/>
                <w:color w:val="auto"/>
              </w:rPr>
            </w:pPr>
            <w:r>
              <w:rPr>
                <w:rFonts w:ascii="Calibri" w:cs="Calibri" w:eastAsia="Calibri" w:hAnsi="Calibri"/>
                <w:sz w:val="12"/>
                <w:szCs w:val="12"/>
                <w:b w:val="1"/>
                <w:bCs w:val="1"/>
                <w:color w:val="auto"/>
                <w:w w:val="92"/>
              </w:rPr>
              <w:t>14.6%</w:t>
            </w:r>
          </w:p>
        </w:tc>
        <w:tc>
          <w:tcPr>
            <w:tcW w:w="580" w:type="dxa"/>
            <w:vAlign w:val="bottom"/>
            <w:vMerge w:val="restart"/>
          </w:tcPr>
          <w:p>
            <w:pPr>
              <w:jc w:val="center"/>
              <w:ind w:left="41"/>
              <w:spacing w:after="0"/>
              <w:rPr>
                <w:sz w:val="20"/>
                <w:szCs w:val="20"/>
                <w:color w:val="auto"/>
              </w:rPr>
            </w:pPr>
            <w:r>
              <w:rPr>
                <w:rFonts w:ascii="Calibri" w:cs="Calibri" w:eastAsia="Calibri" w:hAnsi="Calibri"/>
                <w:sz w:val="12"/>
                <w:szCs w:val="12"/>
                <w:b w:val="1"/>
                <w:bCs w:val="1"/>
                <w:color w:val="auto"/>
                <w:w w:val="92"/>
              </w:rPr>
              <w:t>16.5%</w:t>
            </w:r>
          </w:p>
        </w:tc>
        <w:tc>
          <w:tcPr>
            <w:tcW w:w="100" w:type="dxa"/>
            <w:vAlign w:val="bottom"/>
            <w:tcBorders>
              <w:right w:val="single" w:sz="8" w:color="auto"/>
            </w:tcBorders>
          </w:tcPr>
          <w:p>
            <w:pPr>
              <w:spacing w:after="0"/>
              <w:rPr>
                <w:sz w:val="11"/>
                <w:szCs w:val="11"/>
                <w:color w:val="auto"/>
              </w:rPr>
            </w:pPr>
          </w:p>
        </w:tc>
        <w:tc>
          <w:tcPr>
            <w:tcW w:w="1500" w:type="dxa"/>
            <w:vAlign w:val="bottom"/>
            <w:vMerge w:val="restart"/>
          </w:tcPr>
          <w:p>
            <w:pPr>
              <w:jc w:val="right"/>
              <w:ind w:right="261"/>
              <w:spacing w:after="0"/>
              <w:rPr>
                <w:sz w:val="20"/>
                <w:szCs w:val="20"/>
                <w:color w:val="auto"/>
              </w:rPr>
            </w:pPr>
            <w:r>
              <w:rPr>
                <w:rFonts w:ascii="Calibri" w:cs="Calibri" w:eastAsia="Calibri" w:hAnsi="Calibri"/>
                <w:sz w:val="12"/>
                <w:szCs w:val="12"/>
                <w:b w:val="1"/>
                <w:bCs w:val="1"/>
                <w:color w:val="auto"/>
              </w:rPr>
              <w:t>7,141,397</w:t>
            </w:r>
          </w:p>
        </w:tc>
        <w:tc>
          <w:tcPr>
            <w:tcW w:w="920" w:type="dxa"/>
            <w:vAlign w:val="bottom"/>
            <w:tcBorders>
              <w:right w:val="single" w:sz="8" w:color="auto"/>
            </w:tcBorders>
            <w:vMerge w:val="restart"/>
          </w:tcPr>
          <w:p>
            <w:pPr>
              <w:jc w:val="right"/>
              <w:ind w:right="1"/>
              <w:spacing w:after="0"/>
              <w:rPr>
                <w:sz w:val="20"/>
                <w:szCs w:val="20"/>
                <w:color w:val="auto"/>
              </w:rPr>
            </w:pPr>
            <w:r>
              <w:rPr>
                <w:rFonts w:ascii="Calibri" w:cs="Calibri" w:eastAsia="Calibri" w:hAnsi="Calibri"/>
                <w:sz w:val="12"/>
                <w:szCs w:val="12"/>
                <w:b w:val="1"/>
                <w:bCs w:val="1"/>
                <w:color w:val="auto"/>
              </w:rPr>
              <w:t>7,709,186</w:t>
            </w:r>
          </w:p>
        </w:tc>
        <w:tc>
          <w:tcPr>
            <w:tcW w:w="10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2"/>
                <w:szCs w:val="12"/>
                <w:b w:val="1"/>
                <w:bCs w:val="1"/>
                <w:color w:val="auto"/>
                <w:w w:val="99"/>
              </w:rPr>
              <w:t>8.0%</w:t>
            </w:r>
          </w:p>
        </w:tc>
        <w:tc>
          <w:tcPr>
            <w:tcW w:w="0" w:type="dxa"/>
            <w:vAlign w:val="bottom"/>
          </w:tcPr>
          <w:p>
            <w:pPr>
              <w:spacing w:after="0"/>
              <w:rPr>
                <w:sz w:val="1"/>
                <w:szCs w:val="1"/>
                <w:color w:val="auto"/>
              </w:rPr>
            </w:pPr>
          </w:p>
        </w:tc>
      </w:tr>
      <w:tr>
        <w:trPr>
          <w:trHeight w:val="81"/>
        </w:trPr>
        <w:tc>
          <w:tcPr>
            <w:tcW w:w="2560" w:type="dxa"/>
            <w:vAlign w:val="bottom"/>
            <w:tcBorders>
              <w:left w:val="single" w:sz="8" w:color="auto"/>
            </w:tcBorders>
            <w:vMerge w:val="restart"/>
          </w:tcPr>
          <w:p>
            <w:pPr>
              <w:ind w:left="60"/>
              <w:spacing w:after="0"/>
              <w:rPr>
                <w:sz w:val="20"/>
                <w:szCs w:val="20"/>
                <w:color w:val="auto"/>
              </w:rPr>
            </w:pPr>
            <w:r>
              <w:rPr>
                <w:rFonts w:ascii="Calibri" w:cs="Calibri" w:eastAsia="Calibri" w:hAnsi="Calibri"/>
                <w:sz w:val="12"/>
                <w:szCs w:val="12"/>
                <w:b w:val="1"/>
                <w:bCs w:val="1"/>
                <w:color w:val="auto"/>
              </w:rPr>
              <w:t>afer provision for credit losses on loan</w:t>
            </w:r>
          </w:p>
        </w:tc>
        <w:tc>
          <w:tcPr>
            <w:tcW w:w="960" w:type="dxa"/>
            <w:vAlign w:val="bottom"/>
            <w:tcBorders>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500" w:type="dxa"/>
            <w:vAlign w:val="bottom"/>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tcBorders>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Other income</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1,402,603</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1,661,479</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1,621,282</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-2.4%</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3"/>
              </w:rPr>
              <w:t>15.6%</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4,169,002</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4,742,155</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13.7%</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Insurance underwritng result</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330,900</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315,500</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291,775</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-7.5%</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5"/>
              </w:rPr>
              <w:t>-11.8%</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923,805</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886,338</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4"/>
              </w:rPr>
              <w:t>-4.1%</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Total expenses</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(2,350,469)</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(2,465,354)</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(2,524,166)</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2.4%</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7.4%</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(6,672,681)</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(7,268,838)</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8.9%</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b w:val="1"/>
                <w:bCs w:val="1"/>
                <w:color w:val="auto"/>
              </w:rPr>
              <w:t>Proft before income tax</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b w:val="1"/>
                <w:bCs w:val="1"/>
                <w:color w:val="auto"/>
              </w:rPr>
              <w:t>1,719,435</w:t>
            </w:r>
          </w:p>
        </w:tc>
        <w:tc>
          <w:tcPr>
            <w:tcW w:w="880" w:type="dxa"/>
            <w:vAlign w:val="bottom"/>
          </w:tcPr>
          <w:p>
            <w:pPr>
              <w:jc w:val="right"/>
              <w:ind w:right="141"/>
              <w:spacing w:after="0"/>
              <w:rPr>
                <w:sz w:val="20"/>
                <w:szCs w:val="20"/>
                <w:color w:val="auto"/>
              </w:rPr>
            </w:pPr>
            <w:r>
              <w:rPr>
                <w:rFonts w:ascii="Calibri" w:cs="Calibri" w:eastAsia="Calibri" w:hAnsi="Calibri"/>
                <w:sz w:val="12"/>
                <w:szCs w:val="12"/>
                <w:b w:val="1"/>
                <w:bCs w:val="1"/>
                <w:color w:val="auto"/>
              </w:rPr>
              <w:t>1,886,718</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2,111,560</w:t>
            </w:r>
          </w:p>
        </w:tc>
        <w:tc>
          <w:tcPr>
            <w:tcW w:w="700" w:type="dxa"/>
            <w:vAlign w:val="bottom"/>
          </w:tcPr>
          <w:p>
            <w:pPr>
              <w:jc w:val="center"/>
              <w:spacing w:after="0"/>
              <w:rPr>
                <w:sz w:val="20"/>
                <w:szCs w:val="20"/>
                <w:color w:val="auto"/>
              </w:rPr>
            </w:pPr>
            <w:r>
              <w:rPr>
                <w:rFonts w:ascii="Calibri" w:cs="Calibri" w:eastAsia="Calibri" w:hAnsi="Calibri"/>
                <w:sz w:val="12"/>
                <w:szCs w:val="12"/>
                <w:b w:val="1"/>
                <w:bCs w:val="1"/>
                <w:color w:val="auto"/>
                <w:w w:val="92"/>
              </w:rPr>
              <w:t>11.9%</w:t>
            </w:r>
          </w:p>
        </w:tc>
        <w:tc>
          <w:tcPr>
            <w:tcW w:w="580" w:type="dxa"/>
            <w:vAlign w:val="bottom"/>
          </w:tcPr>
          <w:p>
            <w:pPr>
              <w:jc w:val="center"/>
              <w:ind w:left="41"/>
              <w:spacing w:after="0"/>
              <w:rPr>
                <w:sz w:val="20"/>
                <w:szCs w:val="20"/>
                <w:color w:val="auto"/>
              </w:rPr>
            </w:pPr>
            <w:r>
              <w:rPr>
                <w:rFonts w:ascii="Calibri" w:cs="Calibri" w:eastAsia="Calibri" w:hAnsi="Calibri"/>
                <w:sz w:val="12"/>
                <w:szCs w:val="12"/>
                <w:b w:val="1"/>
                <w:bCs w:val="1"/>
                <w:color w:val="auto"/>
                <w:w w:val="92"/>
              </w:rPr>
              <w:t>22.8%</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b w:val="1"/>
                <w:bCs w:val="1"/>
                <w:color w:val="auto"/>
              </w:rPr>
              <w:t>5,561,523</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6,068,841</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9.1%</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Income tax</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(455,865)</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(519,344)</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(555,117)</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6.9%</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3"/>
              </w:rPr>
              <w:t>21.8%</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(1,453,803)</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(1,602,927)</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10.3%</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b w:val="1"/>
                <w:bCs w:val="1"/>
                <w:color w:val="auto"/>
              </w:rPr>
              <w:t>Net proft</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b w:val="1"/>
                <w:bCs w:val="1"/>
                <w:color w:val="auto"/>
              </w:rPr>
              <w:t>1,263,570</w:t>
            </w:r>
          </w:p>
        </w:tc>
        <w:tc>
          <w:tcPr>
            <w:tcW w:w="880" w:type="dxa"/>
            <w:vAlign w:val="bottom"/>
          </w:tcPr>
          <w:p>
            <w:pPr>
              <w:jc w:val="right"/>
              <w:ind w:right="141"/>
              <w:spacing w:after="0"/>
              <w:rPr>
                <w:sz w:val="20"/>
                <w:szCs w:val="20"/>
                <w:color w:val="auto"/>
              </w:rPr>
            </w:pPr>
            <w:r>
              <w:rPr>
                <w:rFonts w:ascii="Calibri" w:cs="Calibri" w:eastAsia="Calibri" w:hAnsi="Calibri"/>
                <w:sz w:val="12"/>
                <w:szCs w:val="12"/>
                <w:b w:val="1"/>
                <w:bCs w:val="1"/>
                <w:color w:val="auto"/>
              </w:rPr>
              <w:t>1,367,374</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1,556,443</w:t>
            </w:r>
          </w:p>
        </w:tc>
        <w:tc>
          <w:tcPr>
            <w:tcW w:w="700" w:type="dxa"/>
            <w:vAlign w:val="bottom"/>
          </w:tcPr>
          <w:p>
            <w:pPr>
              <w:jc w:val="center"/>
              <w:spacing w:after="0"/>
              <w:rPr>
                <w:sz w:val="20"/>
                <w:szCs w:val="20"/>
                <w:color w:val="auto"/>
              </w:rPr>
            </w:pPr>
            <w:r>
              <w:rPr>
                <w:rFonts w:ascii="Calibri" w:cs="Calibri" w:eastAsia="Calibri" w:hAnsi="Calibri"/>
                <w:sz w:val="12"/>
                <w:szCs w:val="12"/>
                <w:b w:val="1"/>
                <w:bCs w:val="1"/>
                <w:color w:val="auto"/>
                <w:w w:val="92"/>
              </w:rPr>
              <w:t>13.8%</w:t>
            </w:r>
          </w:p>
        </w:tc>
        <w:tc>
          <w:tcPr>
            <w:tcW w:w="580" w:type="dxa"/>
            <w:vAlign w:val="bottom"/>
          </w:tcPr>
          <w:p>
            <w:pPr>
              <w:jc w:val="center"/>
              <w:ind w:left="41"/>
              <w:spacing w:after="0"/>
              <w:rPr>
                <w:sz w:val="20"/>
                <w:szCs w:val="20"/>
                <w:color w:val="auto"/>
              </w:rPr>
            </w:pPr>
            <w:r>
              <w:rPr>
                <w:rFonts w:ascii="Calibri" w:cs="Calibri" w:eastAsia="Calibri" w:hAnsi="Calibri"/>
                <w:sz w:val="12"/>
                <w:szCs w:val="12"/>
                <w:b w:val="1"/>
                <w:bCs w:val="1"/>
                <w:color w:val="auto"/>
                <w:w w:val="92"/>
              </w:rPr>
              <w:t>23.2%</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b w:val="1"/>
                <w:bCs w:val="1"/>
                <w:color w:val="auto"/>
              </w:rPr>
              <w:t>4,107,720</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4,465,914</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8.7%</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Non-controlling interest</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25,397</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28,278</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32,655</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15.5%</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3"/>
              </w:rPr>
              <w:t>28.6%</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84,007</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91,373</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8.8%</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b w:val="1"/>
                <w:bCs w:val="1"/>
                <w:color w:val="auto"/>
              </w:rPr>
              <w:t>Net proft atributable to Credicorp</w:t>
            </w:r>
          </w:p>
        </w:tc>
        <w:tc>
          <w:tcPr>
            <w:tcW w:w="960" w:type="dxa"/>
            <w:vAlign w:val="bottom"/>
            <w:tcBorders>
              <w:right w:val="single" w:sz="8" w:color="auto"/>
            </w:tcBorders>
          </w:tcPr>
          <w:p>
            <w:pPr>
              <w:spacing w:after="0"/>
              <w:rPr>
                <w:sz w:val="14"/>
                <w:szCs w:val="14"/>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b w:val="1"/>
                <w:bCs w:val="1"/>
                <w:color w:val="auto"/>
              </w:rPr>
              <w:t>1,238,173</w:t>
            </w:r>
          </w:p>
        </w:tc>
        <w:tc>
          <w:tcPr>
            <w:tcW w:w="880" w:type="dxa"/>
            <w:vAlign w:val="bottom"/>
          </w:tcPr>
          <w:p>
            <w:pPr>
              <w:jc w:val="right"/>
              <w:ind w:right="141"/>
              <w:spacing w:after="0"/>
              <w:rPr>
                <w:sz w:val="20"/>
                <w:szCs w:val="20"/>
                <w:color w:val="auto"/>
              </w:rPr>
            </w:pPr>
            <w:r>
              <w:rPr>
                <w:rFonts w:ascii="Calibri" w:cs="Calibri" w:eastAsia="Calibri" w:hAnsi="Calibri"/>
                <w:sz w:val="12"/>
                <w:szCs w:val="12"/>
                <w:b w:val="1"/>
                <w:bCs w:val="1"/>
                <w:color w:val="auto"/>
              </w:rPr>
              <w:t>1,339,096</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1,523,788</w:t>
            </w:r>
          </w:p>
        </w:tc>
        <w:tc>
          <w:tcPr>
            <w:tcW w:w="700" w:type="dxa"/>
            <w:vAlign w:val="bottom"/>
          </w:tcPr>
          <w:p>
            <w:pPr>
              <w:jc w:val="center"/>
              <w:spacing w:after="0"/>
              <w:rPr>
                <w:sz w:val="20"/>
                <w:szCs w:val="20"/>
                <w:color w:val="auto"/>
              </w:rPr>
            </w:pPr>
            <w:r>
              <w:rPr>
                <w:rFonts w:ascii="Calibri" w:cs="Calibri" w:eastAsia="Calibri" w:hAnsi="Calibri"/>
                <w:sz w:val="12"/>
                <w:szCs w:val="12"/>
                <w:b w:val="1"/>
                <w:bCs w:val="1"/>
                <w:color w:val="auto"/>
                <w:w w:val="92"/>
              </w:rPr>
              <w:t>13.8%</w:t>
            </w:r>
          </w:p>
        </w:tc>
        <w:tc>
          <w:tcPr>
            <w:tcW w:w="580" w:type="dxa"/>
            <w:vAlign w:val="bottom"/>
          </w:tcPr>
          <w:p>
            <w:pPr>
              <w:jc w:val="center"/>
              <w:ind w:left="41"/>
              <w:spacing w:after="0"/>
              <w:rPr>
                <w:sz w:val="20"/>
                <w:szCs w:val="20"/>
                <w:color w:val="auto"/>
              </w:rPr>
            </w:pPr>
            <w:r>
              <w:rPr>
                <w:rFonts w:ascii="Calibri" w:cs="Calibri" w:eastAsia="Calibri" w:hAnsi="Calibri"/>
                <w:sz w:val="12"/>
                <w:szCs w:val="12"/>
                <w:b w:val="1"/>
                <w:bCs w:val="1"/>
                <w:color w:val="auto"/>
                <w:w w:val="92"/>
              </w:rPr>
              <w:t>23.1%</w:t>
            </w:r>
          </w:p>
        </w:tc>
        <w:tc>
          <w:tcPr>
            <w:tcW w:w="100" w:type="dxa"/>
            <w:vAlign w:val="bottom"/>
            <w:tcBorders>
              <w:right w:val="single" w:sz="8" w:color="auto"/>
            </w:tcBorders>
          </w:tcPr>
          <w:p>
            <w:pPr>
              <w:spacing w:after="0"/>
              <w:rPr>
                <w:sz w:val="14"/>
                <w:szCs w:val="14"/>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b w:val="1"/>
                <w:bCs w:val="1"/>
                <w:color w:val="auto"/>
              </w:rPr>
              <w:t>4,023,713</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4,374,541</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8.7%</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Dividends paid to third partes</w:t>
            </w:r>
          </w:p>
        </w:tc>
        <w:tc>
          <w:tcPr>
            <w:tcW w:w="960" w:type="dxa"/>
            <w:vAlign w:val="bottom"/>
            <w:tcBorders>
              <w:right w:val="single" w:sz="8" w:color="auto"/>
            </w:tcBorders>
          </w:tcPr>
          <w:p>
            <w:pPr>
              <w:spacing w:after="0"/>
              <w:rPr>
                <w:sz w:val="14"/>
                <w:szCs w:val="14"/>
                <w:color w:val="auto"/>
              </w:rPr>
            </w:pPr>
          </w:p>
        </w:tc>
        <w:tc>
          <w:tcPr>
            <w:tcW w:w="1140" w:type="dxa"/>
            <w:vAlign w:val="bottom"/>
          </w:tcPr>
          <w:p>
            <w:pPr>
              <w:jc w:val="right"/>
              <w:ind w:right="341"/>
              <w:spacing w:after="0"/>
              <w:rPr>
                <w:sz w:val="20"/>
                <w:szCs w:val="20"/>
                <w:color w:val="auto"/>
              </w:rPr>
            </w:pPr>
            <w:r>
              <w:rPr>
                <w:rFonts w:ascii="Calibri" w:cs="Calibri" w:eastAsia="Calibri" w:hAnsi="Calibri"/>
                <w:sz w:val="12"/>
                <w:szCs w:val="12"/>
                <w:color w:val="auto"/>
              </w:rPr>
              <w:t>-</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2,791,652</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875,992</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5"/>
              </w:rPr>
              <w:t>-68.6%</w:t>
            </w:r>
          </w:p>
        </w:tc>
        <w:tc>
          <w:tcPr>
            <w:tcW w:w="580" w:type="dxa"/>
            <w:vAlign w:val="bottom"/>
          </w:tcPr>
          <w:p>
            <w:pPr>
              <w:jc w:val="center"/>
              <w:ind w:left="21"/>
              <w:spacing w:after="0"/>
              <w:rPr>
                <w:sz w:val="20"/>
                <w:szCs w:val="20"/>
                <w:color w:val="auto"/>
              </w:rPr>
            </w:pPr>
            <w:r>
              <w:rPr>
                <w:rFonts w:ascii="Calibri" w:cs="Calibri" w:eastAsia="Calibri" w:hAnsi="Calibri"/>
                <w:sz w:val="12"/>
                <w:szCs w:val="12"/>
                <w:color w:val="auto"/>
                <w:w w:val="99"/>
              </w:rPr>
              <w:t>n.a.</w:t>
            </w:r>
          </w:p>
        </w:tc>
        <w:tc>
          <w:tcPr>
            <w:tcW w:w="100" w:type="dxa"/>
            <w:vAlign w:val="bottom"/>
            <w:tcBorders>
              <w:right w:val="single" w:sz="8" w:color="auto"/>
            </w:tcBorders>
          </w:tcPr>
          <w:p>
            <w:pPr>
              <w:spacing w:after="0"/>
              <w:rPr>
                <w:sz w:val="14"/>
                <w:szCs w:val="14"/>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1,994,037</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3,667,644</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83.9%</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Net income / share (S/)</w:t>
            </w:r>
          </w:p>
        </w:tc>
        <w:tc>
          <w:tcPr>
            <w:tcW w:w="960" w:type="dxa"/>
            <w:vAlign w:val="bottom"/>
            <w:tcBorders>
              <w:right w:val="single" w:sz="8" w:color="auto"/>
            </w:tcBorders>
          </w:tcPr>
          <w:p>
            <w:pPr>
              <w:spacing w:after="0"/>
              <w:rPr>
                <w:sz w:val="14"/>
                <w:szCs w:val="14"/>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15.5</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16.8</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19.1</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13.8%</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3"/>
              </w:rPr>
              <w:t>23.1%</w:t>
            </w:r>
          </w:p>
        </w:tc>
        <w:tc>
          <w:tcPr>
            <w:tcW w:w="100" w:type="dxa"/>
            <w:vAlign w:val="bottom"/>
            <w:tcBorders>
              <w:right w:val="single" w:sz="8" w:color="auto"/>
            </w:tcBorders>
          </w:tcPr>
          <w:p>
            <w:pPr>
              <w:spacing w:after="0"/>
              <w:rPr>
                <w:sz w:val="14"/>
                <w:szCs w:val="14"/>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50.4</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54.8</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8.7%</w:t>
            </w: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Dividends per Share (S/)</w:t>
            </w:r>
          </w:p>
        </w:tc>
        <w:tc>
          <w:tcPr>
            <w:tcW w:w="9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1"/>
              <w:spacing w:after="0"/>
              <w:rPr>
                <w:sz w:val="20"/>
                <w:szCs w:val="20"/>
                <w:color w:val="auto"/>
              </w:rPr>
            </w:pPr>
            <w:r>
              <w:rPr>
                <w:rFonts w:ascii="Calibri" w:cs="Calibri" w:eastAsia="Calibri" w:hAnsi="Calibri"/>
                <w:sz w:val="12"/>
                <w:szCs w:val="12"/>
                <w:color w:val="auto"/>
              </w:rPr>
              <w:t>25.0</w:t>
            </w:r>
          </w:p>
        </w:tc>
        <w:tc>
          <w:tcPr>
            <w:tcW w:w="880" w:type="dxa"/>
            <w:vAlign w:val="bottom"/>
            <w:tcBorders>
              <w:bottom w:val="single" w:sz="8" w:color="auto"/>
            </w:tcBorders>
          </w:tcPr>
          <w:p>
            <w:pPr>
              <w:jc w:val="right"/>
              <w:ind w:right="141"/>
              <w:spacing w:after="0"/>
              <w:rPr>
                <w:sz w:val="20"/>
                <w:szCs w:val="20"/>
                <w:color w:val="auto"/>
              </w:rPr>
            </w:pPr>
            <w:r>
              <w:rPr>
                <w:rFonts w:ascii="Calibri" w:cs="Calibri" w:eastAsia="Calibri" w:hAnsi="Calibri"/>
                <w:sz w:val="12"/>
                <w:szCs w:val="12"/>
                <w:color w:val="auto"/>
              </w:rPr>
              <w:t>35.0</w:t>
            </w:r>
          </w:p>
        </w:tc>
        <w:tc>
          <w:tcPr>
            <w:tcW w:w="820" w:type="dxa"/>
            <w:vAlign w:val="bottom"/>
            <w:tcBorders>
              <w:bottom w:val="single" w:sz="8" w:color="auto"/>
              <w:right w:val="single" w:sz="8" w:color="auto"/>
            </w:tcBorders>
          </w:tcPr>
          <w:p>
            <w:pPr>
              <w:jc w:val="right"/>
              <w:ind w:right="1"/>
              <w:spacing w:after="0"/>
              <w:rPr>
                <w:sz w:val="20"/>
                <w:szCs w:val="20"/>
                <w:color w:val="auto"/>
              </w:rPr>
            </w:pPr>
            <w:r>
              <w:rPr>
                <w:rFonts w:ascii="Calibri" w:cs="Calibri" w:eastAsia="Calibri" w:hAnsi="Calibri"/>
                <w:sz w:val="12"/>
                <w:szCs w:val="12"/>
                <w:color w:val="auto"/>
              </w:rPr>
              <w:t>11.0</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5"/>
              </w:rPr>
              <w:t>-68.6%</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w w:val="95"/>
              </w:rPr>
              <w:t>-56.0%</w:t>
            </w:r>
          </w:p>
        </w:tc>
        <w:tc>
          <w:tcPr>
            <w:tcW w:w="1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jc w:val="right"/>
              <w:ind w:right="261"/>
              <w:spacing w:after="0"/>
              <w:rPr>
                <w:sz w:val="20"/>
                <w:szCs w:val="20"/>
                <w:color w:val="auto"/>
              </w:rPr>
            </w:pPr>
            <w:r>
              <w:rPr>
                <w:rFonts w:ascii="Calibri" w:cs="Calibri" w:eastAsia="Calibri" w:hAnsi="Calibri"/>
                <w:sz w:val="12"/>
                <w:szCs w:val="12"/>
                <w:color w:val="auto"/>
              </w:rPr>
              <w:t>25.0</w:t>
            </w:r>
          </w:p>
        </w:tc>
        <w:tc>
          <w:tcPr>
            <w:tcW w:w="920" w:type="dxa"/>
            <w:vAlign w:val="bottom"/>
            <w:tcBorders>
              <w:bottom w:val="single" w:sz="8" w:color="auto"/>
              <w:right w:val="single" w:sz="8" w:color="auto"/>
            </w:tcBorders>
          </w:tcPr>
          <w:p>
            <w:pPr>
              <w:jc w:val="right"/>
              <w:ind w:right="1"/>
              <w:spacing w:after="0"/>
              <w:rPr>
                <w:sz w:val="20"/>
                <w:szCs w:val="20"/>
                <w:color w:val="auto"/>
              </w:rPr>
            </w:pPr>
            <w:r>
              <w:rPr>
                <w:rFonts w:ascii="Calibri" w:cs="Calibri" w:eastAsia="Calibri" w:hAnsi="Calibri"/>
                <w:sz w:val="12"/>
                <w:szCs w:val="12"/>
                <w:color w:val="auto"/>
              </w:rPr>
              <w:t>46.0</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84.0%</w:t>
            </w:r>
          </w:p>
        </w:tc>
        <w:tc>
          <w:tcPr>
            <w:tcW w:w="0" w:type="dxa"/>
            <w:vAlign w:val="bottom"/>
          </w:tcPr>
          <w:p>
            <w:pPr>
              <w:spacing w:after="0"/>
              <w:rPr>
                <w:sz w:val="1"/>
                <w:szCs w:val="1"/>
                <w:color w:val="auto"/>
              </w:rPr>
            </w:pPr>
          </w:p>
        </w:tc>
      </w:tr>
      <w:tr>
        <w:trPr>
          <w:trHeight w:val="133"/>
        </w:trPr>
        <w:tc>
          <w:tcPr>
            <w:tcW w:w="2560" w:type="dxa"/>
            <w:vAlign w:val="bottom"/>
            <w:tcBorders>
              <w:left w:val="single" w:sz="8" w:color="auto"/>
            </w:tcBorders>
          </w:tcPr>
          <w:p>
            <w:pPr>
              <w:ind w:left="60"/>
              <w:spacing w:after="0" w:line="134" w:lineRule="exact"/>
              <w:rPr>
                <w:sz w:val="20"/>
                <w:szCs w:val="20"/>
                <w:color w:val="auto"/>
              </w:rPr>
            </w:pPr>
            <w:r>
              <w:rPr>
                <w:rFonts w:ascii="Calibri" w:cs="Calibri" w:eastAsia="Calibri" w:hAnsi="Calibri"/>
                <w:sz w:val="12"/>
                <w:szCs w:val="12"/>
                <w:color w:val="auto"/>
              </w:rPr>
              <w:t>Loans</w:t>
            </w:r>
          </w:p>
        </w:tc>
        <w:tc>
          <w:tcPr>
            <w:tcW w:w="960" w:type="dxa"/>
            <w:vAlign w:val="bottom"/>
            <w:tcBorders>
              <w:right w:val="single" w:sz="8" w:color="auto"/>
            </w:tcBorders>
          </w:tcPr>
          <w:p>
            <w:pPr>
              <w:spacing w:after="0"/>
              <w:rPr>
                <w:sz w:val="11"/>
                <w:szCs w:val="11"/>
                <w:color w:val="auto"/>
              </w:rPr>
            </w:pPr>
          </w:p>
        </w:tc>
        <w:tc>
          <w:tcPr>
            <w:tcW w:w="1140" w:type="dxa"/>
            <w:vAlign w:val="bottom"/>
          </w:tcPr>
          <w:p>
            <w:pPr>
              <w:jc w:val="right"/>
              <w:ind w:right="201"/>
              <w:spacing w:after="0" w:line="134" w:lineRule="exact"/>
              <w:rPr>
                <w:sz w:val="20"/>
                <w:szCs w:val="20"/>
                <w:color w:val="auto"/>
              </w:rPr>
            </w:pPr>
            <w:r>
              <w:rPr>
                <w:rFonts w:ascii="Calibri" w:cs="Calibri" w:eastAsia="Calibri" w:hAnsi="Calibri"/>
                <w:sz w:val="12"/>
                <w:szCs w:val="12"/>
                <w:color w:val="auto"/>
              </w:rPr>
              <w:t>145,129,260</w:t>
            </w:r>
          </w:p>
        </w:tc>
        <w:tc>
          <w:tcPr>
            <w:tcW w:w="880" w:type="dxa"/>
            <w:vAlign w:val="bottom"/>
          </w:tcPr>
          <w:p>
            <w:pPr>
              <w:jc w:val="right"/>
              <w:ind w:right="141"/>
              <w:spacing w:after="0" w:line="134" w:lineRule="exact"/>
              <w:rPr>
                <w:sz w:val="20"/>
                <w:szCs w:val="20"/>
                <w:color w:val="auto"/>
              </w:rPr>
            </w:pPr>
            <w:r>
              <w:rPr>
                <w:rFonts w:ascii="Calibri" w:cs="Calibri" w:eastAsia="Calibri" w:hAnsi="Calibri"/>
                <w:sz w:val="12"/>
                <w:szCs w:val="12"/>
                <w:color w:val="auto"/>
              </w:rPr>
              <w:t>146,946,546</w:t>
            </w:r>
          </w:p>
        </w:tc>
        <w:tc>
          <w:tcPr>
            <w:tcW w:w="820" w:type="dxa"/>
            <w:vAlign w:val="bottom"/>
            <w:tcBorders>
              <w:right w:val="single" w:sz="8" w:color="auto"/>
            </w:tcBorders>
          </w:tcPr>
          <w:p>
            <w:pPr>
              <w:jc w:val="right"/>
              <w:ind w:right="1"/>
              <w:spacing w:after="0" w:line="134" w:lineRule="exact"/>
              <w:rPr>
                <w:sz w:val="20"/>
                <w:szCs w:val="20"/>
                <w:color w:val="auto"/>
              </w:rPr>
            </w:pPr>
            <w:r>
              <w:rPr>
                <w:rFonts w:ascii="Calibri" w:cs="Calibri" w:eastAsia="Calibri" w:hAnsi="Calibri"/>
                <w:sz w:val="12"/>
                <w:szCs w:val="12"/>
                <w:color w:val="auto"/>
              </w:rPr>
              <w:t>142,568,785</w:t>
            </w:r>
          </w:p>
        </w:tc>
        <w:tc>
          <w:tcPr>
            <w:tcW w:w="700" w:type="dxa"/>
            <w:vAlign w:val="bottom"/>
          </w:tcPr>
          <w:p>
            <w:pPr>
              <w:jc w:val="center"/>
              <w:spacing w:after="0" w:line="134" w:lineRule="exact"/>
              <w:rPr>
                <w:sz w:val="20"/>
                <w:szCs w:val="20"/>
                <w:color w:val="auto"/>
              </w:rPr>
            </w:pPr>
            <w:r>
              <w:rPr>
                <w:rFonts w:ascii="Calibri" w:cs="Calibri" w:eastAsia="Calibri" w:hAnsi="Calibri"/>
                <w:sz w:val="12"/>
                <w:szCs w:val="12"/>
                <w:color w:val="auto"/>
              </w:rPr>
              <w:t>-3.0%</w:t>
            </w:r>
          </w:p>
        </w:tc>
        <w:tc>
          <w:tcPr>
            <w:tcW w:w="580" w:type="dxa"/>
            <w:vAlign w:val="bottom"/>
          </w:tcPr>
          <w:p>
            <w:pPr>
              <w:jc w:val="center"/>
              <w:ind w:left="41"/>
              <w:spacing w:after="0" w:line="134" w:lineRule="exact"/>
              <w:rPr>
                <w:sz w:val="20"/>
                <w:szCs w:val="20"/>
                <w:color w:val="auto"/>
              </w:rPr>
            </w:pPr>
            <w:r>
              <w:rPr>
                <w:rFonts w:ascii="Calibri" w:cs="Calibri" w:eastAsia="Calibri" w:hAnsi="Calibri"/>
                <w:sz w:val="12"/>
                <w:szCs w:val="12"/>
                <w:color w:val="auto"/>
              </w:rPr>
              <w:t>-1.8%</w:t>
            </w:r>
          </w:p>
        </w:tc>
        <w:tc>
          <w:tcPr>
            <w:tcW w:w="100" w:type="dxa"/>
            <w:vAlign w:val="bottom"/>
            <w:tcBorders>
              <w:right w:val="single" w:sz="8" w:color="auto"/>
            </w:tcBorders>
          </w:tcPr>
          <w:p>
            <w:pPr>
              <w:spacing w:after="0"/>
              <w:rPr>
                <w:sz w:val="11"/>
                <w:szCs w:val="11"/>
                <w:color w:val="auto"/>
              </w:rPr>
            </w:pPr>
          </w:p>
        </w:tc>
        <w:tc>
          <w:tcPr>
            <w:tcW w:w="1500" w:type="dxa"/>
            <w:vAlign w:val="bottom"/>
          </w:tcPr>
          <w:p>
            <w:pPr>
              <w:jc w:val="right"/>
              <w:ind w:right="261"/>
              <w:spacing w:after="0" w:line="134" w:lineRule="exact"/>
              <w:rPr>
                <w:sz w:val="20"/>
                <w:szCs w:val="20"/>
                <w:color w:val="auto"/>
              </w:rPr>
            </w:pPr>
            <w:r>
              <w:rPr>
                <w:rFonts w:ascii="Calibri" w:cs="Calibri" w:eastAsia="Calibri" w:hAnsi="Calibri"/>
                <w:sz w:val="12"/>
                <w:szCs w:val="12"/>
                <w:color w:val="auto"/>
              </w:rPr>
              <w:t>145,129,260</w:t>
            </w:r>
          </w:p>
        </w:tc>
        <w:tc>
          <w:tcPr>
            <w:tcW w:w="920" w:type="dxa"/>
            <w:vAlign w:val="bottom"/>
            <w:tcBorders>
              <w:right w:val="single" w:sz="8" w:color="auto"/>
            </w:tcBorders>
          </w:tcPr>
          <w:p>
            <w:pPr>
              <w:jc w:val="right"/>
              <w:spacing w:after="0" w:line="134" w:lineRule="exact"/>
              <w:rPr>
                <w:sz w:val="20"/>
                <w:szCs w:val="20"/>
                <w:color w:val="auto"/>
              </w:rPr>
            </w:pPr>
            <w:r>
              <w:rPr>
                <w:rFonts w:ascii="Calibri" w:cs="Calibri" w:eastAsia="Calibri" w:hAnsi="Calibri"/>
                <w:sz w:val="12"/>
                <w:szCs w:val="12"/>
                <w:color w:val="auto"/>
              </w:rPr>
              <w:t>142,568,785</w:t>
            </w:r>
          </w:p>
        </w:tc>
        <w:tc>
          <w:tcPr>
            <w:tcW w:w="108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2"/>
                <w:szCs w:val="12"/>
                <w:color w:val="auto"/>
                <w:w w:val="94"/>
              </w:rPr>
              <w:t>-1.8%</w:t>
            </w:r>
          </w:p>
        </w:tc>
        <w:tc>
          <w:tcPr>
            <w:tcW w:w="0" w:type="dxa"/>
            <w:vAlign w:val="bottom"/>
          </w:tcPr>
          <w:p>
            <w:pPr>
              <w:spacing w:after="0"/>
              <w:rPr>
                <w:sz w:val="1"/>
                <w:szCs w:val="1"/>
                <w:color w:val="auto"/>
              </w:rPr>
            </w:pPr>
          </w:p>
        </w:tc>
      </w:tr>
      <w:tr>
        <w:trPr>
          <w:trHeight w:val="138"/>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color w:val="auto"/>
              </w:rPr>
              <w:t>Deposits and obligatons</w:t>
            </w:r>
          </w:p>
        </w:tc>
        <w:tc>
          <w:tcPr>
            <w:tcW w:w="960" w:type="dxa"/>
            <w:vAlign w:val="bottom"/>
            <w:tcBorders>
              <w:right w:val="single" w:sz="8" w:color="auto"/>
            </w:tcBorders>
          </w:tcPr>
          <w:p>
            <w:pPr>
              <w:spacing w:after="0"/>
              <w:rPr>
                <w:sz w:val="11"/>
                <w:szCs w:val="11"/>
                <w:color w:val="auto"/>
              </w:rPr>
            </w:pPr>
          </w:p>
        </w:tc>
        <w:tc>
          <w:tcPr>
            <w:tcW w:w="1140" w:type="dxa"/>
            <w:vAlign w:val="bottom"/>
          </w:tcPr>
          <w:p>
            <w:pPr>
              <w:jc w:val="right"/>
              <w:ind w:right="201"/>
              <w:spacing w:after="0" w:line="138" w:lineRule="exact"/>
              <w:rPr>
                <w:sz w:val="20"/>
                <w:szCs w:val="20"/>
                <w:color w:val="auto"/>
              </w:rPr>
            </w:pPr>
            <w:r>
              <w:rPr>
                <w:rFonts w:ascii="Calibri" w:cs="Calibri" w:eastAsia="Calibri" w:hAnsi="Calibri"/>
                <w:sz w:val="12"/>
                <w:szCs w:val="12"/>
                <w:color w:val="auto"/>
              </w:rPr>
              <w:t>148,471,535</w:t>
            </w:r>
          </w:p>
        </w:tc>
        <w:tc>
          <w:tcPr>
            <w:tcW w:w="880" w:type="dxa"/>
            <w:vAlign w:val="bottom"/>
          </w:tcPr>
          <w:p>
            <w:pPr>
              <w:jc w:val="right"/>
              <w:ind w:right="141"/>
              <w:spacing w:after="0" w:line="138" w:lineRule="exact"/>
              <w:rPr>
                <w:sz w:val="20"/>
                <w:szCs w:val="20"/>
                <w:color w:val="auto"/>
              </w:rPr>
            </w:pPr>
            <w:r>
              <w:rPr>
                <w:rFonts w:ascii="Calibri" w:cs="Calibri" w:eastAsia="Calibri" w:hAnsi="Calibri"/>
                <w:sz w:val="12"/>
                <w:szCs w:val="12"/>
                <w:color w:val="auto"/>
              </w:rPr>
              <w:t>151,971,984</w:t>
            </w:r>
          </w:p>
        </w:tc>
        <w:tc>
          <w:tcPr>
            <w:tcW w:w="820" w:type="dxa"/>
            <w:vAlign w:val="bottom"/>
            <w:tcBorders>
              <w:right w:val="single" w:sz="8" w:color="auto"/>
            </w:tcBorders>
          </w:tcPr>
          <w:p>
            <w:pPr>
              <w:jc w:val="right"/>
              <w:ind w:right="1"/>
              <w:spacing w:after="0" w:line="138" w:lineRule="exact"/>
              <w:rPr>
                <w:sz w:val="20"/>
                <w:szCs w:val="20"/>
                <w:color w:val="auto"/>
              </w:rPr>
            </w:pPr>
            <w:r>
              <w:rPr>
                <w:rFonts w:ascii="Calibri" w:cs="Calibri" w:eastAsia="Calibri" w:hAnsi="Calibri"/>
                <w:sz w:val="12"/>
                <w:szCs w:val="12"/>
                <w:color w:val="auto"/>
              </w:rPr>
              <w:t>154,435,451</w:t>
            </w:r>
          </w:p>
        </w:tc>
        <w:tc>
          <w:tcPr>
            <w:tcW w:w="700" w:type="dxa"/>
            <w:vAlign w:val="bottom"/>
          </w:tcPr>
          <w:p>
            <w:pPr>
              <w:jc w:val="center"/>
              <w:spacing w:after="0" w:line="138" w:lineRule="exact"/>
              <w:rPr>
                <w:sz w:val="20"/>
                <w:szCs w:val="20"/>
                <w:color w:val="auto"/>
              </w:rPr>
            </w:pPr>
            <w:r>
              <w:rPr>
                <w:rFonts w:ascii="Calibri" w:cs="Calibri" w:eastAsia="Calibri" w:hAnsi="Calibri"/>
                <w:sz w:val="12"/>
                <w:szCs w:val="12"/>
                <w:color w:val="auto"/>
              </w:rPr>
              <w:t>1.6%</w:t>
            </w:r>
          </w:p>
        </w:tc>
        <w:tc>
          <w:tcPr>
            <w:tcW w:w="580" w:type="dxa"/>
            <w:vAlign w:val="bottom"/>
          </w:tcPr>
          <w:p>
            <w:pPr>
              <w:jc w:val="center"/>
              <w:ind w:left="41"/>
              <w:spacing w:after="0" w:line="138" w:lineRule="exact"/>
              <w:rPr>
                <w:sz w:val="20"/>
                <w:szCs w:val="20"/>
                <w:color w:val="auto"/>
              </w:rPr>
            </w:pPr>
            <w:r>
              <w:rPr>
                <w:rFonts w:ascii="Calibri" w:cs="Calibri" w:eastAsia="Calibri" w:hAnsi="Calibri"/>
                <w:sz w:val="12"/>
                <w:szCs w:val="12"/>
                <w:color w:val="auto"/>
              </w:rPr>
              <w:t>4.0%</w:t>
            </w:r>
          </w:p>
        </w:tc>
        <w:tc>
          <w:tcPr>
            <w:tcW w:w="100" w:type="dxa"/>
            <w:vAlign w:val="bottom"/>
            <w:tcBorders>
              <w:right w:val="single" w:sz="8" w:color="auto"/>
            </w:tcBorders>
          </w:tcPr>
          <w:p>
            <w:pPr>
              <w:spacing w:after="0"/>
              <w:rPr>
                <w:sz w:val="11"/>
                <w:szCs w:val="11"/>
                <w:color w:val="auto"/>
              </w:rPr>
            </w:pPr>
          </w:p>
        </w:tc>
        <w:tc>
          <w:tcPr>
            <w:tcW w:w="1500" w:type="dxa"/>
            <w:vAlign w:val="bottom"/>
          </w:tcPr>
          <w:p>
            <w:pPr>
              <w:jc w:val="right"/>
              <w:ind w:right="261"/>
              <w:spacing w:after="0" w:line="138" w:lineRule="exact"/>
              <w:rPr>
                <w:sz w:val="20"/>
                <w:szCs w:val="20"/>
                <w:color w:val="auto"/>
              </w:rPr>
            </w:pPr>
            <w:r>
              <w:rPr>
                <w:rFonts w:ascii="Calibri" w:cs="Calibri" w:eastAsia="Calibri" w:hAnsi="Calibri"/>
                <w:sz w:val="12"/>
                <w:szCs w:val="12"/>
                <w:color w:val="auto"/>
              </w:rPr>
              <w:t>148,471,535</w:t>
            </w:r>
          </w:p>
        </w:tc>
        <w:tc>
          <w:tcPr>
            <w:tcW w:w="920" w:type="dxa"/>
            <w:vAlign w:val="bottom"/>
            <w:tcBorders>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154,435,451</w:t>
            </w:r>
          </w:p>
        </w:tc>
        <w:tc>
          <w:tcPr>
            <w:tcW w:w="108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4.0%</w:t>
            </w:r>
          </w:p>
        </w:tc>
        <w:tc>
          <w:tcPr>
            <w:tcW w:w="0" w:type="dxa"/>
            <w:vAlign w:val="bottom"/>
          </w:tcPr>
          <w:p>
            <w:pPr>
              <w:spacing w:after="0"/>
              <w:rPr>
                <w:sz w:val="1"/>
                <w:szCs w:val="1"/>
                <w:color w:val="auto"/>
              </w:rPr>
            </w:pPr>
          </w:p>
        </w:tc>
      </w:tr>
      <w:tr>
        <w:trPr>
          <w:trHeight w:val="155"/>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Net equity</w:t>
            </w:r>
          </w:p>
        </w:tc>
        <w:tc>
          <w:tcPr>
            <w:tcW w:w="9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1"/>
              <w:spacing w:after="0"/>
              <w:rPr>
                <w:sz w:val="20"/>
                <w:szCs w:val="20"/>
                <w:color w:val="auto"/>
              </w:rPr>
            </w:pPr>
            <w:r>
              <w:rPr>
                <w:rFonts w:ascii="Calibri" w:cs="Calibri" w:eastAsia="Calibri" w:hAnsi="Calibri"/>
                <w:sz w:val="12"/>
                <w:szCs w:val="12"/>
                <w:color w:val="auto"/>
              </w:rPr>
              <w:t>31,267,592</w:t>
            </w:r>
          </w:p>
        </w:tc>
        <w:tc>
          <w:tcPr>
            <w:tcW w:w="880" w:type="dxa"/>
            <w:vAlign w:val="bottom"/>
            <w:tcBorders>
              <w:bottom w:val="single" w:sz="8" w:color="auto"/>
            </w:tcBorders>
          </w:tcPr>
          <w:p>
            <w:pPr>
              <w:jc w:val="right"/>
              <w:ind w:right="141"/>
              <w:spacing w:after="0"/>
              <w:rPr>
                <w:sz w:val="20"/>
                <w:szCs w:val="20"/>
                <w:color w:val="auto"/>
              </w:rPr>
            </w:pPr>
            <w:r>
              <w:rPr>
                <w:rFonts w:ascii="Calibri" w:cs="Calibri" w:eastAsia="Calibri" w:hAnsi="Calibri"/>
                <w:sz w:val="12"/>
                <w:szCs w:val="12"/>
                <w:color w:val="auto"/>
              </w:rPr>
              <w:t>32,413,767</w:t>
            </w:r>
          </w:p>
        </w:tc>
        <w:tc>
          <w:tcPr>
            <w:tcW w:w="820" w:type="dxa"/>
            <w:vAlign w:val="bottom"/>
            <w:tcBorders>
              <w:bottom w:val="single" w:sz="8" w:color="auto"/>
              <w:right w:val="single" w:sz="8" w:color="auto"/>
            </w:tcBorders>
          </w:tcPr>
          <w:p>
            <w:pPr>
              <w:jc w:val="right"/>
              <w:ind w:right="1"/>
              <w:spacing w:after="0"/>
              <w:rPr>
                <w:sz w:val="20"/>
                <w:szCs w:val="20"/>
                <w:color w:val="auto"/>
              </w:rPr>
            </w:pPr>
            <w:r>
              <w:rPr>
                <w:rFonts w:ascii="Calibri" w:cs="Calibri" w:eastAsia="Calibri" w:hAnsi="Calibri"/>
                <w:sz w:val="12"/>
                <w:szCs w:val="12"/>
                <w:color w:val="auto"/>
              </w:rPr>
              <w:t>33,462,591</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3.2%</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rPr>
              <w:t>7.0%</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jc w:val="right"/>
              <w:ind w:right="261"/>
              <w:spacing w:after="0"/>
              <w:rPr>
                <w:sz w:val="20"/>
                <w:szCs w:val="20"/>
                <w:color w:val="auto"/>
              </w:rPr>
            </w:pPr>
            <w:r>
              <w:rPr>
                <w:rFonts w:ascii="Calibri" w:cs="Calibri" w:eastAsia="Calibri" w:hAnsi="Calibri"/>
                <w:sz w:val="12"/>
                <w:szCs w:val="12"/>
                <w:color w:val="auto"/>
              </w:rPr>
              <w:t>31,267,592</w:t>
            </w:r>
          </w:p>
        </w:tc>
        <w:tc>
          <w:tcPr>
            <w:tcW w:w="920" w:type="dxa"/>
            <w:vAlign w:val="bottom"/>
            <w:tcBorders>
              <w:bottom w:val="single" w:sz="8" w:color="auto"/>
              <w:right w:val="single" w:sz="8" w:color="auto"/>
            </w:tcBorders>
          </w:tcPr>
          <w:p>
            <w:pPr>
              <w:jc w:val="right"/>
              <w:ind w:right="1"/>
              <w:spacing w:after="0"/>
              <w:rPr>
                <w:sz w:val="20"/>
                <w:szCs w:val="20"/>
                <w:color w:val="auto"/>
              </w:rPr>
            </w:pPr>
            <w:r>
              <w:rPr>
                <w:rFonts w:ascii="Calibri" w:cs="Calibri" w:eastAsia="Calibri" w:hAnsi="Calibri"/>
                <w:sz w:val="12"/>
                <w:szCs w:val="12"/>
                <w:color w:val="auto"/>
              </w:rPr>
              <w:t>33,462,591</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7.0%</w:t>
            </w:r>
          </w:p>
        </w:tc>
        <w:tc>
          <w:tcPr>
            <w:tcW w:w="0" w:type="dxa"/>
            <w:vAlign w:val="bottom"/>
          </w:tcPr>
          <w:p>
            <w:pPr>
              <w:spacing w:after="0"/>
              <w:rPr>
                <w:sz w:val="1"/>
                <w:szCs w:val="1"/>
                <w:color w:val="auto"/>
              </w:rPr>
            </w:pPr>
          </w:p>
        </w:tc>
      </w:tr>
      <w:tr>
        <w:trPr>
          <w:trHeight w:val="137"/>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b w:val="1"/>
                <w:bCs w:val="1"/>
                <w:color w:val="auto"/>
              </w:rPr>
              <w:t>Proftability</w:t>
            </w:r>
          </w:p>
        </w:tc>
        <w:tc>
          <w:tcPr>
            <w:tcW w:w="9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Net interest margin </w:t>
            </w:r>
            <w:r>
              <w:rPr>
                <w:rFonts w:ascii="Calibri" w:cs="Calibri" w:eastAsia="Calibri" w:hAnsi="Calibri"/>
                <w:sz w:val="9"/>
                <w:szCs w:val="9"/>
                <w:color w:val="auto"/>
              </w:rPr>
              <w:t>(1)</w:t>
            </w:r>
          </w:p>
        </w:tc>
        <w:tc>
          <w:tcPr>
            <w:tcW w:w="960" w:type="dxa"/>
            <w:vAlign w:val="bottom"/>
            <w:tcBorders>
              <w:right w:val="single" w:sz="8" w:color="auto"/>
            </w:tcBorders>
          </w:tcPr>
          <w:p>
            <w:pPr>
              <w:spacing w:after="0"/>
              <w:rPr>
                <w:sz w:val="17"/>
                <w:szCs w:val="17"/>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6.11%</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6.33%</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6.43%</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9"/>
              </w:rPr>
              <w:t>10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9"/>
              </w:rPr>
              <w:t>32 bps</w:t>
            </w:r>
          </w:p>
        </w:tc>
        <w:tc>
          <w:tcPr>
            <w:tcW w:w="100" w:type="dxa"/>
            <w:vAlign w:val="bottom"/>
            <w:tcBorders>
              <w:right w:val="single" w:sz="8" w:color="auto"/>
            </w:tcBorders>
          </w:tcPr>
          <w:p>
            <w:pPr>
              <w:spacing w:after="0"/>
              <w:rPr>
                <w:sz w:val="17"/>
                <w:szCs w:val="17"/>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5.96%</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6.31%</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35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Risk-adjusted Net interest margin</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4.45%</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4.40%</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4.93%</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9"/>
              </w:rPr>
              <w:t>53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9"/>
              </w:rPr>
              <w:t>48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4.49%</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4.70%</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21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Funding cost </w:t>
            </w:r>
            <w:r>
              <w:rPr>
                <w:rFonts w:ascii="Calibri" w:cs="Calibri" w:eastAsia="Calibri" w:hAnsi="Calibri"/>
                <w:sz w:val="9"/>
                <w:szCs w:val="9"/>
                <w:color w:val="auto"/>
              </w:rPr>
              <w:t>(2)</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3.15%</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2.86%</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2.68%</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-18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-47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2.86%</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2.83%</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3"/>
              </w:rPr>
              <w:t>-3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ROAE</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16.2%</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16.2%</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18.5%</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234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3"/>
              </w:rPr>
              <w:t>235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17.8%</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17.7%</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-11 bps</w:t>
            </w:r>
          </w:p>
        </w:tc>
        <w:tc>
          <w:tcPr>
            <w:tcW w:w="0" w:type="dxa"/>
            <w:vAlign w:val="bottom"/>
          </w:tcPr>
          <w:p>
            <w:pPr>
              <w:spacing w:after="0"/>
              <w:rPr>
                <w:sz w:val="1"/>
                <w:szCs w:val="1"/>
                <w:color w:val="auto"/>
              </w:rPr>
            </w:pPr>
          </w:p>
        </w:tc>
      </w:tr>
      <w:tr>
        <w:trPr>
          <w:trHeight w:val="155"/>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ROAA</w:t>
            </w:r>
          </w:p>
        </w:tc>
        <w:tc>
          <w:tcPr>
            <w:tcW w:w="9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right"/>
              <w:ind w:right="161"/>
              <w:spacing w:after="0"/>
              <w:rPr>
                <w:sz w:val="20"/>
                <w:szCs w:val="20"/>
                <w:color w:val="auto"/>
              </w:rPr>
            </w:pPr>
            <w:r>
              <w:rPr>
                <w:rFonts w:ascii="Calibri" w:cs="Calibri" w:eastAsia="Calibri" w:hAnsi="Calibri"/>
                <w:sz w:val="12"/>
                <w:szCs w:val="12"/>
                <w:color w:val="auto"/>
              </w:rPr>
              <w:t>2.1%</w:t>
            </w:r>
          </w:p>
        </w:tc>
        <w:tc>
          <w:tcPr>
            <w:tcW w:w="880" w:type="dxa"/>
            <w:vAlign w:val="bottom"/>
            <w:tcBorders>
              <w:bottom w:val="single" w:sz="8" w:color="auto"/>
            </w:tcBorders>
          </w:tcPr>
          <w:p>
            <w:pPr>
              <w:jc w:val="right"/>
              <w:ind w:right="101"/>
              <w:spacing w:after="0"/>
              <w:rPr>
                <w:sz w:val="20"/>
                <w:szCs w:val="20"/>
                <w:color w:val="auto"/>
              </w:rPr>
            </w:pPr>
            <w:r>
              <w:rPr>
                <w:rFonts w:ascii="Calibri" w:cs="Calibri" w:eastAsia="Calibri" w:hAnsi="Calibri"/>
                <w:sz w:val="12"/>
                <w:szCs w:val="12"/>
                <w:color w:val="auto"/>
              </w:rPr>
              <w:t>2.2%</w:t>
            </w:r>
          </w:p>
        </w:tc>
        <w:tc>
          <w:tcPr>
            <w:tcW w:w="8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2.4%</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9"/>
              </w:rPr>
              <w:t>26 bps</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w w:val="99"/>
              </w:rPr>
              <w:t>35 bps</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jc w:val="right"/>
              <w:ind w:right="221"/>
              <w:spacing w:after="0"/>
              <w:rPr>
                <w:sz w:val="20"/>
                <w:szCs w:val="20"/>
                <w:color w:val="auto"/>
              </w:rPr>
            </w:pPr>
            <w:r>
              <w:rPr>
                <w:rFonts w:ascii="Calibri" w:cs="Calibri" w:eastAsia="Calibri" w:hAnsi="Calibri"/>
                <w:sz w:val="12"/>
                <w:szCs w:val="12"/>
                <w:color w:val="auto"/>
              </w:rPr>
              <w:t>2.3%</w:t>
            </w:r>
          </w:p>
        </w:tc>
        <w:tc>
          <w:tcPr>
            <w:tcW w:w="9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2.4%</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9"/>
              </w:rPr>
              <w:t>13 bps</w:t>
            </w:r>
          </w:p>
        </w:tc>
        <w:tc>
          <w:tcPr>
            <w:tcW w:w="0" w:type="dxa"/>
            <w:vAlign w:val="bottom"/>
          </w:tcPr>
          <w:p>
            <w:pPr>
              <w:spacing w:after="0"/>
              <w:rPr>
                <w:sz w:val="1"/>
                <w:szCs w:val="1"/>
                <w:color w:val="auto"/>
              </w:rPr>
            </w:pPr>
          </w:p>
        </w:tc>
      </w:tr>
      <w:tr>
        <w:trPr>
          <w:trHeight w:val="137"/>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b w:val="1"/>
                <w:bCs w:val="1"/>
                <w:color w:val="auto"/>
              </w:rPr>
              <w:t>Loan portolio quality</w:t>
            </w:r>
          </w:p>
        </w:tc>
        <w:tc>
          <w:tcPr>
            <w:tcW w:w="9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Internal overdue rato </w:t>
            </w:r>
            <w:r>
              <w:rPr>
                <w:rFonts w:ascii="Calibri" w:cs="Calibri" w:eastAsia="Calibri" w:hAnsi="Calibri"/>
                <w:sz w:val="9"/>
                <w:szCs w:val="9"/>
                <w:color w:val="auto"/>
              </w:rPr>
              <w:t>(3)</w:t>
            </w:r>
          </w:p>
        </w:tc>
        <w:tc>
          <w:tcPr>
            <w:tcW w:w="960" w:type="dxa"/>
            <w:vAlign w:val="bottom"/>
            <w:tcBorders>
              <w:right w:val="single" w:sz="8" w:color="auto"/>
            </w:tcBorders>
          </w:tcPr>
          <w:p>
            <w:pPr>
              <w:spacing w:after="0"/>
              <w:rPr>
                <w:sz w:val="17"/>
                <w:szCs w:val="17"/>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4.4%</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4.2%</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4.2%</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-1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-18 bps</w:t>
            </w:r>
          </w:p>
        </w:tc>
        <w:tc>
          <w:tcPr>
            <w:tcW w:w="100" w:type="dxa"/>
            <w:vAlign w:val="bottom"/>
            <w:tcBorders>
              <w:right w:val="single" w:sz="8" w:color="auto"/>
            </w:tcBorders>
          </w:tcPr>
          <w:p>
            <w:pPr>
              <w:spacing w:after="0"/>
              <w:rPr>
                <w:sz w:val="17"/>
                <w:szCs w:val="17"/>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4.4%</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4.2%</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-18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Internal overdue rato over 90 days</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3.4%</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3.2%</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3.4%</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9"/>
              </w:rPr>
              <w:t>16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1"/>
              </w:rPr>
              <w:t>4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3.4%</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3.4%</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4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NPL rato </w:t>
            </w:r>
            <w:r>
              <w:rPr>
                <w:rFonts w:ascii="Calibri" w:cs="Calibri" w:eastAsia="Calibri" w:hAnsi="Calibri"/>
                <w:sz w:val="9"/>
                <w:szCs w:val="9"/>
                <w:color w:val="auto"/>
              </w:rPr>
              <w:t>(4)</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6.0%</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6.0%</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5.9%</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-12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-11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6.0%</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5.9%</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-11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Cost of risk </w:t>
            </w:r>
            <w:r>
              <w:rPr>
                <w:rFonts w:ascii="Calibri" w:cs="Calibri" w:eastAsia="Calibri" w:hAnsi="Calibri"/>
                <w:sz w:val="9"/>
                <w:szCs w:val="9"/>
                <w:color w:val="auto"/>
              </w:rPr>
              <w:t>(5)</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2.5%</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3.0%</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2.4%</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-64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-15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2.2%</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35 bps</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Coverage rato of IOLs</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125.8%</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134.0%</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136.9%</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289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9"/>
              </w:rPr>
              <w:t>1115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125.8%</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136.9%</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1115 bps</w:t>
            </w:r>
          </w:p>
        </w:tc>
        <w:tc>
          <w:tcPr>
            <w:tcW w:w="0" w:type="dxa"/>
            <w:vAlign w:val="bottom"/>
          </w:tcPr>
          <w:p>
            <w:pPr>
              <w:spacing w:after="0"/>
              <w:rPr>
                <w:sz w:val="1"/>
                <w:szCs w:val="1"/>
                <w:color w:val="auto"/>
              </w:rPr>
            </w:pPr>
          </w:p>
        </w:tc>
      </w:tr>
      <w:tr>
        <w:trPr>
          <w:trHeight w:val="155"/>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Coverage rato of NPLs</w:t>
            </w:r>
          </w:p>
        </w:tc>
        <w:tc>
          <w:tcPr>
            <w:tcW w:w="9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right"/>
              <w:ind w:right="161"/>
              <w:spacing w:after="0"/>
              <w:rPr>
                <w:sz w:val="20"/>
                <w:szCs w:val="20"/>
                <w:color w:val="auto"/>
              </w:rPr>
            </w:pPr>
            <w:r>
              <w:rPr>
                <w:rFonts w:ascii="Calibri" w:cs="Calibri" w:eastAsia="Calibri" w:hAnsi="Calibri"/>
                <w:sz w:val="12"/>
                <w:szCs w:val="12"/>
                <w:color w:val="auto"/>
              </w:rPr>
              <w:t>93.0%</w:t>
            </w:r>
          </w:p>
        </w:tc>
        <w:tc>
          <w:tcPr>
            <w:tcW w:w="880" w:type="dxa"/>
            <w:vAlign w:val="bottom"/>
            <w:tcBorders>
              <w:bottom w:val="single" w:sz="8" w:color="auto"/>
            </w:tcBorders>
          </w:tcPr>
          <w:p>
            <w:pPr>
              <w:jc w:val="right"/>
              <w:ind w:right="101"/>
              <w:spacing w:after="0"/>
              <w:rPr>
                <w:sz w:val="20"/>
                <w:szCs w:val="20"/>
                <w:color w:val="auto"/>
              </w:rPr>
            </w:pPr>
            <w:r>
              <w:rPr>
                <w:rFonts w:ascii="Calibri" w:cs="Calibri" w:eastAsia="Calibri" w:hAnsi="Calibri"/>
                <w:sz w:val="12"/>
                <w:szCs w:val="12"/>
                <w:color w:val="auto"/>
              </w:rPr>
              <w:t>95.0%</w:t>
            </w:r>
          </w:p>
        </w:tc>
        <w:tc>
          <w:tcPr>
            <w:tcW w:w="8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98.7%</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3"/>
              </w:rPr>
              <w:t>364 bps</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w w:val="93"/>
              </w:rPr>
              <w:t>565 bps</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jc w:val="right"/>
              <w:ind w:right="221"/>
              <w:spacing w:after="0"/>
              <w:rPr>
                <w:sz w:val="20"/>
                <w:szCs w:val="20"/>
                <w:color w:val="auto"/>
              </w:rPr>
            </w:pPr>
            <w:r>
              <w:rPr>
                <w:rFonts w:ascii="Calibri" w:cs="Calibri" w:eastAsia="Calibri" w:hAnsi="Calibri"/>
                <w:sz w:val="12"/>
                <w:szCs w:val="12"/>
                <w:color w:val="auto"/>
              </w:rPr>
              <w:t>93.0%</w:t>
            </w:r>
          </w:p>
        </w:tc>
        <w:tc>
          <w:tcPr>
            <w:tcW w:w="9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98.7%</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3"/>
              </w:rPr>
              <w:t>565 bps</w:t>
            </w:r>
          </w:p>
        </w:tc>
        <w:tc>
          <w:tcPr>
            <w:tcW w:w="0" w:type="dxa"/>
            <w:vAlign w:val="bottom"/>
          </w:tcPr>
          <w:p>
            <w:pPr>
              <w:spacing w:after="0"/>
              <w:rPr>
                <w:sz w:val="1"/>
                <w:szCs w:val="1"/>
                <w:color w:val="auto"/>
              </w:rPr>
            </w:pPr>
          </w:p>
        </w:tc>
      </w:tr>
      <w:tr>
        <w:trPr>
          <w:trHeight w:val="137"/>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b w:val="1"/>
                <w:bCs w:val="1"/>
                <w:color w:val="auto"/>
              </w:rPr>
              <w:t>Operatng efciency</w:t>
            </w:r>
          </w:p>
        </w:tc>
        <w:tc>
          <w:tcPr>
            <w:tcW w:w="9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Operatng income </w:t>
            </w:r>
            <w:r>
              <w:rPr>
                <w:rFonts w:ascii="Calibri" w:cs="Calibri" w:eastAsia="Calibri" w:hAnsi="Calibri"/>
                <w:sz w:val="9"/>
                <w:szCs w:val="9"/>
                <w:color w:val="auto"/>
              </w:rPr>
              <w:t>(6)</w:t>
            </w:r>
          </w:p>
        </w:tc>
        <w:tc>
          <w:tcPr>
            <w:tcW w:w="960" w:type="dxa"/>
            <w:vAlign w:val="bottom"/>
            <w:tcBorders>
              <w:right w:val="single" w:sz="8" w:color="auto"/>
            </w:tcBorders>
          </w:tcPr>
          <w:p>
            <w:pPr>
              <w:spacing w:after="0"/>
              <w:rPr>
                <w:sz w:val="17"/>
                <w:szCs w:val="17"/>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4,844,683</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5,213,233</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5,287,099</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1.4%</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9.1%</w:t>
            </w:r>
          </w:p>
        </w:tc>
        <w:tc>
          <w:tcPr>
            <w:tcW w:w="100" w:type="dxa"/>
            <w:vAlign w:val="bottom"/>
            <w:tcBorders>
              <w:right w:val="single" w:sz="8" w:color="auto"/>
            </w:tcBorders>
          </w:tcPr>
          <w:p>
            <w:pPr>
              <w:spacing w:after="0"/>
              <w:rPr>
                <w:sz w:val="17"/>
                <w:szCs w:val="17"/>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14,162,584</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15,500,946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9.4%</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Operatng expenses </w:t>
            </w:r>
            <w:r>
              <w:rPr>
                <w:rFonts w:ascii="Calibri" w:cs="Calibri" w:eastAsia="Calibri" w:hAnsi="Calibri"/>
                <w:sz w:val="9"/>
                <w:szCs w:val="9"/>
                <w:color w:val="auto"/>
              </w:rPr>
              <w:t>(7)</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2,243,691</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2,340,934</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2,389,261</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2.1%</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6.5%</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6,385,072</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6,909,841</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8.2%</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Efciency rato </w:t>
            </w:r>
            <w:r>
              <w:rPr>
                <w:rFonts w:ascii="Calibri" w:cs="Calibri" w:eastAsia="Calibri" w:hAnsi="Calibri"/>
                <w:sz w:val="9"/>
                <w:szCs w:val="9"/>
                <w:color w:val="auto"/>
              </w:rPr>
              <w:t>(8)</w:t>
            </w:r>
          </w:p>
        </w:tc>
        <w:tc>
          <w:tcPr>
            <w:tcW w:w="960" w:type="dxa"/>
            <w:vAlign w:val="bottom"/>
            <w:tcBorders>
              <w:right w:val="single" w:sz="8" w:color="auto"/>
            </w:tcBorders>
          </w:tcPr>
          <w:p>
            <w:pPr>
              <w:spacing w:after="0"/>
              <w:rPr>
                <w:sz w:val="12"/>
                <w:szCs w:val="12"/>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46.3%</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44.9%</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45.2%</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9"/>
              </w:rPr>
              <w:t>29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5"/>
              </w:rPr>
              <w:t>-112 bps</w:t>
            </w:r>
          </w:p>
        </w:tc>
        <w:tc>
          <w:tcPr>
            <w:tcW w:w="100" w:type="dxa"/>
            <w:vAlign w:val="bottom"/>
            <w:tcBorders>
              <w:right w:val="single" w:sz="8" w:color="auto"/>
            </w:tcBorders>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45.1%</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44.6%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-50 bps</w:t>
            </w:r>
          </w:p>
        </w:tc>
        <w:tc>
          <w:tcPr>
            <w:tcW w:w="0" w:type="dxa"/>
            <w:vAlign w:val="bottom"/>
          </w:tcPr>
          <w:p>
            <w:pPr>
              <w:spacing w:after="0"/>
              <w:rPr>
                <w:sz w:val="1"/>
                <w:szCs w:val="1"/>
                <w:color w:val="auto"/>
              </w:rPr>
            </w:pPr>
          </w:p>
        </w:tc>
      </w:tr>
      <w:tr>
        <w:trPr>
          <w:trHeight w:val="155"/>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Operatng expenses / Total average assets</w:t>
            </w:r>
          </w:p>
        </w:tc>
        <w:tc>
          <w:tcPr>
            <w:tcW w:w="9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right"/>
              <w:ind w:right="161"/>
              <w:spacing w:after="0"/>
              <w:rPr>
                <w:sz w:val="20"/>
                <w:szCs w:val="20"/>
                <w:color w:val="auto"/>
              </w:rPr>
            </w:pPr>
            <w:r>
              <w:rPr>
                <w:rFonts w:ascii="Calibri" w:cs="Calibri" w:eastAsia="Calibri" w:hAnsi="Calibri"/>
                <w:sz w:val="12"/>
                <w:szCs w:val="12"/>
                <w:color w:val="auto"/>
              </w:rPr>
              <w:t>3.8%</w:t>
            </w:r>
          </w:p>
        </w:tc>
        <w:tc>
          <w:tcPr>
            <w:tcW w:w="880" w:type="dxa"/>
            <w:vAlign w:val="bottom"/>
            <w:tcBorders>
              <w:bottom w:val="single" w:sz="8" w:color="auto"/>
            </w:tcBorders>
          </w:tcPr>
          <w:p>
            <w:pPr>
              <w:jc w:val="right"/>
              <w:ind w:right="101"/>
              <w:spacing w:after="0"/>
              <w:rPr>
                <w:sz w:val="20"/>
                <w:szCs w:val="20"/>
                <w:color w:val="auto"/>
              </w:rPr>
            </w:pPr>
            <w:r>
              <w:rPr>
                <w:rFonts w:ascii="Calibri" w:cs="Calibri" w:eastAsia="Calibri" w:hAnsi="Calibri"/>
                <w:sz w:val="12"/>
                <w:szCs w:val="12"/>
                <w:color w:val="auto"/>
              </w:rPr>
              <w:t>3.8%</w:t>
            </w:r>
          </w:p>
        </w:tc>
        <w:tc>
          <w:tcPr>
            <w:tcW w:w="8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3.8%</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1"/>
              </w:rPr>
              <w:t>1 bps</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w w:val="91"/>
              </w:rPr>
              <w:t>4 bps</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jc w:val="right"/>
              <w:ind w:right="221"/>
              <w:spacing w:after="0"/>
              <w:rPr>
                <w:sz w:val="20"/>
                <w:szCs w:val="20"/>
                <w:color w:val="auto"/>
              </w:rPr>
            </w:pPr>
            <w:r>
              <w:rPr>
                <w:rFonts w:ascii="Calibri" w:cs="Calibri" w:eastAsia="Calibri" w:hAnsi="Calibri"/>
                <w:sz w:val="12"/>
                <w:szCs w:val="12"/>
                <w:color w:val="auto"/>
              </w:rPr>
              <w:t>3.6%</w:t>
            </w:r>
          </w:p>
        </w:tc>
        <w:tc>
          <w:tcPr>
            <w:tcW w:w="9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3.8%</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9"/>
              </w:rPr>
              <w:t>19 bps</w:t>
            </w:r>
          </w:p>
        </w:tc>
        <w:tc>
          <w:tcPr>
            <w:tcW w:w="0" w:type="dxa"/>
            <w:vAlign w:val="bottom"/>
          </w:tcPr>
          <w:p>
            <w:pPr>
              <w:spacing w:after="0"/>
              <w:rPr>
                <w:sz w:val="1"/>
                <w:szCs w:val="1"/>
                <w:color w:val="auto"/>
              </w:rPr>
            </w:pPr>
          </w:p>
        </w:tc>
      </w:tr>
      <w:tr>
        <w:trPr>
          <w:trHeight w:val="137"/>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b w:val="1"/>
                <w:bCs w:val="1"/>
                <w:color w:val="auto"/>
              </w:rPr>
              <w:t>Capital adequacy - BCP Stand-alone</w:t>
            </w:r>
          </w:p>
        </w:tc>
        <w:tc>
          <w:tcPr>
            <w:tcW w:w="9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Global Capital Rato </w:t>
            </w:r>
            <w:r>
              <w:rPr>
                <w:rFonts w:ascii="Calibri" w:cs="Calibri" w:eastAsia="Calibri" w:hAnsi="Calibri"/>
                <w:sz w:val="9"/>
                <w:szCs w:val="9"/>
                <w:color w:val="auto"/>
              </w:rPr>
              <w:t>(9)</w:t>
            </w:r>
          </w:p>
        </w:tc>
        <w:tc>
          <w:tcPr>
            <w:tcW w:w="960" w:type="dxa"/>
            <w:vAlign w:val="bottom"/>
            <w:tcBorders>
              <w:right w:val="single" w:sz="8" w:color="auto"/>
            </w:tcBorders>
          </w:tcPr>
          <w:p>
            <w:pPr>
              <w:spacing w:after="0"/>
              <w:rPr>
                <w:sz w:val="18"/>
                <w:szCs w:val="18"/>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17.51%</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16.24%</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18.96%</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272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3"/>
              </w:rPr>
              <w:t>145 bps</w:t>
            </w:r>
          </w:p>
        </w:tc>
        <w:tc>
          <w:tcPr>
            <w:tcW w:w="100" w:type="dxa"/>
            <w:vAlign w:val="bottom"/>
            <w:tcBorders>
              <w:right w:val="single" w:sz="8" w:color="auto"/>
            </w:tcBorders>
          </w:tcPr>
          <w:p>
            <w:pPr>
              <w:spacing w:after="0"/>
              <w:rPr>
                <w:sz w:val="18"/>
                <w:szCs w:val="18"/>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17.51%</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18.96%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145 bps</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Rato Tier 1 </w:t>
            </w:r>
            <w:r>
              <w:rPr>
                <w:rFonts w:ascii="Calibri" w:cs="Calibri" w:eastAsia="Calibri" w:hAnsi="Calibri"/>
                <w:sz w:val="9"/>
                <w:szCs w:val="9"/>
                <w:color w:val="auto"/>
              </w:rPr>
              <w:t>(10)</w:t>
            </w:r>
          </w:p>
        </w:tc>
        <w:tc>
          <w:tcPr>
            <w:tcW w:w="960" w:type="dxa"/>
            <w:vAlign w:val="bottom"/>
            <w:tcBorders>
              <w:right w:val="single" w:sz="8" w:color="auto"/>
            </w:tcBorders>
          </w:tcPr>
          <w:p>
            <w:pPr>
              <w:spacing w:after="0"/>
              <w:rPr>
                <w:sz w:val="14"/>
                <w:szCs w:val="14"/>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13.01%</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11.90%</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13.25%</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135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9"/>
              </w:rPr>
              <w:t>24 bps</w:t>
            </w:r>
          </w:p>
        </w:tc>
        <w:tc>
          <w:tcPr>
            <w:tcW w:w="100" w:type="dxa"/>
            <w:vAlign w:val="bottom"/>
            <w:tcBorders>
              <w:right w:val="single" w:sz="8" w:color="auto"/>
            </w:tcBorders>
          </w:tcPr>
          <w:p>
            <w:pPr>
              <w:spacing w:after="0"/>
              <w:rPr>
                <w:sz w:val="14"/>
                <w:szCs w:val="14"/>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13.01%</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13.25%</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24 bps</w:t>
            </w: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 xml:space="preserve">Rato common equity ter 1 </w:t>
            </w:r>
            <w:r>
              <w:rPr>
                <w:rFonts w:ascii="Calibri" w:cs="Calibri" w:eastAsia="Calibri" w:hAnsi="Calibri"/>
                <w:sz w:val="9"/>
                <w:szCs w:val="9"/>
                <w:color w:val="auto"/>
              </w:rPr>
              <w:t>(11) (13)</w:t>
            </w:r>
          </w:p>
        </w:tc>
        <w:tc>
          <w:tcPr>
            <w:tcW w:w="9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1"/>
              <w:spacing w:after="0"/>
              <w:rPr>
                <w:sz w:val="20"/>
                <w:szCs w:val="20"/>
                <w:color w:val="auto"/>
              </w:rPr>
            </w:pPr>
            <w:r>
              <w:rPr>
                <w:rFonts w:ascii="Calibri" w:cs="Calibri" w:eastAsia="Calibri" w:hAnsi="Calibri"/>
                <w:sz w:val="12"/>
                <w:szCs w:val="12"/>
                <w:color w:val="auto"/>
              </w:rPr>
              <w:t>13.04%</w:t>
            </w:r>
          </w:p>
        </w:tc>
        <w:tc>
          <w:tcPr>
            <w:tcW w:w="880" w:type="dxa"/>
            <w:vAlign w:val="bottom"/>
            <w:tcBorders>
              <w:bottom w:val="single" w:sz="8" w:color="auto"/>
            </w:tcBorders>
          </w:tcPr>
          <w:p>
            <w:pPr>
              <w:jc w:val="right"/>
              <w:ind w:right="101"/>
              <w:spacing w:after="0"/>
              <w:rPr>
                <w:sz w:val="20"/>
                <w:szCs w:val="20"/>
                <w:color w:val="auto"/>
              </w:rPr>
            </w:pPr>
            <w:r>
              <w:rPr>
                <w:rFonts w:ascii="Calibri" w:cs="Calibri" w:eastAsia="Calibri" w:hAnsi="Calibri"/>
                <w:sz w:val="12"/>
                <w:szCs w:val="12"/>
                <w:color w:val="auto"/>
              </w:rPr>
              <w:t>12.05%</w:t>
            </w:r>
          </w:p>
        </w:tc>
        <w:tc>
          <w:tcPr>
            <w:tcW w:w="8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13.42%</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3"/>
              </w:rPr>
              <w:t>137 bps</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w w:val="99"/>
              </w:rPr>
              <w:t>38 bps</w:t>
            </w:r>
          </w:p>
        </w:tc>
        <w:tc>
          <w:tcPr>
            <w:tcW w:w="1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jc w:val="right"/>
              <w:ind w:right="221"/>
              <w:spacing w:after="0"/>
              <w:rPr>
                <w:sz w:val="20"/>
                <w:szCs w:val="20"/>
                <w:color w:val="auto"/>
              </w:rPr>
            </w:pPr>
            <w:r>
              <w:rPr>
                <w:rFonts w:ascii="Calibri" w:cs="Calibri" w:eastAsia="Calibri" w:hAnsi="Calibri"/>
                <w:sz w:val="12"/>
                <w:szCs w:val="12"/>
                <w:color w:val="auto"/>
              </w:rPr>
              <w:t>13.04%</w:t>
            </w:r>
          </w:p>
        </w:tc>
        <w:tc>
          <w:tcPr>
            <w:tcW w:w="9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13.42%</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9"/>
              </w:rPr>
              <w:t>38 bps</w:t>
            </w:r>
          </w:p>
        </w:tc>
        <w:tc>
          <w:tcPr>
            <w:tcW w:w="0" w:type="dxa"/>
            <w:vAlign w:val="bottom"/>
          </w:tcPr>
          <w:p>
            <w:pPr>
              <w:spacing w:after="0"/>
              <w:rPr>
                <w:sz w:val="1"/>
                <w:szCs w:val="1"/>
                <w:color w:val="auto"/>
              </w:rPr>
            </w:pPr>
          </w:p>
        </w:tc>
      </w:tr>
      <w:tr>
        <w:trPr>
          <w:trHeight w:val="137"/>
        </w:trPr>
        <w:tc>
          <w:tcPr>
            <w:tcW w:w="2560" w:type="dxa"/>
            <w:vAlign w:val="bottom"/>
            <w:tcBorders>
              <w:left w:val="single" w:sz="8" w:color="auto"/>
            </w:tcBorders>
          </w:tcPr>
          <w:p>
            <w:pPr>
              <w:ind w:left="60"/>
              <w:spacing w:after="0" w:line="138" w:lineRule="exact"/>
              <w:rPr>
                <w:sz w:val="20"/>
                <w:szCs w:val="20"/>
                <w:color w:val="auto"/>
              </w:rPr>
            </w:pPr>
            <w:r>
              <w:rPr>
                <w:rFonts w:ascii="Calibri" w:cs="Calibri" w:eastAsia="Calibri" w:hAnsi="Calibri"/>
                <w:sz w:val="12"/>
                <w:szCs w:val="12"/>
                <w:b w:val="1"/>
                <w:bCs w:val="1"/>
                <w:color w:val="auto"/>
              </w:rPr>
              <w:t>Capital adequacy - Mibanco</w:t>
            </w:r>
          </w:p>
        </w:tc>
        <w:tc>
          <w:tcPr>
            <w:tcW w:w="9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Global Capital Rato </w:t>
            </w:r>
            <w:r>
              <w:rPr>
                <w:rFonts w:ascii="Calibri" w:cs="Calibri" w:eastAsia="Calibri" w:hAnsi="Calibri"/>
                <w:sz w:val="9"/>
                <w:szCs w:val="9"/>
                <w:color w:val="auto"/>
              </w:rPr>
              <w:t>(9)</w:t>
            </w:r>
          </w:p>
        </w:tc>
        <w:tc>
          <w:tcPr>
            <w:tcW w:w="960" w:type="dxa"/>
            <w:vAlign w:val="bottom"/>
            <w:tcBorders>
              <w:right w:val="single" w:sz="8" w:color="auto"/>
            </w:tcBorders>
          </w:tcPr>
          <w:p>
            <w:pPr>
              <w:spacing w:after="0"/>
              <w:rPr>
                <w:sz w:val="18"/>
                <w:szCs w:val="18"/>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19.78%</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18.95%</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20.22%</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127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9"/>
              </w:rPr>
              <w:t>44 bps</w:t>
            </w:r>
          </w:p>
        </w:tc>
        <w:tc>
          <w:tcPr>
            <w:tcW w:w="100" w:type="dxa"/>
            <w:vAlign w:val="bottom"/>
            <w:tcBorders>
              <w:right w:val="single" w:sz="8" w:color="auto"/>
            </w:tcBorders>
          </w:tcPr>
          <w:p>
            <w:pPr>
              <w:spacing w:after="0"/>
              <w:rPr>
                <w:sz w:val="18"/>
                <w:szCs w:val="18"/>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19.78%</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20.22%</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44 bps</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Rato Tier 1 </w:t>
            </w:r>
            <w:r>
              <w:rPr>
                <w:rFonts w:ascii="Calibri" w:cs="Calibri" w:eastAsia="Calibri" w:hAnsi="Calibri"/>
                <w:sz w:val="9"/>
                <w:szCs w:val="9"/>
                <w:color w:val="auto"/>
              </w:rPr>
              <w:t>(10)</w:t>
            </w:r>
          </w:p>
        </w:tc>
        <w:tc>
          <w:tcPr>
            <w:tcW w:w="960" w:type="dxa"/>
            <w:vAlign w:val="bottom"/>
            <w:tcBorders>
              <w:right w:val="single" w:sz="8" w:color="auto"/>
            </w:tcBorders>
          </w:tcPr>
          <w:p>
            <w:pPr>
              <w:spacing w:after="0"/>
              <w:rPr>
                <w:sz w:val="14"/>
                <w:szCs w:val="14"/>
                <w:color w:val="auto"/>
              </w:rPr>
            </w:pPr>
          </w:p>
        </w:tc>
        <w:tc>
          <w:tcPr>
            <w:tcW w:w="1140" w:type="dxa"/>
            <w:vAlign w:val="bottom"/>
          </w:tcPr>
          <w:p>
            <w:pPr>
              <w:jc w:val="right"/>
              <w:ind w:right="161"/>
              <w:spacing w:after="0"/>
              <w:rPr>
                <w:sz w:val="20"/>
                <w:szCs w:val="20"/>
                <w:color w:val="auto"/>
              </w:rPr>
            </w:pPr>
            <w:r>
              <w:rPr>
                <w:rFonts w:ascii="Calibri" w:cs="Calibri" w:eastAsia="Calibri" w:hAnsi="Calibri"/>
                <w:sz w:val="12"/>
                <w:szCs w:val="12"/>
                <w:color w:val="auto"/>
              </w:rPr>
              <w:t>17.46%</w:t>
            </w:r>
          </w:p>
        </w:tc>
        <w:tc>
          <w:tcPr>
            <w:tcW w:w="880" w:type="dxa"/>
            <w:vAlign w:val="bottom"/>
          </w:tcPr>
          <w:p>
            <w:pPr>
              <w:jc w:val="right"/>
              <w:ind w:right="101"/>
              <w:spacing w:after="0"/>
              <w:rPr>
                <w:sz w:val="20"/>
                <w:szCs w:val="20"/>
                <w:color w:val="auto"/>
              </w:rPr>
            </w:pPr>
            <w:r>
              <w:rPr>
                <w:rFonts w:ascii="Calibri" w:cs="Calibri" w:eastAsia="Calibri" w:hAnsi="Calibri"/>
                <w:sz w:val="12"/>
                <w:szCs w:val="12"/>
                <w:color w:val="auto"/>
              </w:rPr>
              <w:t>16.62%</w:t>
            </w:r>
          </w:p>
        </w:tc>
        <w:tc>
          <w:tcPr>
            <w:tcW w:w="8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17.85%</w:t>
            </w:r>
          </w:p>
        </w:tc>
        <w:tc>
          <w:tcPr>
            <w:tcW w:w="700" w:type="dxa"/>
            <w:vAlign w:val="bottom"/>
          </w:tcPr>
          <w:p>
            <w:pPr>
              <w:jc w:val="center"/>
              <w:spacing w:after="0"/>
              <w:rPr>
                <w:sz w:val="20"/>
                <w:szCs w:val="20"/>
                <w:color w:val="auto"/>
              </w:rPr>
            </w:pPr>
            <w:r>
              <w:rPr>
                <w:rFonts w:ascii="Calibri" w:cs="Calibri" w:eastAsia="Calibri" w:hAnsi="Calibri"/>
                <w:sz w:val="12"/>
                <w:szCs w:val="12"/>
                <w:color w:val="auto"/>
                <w:w w:val="93"/>
              </w:rPr>
              <w:t>123 bps</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w w:val="99"/>
              </w:rPr>
              <w:t>39 bps</w:t>
            </w:r>
          </w:p>
        </w:tc>
        <w:tc>
          <w:tcPr>
            <w:tcW w:w="100" w:type="dxa"/>
            <w:vAlign w:val="bottom"/>
            <w:tcBorders>
              <w:right w:val="single" w:sz="8" w:color="auto"/>
            </w:tcBorders>
          </w:tcPr>
          <w:p>
            <w:pPr>
              <w:spacing w:after="0"/>
              <w:rPr>
                <w:sz w:val="14"/>
                <w:szCs w:val="14"/>
                <w:color w:val="auto"/>
              </w:rPr>
            </w:pPr>
          </w:p>
        </w:tc>
        <w:tc>
          <w:tcPr>
            <w:tcW w:w="1500" w:type="dxa"/>
            <w:vAlign w:val="bottom"/>
          </w:tcPr>
          <w:p>
            <w:pPr>
              <w:jc w:val="right"/>
              <w:ind w:right="221"/>
              <w:spacing w:after="0"/>
              <w:rPr>
                <w:sz w:val="20"/>
                <w:szCs w:val="20"/>
                <w:color w:val="auto"/>
              </w:rPr>
            </w:pPr>
            <w:r>
              <w:rPr>
                <w:rFonts w:ascii="Calibri" w:cs="Calibri" w:eastAsia="Calibri" w:hAnsi="Calibri"/>
                <w:sz w:val="12"/>
                <w:szCs w:val="12"/>
                <w:color w:val="auto"/>
              </w:rPr>
              <w:t>17.46%</w:t>
            </w:r>
          </w:p>
        </w:tc>
        <w:tc>
          <w:tcPr>
            <w:tcW w:w="920" w:type="dxa"/>
            <w:vAlign w:val="bottom"/>
            <w:tcBorders>
              <w:right w:val="single" w:sz="8" w:color="auto"/>
            </w:tcBorders>
          </w:tcPr>
          <w:p>
            <w:pPr>
              <w:jc w:val="right"/>
              <w:spacing w:after="0"/>
              <w:rPr>
                <w:sz w:val="20"/>
                <w:szCs w:val="20"/>
                <w:color w:val="auto"/>
              </w:rPr>
            </w:pPr>
            <w:r>
              <w:rPr>
                <w:rFonts w:ascii="Calibri" w:cs="Calibri" w:eastAsia="Calibri" w:hAnsi="Calibri"/>
                <w:sz w:val="12"/>
                <w:szCs w:val="12"/>
                <w:color w:val="auto"/>
              </w:rPr>
              <w:t>17.85%</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9"/>
              </w:rPr>
              <w:t>39 bps</w:t>
            </w:r>
          </w:p>
        </w:tc>
        <w:tc>
          <w:tcPr>
            <w:tcW w:w="0" w:type="dxa"/>
            <w:vAlign w:val="bottom"/>
          </w:tcPr>
          <w:p>
            <w:pPr>
              <w:spacing w:after="0"/>
              <w:rPr>
                <w:sz w:val="1"/>
                <w:szCs w:val="1"/>
                <w:color w:val="auto"/>
              </w:rPr>
            </w:pPr>
          </w:p>
        </w:tc>
      </w:tr>
      <w:tr>
        <w:trPr>
          <w:trHeight w:val="168"/>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 xml:space="preserve">Rato common equity ter 1 </w:t>
            </w:r>
            <w:r>
              <w:rPr>
                <w:rFonts w:ascii="Calibri" w:cs="Calibri" w:eastAsia="Calibri" w:hAnsi="Calibri"/>
                <w:sz w:val="9"/>
                <w:szCs w:val="9"/>
                <w:color w:val="auto"/>
              </w:rPr>
              <w:t>(11) (13)</w:t>
            </w:r>
          </w:p>
        </w:tc>
        <w:tc>
          <w:tcPr>
            <w:tcW w:w="9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1"/>
              <w:spacing w:after="0"/>
              <w:rPr>
                <w:sz w:val="20"/>
                <w:szCs w:val="20"/>
                <w:color w:val="auto"/>
              </w:rPr>
            </w:pPr>
            <w:r>
              <w:rPr>
                <w:rFonts w:ascii="Calibri" w:cs="Calibri" w:eastAsia="Calibri" w:hAnsi="Calibri"/>
                <w:sz w:val="12"/>
                <w:szCs w:val="12"/>
                <w:color w:val="auto"/>
              </w:rPr>
              <w:t>17.56%</w:t>
            </w:r>
          </w:p>
        </w:tc>
        <w:tc>
          <w:tcPr>
            <w:tcW w:w="880" w:type="dxa"/>
            <w:vAlign w:val="bottom"/>
            <w:tcBorders>
              <w:bottom w:val="single" w:sz="8" w:color="auto"/>
            </w:tcBorders>
          </w:tcPr>
          <w:p>
            <w:pPr>
              <w:jc w:val="right"/>
              <w:ind w:right="101"/>
              <w:spacing w:after="0"/>
              <w:rPr>
                <w:sz w:val="20"/>
                <w:szCs w:val="20"/>
                <w:color w:val="auto"/>
              </w:rPr>
            </w:pPr>
            <w:r>
              <w:rPr>
                <w:rFonts w:ascii="Calibri" w:cs="Calibri" w:eastAsia="Calibri" w:hAnsi="Calibri"/>
                <w:sz w:val="12"/>
                <w:szCs w:val="12"/>
                <w:color w:val="auto"/>
              </w:rPr>
              <w:t>16.73%</w:t>
            </w:r>
          </w:p>
        </w:tc>
        <w:tc>
          <w:tcPr>
            <w:tcW w:w="8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17.94%</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3"/>
              </w:rPr>
              <w:t>121 bps</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w w:val="99"/>
              </w:rPr>
              <w:t>38 bps</w:t>
            </w:r>
          </w:p>
        </w:tc>
        <w:tc>
          <w:tcPr>
            <w:tcW w:w="1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jc w:val="right"/>
              <w:ind w:right="221"/>
              <w:spacing w:after="0"/>
              <w:rPr>
                <w:sz w:val="20"/>
                <w:szCs w:val="20"/>
                <w:color w:val="auto"/>
              </w:rPr>
            </w:pPr>
            <w:r>
              <w:rPr>
                <w:rFonts w:ascii="Calibri" w:cs="Calibri" w:eastAsia="Calibri" w:hAnsi="Calibri"/>
                <w:sz w:val="12"/>
                <w:szCs w:val="12"/>
                <w:color w:val="auto"/>
              </w:rPr>
              <w:t>17.56%</w:t>
            </w:r>
          </w:p>
        </w:tc>
        <w:tc>
          <w:tcPr>
            <w:tcW w:w="9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2"/>
                <w:szCs w:val="12"/>
                <w:color w:val="auto"/>
              </w:rPr>
              <w:t>17.94%</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9"/>
              </w:rPr>
              <w:t>38 bps</w:t>
            </w:r>
          </w:p>
        </w:tc>
        <w:tc>
          <w:tcPr>
            <w:tcW w:w="0" w:type="dxa"/>
            <w:vAlign w:val="bottom"/>
          </w:tcPr>
          <w:p>
            <w:pPr>
              <w:spacing w:after="0"/>
              <w:rPr>
                <w:sz w:val="1"/>
                <w:szCs w:val="1"/>
                <w:color w:val="auto"/>
              </w:rPr>
            </w:pPr>
          </w:p>
        </w:tc>
      </w:tr>
      <w:tr>
        <w:trPr>
          <w:trHeight w:val="155"/>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b w:val="1"/>
                <w:bCs w:val="1"/>
                <w:color w:val="auto"/>
              </w:rPr>
              <w:t>Employees</w:t>
            </w:r>
          </w:p>
        </w:tc>
        <w:tc>
          <w:tcPr>
            <w:tcW w:w="9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1"/>
              <w:spacing w:after="0" w:line="138" w:lineRule="exact"/>
              <w:rPr>
                <w:sz w:val="20"/>
                <w:szCs w:val="20"/>
                <w:color w:val="auto"/>
              </w:rPr>
            </w:pPr>
            <w:r>
              <w:rPr>
                <w:rFonts w:ascii="Calibri" w:cs="Calibri" w:eastAsia="Calibri" w:hAnsi="Calibri"/>
                <w:sz w:val="12"/>
                <w:szCs w:val="12"/>
                <w:color w:val="auto"/>
              </w:rPr>
              <w:t>37,152</w:t>
            </w:r>
          </w:p>
        </w:tc>
        <w:tc>
          <w:tcPr>
            <w:tcW w:w="880" w:type="dxa"/>
            <w:vAlign w:val="bottom"/>
            <w:tcBorders>
              <w:bottom w:val="single" w:sz="8" w:color="auto"/>
            </w:tcBorders>
          </w:tcPr>
          <w:p>
            <w:pPr>
              <w:jc w:val="right"/>
              <w:ind w:right="141"/>
              <w:spacing w:after="0" w:line="138" w:lineRule="exact"/>
              <w:rPr>
                <w:sz w:val="20"/>
                <w:szCs w:val="20"/>
                <w:color w:val="auto"/>
              </w:rPr>
            </w:pPr>
            <w:r>
              <w:rPr>
                <w:rFonts w:ascii="Calibri" w:cs="Calibri" w:eastAsia="Calibri" w:hAnsi="Calibri"/>
                <w:sz w:val="12"/>
                <w:szCs w:val="12"/>
                <w:color w:val="auto"/>
              </w:rPr>
              <w:t>38,641</w:t>
            </w:r>
          </w:p>
        </w:tc>
        <w:tc>
          <w:tcPr>
            <w:tcW w:w="820" w:type="dxa"/>
            <w:vAlign w:val="bottom"/>
            <w:tcBorders>
              <w:bottom w:val="single" w:sz="8" w:color="auto"/>
              <w:right w:val="single" w:sz="8" w:color="auto"/>
            </w:tcBorders>
          </w:tcPr>
          <w:p>
            <w:pPr>
              <w:jc w:val="right"/>
              <w:ind w:right="1"/>
              <w:spacing w:after="0" w:line="138" w:lineRule="exact"/>
              <w:rPr>
                <w:sz w:val="20"/>
                <w:szCs w:val="20"/>
                <w:color w:val="auto"/>
              </w:rPr>
            </w:pPr>
            <w:r>
              <w:rPr>
                <w:rFonts w:ascii="Calibri" w:cs="Calibri" w:eastAsia="Calibri" w:hAnsi="Calibri"/>
                <w:sz w:val="12"/>
                <w:szCs w:val="12"/>
                <w:color w:val="auto"/>
              </w:rPr>
              <w:t>38,758</w:t>
            </w:r>
          </w:p>
        </w:tc>
        <w:tc>
          <w:tcPr>
            <w:tcW w:w="70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0.3%</w:t>
            </w:r>
          </w:p>
        </w:tc>
        <w:tc>
          <w:tcPr>
            <w:tcW w:w="580" w:type="dxa"/>
            <w:vAlign w:val="bottom"/>
            <w:tcBorders>
              <w:bottom w:val="single" w:sz="8" w:color="auto"/>
            </w:tcBorders>
          </w:tcPr>
          <w:p>
            <w:pPr>
              <w:jc w:val="center"/>
              <w:ind w:left="41"/>
              <w:spacing w:after="0" w:line="138" w:lineRule="exact"/>
              <w:rPr>
                <w:sz w:val="20"/>
                <w:szCs w:val="20"/>
                <w:color w:val="auto"/>
              </w:rPr>
            </w:pPr>
            <w:r>
              <w:rPr>
                <w:rFonts w:ascii="Calibri" w:cs="Calibri" w:eastAsia="Calibri" w:hAnsi="Calibri"/>
                <w:sz w:val="12"/>
                <w:szCs w:val="12"/>
                <w:color w:val="auto"/>
              </w:rPr>
              <w:t>4.3%</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jc w:val="right"/>
              <w:ind w:right="261"/>
              <w:spacing w:after="0" w:line="138" w:lineRule="exact"/>
              <w:rPr>
                <w:sz w:val="20"/>
                <w:szCs w:val="20"/>
                <w:color w:val="auto"/>
              </w:rPr>
            </w:pPr>
            <w:r>
              <w:rPr>
                <w:rFonts w:ascii="Calibri" w:cs="Calibri" w:eastAsia="Calibri" w:hAnsi="Calibri"/>
                <w:sz w:val="12"/>
                <w:szCs w:val="12"/>
                <w:color w:val="auto"/>
              </w:rPr>
              <w:t>37,152</w:t>
            </w:r>
          </w:p>
        </w:tc>
        <w:tc>
          <w:tcPr>
            <w:tcW w:w="920" w:type="dxa"/>
            <w:vAlign w:val="bottom"/>
            <w:tcBorders>
              <w:bottom w:val="single" w:sz="8" w:color="auto"/>
              <w:right w:val="single" w:sz="8" w:color="auto"/>
            </w:tcBorders>
          </w:tcPr>
          <w:p>
            <w:pPr>
              <w:jc w:val="right"/>
              <w:ind w:right="1"/>
              <w:spacing w:after="0" w:line="138" w:lineRule="exact"/>
              <w:rPr>
                <w:sz w:val="20"/>
                <w:szCs w:val="20"/>
                <w:color w:val="auto"/>
              </w:rPr>
            </w:pPr>
            <w:r>
              <w:rPr>
                <w:rFonts w:ascii="Calibri" w:cs="Calibri" w:eastAsia="Calibri" w:hAnsi="Calibri"/>
                <w:sz w:val="12"/>
                <w:szCs w:val="12"/>
                <w:color w:val="auto"/>
              </w:rPr>
              <w:t>38,758</w:t>
            </w:r>
          </w:p>
        </w:tc>
        <w:tc>
          <w:tcPr>
            <w:tcW w:w="108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4.3%</w:t>
            </w:r>
          </w:p>
        </w:tc>
        <w:tc>
          <w:tcPr>
            <w:tcW w:w="0" w:type="dxa"/>
            <w:vAlign w:val="bottom"/>
          </w:tcPr>
          <w:p>
            <w:pPr>
              <w:spacing w:after="0"/>
              <w:rPr>
                <w:sz w:val="1"/>
                <w:szCs w:val="1"/>
                <w:color w:val="auto"/>
              </w:rPr>
            </w:pPr>
          </w:p>
        </w:tc>
      </w:tr>
      <w:tr>
        <w:trPr>
          <w:trHeight w:val="149"/>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b w:val="1"/>
                <w:bCs w:val="1"/>
                <w:color w:val="auto"/>
              </w:rPr>
              <w:t>Share Informaton</w:t>
            </w:r>
          </w:p>
        </w:tc>
        <w:tc>
          <w:tcPr>
            <w:tcW w:w="9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Issued Shares</w:t>
            </w:r>
          </w:p>
        </w:tc>
        <w:tc>
          <w:tcPr>
            <w:tcW w:w="960" w:type="dxa"/>
            <w:vAlign w:val="bottom"/>
            <w:tcBorders>
              <w:right w:val="single" w:sz="8" w:color="auto"/>
            </w:tcBorders>
          </w:tcPr>
          <w:p>
            <w:pPr>
              <w:spacing w:after="0"/>
              <w:rPr>
                <w:sz w:val="17"/>
                <w:szCs w:val="17"/>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94,382</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94,382</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94,382</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0.0%</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0.0%</w:t>
            </w:r>
          </w:p>
        </w:tc>
        <w:tc>
          <w:tcPr>
            <w:tcW w:w="100" w:type="dxa"/>
            <w:vAlign w:val="bottom"/>
            <w:tcBorders>
              <w:right w:val="single" w:sz="8" w:color="auto"/>
            </w:tcBorders>
          </w:tcPr>
          <w:p>
            <w:pPr>
              <w:spacing w:after="0"/>
              <w:rPr>
                <w:sz w:val="17"/>
                <w:szCs w:val="17"/>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94,382</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94,382</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tcBorders>
          </w:tcPr>
          <w:p>
            <w:pPr>
              <w:ind w:left="60"/>
              <w:spacing w:after="0"/>
              <w:rPr>
                <w:sz w:val="20"/>
                <w:szCs w:val="20"/>
                <w:color w:val="auto"/>
              </w:rPr>
            </w:pPr>
            <w:r>
              <w:rPr>
                <w:rFonts w:ascii="Calibri" w:cs="Calibri" w:eastAsia="Calibri" w:hAnsi="Calibri"/>
                <w:sz w:val="12"/>
                <w:szCs w:val="12"/>
                <w:color w:val="auto"/>
              </w:rPr>
              <w:t xml:space="preserve">Treasury Shares </w:t>
            </w:r>
            <w:r>
              <w:rPr>
                <w:rFonts w:ascii="Calibri" w:cs="Calibri" w:eastAsia="Calibri" w:hAnsi="Calibri"/>
                <w:sz w:val="9"/>
                <w:szCs w:val="9"/>
                <w:color w:val="auto"/>
              </w:rPr>
              <w:t>(12)</w:t>
            </w:r>
          </w:p>
        </w:tc>
        <w:tc>
          <w:tcPr>
            <w:tcW w:w="960" w:type="dxa"/>
            <w:vAlign w:val="bottom"/>
            <w:tcBorders>
              <w:right w:val="single" w:sz="8" w:color="auto"/>
            </w:tcBorders>
          </w:tcPr>
          <w:p>
            <w:pPr>
              <w:spacing w:after="0"/>
              <w:rPr>
                <w:sz w:val="14"/>
                <w:szCs w:val="14"/>
                <w:color w:val="auto"/>
              </w:rPr>
            </w:pPr>
          </w:p>
        </w:tc>
        <w:tc>
          <w:tcPr>
            <w:tcW w:w="1140" w:type="dxa"/>
            <w:vAlign w:val="bottom"/>
          </w:tcPr>
          <w:p>
            <w:pPr>
              <w:jc w:val="right"/>
              <w:ind w:right="201"/>
              <w:spacing w:after="0"/>
              <w:rPr>
                <w:sz w:val="20"/>
                <w:szCs w:val="20"/>
                <w:color w:val="auto"/>
              </w:rPr>
            </w:pPr>
            <w:r>
              <w:rPr>
                <w:rFonts w:ascii="Calibri" w:cs="Calibri" w:eastAsia="Calibri" w:hAnsi="Calibri"/>
                <w:sz w:val="12"/>
                <w:szCs w:val="12"/>
                <w:color w:val="auto"/>
              </w:rPr>
              <w:t>14,847</w:t>
            </w:r>
          </w:p>
        </w:tc>
        <w:tc>
          <w:tcPr>
            <w:tcW w:w="880" w:type="dxa"/>
            <w:vAlign w:val="bottom"/>
          </w:tcPr>
          <w:p>
            <w:pPr>
              <w:jc w:val="right"/>
              <w:ind w:right="141"/>
              <w:spacing w:after="0"/>
              <w:rPr>
                <w:sz w:val="20"/>
                <w:szCs w:val="20"/>
                <w:color w:val="auto"/>
              </w:rPr>
            </w:pPr>
            <w:r>
              <w:rPr>
                <w:rFonts w:ascii="Calibri" w:cs="Calibri" w:eastAsia="Calibri" w:hAnsi="Calibri"/>
                <w:sz w:val="12"/>
                <w:szCs w:val="12"/>
                <w:color w:val="auto"/>
              </w:rPr>
              <w:t>14,949</w:t>
            </w:r>
          </w:p>
        </w:tc>
        <w:tc>
          <w:tcPr>
            <w:tcW w:w="8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14,948</w:t>
            </w:r>
          </w:p>
        </w:tc>
        <w:tc>
          <w:tcPr>
            <w:tcW w:w="700" w:type="dxa"/>
            <w:vAlign w:val="bottom"/>
          </w:tcPr>
          <w:p>
            <w:pPr>
              <w:jc w:val="center"/>
              <w:spacing w:after="0"/>
              <w:rPr>
                <w:sz w:val="20"/>
                <w:szCs w:val="20"/>
                <w:color w:val="auto"/>
              </w:rPr>
            </w:pPr>
            <w:r>
              <w:rPr>
                <w:rFonts w:ascii="Calibri" w:cs="Calibri" w:eastAsia="Calibri" w:hAnsi="Calibri"/>
                <w:sz w:val="12"/>
                <w:szCs w:val="12"/>
                <w:color w:val="auto"/>
              </w:rPr>
              <w:t>0.0%</w:t>
            </w:r>
          </w:p>
        </w:tc>
        <w:tc>
          <w:tcPr>
            <w:tcW w:w="580" w:type="dxa"/>
            <w:vAlign w:val="bottom"/>
          </w:tcPr>
          <w:p>
            <w:pPr>
              <w:jc w:val="center"/>
              <w:ind w:left="41"/>
              <w:spacing w:after="0"/>
              <w:rPr>
                <w:sz w:val="20"/>
                <w:szCs w:val="20"/>
                <w:color w:val="auto"/>
              </w:rPr>
            </w:pPr>
            <w:r>
              <w:rPr>
                <w:rFonts w:ascii="Calibri" w:cs="Calibri" w:eastAsia="Calibri" w:hAnsi="Calibri"/>
                <w:sz w:val="12"/>
                <w:szCs w:val="12"/>
                <w:color w:val="auto"/>
              </w:rPr>
              <w:t>0.7%</w:t>
            </w:r>
          </w:p>
        </w:tc>
        <w:tc>
          <w:tcPr>
            <w:tcW w:w="100" w:type="dxa"/>
            <w:vAlign w:val="bottom"/>
            <w:tcBorders>
              <w:right w:val="single" w:sz="8" w:color="auto"/>
            </w:tcBorders>
          </w:tcPr>
          <w:p>
            <w:pPr>
              <w:spacing w:after="0"/>
              <w:rPr>
                <w:sz w:val="14"/>
                <w:szCs w:val="14"/>
                <w:color w:val="auto"/>
              </w:rPr>
            </w:pPr>
          </w:p>
        </w:tc>
        <w:tc>
          <w:tcPr>
            <w:tcW w:w="1500" w:type="dxa"/>
            <w:vAlign w:val="bottom"/>
          </w:tcPr>
          <w:p>
            <w:pPr>
              <w:jc w:val="right"/>
              <w:ind w:right="261"/>
              <w:spacing w:after="0"/>
              <w:rPr>
                <w:sz w:val="20"/>
                <w:szCs w:val="20"/>
                <w:color w:val="auto"/>
              </w:rPr>
            </w:pPr>
            <w:r>
              <w:rPr>
                <w:rFonts w:ascii="Calibri" w:cs="Calibri" w:eastAsia="Calibri" w:hAnsi="Calibri"/>
                <w:sz w:val="12"/>
                <w:szCs w:val="12"/>
                <w:color w:val="auto"/>
              </w:rPr>
              <w:t>14,847</w:t>
            </w:r>
          </w:p>
        </w:tc>
        <w:tc>
          <w:tcPr>
            <w:tcW w:w="920" w:type="dxa"/>
            <w:vAlign w:val="bottom"/>
            <w:tcBorders>
              <w:right w:val="single" w:sz="8" w:color="auto"/>
            </w:tcBorders>
          </w:tcPr>
          <w:p>
            <w:pPr>
              <w:jc w:val="right"/>
              <w:ind w:right="1"/>
              <w:spacing w:after="0"/>
              <w:rPr>
                <w:sz w:val="20"/>
                <w:szCs w:val="20"/>
                <w:color w:val="auto"/>
              </w:rPr>
            </w:pPr>
            <w:r>
              <w:rPr>
                <w:rFonts w:ascii="Calibri" w:cs="Calibri" w:eastAsia="Calibri" w:hAnsi="Calibri"/>
                <w:sz w:val="12"/>
                <w:szCs w:val="12"/>
                <w:color w:val="auto"/>
              </w:rPr>
              <w:t>14,948</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0.7%</w:t>
            </w:r>
          </w:p>
        </w:tc>
        <w:tc>
          <w:tcPr>
            <w:tcW w:w="0" w:type="dxa"/>
            <w:vAlign w:val="bottom"/>
          </w:tcPr>
          <w:p>
            <w:pPr>
              <w:spacing w:after="0"/>
              <w:rPr>
                <w:sz w:val="1"/>
                <w:szCs w:val="1"/>
                <w:color w:val="auto"/>
              </w:rPr>
            </w:pPr>
          </w:p>
        </w:tc>
      </w:tr>
      <w:tr>
        <w:trPr>
          <w:trHeight w:val="155"/>
        </w:trPr>
        <w:tc>
          <w:tcPr>
            <w:tcW w:w="2560" w:type="dxa"/>
            <w:vAlign w:val="bottom"/>
            <w:tcBorders>
              <w:left w:val="single" w:sz="8" w:color="auto"/>
              <w:bottom w:val="single" w:sz="8" w:color="auto"/>
            </w:tcBorders>
          </w:tcPr>
          <w:p>
            <w:pPr>
              <w:ind w:left="60"/>
              <w:spacing w:after="0"/>
              <w:rPr>
                <w:sz w:val="20"/>
                <w:szCs w:val="20"/>
                <w:color w:val="auto"/>
              </w:rPr>
            </w:pPr>
            <w:r>
              <w:rPr>
                <w:rFonts w:ascii="Calibri" w:cs="Calibri" w:eastAsia="Calibri" w:hAnsi="Calibri"/>
                <w:sz w:val="12"/>
                <w:szCs w:val="12"/>
                <w:color w:val="auto"/>
              </w:rPr>
              <w:t>Outstanding Shares</w:t>
            </w:r>
          </w:p>
        </w:tc>
        <w:tc>
          <w:tcPr>
            <w:tcW w:w="9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1"/>
              <w:spacing w:after="0"/>
              <w:rPr>
                <w:sz w:val="20"/>
                <w:szCs w:val="20"/>
                <w:color w:val="auto"/>
              </w:rPr>
            </w:pPr>
            <w:r>
              <w:rPr>
                <w:rFonts w:ascii="Calibri" w:cs="Calibri" w:eastAsia="Calibri" w:hAnsi="Calibri"/>
                <w:sz w:val="12"/>
                <w:szCs w:val="12"/>
                <w:color w:val="auto"/>
              </w:rPr>
              <w:t>79,535</w:t>
            </w:r>
          </w:p>
        </w:tc>
        <w:tc>
          <w:tcPr>
            <w:tcW w:w="880" w:type="dxa"/>
            <w:vAlign w:val="bottom"/>
            <w:tcBorders>
              <w:bottom w:val="single" w:sz="8" w:color="auto"/>
            </w:tcBorders>
          </w:tcPr>
          <w:p>
            <w:pPr>
              <w:jc w:val="right"/>
              <w:ind w:right="141"/>
              <w:spacing w:after="0"/>
              <w:rPr>
                <w:sz w:val="20"/>
                <w:szCs w:val="20"/>
                <w:color w:val="auto"/>
              </w:rPr>
            </w:pPr>
            <w:r>
              <w:rPr>
                <w:rFonts w:ascii="Calibri" w:cs="Calibri" w:eastAsia="Calibri" w:hAnsi="Calibri"/>
                <w:sz w:val="12"/>
                <w:szCs w:val="12"/>
                <w:color w:val="auto"/>
              </w:rPr>
              <w:t>79,433</w:t>
            </w:r>
          </w:p>
        </w:tc>
        <w:tc>
          <w:tcPr>
            <w:tcW w:w="820" w:type="dxa"/>
            <w:vAlign w:val="bottom"/>
            <w:tcBorders>
              <w:bottom w:val="single" w:sz="8" w:color="auto"/>
              <w:right w:val="single" w:sz="8" w:color="auto"/>
            </w:tcBorders>
          </w:tcPr>
          <w:p>
            <w:pPr>
              <w:jc w:val="right"/>
              <w:ind w:right="1"/>
              <w:spacing w:after="0"/>
              <w:rPr>
                <w:sz w:val="20"/>
                <w:szCs w:val="20"/>
                <w:color w:val="auto"/>
              </w:rPr>
            </w:pPr>
            <w:r>
              <w:rPr>
                <w:rFonts w:ascii="Calibri" w:cs="Calibri" w:eastAsia="Calibri" w:hAnsi="Calibri"/>
                <w:sz w:val="12"/>
                <w:szCs w:val="12"/>
                <w:color w:val="auto"/>
              </w:rPr>
              <w:t>79,434</w:t>
            </w: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0.0%</w:t>
            </w:r>
          </w:p>
        </w:tc>
        <w:tc>
          <w:tcPr>
            <w:tcW w:w="580" w:type="dxa"/>
            <w:vAlign w:val="bottom"/>
            <w:tcBorders>
              <w:bottom w:val="single" w:sz="8" w:color="auto"/>
            </w:tcBorders>
          </w:tcPr>
          <w:p>
            <w:pPr>
              <w:jc w:val="center"/>
              <w:ind w:left="41"/>
              <w:spacing w:after="0"/>
              <w:rPr>
                <w:sz w:val="20"/>
                <w:szCs w:val="20"/>
                <w:color w:val="auto"/>
              </w:rPr>
            </w:pPr>
            <w:r>
              <w:rPr>
                <w:rFonts w:ascii="Calibri" w:cs="Calibri" w:eastAsia="Calibri" w:hAnsi="Calibri"/>
                <w:sz w:val="12"/>
                <w:szCs w:val="12"/>
                <w:color w:val="auto"/>
              </w:rPr>
              <w:t>-0.1%</w:t>
            </w:r>
          </w:p>
        </w:tc>
        <w:tc>
          <w:tcPr>
            <w:tcW w:w="1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tcBorders>
          </w:tcPr>
          <w:p>
            <w:pPr>
              <w:jc w:val="right"/>
              <w:ind w:right="261"/>
              <w:spacing w:after="0"/>
              <w:rPr>
                <w:sz w:val="20"/>
                <w:szCs w:val="20"/>
                <w:color w:val="auto"/>
              </w:rPr>
            </w:pPr>
            <w:r>
              <w:rPr>
                <w:rFonts w:ascii="Calibri" w:cs="Calibri" w:eastAsia="Calibri" w:hAnsi="Calibri"/>
                <w:sz w:val="12"/>
                <w:szCs w:val="12"/>
                <w:color w:val="auto"/>
              </w:rPr>
              <w:t>79,535</w:t>
            </w:r>
          </w:p>
        </w:tc>
        <w:tc>
          <w:tcPr>
            <w:tcW w:w="920" w:type="dxa"/>
            <w:vAlign w:val="bottom"/>
            <w:tcBorders>
              <w:bottom w:val="single" w:sz="8" w:color="auto"/>
              <w:right w:val="single" w:sz="8" w:color="auto"/>
            </w:tcBorders>
          </w:tcPr>
          <w:p>
            <w:pPr>
              <w:jc w:val="right"/>
              <w:ind w:right="1"/>
              <w:spacing w:after="0"/>
              <w:rPr>
                <w:sz w:val="20"/>
                <w:szCs w:val="20"/>
                <w:color w:val="auto"/>
              </w:rPr>
            </w:pPr>
            <w:r>
              <w:rPr>
                <w:rFonts w:ascii="Calibri" w:cs="Calibri" w:eastAsia="Calibri" w:hAnsi="Calibri"/>
                <w:sz w:val="12"/>
                <w:szCs w:val="12"/>
                <w:color w:val="auto"/>
              </w:rPr>
              <w:t>79,434</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4"/>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-6034405</wp:posOffset>
            </wp:positionV>
            <wp:extent cx="10801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59" w:lineRule="exact"/>
        <w:rPr>
          <w:sz w:val="20"/>
          <w:szCs w:val="20"/>
          <w:color w:val="auto"/>
        </w:rPr>
      </w:pPr>
    </w:p>
    <w:p>
      <w:pPr>
        <w:ind w:left="180" w:hanging="172"/>
        <w:spacing w:after="0"/>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Net Interest Margin = Net Interest Income (Excluding Net Insurance Financial Expenses) / Average Interest Earning Assets</w:t>
      </w:r>
    </w:p>
    <w:p>
      <w:pPr>
        <w:ind w:left="1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Funding Cost = Interest Expense (Does not include Net Insurance Financial Expenses) / Average Funding</w:t>
      </w:r>
    </w:p>
    <w:p>
      <w:pPr>
        <w:ind w:left="1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Internal Overdue Loans: includes overdue loans and loans under legal collecton, according to our internal policy for overdue loans. Internal Overdue Rato: Internal overdue loans / Total loans</w:t>
      </w:r>
    </w:p>
    <w:p>
      <w:pPr>
        <w:ind w:left="1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Non-performing loans (NPL): Internal overdue loans + Refnanced loans. NPL rato: NPL / Total loans.</w:t>
      </w:r>
    </w:p>
    <w:p>
      <w:pPr>
        <w:ind w:left="1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Cost of risk = Annualized provision for loan losses, net of recoveries / Total loans.</w:t>
      </w:r>
    </w:p>
    <w:p>
      <w:pPr>
        <w:ind w:left="180" w:right="4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Operatng Income = Net interest, similar income and expenses + Fee Income+ Net gain on foreign exchange transactons + Net Gain From associates + Net gain on derivatves held for trading + Result on exchange diferences + Insurance Underwritng Result</w:t>
      </w:r>
    </w:p>
    <w:p>
      <w:pPr>
        <w:ind w:left="1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Operatng Expenses = Salaries and employee benefts + Administratve expenses + Depreciaton and amortzaton + Associaton in partcipaton + Acquisiton cost.</w:t>
      </w:r>
    </w:p>
    <w:p>
      <w:pPr>
        <w:ind w:left="180" w:right="24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Efciency Rato = (Salaries and employee benefts + Administratve expenses + Depreciaton and amortzaton + Associaton in partcipaton) / (Net interest, similar income and expenses + Fee Income+ Net gain on foreign exchange transactons + Net Gain From associates + Net gain on derivatves held for trading + Result on exchange diferences + Insurance Underwritng Result)</w:t>
      </w:r>
    </w:p>
    <w:p>
      <w:pPr>
        <w:ind w:left="180" w:hanging="172"/>
        <w:spacing w:after="0" w:line="221" w:lineRule="auto"/>
        <w:tabs>
          <w:tab w:leader="none" w:pos="18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Regulatory Capital / Risk-weighted assets (legal minimum = 10% since July 2011).</w:t>
      </w:r>
    </w:p>
    <w:p>
      <w:pPr>
        <w:ind w:left="220" w:hanging="212"/>
        <w:spacing w:after="0" w:line="221" w:lineRule="auto"/>
        <w:tabs>
          <w:tab w:leader="none" w:pos="22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Tier 1 = Capital + Legal and other capital reserves + Accumulated earnings with capitalizaton agreement + (0.5 x Unrealized proft and net income in subsidiaries) - Goodwill - (0.5 x Investment in subsidiaries) + Perpetual subordinated debt (maximum amount that can be included is 17.65% of Capital + Reserves + Accumulated earnings with capitalizaton agreement + Unrealized proft and net income in subsidiaries - Goodwill).</w:t>
      </w:r>
    </w:p>
    <w:p>
      <w:pPr>
        <w:ind w:left="220" w:hanging="212"/>
        <w:spacing w:after="0" w:line="221" w:lineRule="auto"/>
        <w:tabs>
          <w:tab w:leader="none" w:pos="22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Common Equity Tier I = Capital + Reserves – 100% of applicable deductons (investment in subsidiaries, goodwill, intangibles and net deferred taxes that rely on future proftability) + retained earnings + unrealized gains.</w:t>
      </w:r>
    </w:p>
    <w:p>
      <w:pPr>
        <w:ind w:left="220" w:hanging="212"/>
        <w:spacing w:after="0" w:line="221" w:lineRule="auto"/>
        <w:tabs>
          <w:tab w:leader="none" w:pos="22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Consider shares held by Atlantc Security Holding Corporaton (ASHC) and stock awards.</w:t>
      </w:r>
    </w:p>
    <w:p>
      <w:pPr>
        <w:ind w:left="220" w:hanging="212"/>
        <w:spacing w:after="0" w:line="221" w:lineRule="auto"/>
        <w:tabs>
          <w:tab w:leader="none" w:pos="220" w:val="left"/>
        </w:tabs>
        <w:numPr>
          <w:ilvl w:val="0"/>
          <w:numId w:val="5"/>
        </w:numPr>
        <w:rPr>
          <w:rFonts w:ascii="Calibri" w:cs="Calibri" w:eastAsia="Calibri" w:hAnsi="Calibri"/>
          <w:sz w:val="12"/>
          <w:szCs w:val="12"/>
          <w:color w:val="auto"/>
        </w:rPr>
      </w:pPr>
      <w:r>
        <w:rPr>
          <w:rFonts w:ascii="Calibri" w:cs="Calibri" w:eastAsia="Calibri" w:hAnsi="Calibri"/>
          <w:sz w:val="12"/>
          <w:szCs w:val="12"/>
          <w:color w:val="auto"/>
        </w:rPr>
        <w:t>Common Equity Tier I calculated based on IFRS Accountng</w:t>
      </w:r>
    </w:p>
    <w:p>
      <w:pPr>
        <w:spacing w:after="0" w:line="36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7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73723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356"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Credicorp’s Strategy Update</w:t>
      </w:r>
    </w:p>
    <w:p>
      <w:pPr>
        <w:spacing w:after="0" w:line="150" w:lineRule="exact"/>
        <w:rPr>
          <w:sz w:val="20"/>
          <w:szCs w:val="20"/>
          <w:color w:val="auto"/>
        </w:rPr>
      </w:pPr>
    </w:p>
    <w:p>
      <w:pPr>
        <w:spacing w:after="0"/>
        <w:rPr>
          <w:sz w:val="20"/>
          <w:szCs w:val="20"/>
          <w:color w:val="auto"/>
        </w:rPr>
      </w:pPr>
      <w:r>
        <w:rPr>
          <w:rFonts w:ascii="Calibri" w:cs="Calibri" w:eastAsia="Calibri" w:hAnsi="Calibri"/>
          <w:sz w:val="32"/>
          <w:szCs w:val="32"/>
          <w:color w:val="E93BAC"/>
        </w:rPr>
        <w:t>Credicorp’s Strategy</w:t>
      </w:r>
    </w:p>
    <w:p>
      <w:pPr>
        <w:spacing w:after="0" w:line="6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Credicorp contnues to implement its strategy by investng in technology at the core businesses and in disruptve initatves to maintain a compettve advantage and ensure sustainability. The goal is for the growth in these initatves to allow us to decouple from the macroeconomic environment by expanding our TAM, generatng new sources of income, and efciently capturing market opportunites.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strategy focuses on providing the best experience to our clients in the most efcient way to remain compettve while investng in sustainable long-term growth. In each of our core businesses, we invest in innovatve and disruptve initatves to enhance our digital and analytcal capabilites, positoning ourselves to become an omnichannel fnancial services company with a deep understanding of our customers’ needs. We strive to achieve a comprehensive experience, focusing primarily on digital coverage to achieve high transactonal levels, facilitatng banking and fnancial needs anytme and anywhere. These dynamics lead to a positve network efect.</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September 26, 2024, Credicorp held its Strategic Update and reiterated its commitment to innovaton and sustainable growth. At this event, the management team shared that Credicorp is on its way to achieving a sustainable ROE of 18%. Key initatves include acceleratng the digital transformaton; strengthening relatons with clients; and increasing operatng efciency. Credicorp’s objectve for 2026 is to generate 10% of its risk-adjusted income through new business models. The discussion also touched upon Credicorp’s disciplined approach to self-disruptve initatves to penetrate the market; expand market potental; and accelerate development of key capacites. To accomplish this, the Group respects strict investment limits to ensure alignment with strategic objectves.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Main KPIs for Credicorp’s Strategy</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00" w:type="dxa"/>
            <w:vAlign w:val="bottom"/>
            <w:tcBorders>
              <w:top w:val="single" w:sz="8" w:color="auto"/>
              <w:left w:val="single" w:sz="8" w:color="auto"/>
              <w:bottom w:val="single" w:sz="8" w:color="auto"/>
              <w:right w:val="single" w:sz="8" w:color="auto"/>
            </w:tcBorders>
            <w:shd w:val="clear" w:color="auto" w:fill="2AD2C8"/>
          </w:tcPr>
          <w:p>
            <w:pPr>
              <w:ind w:left="80"/>
              <w:spacing w:after="0" w:line="229" w:lineRule="exact"/>
              <w:rPr>
                <w:sz w:val="20"/>
                <w:szCs w:val="20"/>
                <w:color w:val="auto"/>
              </w:rPr>
            </w:pPr>
            <w:r>
              <w:rPr>
                <w:rFonts w:ascii="Calibri" w:cs="Calibri" w:eastAsia="Calibri" w:hAnsi="Calibri"/>
                <w:sz w:val="16"/>
                <w:szCs w:val="16"/>
                <w:b w:val="1"/>
                <w:bCs w:val="1"/>
                <w:i w:val="1"/>
                <w:iCs w:val="1"/>
                <w:color w:val="FFFFFF"/>
              </w:rPr>
              <w:t xml:space="preserve">Traditonal Business Transformaton </w:t>
            </w:r>
            <w:r>
              <w:rPr>
                <w:rFonts w:ascii="Calibri" w:cs="Calibri" w:eastAsia="Calibri" w:hAnsi="Calibri"/>
                <w:sz w:val="25"/>
                <w:szCs w:val="25"/>
                <w:b w:val="1"/>
                <w:bCs w:val="1"/>
                <w:i w:val="1"/>
                <w:iCs w:val="1"/>
                <w:color w:val="FFFFFF"/>
                <w:vertAlign w:val="superscript"/>
              </w:rPr>
              <w:t>(1)</w:t>
            </w:r>
          </w:p>
        </w:tc>
        <w:tc>
          <w:tcPr>
            <w:tcW w:w="1520" w:type="dxa"/>
            <w:vAlign w:val="bottom"/>
            <w:tcBorders>
              <w:top w:val="single" w:sz="8" w:color="auto"/>
              <w:bottom w:val="single" w:sz="8" w:color="auto"/>
              <w:right w:val="single" w:sz="8" w:color="auto"/>
            </w:tcBorders>
            <w:shd w:val="clear" w:color="auto" w:fill="2AD2C8"/>
          </w:tcPr>
          <w:p>
            <w:pPr>
              <w:ind w:left="60"/>
              <w:spacing w:after="0"/>
              <w:rPr>
                <w:sz w:val="20"/>
                <w:szCs w:val="20"/>
                <w:color w:val="auto"/>
              </w:rPr>
            </w:pPr>
            <w:r>
              <w:rPr>
                <w:rFonts w:ascii="Calibri" w:cs="Calibri" w:eastAsia="Calibri" w:hAnsi="Calibri"/>
                <w:sz w:val="18"/>
                <w:szCs w:val="18"/>
                <w:b w:val="1"/>
                <w:bCs w:val="1"/>
                <w:i w:val="1"/>
                <w:iCs w:val="1"/>
                <w:color w:val="FFFFFF"/>
              </w:rPr>
              <w:t>Subsidiary</w:t>
            </w:r>
          </w:p>
        </w:tc>
        <w:tc>
          <w:tcPr>
            <w:tcW w:w="1320" w:type="dxa"/>
            <w:vAlign w:val="bottom"/>
            <w:tcBorders>
              <w:top w:val="single" w:sz="8" w:color="auto"/>
              <w:bottom w:val="single" w:sz="8" w:color="auto"/>
            </w:tcBorders>
            <w:shd w:val="clear" w:color="auto" w:fill="2AD2C8"/>
          </w:tcPr>
          <w:p>
            <w:pPr>
              <w:jc w:val="center"/>
              <w:spacing w:after="0"/>
              <w:rPr>
                <w:sz w:val="20"/>
                <w:szCs w:val="20"/>
                <w:color w:val="auto"/>
              </w:rPr>
            </w:pPr>
            <w:r>
              <w:rPr>
                <w:rFonts w:ascii="Calibri" w:cs="Calibri" w:eastAsia="Calibri" w:hAnsi="Calibri"/>
                <w:sz w:val="18"/>
                <w:szCs w:val="18"/>
                <w:b w:val="1"/>
                <w:bCs w:val="1"/>
                <w:i w:val="1"/>
                <w:iCs w:val="1"/>
                <w:color w:val="FFFFFF"/>
                <w:w w:val="95"/>
              </w:rPr>
              <w:t>3Q23</w:t>
            </w:r>
          </w:p>
        </w:tc>
        <w:tc>
          <w:tcPr>
            <w:tcW w:w="1360" w:type="dxa"/>
            <w:vAlign w:val="bottom"/>
            <w:tcBorders>
              <w:top w:val="single" w:sz="8" w:color="auto"/>
              <w:bottom w:val="single" w:sz="8" w:color="auto"/>
            </w:tcBorders>
            <w:shd w:val="clear" w:color="auto" w:fill="2AD2C8"/>
          </w:tcPr>
          <w:p>
            <w:pPr>
              <w:jc w:val="center"/>
              <w:spacing w:after="0"/>
              <w:rPr>
                <w:sz w:val="20"/>
                <w:szCs w:val="20"/>
                <w:color w:val="auto"/>
              </w:rPr>
            </w:pPr>
            <w:r>
              <w:rPr>
                <w:rFonts w:ascii="Calibri" w:cs="Calibri" w:eastAsia="Calibri" w:hAnsi="Calibri"/>
                <w:sz w:val="18"/>
                <w:szCs w:val="18"/>
                <w:b w:val="1"/>
                <w:bCs w:val="1"/>
                <w:i w:val="1"/>
                <w:iCs w:val="1"/>
                <w:color w:val="FFFFFF"/>
              </w:rPr>
              <w:t>2Q24</w:t>
            </w:r>
          </w:p>
        </w:tc>
        <w:tc>
          <w:tcPr>
            <w:tcW w:w="1440" w:type="dxa"/>
            <w:vAlign w:val="bottom"/>
            <w:tcBorders>
              <w:top w:val="single" w:sz="8" w:color="auto"/>
              <w:bottom w:val="single" w:sz="8" w:color="auto"/>
              <w:right w:val="single" w:sz="8" w:color="auto"/>
            </w:tcBorders>
            <w:shd w:val="clear" w:color="auto" w:fill="2AD2C8"/>
          </w:tcPr>
          <w:p>
            <w:pPr>
              <w:jc w:val="center"/>
              <w:spacing w:after="0"/>
              <w:rPr>
                <w:sz w:val="20"/>
                <w:szCs w:val="20"/>
                <w:color w:val="auto"/>
              </w:rPr>
            </w:pPr>
            <w:r>
              <w:rPr>
                <w:rFonts w:ascii="Calibri" w:cs="Calibri" w:eastAsia="Calibri" w:hAnsi="Calibri"/>
                <w:sz w:val="18"/>
                <w:szCs w:val="18"/>
                <w:b w:val="1"/>
                <w:bCs w:val="1"/>
                <w:i w:val="1"/>
                <w:iCs w:val="1"/>
                <w:color w:val="FFFFFF"/>
              </w:rPr>
              <w:t>3Q24</w:t>
            </w:r>
          </w:p>
        </w:tc>
      </w:tr>
      <w:tr>
        <w:trPr>
          <w:trHeight w:val="227"/>
        </w:trPr>
        <w:tc>
          <w:tcPr>
            <w:tcW w:w="560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8"/>
                <w:szCs w:val="18"/>
                <w:b w:val="1"/>
                <w:bCs w:val="1"/>
                <w:i w:val="1"/>
                <w:iCs w:val="1"/>
                <w:color w:val="auto"/>
              </w:rPr>
              <w:t>Day to Day</w:t>
            </w:r>
          </w:p>
        </w:tc>
        <w:tc>
          <w:tcPr>
            <w:tcW w:w="15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44"/>
        </w:trPr>
        <w:tc>
          <w:tcPr>
            <w:tcW w:w="5600" w:type="dxa"/>
            <w:vAlign w:val="bottom"/>
            <w:tcBorders>
              <w:left w:val="single" w:sz="8" w:color="auto"/>
              <w:right w:val="single" w:sz="8" w:color="auto"/>
            </w:tcBorders>
          </w:tcPr>
          <w:p>
            <w:pPr>
              <w:ind w:left="80"/>
              <w:spacing w:after="0" w:line="244" w:lineRule="exact"/>
              <w:rPr>
                <w:sz w:val="20"/>
                <w:szCs w:val="20"/>
                <w:color w:val="auto"/>
              </w:rPr>
            </w:pPr>
            <w:r>
              <w:rPr>
                <w:rFonts w:ascii="Calibri" w:cs="Calibri" w:eastAsia="Calibri" w:hAnsi="Calibri"/>
                <w:sz w:val="16"/>
                <w:szCs w:val="16"/>
                <w:color w:val="auto"/>
              </w:rPr>
              <w:t>Digital Clients</w:t>
            </w:r>
            <w:r>
              <w:rPr>
                <w:rFonts w:ascii="Calibri" w:cs="Calibri" w:eastAsia="Calibri" w:hAnsi="Calibri"/>
                <w:sz w:val="26"/>
                <w:szCs w:val="26"/>
                <w:color w:val="auto"/>
                <w:vertAlign w:val="superscript"/>
              </w:rPr>
              <w:t>(2)</w:t>
            </w:r>
          </w:p>
        </w:tc>
        <w:tc>
          <w:tcPr>
            <w:tcW w:w="1520" w:type="dxa"/>
            <w:vAlign w:val="bottom"/>
            <w:tcBorders>
              <w:right w:val="single" w:sz="8" w:color="auto"/>
            </w:tcBorders>
          </w:tcPr>
          <w:p>
            <w:pPr>
              <w:ind w:left="60"/>
              <w:spacing w:after="0"/>
              <w:rPr>
                <w:sz w:val="20"/>
                <w:szCs w:val="20"/>
                <w:color w:val="auto"/>
              </w:rPr>
            </w:pPr>
            <w:r>
              <w:rPr>
                <w:rFonts w:ascii="Calibri" w:cs="Calibri" w:eastAsia="Calibri" w:hAnsi="Calibri"/>
                <w:sz w:val="18"/>
                <w:szCs w:val="18"/>
                <w:i w:val="1"/>
                <w:iCs w:val="1"/>
                <w:color w:val="auto"/>
              </w:rPr>
              <w:t>BCP</w:t>
            </w:r>
          </w:p>
        </w:tc>
        <w:tc>
          <w:tcPr>
            <w:tcW w:w="1320" w:type="dxa"/>
            <w:vAlign w:val="bottom"/>
          </w:tcPr>
          <w:p>
            <w:pPr>
              <w:jc w:val="center"/>
              <w:spacing w:after="0"/>
              <w:rPr>
                <w:sz w:val="20"/>
                <w:szCs w:val="20"/>
                <w:color w:val="auto"/>
              </w:rPr>
            </w:pPr>
            <w:r>
              <w:rPr>
                <w:rFonts w:ascii="Calibri" w:cs="Calibri" w:eastAsia="Calibri" w:hAnsi="Calibri"/>
                <w:sz w:val="18"/>
                <w:szCs w:val="18"/>
                <w:color w:val="auto"/>
                <w:w w:val="96"/>
              </w:rPr>
              <w:t>62%</w:t>
            </w:r>
          </w:p>
        </w:tc>
        <w:tc>
          <w:tcPr>
            <w:tcW w:w="1360" w:type="dxa"/>
            <w:vAlign w:val="bottom"/>
          </w:tcPr>
          <w:p>
            <w:pPr>
              <w:jc w:val="center"/>
              <w:spacing w:after="0"/>
              <w:rPr>
                <w:sz w:val="20"/>
                <w:szCs w:val="20"/>
                <w:color w:val="auto"/>
              </w:rPr>
            </w:pPr>
            <w:r>
              <w:rPr>
                <w:rFonts w:ascii="Calibri" w:cs="Calibri" w:eastAsia="Calibri" w:hAnsi="Calibri"/>
                <w:sz w:val="18"/>
                <w:szCs w:val="18"/>
                <w:color w:val="auto"/>
              </w:rPr>
              <w:t>72%</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74%</w:t>
            </w:r>
          </w:p>
        </w:tc>
      </w:tr>
      <w:tr>
        <w:trPr>
          <w:trHeight w:val="216"/>
        </w:trPr>
        <w:tc>
          <w:tcPr>
            <w:tcW w:w="5600" w:type="dxa"/>
            <w:vAlign w:val="bottom"/>
            <w:tcBorders>
              <w:left w:val="single" w:sz="8" w:color="auto"/>
              <w:right w:val="single" w:sz="8" w:color="auto"/>
            </w:tcBorders>
          </w:tcPr>
          <w:p>
            <w:pPr>
              <w:ind w:left="80"/>
              <w:spacing w:after="0" w:line="216" w:lineRule="exact"/>
              <w:rPr>
                <w:sz w:val="20"/>
                <w:szCs w:val="20"/>
                <w:color w:val="auto"/>
              </w:rPr>
            </w:pPr>
            <w:r>
              <w:rPr>
                <w:rFonts w:ascii="Calibri" w:cs="Calibri" w:eastAsia="Calibri" w:hAnsi="Calibri"/>
                <w:sz w:val="15"/>
                <w:szCs w:val="15"/>
                <w:color w:val="auto"/>
              </w:rPr>
              <w:t xml:space="preserve">Digital monetary transactons </w:t>
            </w:r>
            <w:r>
              <w:rPr>
                <w:rFonts w:ascii="Calibri" w:cs="Calibri" w:eastAsia="Calibri" w:hAnsi="Calibri"/>
                <w:sz w:val="23"/>
                <w:szCs w:val="23"/>
                <w:color w:val="auto"/>
                <w:vertAlign w:val="superscript"/>
              </w:rPr>
              <w:t>(3)</w:t>
            </w:r>
          </w:p>
        </w:tc>
        <w:tc>
          <w:tcPr>
            <w:tcW w:w="1520" w:type="dxa"/>
            <w:vAlign w:val="bottom"/>
            <w:tcBorders>
              <w:right w:val="single" w:sz="8" w:color="auto"/>
            </w:tcBorders>
          </w:tcPr>
          <w:p>
            <w:pPr>
              <w:ind w:left="60"/>
              <w:spacing w:after="0" w:line="215" w:lineRule="exact"/>
              <w:rPr>
                <w:sz w:val="20"/>
                <w:szCs w:val="20"/>
                <w:color w:val="auto"/>
              </w:rPr>
            </w:pPr>
            <w:r>
              <w:rPr>
                <w:rFonts w:ascii="Calibri" w:cs="Calibri" w:eastAsia="Calibri" w:hAnsi="Calibri"/>
                <w:sz w:val="18"/>
                <w:szCs w:val="18"/>
                <w:i w:val="1"/>
                <w:iCs w:val="1"/>
                <w:color w:val="auto"/>
              </w:rPr>
              <w:t>BCP</w:t>
            </w:r>
          </w:p>
        </w:tc>
        <w:tc>
          <w:tcPr>
            <w:tcW w:w="13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76%</w:t>
            </w:r>
          </w:p>
        </w:tc>
        <w:tc>
          <w:tcPr>
            <w:tcW w:w="1360" w:type="dxa"/>
            <w:vAlign w:val="bottom"/>
          </w:tcPr>
          <w:p>
            <w:pPr>
              <w:jc w:val="center"/>
              <w:spacing w:after="0" w:line="215" w:lineRule="exact"/>
              <w:rPr>
                <w:sz w:val="20"/>
                <w:szCs w:val="20"/>
                <w:color w:val="auto"/>
              </w:rPr>
            </w:pPr>
            <w:r>
              <w:rPr>
                <w:rFonts w:ascii="Calibri" w:cs="Calibri" w:eastAsia="Calibri" w:hAnsi="Calibri"/>
                <w:sz w:val="18"/>
                <w:szCs w:val="18"/>
                <w:color w:val="auto"/>
              </w:rPr>
              <w:t>83%</w:t>
            </w:r>
          </w:p>
        </w:tc>
        <w:tc>
          <w:tcPr>
            <w:tcW w:w="144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6"/>
              </w:rPr>
              <w:t>85%</w:t>
            </w:r>
          </w:p>
        </w:tc>
      </w:tr>
      <w:tr>
        <w:trPr>
          <w:trHeight w:val="215"/>
        </w:trPr>
        <w:tc>
          <w:tcPr>
            <w:tcW w:w="5600" w:type="dxa"/>
            <w:vAlign w:val="bottom"/>
            <w:tcBorders>
              <w:left w:val="single" w:sz="8" w:color="auto"/>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Transactonal cost by unit</w:t>
            </w:r>
          </w:p>
        </w:tc>
        <w:tc>
          <w:tcPr>
            <w:tcW w:w="1520" w:type="dxa"/>
            <w:vAlign w:val="bottom"/>
            <w:tcBorders>
              <w:right w:val="single" w:sz="8" w:color="auto"/>
            </w:tcBorders>
          </w:tcPr>
          <w:p>
            <w:pPr>
              <w:ind w:left="60"/>
              <w:spacing w:after="0" w:line="215" w:lineRule="exact"/>
              <w:rPr>
                <w:sz w:val="20"/>
                <w:szCs w:val="20"/>
                <w:color w:val="auto"/>
              </w:rPr>
            </w:pPr>
            <w:r>
              <w:rPr>
                <w:rFonts w:ascii="Calibri" w:cs="Calibri" w:eastAsia="Calibri" w:hAnsi="Calibri"/>
                <w:sz w:val="18"/>
                <w:szCs w:val="18"/>
                <w:i w:val="1"/>
                <w:iCs w:val="1"/>
                <w:color w:val="auto"/>
              </w:rPr>
              <w:t>BCP</w:t>
            </w:r>
          </w:p>
        </w:tc>
        <w:tc>
          <w:tcPr>
            <w:tcW w:w="1320" w:type="dxa"/>
            <w:vAlign w:val="bottom"/>
          </w:tcPr>
          <w:p>
            <w:pPr>
              <w:jc w:val="center"/>
              <w:spacing w:after="0" w:line="215" w:lineRule="exact"/>
              <w:rPr>
                <w:sz w:val="20"/>
                <w:szCs w:val="20"/>
                <w:color w:val="auto"/>
              </w:rPr>
            </w:pPr>
            <w:r>
              <w:rPr>
                <w:rFonts w:ascii="Calibri" w:cs="Calibri" w:eastAsia="Calibri" w:hAnsi="Calibri"/>
                <w:sz w:val="18"/>
                <w:szCs w:val="18"/>
                <w:color w:val="auto"/>
              </w:rPr>
              <w:t>0.07</w:t>
            </w:r>
          </w:p>
        </w:tc>
        <w:tc>
          <w:tcPr>
            <w:tcW w:w="1360" w:type="dxa"/>
            <w:vAlign w:val="bottom"/>
          </w:tcPr>
          <w:p>
            <w:pPr>
              <w:jc w:val="center"/>
              <w:spacing w:after="0" w:line="215" w:lineRule="exact"/>
              <w:rPr>
                <w:sz w:val="20"/>
                <w:szCs w:val="20"/>
                <w:color w:val="auto"/>
              </w:rPr>
            </w:pPr>
            <w:r>
              <w:rPr>
                <w:rFonts w:ascii="Calibri" w:cs="Calibri" w:eastAsia="Calibri" w:hAnsi="Calibri"/>
                <w:sz w:val="18"/>
                <w:szCs w:val="18"/>
                <w:color w:val="auto"/>
              </w:rPr>
              <w:t>0.04</w:t>
            </w:r>
          </w:p>
        </w:tc>
        <w:tc>
          <w:tcPr>
            <w:tcW w:w="144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0.04</w:t>
            </w:r>
          </w:p>
        </w:tc>
      </w:tr>
      <w:tr>
        <w:trPr>
          <w:trHeight w:val="244"/>
        </w:trPr>
        <w:tc>
          <w:tcPr>
            <w:tcW w:w="5600" w:type="dxa"/>
            <w:vAlign w:val="bottom"/>
            <w:tcBorders>
              <w:left w:val="single" w:sz="8" w:color="auto"/>
              <w:right w:val="single" w:sz="8" w:color="auto"/>
            </w:tcBorders>
          </w:tcPr>
          <w:p>
            <w:pPr>
              <w:ind w:left="80"/>
              <w:spacing w:after="0" w:line="244" w:lineRule="exact"/>
              <w:rPr>
                <w:sz w:val="20"/>
                <w:szCs w:val="20"/>
                <w:color w:val="auto"/>
              </w:rPr>
            </w:pPr>
            <w:r>
              <w:rPr>
                <w:rFonts w:ascii="Calibri" w:cs="Calibri" w:eastAsia="Calibri" w:hAnsi="Calibri"/>
                <w:sz w:val="16"/>
                <w:szCs w:val="16"/>
                <w:color w:val="auto"/>
              </w:rPr>
              <w:t xml:space="preserve">Disbursements through leads </w:t>
            </w:r>
            <w:r>
              <w:rPr>
                <w:rFonts w:ascii="Calibri" w:cs="Calibri" w:eastAsia="Calibri" w:hAnsi="Calibri"/>
                <w:sz w:val="26"/>
                <w:szCs w:val="26"/>
                <w:color w:val="auto"/>
                <w:vertAlign w:val="superscript"/>
              </w:rPr>
              <w:t>(4)</w:t>
            </w:r>
          </w:p>
        </w:tc>
        <w:tc>
          <w:tcPr>
            <w:tcW w:w="1520" w:type="dxa"/>
            <w:vAlign w:val="bottom"/>
            <w:tcBorders>
              <w:right w:val="single" w:sz="8" w:color="auto"/>
            </w:tcBorders>
          </w:tcPr>
          <w:p>
            <w:pPr>
              <w:ind w:left="60"/>
              <w:spacing w:after="0"/>
              <w:rPr>
                <w:sz w:val="20"/>
                <w:szCs w:val="20"/>
                <w:color w:val="auto"/>
              </w:rPr>
            </w:pPr>
            <w:r>
              <w:rPr>
                <w:rFonts w:ascii="Calibri" w:cs="Calibri" w:eastAsia="Calibri" w:hAnsi="Calibri"/>
                <w:sz w:val="18"/>
                <w:szCs w:val="18"/>
                <w:i w:val="1"/>
                <w:iCs w:val="1"/>
                <w:color w:val="auto"/>
              </w:rPr>
              <w:t>Mibanco</w:t>
            </w:r>
          </w:p>
        </w:tc>
        <w:tc>
          <w:tcPr>
            <w:tcW w:w="1320" w:type="dxa"/>
            <w:vAlign w:val="bottom"/>
          </w:tcPr>
          <w:p>
            <w:pPr>
              <w:jc w:val="center"/>
              <w:spacing w:after="0"/>
              <w:rPr>
                <w:sz w:val="20"/>
                <w:szCs w:val="20"/>
                <w:color w:val="auto"/>
              </w:rPr>
            </w:pPr>
            <w:r>
              <w:rPr>
                <w:rFonts w:ascii="Calibri" w:cs="Calibri" w:eastAsia="Calibri" w:hAnsi="Calibri"/>
                <w:sz w:val="18"/>
                <w:szCs w:val="18"/>
                <w:color w:val="auto"/>
                <w:w w:val="96"/>
              </w:rPr>
              <w:t>74%</w:t>
            </w:r>
          </w:p>
        </w:tc>
        <w:tc>
          <w:tcPr>
            <w:tcW w:w="1360" w:type="dxa"/>
            <w:vAlign w:val="bottom"/>
          </w:tcPr>
          <w:p>
            <w:pPr>
              <w:jc w:val="center"/>
              <w:spacing w:after="0"/>
              <w:rPr>
                <w:sz w:val="20"/>
                <w:szCs w:val="20"/>
                <w:color w:val="auto"/>
              </w:rPr>
            </w:pPr>
            <w:r>
              <w:rPr>
                <w:rFonts w:ascii="Calibri" w:cs="Calibri" w:eastAsia="Calibri" w:hAnsi="Calibri"/>
                <w:sz w:val="18"/>
                <w:szCs w:val="18"/>
                <w:color w:val="auto"/>
              </w:rPr>
              <w:t>68%</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66%</w:t>
            </w:r>
          </w:p>
        </w:tc>
      </w:tr>
      <w:tr>
        <w:trPr>
          <w:trHeight w:val="230"/>
        </w:trPr>
        <w:tc>
          <w:tcPr>
            <w:tcW w:w="5600" w:type="dxa"/>
            <w:vAlign w:val="bottom"/>
            <w:tcBorders>
              <w:left w:val="single" w:sz="8" w:color="auto"/>
              <w:right w:val="single" w:sz="8" w:color="auto"/>
            </w:tcBorders>
          </w:tcPr>
          <w:p>
            <w:pPr>
              <w:ind w:left="80"/>
              <w:spacing w:after="0" w:line="229" w:lineRule="exact"/>
              <w:rPr>
                <w:sz w:val="20"/>
                <w:szCs w:val="20"/>
                <w:color w:val="auto"/>
              </w:rPr>
            </w:pPr>
            <w:r>
              <w:rPr>
                <w:rFonts w:ascii="Calibri" w:cs="Calibri" w:eastAsia="Calibri" w:hAnsi="Calibri"/>
                <w:sz w:val="16"/>
                <w:szCs w:val="16"/>
                <w:color w:val="auto"/>
              </w:rPr>
              <w:t xml:space="preserve">Disbursements through alternatve channels </w:t>
            </w:r>
            <w:r>
              <w:rPr>
                <w:rFonts w:ascii="Calibri" w:cs="Calibri" w:eastAsia="Calibri" w:hAnsi="Calibri"/>
                <w:sz w:val="25"/>
                <w:szCs w:val="25"/>
                <w:color w:val="auto"/>
                <w:vertAlign w:val="superscript"/>
              </w:rPr>
              <w:t>(5)</w:t>
            </w:r>
          </w:p>
        </w:tc>
        <w:tc>
          <w:tcPr>
            <w:tcW w:w="1520" w:type="dxa"/>
            <w:vAlign w:val="bottom"/>
            <w:tcBorders>
              <w:right w:val="single" w:sz="8" w:color="auto"/>
            </w:tcBorders>
          </w:tcPr>
          <w:p>
            <w:pPr>
              <w:ind w:left="60"/>
              <w:spacing w:after="0" w:line="215" w:lineRule="exact"/>
              <w:rPr>
                <w:sz w:val="20"/>
                <w:szCs w:val="20"/>
                <w:color w:val="auto"/>
              </w:rPr>
            </w:pPr>
            <w:r>
              <w:rPr>
                <w:rFonts w:ascii="Calibri" w:cs="Calibri" w:eastAsia="Calibri" w:hAnsi="Calibri"/>
                <w:sz w:val="18"/>
                <w:szCs w:val="18"/>
                <w:i w:val="1"/>
                <w:iCs w:val="1"/>
                <w:color w:val="auto"/>
              </w:rPr>
              <w:t>Mibanco</w:t>
            </w:r>
          </w:p>
        </w:tc>
        <w:tc>
          <w:tcPr>
            <w:tcW w:w="13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15%</w:t>
            </w:r>
          </w:p>
        </w:tc>
        <w:tc>
          <w:tcPr>
            <w:tcW w:w="1360" w:type="dxa"/>
            <w:vAlign w:val="bottom"/>
          </w:tcPr>
          <w:p>
            <w:pPr>
              <w:jc w:val="center"/>
              <w:spacing w:after="0" w:line="215" w:lineRule="exact"/>
              <w:rPr>
                <w:sz w:val="20"/>
                <w:szCs w:val="20"/>
                <w:color w:val="auto"/>
              </w:rPr>
            </w:pPr>
            <w:r>
              <w:rPr>
                <w:rFonts w:ascii="Calibri" w:cs="Calibri" w:eastAsia="Calibri" w:hAnsi="Calibri"/>
                <w:sz w:val="18"/>
                <w:szCs w:val="18"/>
                <w:color w:val="auto"/>
              </w:rPr>
              <w:t>23%</w:t>
            </w:r>
          </w:p>
        </w:tc>
        <w:tc>
          <w:tcPr>
            <w:tcW w:w="144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6"/>
              </w:rPr>
              <w:t>23%</w:t>
            </w:r>
          </w:p>
        </w:tc>
      </w:tr>
      <w:tr>
        <w:trPr>
          <w:trHeight w:val="238"/>
        </w:trPr>
        <w:tc>
          <w:tcPr>
            <w:tcW w:w="5600" w:type="dxa"/>
            <w:vAlign w:val="bottom"/>
            <w:tcBorders>
              <w:left w:val="single" w:sz="8" w:color="auto"/>
              <w:bottom w:val="single" w:sz="8" w:color="auto"/>
              <w:right w:val="single" w:sz="8" w:color="auto"/>
            </w:tcBorders>
          </w:tcPr>
          <w:p>
            <w:pPr>
              <w:ind w:left="80"/>
              <w:spacing w:after="0" w:line="239" w:lineRule="exact"/>
              <w:rPr>
                <w:sz w:val="20"/>
                <w:szCs w:val="20"/>
                <w:color w:val="auto"/>
              </w:rPr>
            </w:pPr>
            <w:r>
              <w:rPr>
                <w:rFonts w:ascii="Calibri" w:cs="Calibri" w:eastAsia="Calibri" w:hAnsi="Calibri"/>
                <w:sz w:val="16"/>
                <w:szCs w:val="16"/>
                <w:color w:val="auto"/>
              </w:rPr>
              <w:t xml:space="preserve">Mibanco Productvity </w:t>
            </w:r>
            <w:r>
              <w:rPr>
                <w:rFonts w:ascii="Calibri" w:cs="Calibri" w:eastAsia="Calibri" w:hAnsi="Calibri"/>
                <w:sz w:val="26"/>
                <w:szCs w:val="26"/>
                <w:color w:val="auto"/>
                <w:vertAlign w:val="superscript"/>
              </w:rPr>
              <w:t>(6)</w:t>
            </w:r>
          </w:p>
        </w:tc>
        <w:tc>
          <w:tcPr>
            <w:tcW w:w="1520" w:type="dxa"/>
            <w:vAlign w:val="bottom"/>
            <w:tcBorders>
              <w:bottom w:val="single" w:sz="8" w:color="auto"/>
              <w:right w:val="single" w:sz="8" w:color="auto"/>
            </w:tcBorders>
          </w:tcPr>
          <w:p>
            <w:pPr>
              <w:ind w:left="60"/>
              <w:spacing w:after="0" w:line="215" w:lineRule="exact"/>
              <w:rPr>
                <w:sz w:val="20"/>
                <w:szCs w:val="20"/>
                <w:color w:val="auto"/>
              </w:rPr>
            </w:pPr>
            <w:r>
              <w:rPr>
                <w:rFonts w:ascii="Calibri" w:cs="Calibri" w:eastAsia="Calibri" w:hAnsi="Calibri"/>
                <w:sz w:val="18"/>
                <w:szCs w:val="18"/>
                <w:i w:val="1"/>
                <w:iCs w:val="1"/>
                <w:color w:val="auto"/>
              </w:rPr>
              <w:t>Mibanco</w:t>
            </w:r>
          </w:p>
        </w:tc>
        <w:tc>
          <w:tcPr>
            <w:tcW w:w="132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22.1</w:t>
            </w:r>
          </w:p>
        </w:tc>
        <w:tc>
          <w:tcPr>
            <w:tcW w:w="136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21.9</w:t>
            </w:r>
          </w:p>
        </w:tc>
        <w:tc>
          <w:tcPr>
            <w:tcW w:w="144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23.6</w:t>
            </w:r>
          </w:p>
        </w:tc>
      </w:tr>
      <w:tr>
        <w:trPr>
          <w:trHeight w:val="227"/>
        </w:trPr>
        <w:tc>
          <w:tcPr>
            <w:tcW w:w="560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8"/>
                <w:szCs w:val="18"/>
                <w:b w:val="1"/>
                <w:bCs w:val="1"/>
                <w:i w:val="1"/>
                <w:iCs w:val="1"/>
                <w:color w:val="auto"/>
              </w:rPr>
              <w:t>Cashless</w:t>
            </w:r>
          </w:p>
        </w:tc>
        <w:tc>
          <w:tcPr>
            <w:tcW w:w="15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31"/>
        </w:trPr>
        <w:tc>
          <w:tcPr>
            <w:tcW w:w="5600" w:type="dxa"/>
            <w:vAlign w:val="bottom"/>
            <w:tcBorders>
              <w:left w:val="single" w:sz="8" w:color="auto"/>
              <w:right w:val="single" w:sz="8" w:color="auto"/>
            </w:tcBorders>
          </w:tcPr>
          <w:p>
            <w:pPr>
              <w:ind w:left="80"/>
              <w:spacing w:after="0" w:line="231" w:lineRule="exact"/>
              <w:rPr>
                <w:sz w:val="20"/>
                <w:szCs w:val="20"/>
                <w:color w:val="auto"/>
              </w:rPr>
            </w:pPr>
            <w:r>
              <w:rPr>
                <w:rFonts w:ascii="Calibri" w:cs="Calibri" w:eastAsia="Calibri" w:hAnsi="Calibri"/>
                <w:sz w:val="16"/>
                <w:szCs w:val="16"/>
                <w:color w:val="auto"/>
              </w:rPr>
              <w:t>Cashless transactons</w:t>
            </w:r>
            <w:r>
              <w:rPr>
                <w:rFonts w:ascii="Calibri" w:cs="Calibri" w:eastAsia="Calibri" w:hAnsi="Calibri"/>
                <w:sz w:val="25"/>
                <w:szCs w:val="25"/>
                <w:color w:val="auto"/>
                <w:vertAlign w:val="superscript"/>
              </w:rPr>
              <w:t>(7)</w:t>
            </w:r>
          </w:p>
        </w:tc>
        <w:tc>
          <w:tcPr>
            <w:tcW w:w="1520" w:type="dxa"/>
            <w:vAlign w:val="bottom"/>
            <w:tcBorders>
              <w:right w:val="single" w:sz="8" w:color="auto"/>
            </w:tcBorders>
          </w:tcPr>
          <w:p>
            <w:pPr>
              <w:ind w:left="60"/>
              <w:spacing w:after="0"/>
              <w:rPr>
                <w:sz w:val="20"/>
                <w:szCs w:val="20"/>
                <w:color w:val="auto"/>
              </w:rPr>
            </w:pPr>
            <w:r>
              <w:rPr>
                <w:rFonts w:ascii="Calibri" w:cs="Calibri" w:eastAsia="Calibri" w:hAnsi="Calibri"/>
                <w:sz w:val="18"/>
                <w:szCs w:val="18"/>
                <w:i w:val="1"/>
                <w:iCs w:val="1"/>
                <w:color w:val="auto"/>
              </w:rPr>
              <w:t>BCP</w:t>
            </w:r>
          </w:p>
        </w:tc>
        <w:tc>
          <w:tcPr>
            <w:tcW w:w="1320" w:type="dxa"/>
            <w:vAlign w:val="bottom"/>
          </w:tcPr>
          <w:p>
            <w:pPr>
              <w:jc w:val="center"/>
              <w:spacing w:after="0"/>
              <w:rPr>
                <w:sz w:val="20"/>
                <w:szCs w:val="20"/>
                <w:color w:val="auto"/>
              </w:rPr>
            </w:pPr>
            <w:r>
              <w:rPr>
                <w:rFonts w:ascii="Calibri" w:cs="Calibri" w:eastAsia="Calibri" w:hAnsi="Calibri"/>
                <w:sz w:val="18"/>
                <w:szCs w:val="18"/>
                <w:color w:val="auto"/>
                <w:w w:val="96"/>
              </w:rPr>
              <w:t>55%</w:t>
            </w:r>
          </w:p>
        </w:tc>
        <w:tc>
          <w:tcPr>
            <w:tcW w:w="1360" w:type="dxa"/>
            <w:vAlign w:val="bottom"/>
          </w:tcPr>
          <w:p>
            <w:pPr>
              <w:jc w:val="center"/>
              <w:spacing w:after="0"/>
              <w:rPr>
                <w:sz w:val="20"/>
                <w:szCs w:val="20"/>
                <w:color w:val="auto"/>
              </w:rPr>
            </w:pPr>
            <w:r>
              <w:rPr>
                <w:rFonts w:ascii="Calibri" w:cs="Calibri" w:eastAsia="Calibri" w:hAnsi="Calibri"/>
                <w:sz w:val="18"/>
                <w:szCs w:val="18"/>
                <w:color w:val="auto"/>
              </w:rPr>
              <w:t>64%</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66%</w:t>
            </w:r>
          </w:p>
        </w:tc>
      </w:tr>
      <w:tr>
        <w:trPr>
          <w:trHeight w:val="215"/>
        </w:trPr>
        <w:tc>
          <w:tcPr>
            <w:tcW w:w="5600" w:type="dxa"/>
            <w:vAlign w:val="bottom"/>
            <w:tcBorders>
              <w:left w:val="single" w:sz="8" w:color="auto"/>
              <w:right w:val="single" w:sz="8" w:color="auto"/>
            </w:tcBorders>
          </w:tcPr>
          <w:p>
            <w:pPr>
              <w:ind w:left="80"/>
              <w:spacing w:after="0" w:line="215" w:lineRule="exact"/>
              <w:rPr>
                <w:sz w:val="20"/>
                <w:szCs w:val="20"/>
                <w:color w:val="auto"/>
              </w:rPr>
            </w:pPr>
            <w:r>
              <w:rPr>
                <w:rFonts w:ascii="Calibri" w:cs="Calibri" w:eastAsia="Calibri" w:hAnsi="Calibri"/>
                <w:sz w:val="18"/>
                <w:szCs w:val="18"/>
                <w:color w:val="auto"/>
              </w:rPr>
              <w:t>Mobile Banking ratng iOS</w:t>
            </w:r>
          </w:p>
        </w:tc>
        <w:tc>
          <w:tcPr>
            <w:tcW w:w="1520" w:type="dxa"/>
            <w:vAlign w:val="bottom"/>
            <w:tcBorders>
              <w:right w:val="single" w:sz="8" w:color="auto"/>
            </w:tcBorders>
          </w:tcPr>
          <w:p>
            <w:pPr>
              <w:ind w:left="60"/>
              <w:spacing w:after="0" w:line="215" w:lineRule="exact"/>
              <w:rPr>
                <w:sz w:val="20"/>
                <w:szCs w:val="20"/>
                <w:color w:val="auto"/>
              </w:rPr>
            </w:pPr>
            <w:r>
              <w:rPr>
                <w:rFonts w:ascii="Calibri" w:cs="Calibri" w:eastAsia="Calibri" w:hAnsi="Calibri"/>
                <w:sz w:val="18"/>
                <w:szCs w:val="18"/>
                <w:i w:val="1"/>
                <w:iCs w:val="1"/>
                <w:color w:val="auto"/>
              </w:rPr>
              <w:t>BCP</w:t>
            </w:r>
          </w:p>
        </w:tc>
        <w:tc>
          <w:tcPr>
            <w:tcW w:w="13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4.7</w:t>
            </w:r>
          </w:p>
        </w:tc>
        <w:tc>
          <w:tcPr>
            <w:tcW w:w="136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4.8</w:t>
            </w:r>
          </w:p>
        </w:tc>
        <w:tc>
          <w:tcPr>
            <w:tcW w:w="144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6"/>
              </w:rPr>
              <w:t>4.8</w:t>
            </w:r>
          </w:p>
        </w:tc>
      </w:tr>
      <w:tr>
        <w:trPr>
          <w:trHeight w:val="216"/>
        </w:trPr>
        <w:tc>
          <w:tcPr>
            <w:tcW w:w="5600" w:type="dxa"/>
            <w:vAlign w:val="bottom"/>
            <w:tcBorders>
              <w:left w:val="single" w:sz="8" w:color="auto"/>
              <w:right w:val="single" w:sz="8" w:color="auto"/>
            </w:tcBorders>
          </w:tcPr>
          <w:p>
            <w:pPr>
              <w:ind w:left="80"/>
              <w:spacing w:after="0" w:line="216" w:lineRule="exact"/>
              <w:rPr>
                <w:sz w:val="20"/>
                <w:szCs w:val="20"/>
                <w:color w:val="auto"/>
              </w:rPr>
            </w:pPr>
            <w:r>
              <w:rPr>
                <w:rFonts w:ascii="Calibri" w:cs="Calibri" w:eastAsia="Calibri" w:hAnsi="Calibri"/>
                <w:sz w:val="18"/>
                <w:szCs w:val="18"/>
                <w:color w:val="auto"/>
              </w:rPr>
              <w:t>Mobile Banking ratng Android</w:t>
            </w:r>
          </w:p>
        </w:tc>
        <w:tc>
          <w:tcPr>
            <w:tcW w:w="1520" w:type="dxa"/>
            <w:vAlign w:val="bottom"/>
            <w:tcBorders>
              <w:right w:val="single" w:sz="8" w:color="auto"/>
            </w:tcBorders>
          </w:tcPr>
          <w:p>
            <w:pPr>
              <w:ind w:left="60"/>
              <w:spacing w:after="0" w:line="216" w:lineRule="exact"/>
              <w:rPr>
                <w:sz w:val="20"/>
                <w:szCs w:val="20"/>
                <w:color w:val="auto"/>
              </w:rPr>
            </w:pPr>
            <w:r>
              <w:rPr>
                <w:rFonts w:ascii="Calibri" w:cs="Calibri" w:eastAsia="Calibri" w:hAnsi="Calibri"/>
                <w:sz w:val="18"/>
                <w:szCs w:val="18"/>
                <w:i w:val="1"/>
                <w:iCs w:val="1"/>
                <w:color w:val="auto"/>
              </w:rPr>
              <w:t>BCP</w:t>
            </w:r>
          </w:p>
        </w:tc>
        <w:tc>
          <w:tcPr>
            <w:tcW w:w="132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4.6</w:t>
            </w:r>
          </w:p>
        </w:tc>
        <w:tc>
          <w:tcPr>
            <w:tcW w:w="13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4.6</w:t>
            </w:r>
          </w:p>
        </w:tc>
        <w:tc>
          <w:tcPr>
            <w:tcW w:w="144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18"/>
                <w:szCs w:val="18"/>
                <w:color w:val="auto"/>
                <w:w w:val="96"/>
              </w:rPr>
              <w:t>4.7</w:t>
            </w:r>
          </w:p>
        </w:tc>
      </w:tr>
      <w:tr>
        <w:trPr>
          <w:trHeight w:val="23"/>
        </w:trPr>
        <w:tc>
          <w:tcPr>
            <w:tcW w:w="560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27"/>
        </w:trPr>
        <w:tc>
          <w:tcPr>
            <w:tcW w:w="560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8"/>
                <w:szCs w:val="18"/>
                <w:b w:val="1"/>
                <w:bCs w:val="1"/>
                <w:i w:val="1"/>
                <w:iCs w:val="1"/>
                <w:color w:val="auto"/>
              </w:rPr>
              <w:t>Digital Acquisiton</w:t>
            </w:r>
          </w:p>
        </w:tc>
        <w:tc>
          <w:tcPr>
            <w:tcW w:w="15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80"/>
        </w:trPr>
        <w:tc>
          <w:tcPr>
            <w:tcW w:w="5600" w:type="dxa"/>
            <w:vAlign w:val="bottom"/>
            <w:tcBorders>
              <w:left w:val="single" w:sz="8" w:color="auto"/>
              <w:bottom w:val="single" w:sz="8" w:color="auto"/>
              <w:right w:val="single" w:sz="8" w:color="auto"/>
            </w:tcBorders>
          </w:tcPr>
          <w:p>
            <w:pPr>
              <w:ind w:left="80"/>
              <w:spacing w:after="0" w:line="279" w:lineRule="exact"/>
              <w:rPr>
                <w:sz w:val="20"/>
                <w:szCs w:val="20"/>
                <w:color w:val="auto"/>
              </w:rPr>
            </w:pPr>
            <w:r>
              <w:rPr>
                <w:rFonts w:ascii="Calibri" w:cs="Calibri" w:eastAsia="Calibri" w:hAnsi="Calibri"/>
                <w:sz w:val="18"/>
                <w:szCs w:val="18"/>
                <w:color w:val="auto"/>
              </w:rPr>
              <w:t xml:space="preserve">Digital sales </w:t>
            </w:r>
            <w:r>
              <w:rPr>
                <w:rFonts w:ascii="Calibri" w:cs="Calibri" w:eastAsia="Calibri" w:hAnsi="Calibri"/>
                <w:sz w:val="29"/>
                <w:szCs w:val="29"/>
                <w:color w:val="auto"/>
                <w:vertAlign w:val="superscript"/>
              </w:rPr>
              <w:t>(8)</w:t>
            </w:r>
          </w:p>
        </w:tc>
        <w:tc>
          <w:tcPr>
            <w:tcW w:w="1520" w:type="dxa"/>
            <w:vAlign w:val="bottom"/>
            <w:tcBorders>
              <w:bottom w:val="single" w:sz="8" w:color="auto"/>
              <w:right w:val="single" w:sz="8" w:color="auto"/>
            </w:tcBorders>
          </w:tcPr>
          <w:p>
            <w:pPr>
              <w:ind w:left="60"/>
              <w:spacing w:after="0"/>
              <w:rPr>
                <w:sz w:val="20"/>
                <w:szCs w:val="20"/>
                <w:color w:val="auto"/>
              </w:rPr>
            </w:pPr>
            <w:r>
              <w:rPr>
                <w:rFonts w:ascii="Calibri" w:cs="Calibri" w:eastAsia="Calibri" w:hAnsi="Calibri"/>
                <w:sz w:val="18"/>
                <w:szCs w:val="18"/>
                <w:i w:val="1"/>
                <w:iCs w:val="1"/>
                <w:color w:val="auto"/>
              </w:rPr>
              <w:t>BCP</w:t>
            </w: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color w:val="auto"/>
                <w:w w:val="96"/>
              </w:rPr>
              <w:t>58%</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color w:val="auto"/>
              </w:rPr>
              <w:t>66%</w:t>
            </w:r>
          </w:p>
        </w:tc>
        <w:tc>
          <w:tcPr>
            <w:tcW w:w="14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6"/>
              </w:rPr>
              <w:t>65%</w:t>
            </w:r>
          </w:p>
        </w:tc>
      </w:tr>
    </w:tbl>
    <w:p>
      <w:pPr>
        <w:ind w:left="180" w:hanging="172"/>
        <w:spacing w:after="0" w:line="200"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Figures for September 2023, June 2024, and September 2024.</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Clients that made 70%, or more, of their transactons through digital channels in the last 6 months (includes Yape).</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Retail Monetary Transactons conducted through Retail Banking, Internet Banking, Yape and Telecredito/Total Retail Monetary Transactons in Retail Banking.</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Disbursements generated through leads/Total disbursements.</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Disbursements conducted through alternatve channels/Total disbursements.</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Number of loans disbursed/ Total relatonship managers.</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Amount transacted through Mobile Banking, Internet Banking, Yape y POS/ Total amount transacted through Retail Banking.</w:t>
      </w:r>
    </w:p>
    <w:p>
      <w:pPr>
        <w:ind w:left="180" w:hanging="172"/>
        <w:spacing w:after="0" w:line="221" w:lineRule="auto"/>
        <w:tabs>
          <w:tab w:leader="none" w:pos="180" w:val="left"/>
        </w:tabs>
        <w:numPr>
          <w:ilvl w:val="0"/>
          <w:numId w:val="6"/>
        </w:numPr>
        <w:rPr>
          <w:rFonts w:ascii="Calibri" w:cs="Calibri" w:eastAsia="Calibri" w:hAnsi="Calibri"/>
          <w:sz w:val="12"/>
          <w:szCs w:val="12"/>
          <w:color w:val="auto"/>
        </w:rPr>
      </w:pPr>
      <w:r>
        <w:rPr>
          <w:rFonts w:ascii="Calibri" w:cs="Calibri" w:eastAsia="Calibri" w:hAnsi="Calibri"/>
          <w:sz w:val="12"/>
          <w:szCs w:val="12"/>
          <w:color w:val="auto"/>
        </w:rPr>
        <w:t>Units sold by Retail Banking through digital channels/ Total number of units sold by Retail Banking.</w:t>
      </w:r>
    </w:p>
    <w:p>
      <w:pPr>
        <w:spacing w:after="0" w:line="368"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4" w:name="page15"/>
    <w:bookmarkEnd w:id="14"/>
    <w:p>
      <w:pPr>
        <w:ind w:left="2700"/>
        <w:spacing w:after="0"/>
        <w:tabs>
          <w:tab w:leader="none" w:pos="29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7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73723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p>
    <w:p>
      <w:pPr>
        <w:spacing w:after="0" w:line="356"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Credicorp’s Strategy Update</w:t>
      </w:r>
    </w:p>
    <w:p>
      <w:pPr>
        <w:spacing w:after="0" w:line="3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Disruptve Initatves: Yape</w:t>
      </w:r>
    </w:p>
    <w:p>
      <w:pPr>
        <w:spacing w:after="0" w:line="123" w:lineRule="exact"/>
        <w:rPr>
          <w:sz w:val="20"/>
          <w:szCs w:val="20"/>
          <w:color w:val="auto"/>
        </w:rPr>
      </w:pPr>
    </w:p>
    <w:p>
      <w:pPr>
        <w:jc w:val="both"/>
        <w:ind w:right="340"/>
        <w:spacing w:after="0" w:line="235" w:lineRule="auto"/>
        <w:rPr>
          <w:sz w:val="20"/>
          <w:szCs w:val="20"/>
          <w:color w:val="auto"/>
        </w:rPr>
      </w:pPr>
      <w:r>
        <w:rPr>
          <w:rFonts w:ascii="Calibri" w:cs="Calibri" w:eastAsia="Calibri" w:hAnsi="Calibri"/>
          <w:sz w:val="18"/>
          <w:szCs w:val="18"/>
          <w:color w:val="auto"/>
        </w:rPr>
        <w:t>At the end of September, Yape reached 13.0 millions monthly actve users (MAU), postng monthly income and cost per actve yapero of S/ 4.9 and S/ 4.2, respectvely. Average monthly transactons per MAU reached 44 in 3Q24.</w:t>
      </w:r>
    </w:p>
    <w:p>
      <w:pPr>
        <w:spacing w:after="0" w:line="219" w:lineRule="exact"/>
        <w:rPr>
          <w:sz w:val="20"/>
          <w:szCs w:val="20"/>
          <w:color w:val="auto"/>
        </w:rPr>
      </w:pPr>
    </w:p>
    <w:p>
      <w:pPr>
        <w:jc w:val="both"/>
        <w:ind w:right="340"/>
        <w:spacing w:after="0" w:line="235" w:lineRule="auto"/>
        <w:rPr>
          <w:sz w:val="20"/>
          <w:szCs w:val="20"/>
          <w:color w:val="auto"/>
        </w:rPr>
      </w:pPr>
      <w:r>
        <w:rPr>
          <w:rFonts w:ascii="Calibri" w:cs="Calibri" w:eastAsia="Calibri" w:hAnsi="Calibri"/>
          <w:sz w:val="18"/>
          <w:szCs w:val="18"/>
          <w:color w:val="auto"/>
        </w:rPr>
        <w:t>At the Strategic Update 2024, Yape revealed new drawn-up aspiratons, such as hitng the 16.5-million user mark, and registering S/600 billion in transactons per year.</w:t>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Evoluton of Monthly Revenue and Expenses / MAU </w:t>
      </w:r>
      <w:r>
        <w:rPr>
          <w:rFonts w:ascii="Calibri" w:cs="Calibri" w:eastAsia="Calibri" w:hAnsi="Calibri"/>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71755</wp:posOffset>
            </wp:positionV>
            <wp:extent cx="2974340" cy="1423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7434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hanging="423"/>
        <w:spacing w:after="0"/>
        <w:tabs>
          <w:tab w:leader="none" w:pos="460" w:val="left"/>
        </w:tabs>
        <w:numPr>
          <w:ilvl w:val="0"/>
          <w:numId w:val="7"/>
        </w:numPr>
        <w:rPr>
          <w:rFonts w:ascii="Calibri" w:cs="Calibri" w:eastAsia="Calibri" w:hAnsi="Calibri"/>
          <w:sz w:val="12"/>
          <w:szCs w:val="12"/>
          <w:color w:val="auto"/>
        </w:rPr>
      </w:pPr>
      <w:r>
        <w:rPr>
          <w:rFonts w:ascii="Calibri" w:cs="Calibri" w:eastAsia="Calibri" w:hAnsi="Calibri"/>
          <w:sz w:val="12"/>
          <w:szCs w:val="12"/>
          <w:color w:val="auto"/>
        </w:rPr>
        <w:t>Management Figures</w:t>
      </w:r>
    </w:p>
    <w:p>
      <w:pPr>
        <w:spacing w:after="0" w:line="200" w:lineRule="exact"/>
        <w:rPr>
          <w:sz w:val="20"/>
          <w:szCs w:val="20"/>
          <w:color w:val="auto"/>
        </w:rPr>
      </w:pPr>
    </w:p>
    <w:p>
      <w:pPr>
        <w:sectPr>
          <w:pgSz w:w="11900" w:h="16838" w:orient="portrait"/>
          <w:cols w:equalWidth="0" w:num="2">
            <w:col w:w="5740" w:space="720"/>
            <w:col w:w="4780"/>
          </w:cols>
          <w:pgMar w:left="320" w:top="348" w:right="339" w:bottom="1440" w:gutter="0" w:footer="0" w:header="0"/>
        </w:sectPr>
      </w:pPr>
    </w:p>
    <w:p>
      <w:pPr>
        <w:spacing w:after="0" w:line="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Main KPIs for Yape’s Management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080" w:type="dxa"/>
            <w:vAlign w:val="bottom"/>
            <w:tcBorders>
              <w:top w:val="single" w:sz="8" w:color="auto"/>
              <w:left w:val="single" w:sz="8" w:color="auto"/>
              <w:right w:val="single" w:sz="8" w:color="auto"/>
            </w:tcBorders>
            <w:vMerge w:val="restart"/>
            <w:shd w:val="clear" w:color="auto" w:fill="2AD2C8"/>
          </w:tcPr>
          <w:p>
            <w:pPr>
              <w:ind w:left="60"/>
              <w:spacing w:after="0"/>
              <w:rPr>
                <w:sz w:val="20"/>
                <w:szCs w:val="20"/>
                <w:color w:val="auto"/>
              </w:rPr>
            </w:pPr>
            <w:r>
              <w:rPr>
                <w:rFonts w:ascii="Calibri" w:cs="Calibri" w:eastAsia="Calibri" w:hAnsi="Calibri"/>
                <w:sz w:val="13"/>
                <w:szCs w:val="13"/>
                <w:b w:val="1"/>
                <w:bCs w:val="1"/>
                <w:i w:val="1"/>
                <w:iCs w:val="1"/>
                <w:color w:val="FFFFFF"/>
              </w:rPr>
              <w:t>Management KPIs</w:t>
            </w:r>
          </w:p>
        </w:tc>
        <w:tc>
          <w:tcPr>
            <w:tcW w:w="920" w:type="dxa"/>
            <w:vAlign w:val="bottom"/>
            <w:tcBorders>
              <w:top w:val="single" w:sz="8" w:color="auto"/>
            </w:tcBorders>
            <w:shd w:val="clear" w:color="auto" w:fill="2AD2C8"/>
          </w:tcPr>
          <w:p>
            <w:pPr>
              <w:spacing w:after="0"/>
              <w:rPr>
                <w:sz w:val="17"/>
                <w:szCs w:val="17"/>
                <w:color w:val="auto"/>
              </w:rPr>
            </w:pPr>
          </w:p>
        </w:tc>
        <w:tc>
          <w:tcPr>
            <w:tcW w:w="1020" w:type="dxa"/>
            <w:vAlign w:val="bottom"/>
            <w:tcBorders>
              <w:top w:val="single" w:sz="8" w:color="auto"/>
            </w:tcBorders>
            <w:shd w:val="clear" w:color="auto" w:fill="2AD2C8"/>
          </w:tcPr>
          <w:p>
            <w:pPr>
              <w:jc w:val="right"/>
              <w:ind w:right="233"/>
              <w:spacing w:after="0"/>
              <w:rPr>
                <w:sz w:val="20"/>
                <w:szCs w:val="20"/>
                <w:color w:val="auto"/>
              </w:rPr>
            </w:pPr>
            <w:r>
              <w:rPr>
                <w:rFonts w:ascii="Calibri" w:cs="Calibri" w:eastAsia="Calibri" w:hAnsi="Calibri"/>
                <w:sz w:val="13"/>
                <w:szCs w:val="13"/>
                <w:b w:val="1"/>
                <w:bCs w:val="1"/>
                <w:color w:val="FFFFFF"/>
              </w:rPr>
              <w:t>Quarter</w:t>
            </w:r>
          </w:p>
        </w:tc>
        <w:tc>
          <w:tcPr>
            <w:tcW w:w="980" w:type="dxa"/>
            <w:vAlign w:val="bottom"/>
            <w:tcBorders>
              <w:top w:val="single" w:sz="8" w:color="auto"/>
              <w:right w:val="single" w:sz="8" w:color="auto"/>
            </w:tcBorders>
            <w:shd w:val="clear" w:color="auto" w:fill="2AD2C8"/>
          </w:tcPr>
          <w:p>
            <w:pPr>
              <w:spacing w:after="0"/>
              <w:rPr>
                <w:sz w:val="17"/>
                <w:szCs w:val="17"/>
                <w:color w:val="auto"/>
              </w:rPr>
            </w:pPr>
          </w:p>
        </w:tc>
        <w:tc>
          <w:tcPr>
            <w:tcW w:w="2000" w:type="dxa"/>
            <w:vAlign w:val="bottom"/>
            <w:tcBorders>
              <w:top w:val="single" w:sz="8" w:color="auto"/>
              <w:right w:val="single" w:sz="8" w:color="auto"/>
            </w:tcBorders>
            <w:gridSpan w:val="2"/>
            <w:shd w:val="clear" w:color="auto" w:fill="2AD2C8"/>
          </w:tcPr>
          <w:p>
            <w:pPr>
              <w:ind w:left="720"/>
              <w:spacing w:after="0"/>
              <w:rPr>
                <w:sz w:val="20"/>
                <w:szCs w:val="20"/>
                <w:color w:val="auto"/>
              </w:rPr>
            </w:pPr>
            <w:r>
              <w:rPr>
                <w:rFonts w:ascii="Calibri" w:cs="Calibri" w:eastAsia="Calibri" w:hAnsi="Calibri"/>
                <w:sz w:val="13"/>
                <w:szCs w:val="13"/>
                <w:b w:val="1"/>
                <w:bCs w:val="1"/>
                <w:color w:val="FFFFFF"/>
              </w:rPr>
              <w:t>Change %</w:t>
            </w:r>
          </w:p>
        </w:tc>
        <w:tc>
          <w:tcPr>
            <w:tcW w:w="680" w:type="dxa"/>
            <w:vAlign w:val="bottom"/>
            <w:tcBorders>
              <w:top w:val="single" w:sz="8" w:color="auto"/>
            </w:tcBorders>
            <w:shd w:val="clear" w:color="auto" w:fill="2AD2C8"/>
          </w:tcPr>
          <w:p>
            <w:pPr>
              <w:spacing w:after="0"/>
              <w:rPr>
                <w:sz w:val="17"/>
                <w:szCs w:val="17"/>
                <w:color w:val="auto"/>
              </w:rPr>
            </w:pPr>
          </w:p>
        </w:tc>
        <w:tc>
          <w:tcPr>
            <w:tcW w:w="1320" w:type="dxa"/>
            <w:vAlign w:val="bottom"/>
            <w:tcBorders>
              <w:top w:val="single" w:sz="8" w:color="auto"/>
              <w:right w:val="single" w:sz="8" w:color="auto"/>
            </w:tcBorders>
            <w:shd w:val="clear" w:color="auto" w:fill="2AD2C8"/>
          </w:tcPr>
          <w:p>
            <w:pPr>
              <w:jc w:val="right"/>
              <w:ind w:right="853"/>
              <w:spacing w:after="0"/>
              <w:rPr>
                <w:sz w:val="20"/>
                <w:szCs w:val="20"/>
                <w:color w:val="auto"/>
              </w:rPr>
            </w:pPr>
            <w:r>
              <w:rPr>
                <w:rFonts w:ascii="Calibri" w:cs="Calibri" w:eastAsia="Calibri" w:hAnsi="Calibri"/>
                <w:sz w:val="13"/>
                <w:szCs w:val="13"/>
                <w:b w:val="1"/>
                <w:bCs w:val="1"/>
                <w:color w:val="FFFFFF"/>
              </w:rPr>
              <w:t>Up to</w:t>
            </w:r>
          </w:p>
        </w:tc>
        <w:tc>
          <w:tcPr>
            <w:tcW w:w="1240" w:type="dxa"/>
            <w:vAlign w:val="bottom"/>
            <w:tcBorders>
              <w:top w:val="single" w:sz="8" w:color="auto"/>
              <w:right w:val="single" w:sz="8" w:color="auto"/>
            </w:tcBorders>
            <w:shd w:val="clear" w:color="auto" w:fill="2AD2C8"/>
          </w:tcPr>
          <w:p>
            <w:pPr>
              <w:jc w:val="center"/>
              <w:spacing w:after="0"/>
              <w:rPr>
                <w:sz w:val="20"/>
                <w:szCs w:val="20"/>
                <w:color w:val="auto"/>
              </w:rPr>
            </w:pPr>
            <w:r>
              <w:rPr>
                <w:rFonts w:ascii="Calibri" w:cs="Calibri" w:eastAsia="Calibri" w:hAnsi="Calibri"/>
                <w:sz w:val="13"/>
                <w:szCs w:val="13"/>
                <w:b w:val="1"/>
                <w:bCs w:val="1"/>
                <w:color w:val="FFFFFF"/>
              </w:rPr>
              <w:t>Change %</w:t>
            </w:r>
          </w:p>
        </w:tc>
        <w:tc>
          <w:tcPr>
            <w:tcW w:w="0" w:type="dxa"/>
            <w:vAlign w:val="bottom"/>
          </w:tcPr>
          <w:p>
            <w:pPr>
              <w:spacing w:after="0"/>
              <w:rPr>
                <w:sz w:val="1"/>
                <w:szCs w:val="1"/>
                <w:color w:val="auto"/>
              </w:rPr>
            </w:pPr>
          </w:p>
        </w:tc>
      </w:tr>
      <w:tr>
        <w:trPr>
          <w:trHeight w:val="78"/>
        </w:trPr>
        <w:tc>
          <w:tcPr>
            <w:tcW w:w="3080" w:type="dxa"/>
            <w:vAlign w:val="bottom"/>
            <w:tcBorders>
              <w:left w:val="single" w:sz="8" w:color="auto"/>
              <w:right w:val="single" w:sz="8" w:color="auto"/>
            </w:tcBorders>
            <w:vMerge w:val="continue"/>
            <w:shd w:val="clear" w:color="auto" w:fill="2AD2C8"/>
          </w:tcPr>
          <w:p>
            <w:pPr>
              <w:spacing w:after="0"/>
              <w:rPr>
                <w:sz w:val="6"/>
                <w:szCs w:val="6"/>
                <w:color w:val="auto"/>
              </w:rPr>
            </w:pPr>
          </w:p>
        </w:tc>
        <w:tc>
          <w:tcPr>
            <w:tcW w:w="920" w:type="dxa"/>
            <w:vAlign w:val="bottom"/>
            <w:vMerge w:val="restart"/>
            <w:shd w:val="clear" w:color="auto" w:fill="2AD2C8"/>
          </w:tcPr>
          <w:p>
            <w:pPr>
              <w:ind w:left="300"/>
              <w:spacing w:after="0"/>
              <w:rPr>
                <w:sz w:val="20"/>
                <w:szCs w:val="20"/>
                <w:color w:val="auto"/>
              </w:rPr>
            </w:pPr>
            <w:r>
              <w:rPr>
                <w:rFonts w:ascii="Calibri" w:cs="Calibri" w:eastAsia="Calibri" w:hAnsi="Calibri"/>
                <w:sz w:val="13"/>
                <w:szCs w:val="13"/>
                <w:b w:val="1"/>
                <w:bCs w:val="1"/>
                <w:i w:val="1"/>
                <w:iCs w:val="1"/>
                <w:color w:val="FFFFFF"/>
              </w:rPr>
              <w:t>3Q23</w:t>
            </w:r>
          </w:p>
        </w:tc>
        <w:tc>
          <w:tcPr>
            <w:tcW w:w="1020" w:type="dxa"/>
            <w:vAlign w:val="bottom"/>
            <w:vMerge w:val="restart"/>
            <w:shd w:val="clear" w:color="auto" w:fill="2AD2C8"/>
          </w:tcPr>
          <w:p>
            <w:pPr>
              <w:jc w:val="right"/>
              <w:ind w:right="293"/>
              <w:spacing w:after="0"/>
              <w:rPr>
                <w:sz w:val="20"/>
                <w:szCs w:val="20"/>
                <w:color w:val="auto"/>
              </w:rPr>
            </w:pPr>
            <w:r>
              <w:rPr>
                <w:rFonts w:ascii="Calibri" w:cs="Calibri" w:eastAsia="Calibri" w:hAnsi="Calibri"/>
                <w:sz w:val="13"/>
                <w:szCs w:val="13"/>
                <w:b w:val="1"/>
                <w:bCs w:val="1"/>
                <w:i w:val="1"/>
                <w:iCs w:val="1"/>
                <w:color w:val="FFFFFF"/>
              </w:rPr>
              <w:t>2Q24</w:t>
            </w:r>
          </w:p>
        </w:tc>
        <w:tc>
          <w:tcPr>
            <w:tcW w:w="980" w:type="dxa"/>
            <w:vAlign w:val="bottom"/>
            <w:tcBorders>
              <w:right w:val="single" w:sz="8" w:color="auto"/>
            </w:tcBorders>
            <w:vMerge w:val="restart"/>
            <w:shd w:val="clear" w:color="auto" w:fill="2AD2C8"/>
          </w:tcPr>
          <w:p>
            <w:pPr>
              <w:ind w:left="320"/>
              <w:spacing w:after="0"/>
              <w:rPr>
                <w:sz w:val="20"/>
                <w:szCs w:val="20"/>
                <w:color w:val="auto"/>
              </w:rPr>
            </w:pPr>
            <w:r>
              <w:rPr>
                <w:rFonts w:ascii="Calibri" w:cs="Calibri" w:eastAsia="Calibri" w:hAnsi="Calibri"/>
                <w:sz w:val="13"/>
                <w:szCs w:val="13"/>
                <w:b w:val="1"/>
                <w:bCs w:val="1"/>
                <w:i w:val="1"/>
                <w:iCs w:val="1"/>
                <w:color w:val="FFFFFF"/>
              </w:rPr>
              <w:t>3Q24</w:t>
            </w:r>
          </w:p>
        </w:tc>
        <w:tc>
          <w:tcPr>
            <w:tcW w:w="1000" w:type="dxa"/>
            <w:vAlign w:val="bottom"/>
            <w:vMerge w:val="restart"/>
            <w:shd w:val="clear" w:color="auto" w:fill="2AD2C8"/>
          </w:tcPr>
          <w:p>
            <w:pPr>
              <w:ind w:left="500"/>
              <w:spacing w:after="0"/>
              <w:rPr>
                <w:sz w:val="20"/>
                <w:szCs w:val="20"/>
                <w:color w:val="auto"/>
              </w:rPr>
            </w:pPr>
            <w:r>
              <w:rPr>
                <w:rFonts w:ascii="Calibri" w:cs="Calibri" w:eastAsia="Calibri" w:hAnsi="Calibri"/>
                <w:sz w:val="13"/>
                <w:szCs w:val="13"/>
                <w:b w:val="1"/>
                <w:bCs w:val="1"/>
                <w:i w:val="1"/>
                <w:iCs w:val="1"/>
                <w:color w:val="FFFFFF"/>
              </w:rPr>
              <w:t>QoQ</w:t>
            </w:r>
          </w:p>
        </w:tc>
        <w:tc>
          <w:tcPr>
            <w:tcW w:w="1000" w:type="dxa"/>
            <w:vAlign w:val="bottom"/>
            <w:tcBorders>
              <w:right w:val="single" w:sz="8" w:color="auto"/>
            </w:tcBorders>
            <w:vMerge w:val="restart"/>
            <w:shd w:val="clear" w:color="auto" w:fill="2AD2C8"/>
          </w:tcPr>
          <w:p>
            <w:pPr>
              <w:ind w:left="260"/>
              <w:spacing w:after="0"/>
              <w:rPr>
                <w:sz w:val="20"/>
                <w:szCs w:val="20"/>
                <w:color w:val="auto"/>
              </w:rPr>
            </w:pPr>
            <w:r>
              <w:rPr>
                <w:rFonts w:ascii="Calibri" w:cs="Calibri" w:eastAsia="Calibri" w:hAnsi="Calibri"/>
                <w:sz w:val="13"/>
                <w:szCs w:val="13"/>
                <w:b w:val="1"/>
                <w:bCs w:val="1"/>
                <w:i w:val="1"/>
                <w:iCs w:val="1"/>
                <w:color w:val="FFFFFF"/>
              </w:rPr>
              <w:t>YoY</w:t>
            </w:r>
          </w:p>
        </w:tc>
        <w:tc>
          <w:tcPr>
            <w:tcW w:w="680" w:type="dxa"/>
            <w:vAlign w:val="bottom"/>
            <w:vMerge w:val="restart"/>
            <w:shd w:val="clear" w:color="auto" w:fill="2AD2C8"/>
          </w:tcPr>
          <w:p>
            <w:pPr>
              <w:ind w:left="200"/>
              <w:spacing w:after="0"/>
              <w:rPr>
                <w:sz w:val="20"/>
                <w:szCs w:val="20"/>
                <w:color w:val="auto"/>
              </w:rPr>
            </w:pPr>
            <w:r>
              <w:rPr>
                <w:rFonts w:ascii="Calibri" w:cs="Calibri" w:eastAsia="Calibri" w:hAnsi="Calibri"/>
                <w:sz w:val="13"/>
                <w:szCs w:val="13"/>
                <w:b w:val="1"/>
                <w:bCs w:val="1"/>
                <w:i w:val="1"/>
                <w:iCs w:val="1"/>
                <w:color w:val="FFFFFF"/>
              </w:rPr>
              <w:t>Sep-23</w:t>
            </w:r>
          </w:p>
        </w:tc>
        <w:tc>
          <w:tcPr>
            <w:tcW w:w="1320" w:type="dxa"/>
            <w:vAlign w:val="bottom"/>
            <w:tcBorders>
              <w:right w:val="single" w:sz="8" w:color="auto"/>
            </w:tcBorders>
            <w:vMerge w:val="restart"/>
            <w:shd w:val="clear" w:color="auto" w:fill="2AD2C8"/>
          </w:tcPr>
          <w:p>
            <w:pPr>
              <w:jc w:val="right"/>
              <w:ind w:right="333"/>
              <w:spacing w:after="0"/>
              <w:rPr>
                <w:sz w:val="20"/>
                <w:szCs w:val="20"/>
                <w:color w:val="auto"/>
              </w:rPr>
            </w:pPr>
            <w:r>
              <w:rPr>
                <w:rFonts w:ascii="Calibri" w:cs="Calibri" w:eastAsia="Calibri" w:hAnsi="Calibri"/>
                <w:sz w:val="13"/>
                <w:szCs w:val="13"/>
                <w:b w:val="1"/>
                <w:bCs w:val="1"/>
                <w:i w:val="1"/>
                <w:iCs w:val="1"/>
                <w:color w:val="FFFFFF"/>
              </w:rPr>
              <w:t>Sep-24</w:t>
            </w:r>
          </w:p>
        </w:tc>
        <w:tc>
          <w:tcPr>
            <w:tcW w:w="1240" w:type="dxa"/>
            <w:vAlign w:val="bottom"/>
            <w:tcBorders>
              <w:right w:val="single" w:sz="8" w:color="auto"/>
            </w:tcBorders>
            <w:vMerge w:val="restart"/>
            <w:shd w:val="clear" w:color="auto" w:fill="2AD2C8"/>
          </w:tcPr>
          <w:p>
            <w:pPr>
              <w:jc w:val="center"/>
              <w:spacing w:after="0"/>
              <w:rPr>
                <w:sz w:val="20"/>
                <w:szCs w:val="20"/>
                <w:color w:val="auto"/>
              </w:rPr>
            </w:pPr>
            <w:r>
              <w:rPr>
                <w:rFonts w:ascii="Calibri" w:cs="Calibri" w:eastAsia="Calibri" w:hAnsi="Calibri"/>
                <w:sz w:val="13"/>
                <w:szCs w:val="13"/>
                <w:b w:val="1"/>
                <w:bCs w:val="1"/>
                <w:i w:val="1"/>
                <w:iCs w:val="1"/>
                <w:color w:val="FFFFFF"/>
              </w:rPr>
              <w:t>Sep-24 / Sep-23</w:t>
            </w:r>
          </w:p>
        </w:tc>
        <w:tc>
          <w:tcPr>
            <w:tcW w:w="0" w:type="dxa"/>
            <w:vAlign w:val="bottom"/>
          </w:tcPr>
          <w:p>
            <w:pPr>
              <w:spacing w:after="0"/>
              <w:rPr>
                <w:sz w:val="1"/>
                <w:szCs w:val="1"/>
                <w:color w:val="auto"/>
              </w:rPr>
            </w:pPr>
          </w:p>
        </w:tc>
      </w:tr>
      <w:tr>
        <w:trPr>
          <w:trHeight w:val="130"/>
        </w:trPr>
        <w:tc>
          <w:tcPr>
            <w:tcW w:w="3080" w:type="dxa"/>
            <w:vAlign w:val="bottom"/>
            <w:tcBorders>
              <w:left w:val="single" w:sz="8" w:color="auto"/>
              <w:bottom w:val="single" w:sz="8" w:color="2AD2C8"/>
              <w:right w:val="single" w:sz="8" w:color="auto"/>
            </w:tcBorders>
            <w:shd w:val="clear" w:color="auto" w:fill="2AD2C8"/>
          </w:tcPr>
          <w:p>
            <w:pPr>
              <w:spacing w:after="0"/>
              <w:rPr>
                <w:sz w:val="11"/>
                <w:szCs w:val="11"/>
                <w:color w:val="auto"/>
              </w:rPr>
            </w:pPr>
          </w:p>
        </w:tc>
        <w:tc>
          <w:tcPr>
            <w:tcW w:w="920" w:type="dxa"/>
            <w:vAlign w:val="bottom"/>
            <w:tcBorders>
              <w:bottom w:val="single" w:sz="8" w:color="2AD2C8"/>
            </w:tcBorders>
            <w:vMerge w:val="continue"/>
            <w:shd w:val="clear" w:color="auto" w:fill="2AD2C8"/>
          </w:tcPr>
          <w:p>
            <w:pPr>
              <w:spacing w:after="0"/>
              <w:rPr>
                <w:sz w:val="11"/>
                <w:szCs w:val="11"/>
                <w:color w:val="auto"/>
              </w:rPr>
            </w:pPr>
          </w:p>
        </w:tc>
        <w:tc>
          <w:tcPr>
            <w:tcW w:w="1020" w:type="dxa"/>
            <w:vAlign w:val="bottom"/>
            <w:tcBorders>
              <w:bottom w:val="single" w:sz="8" w:color="2AD2C8"/>
            </w:tcBorders>
            <w:vMerge w:val="continue"/>
            <w:shd w:val="clear" w:color="auto" w:fill="2AD2C8"/>
          </w:tcPr>
          <w:p>
            <w:pPr>
              <w:spacing w:after="0"/>
              <w:rPr>
                <w:sz w:val="11"/>
                <w:szCs w:val="11"/>
                <w:color w:val="auto"/>
              </w:rPr>
            </w:pPr>
          </w:p>
        </w:tc>
        <w:tc>
          <w:tcPr>
            <w:tcW w:w="980" w:type="dxa"/>
            <w:vAlign w:val="bottom"/>
            <w:tcBorders>
              <w:bottom w:val="single" w:sz="8" w:color="2AD2C8"/>
              <w:right w:val="single" w:sz="8" w:color="auto"/>
            </w:tcBorders>
            <w:vMerge w:val="continue"/>
            <w:shd w:val="clear" w:color="auto" w:fill="2AD2C8"/>
          </w:tcPr>
          <w:p>
            <w:pPr>
              <w:spacing w:after="0"/>
              <w:rPr>
                <w:sz w:val="11"/>
                <w:szCs w:val="11"/>
                <w:color w:val="auto"/>
              </w:rPr>
            </w:pPr>
          </w:p>
        </w:tc>
        <w:tc>
          <w:tcPr>
            <w:tcW w:w="1000" w:type="dxa"/>
            <w:vAlign w:val="bottom"/>
            <w:tcBorders>
              <w:bottom w:val="single" w:sz="8" w:color="2AD2C8"/>
            </w:tcBorders>
            <w:vMerge w:val="continue"/>
            <w:shd w:val="clear" w:color="auto" w:fill="2AD2C8"/>
          </w:tcPr>
          <w:p>
            <w:pPr>
              <w:spacing w:after="0"/>
              <w:rPr>
                <w:sz w:val="11"/>
                <w:szCs w:val="11"/>
                <w:color w:val="auto"/>
              </w:rPr>
            </w:pPr>
          </w:p>
        </w:tc>
        <w:tc>
          <w:tcPr>
            <w:tcW w:w="1000" w:type="dxa"/>
            <w:vAlign w:val="bottom"/>
            <w:tcBorders>
              <w:bottom w:val="single" w:sz="8" w:color="2AD2C8"/>
              <w:right w:val="single" w:sz="8" w:color="auto"/>
            </w:tcBorders>
            <w:vMerge w:val="continue"/>
            <w:shd w:val="clear" w:color="auto" w:fill="2AD2C8"/>
          </w:tcPr>
          <w:p>
            <w:pPr>
              <w:spacing w:after="0"/>
              <w:rPr>
                <w:sz w:val="11"/>
                <w:szCs w:val="11"/>
                <w:color w:val="auto"/>
              </w:rPr>
            </w:pPr>
          </w:p>
        </w:tc>
        <w:tc>
          <w:tcPr>
            <w:tcW w:w="680" w:type="dxa"/>
            <w:vAlign w:val="bottom"/>
            <w:tcBorders>
              <w:bottom w:val="single" w:sz="8" w:color="2AD2C8"/>
            </w:tcBorders>
            <w:vMerge w:val="continue"/>
            <w:shd w:val="clear" w:color="auto" w:fill="2AD2C8"/>
          </w:tcPr>
          <w:p>
            <w:pPr>
              <w:spacing w:after="0"/>
              <w:rPr>
                <w:sz w:val="11"/>
                <w:szCs w:val="11"/>
                <w:color w:val="auto"/>
              </w:rPr>
            </w:pPr>
          </w:p>
        </w:tc>
        <w:tc>
          <w:tcPr>
            <w:tcW w:w="1320" w:type="dxa"/>
            <w:vAlign w:val="bottom"/>
            <w:tcBorders>
              <w:bottom w:val="single" w:sz="8" w:color="2AD2C8"/>
              <w:right w:val="single" w:sz="8" w:color="auto"/>
            </w:tcBorders>
            <w:vMerge w:val="continue"/>
            <w:shd w:val="clear" w:color="auto" w:fill="2AD2C8"/>
          </w:tcPr>
          <w:p>
            <w:pPr>
              <w:spacing w:after="0"/>
              <w:rPr>
                <w:sz w:val="11"/>
                <w:szCs w:val="11"/>
                <w:color w:val="auto"/>
              </w:rPr>
            </w:pPr>
          </w:p>
        </w:tc>
        <w:tc>
          <w:tcPr>
            <w:tcW w:w="1240" w:type="dxa"/>
            <w:vAlign w:val="bottom"/>
            <w:tcBorders>
              <w:bottom w:val="single" w:sz="8" w:color="2AD2C8"/>
              <w:right w:val="single" w:sz="8" w:color="auto"/>
            </w:tcBorders>
            <w:vMerge w:val="continue"/>
            <w:shd w:val="clear" w:color="auto" w:fill="2AD2C8"/>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Borders>
              <w:top w:val="single" w:sz="8" w:color="auto"/>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i w:val="1"/>
                <w:iCs w:val="1"/>
                <w:color w:val="auto"/>
              </w:rPr>
              <w:t>Users</w:t>
            </w:r>
          </w:p>
        </w:tc>
        <w:tc>
          <w:tcPr>
            <w:tcW w:w="9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Users (millions)</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13.4</w:t>
            </w:r>
          </w:p>
        </w:tc>
        <w:tc>
          <w:tcPr>
            <w:tcW w:w="1020" w:type="dxa"/>
            <w:vAlign w:val="bottom"/>
          </w:tcPr>
          <w:p>
            <w:pPr>
              <w:jc w:val="right"/>
              <w:ind w:right="293"/>
              <w:spacing w:after="0"/>
              <w:rPr>
                <w:sz w:val="20"/>
                <w:szCs w:val="20"/>
                <w:color w:val="auto"/>
              </w:rPr>
            </w:pPr>
            <w:r>
              <w:rPr>
                <w:rFonts w:ascii="Calibri" w:cs="Calibri" w:eastAsia="Calibri" w:hAnsi="Calibri"/>
                <w:sz w:val="13"/>
                <w:szCs w:val="13"/>
                <w:color w:val="auto"/>
              </w:rPr>
              <w:t>15.9</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16.6</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4.5%</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23.7%</w:t>
            </w:r>
          </w:p>
        </w:tc>
        <w:tc>
          <w:tcPr>
            <w:tcW w:w="680" w:type="dxa"/>
            <w:vAlign w:val="bottom"/>
          </w:tcPr>
          <w:p>
            <w:pPr>
              <w:jc w:val="center"/>
              <w:ind w:left="93"/>
              <w:spacing w:after="0"/>
              <w:rPr>
                <w:sz w:val="20"/>
                <w:szCs w:val="20"/>
                <w:color w:val="auto"/>
              </w:rPr>
            </w:pPr>
            <w:r>
              <w:rPr>
                <w:rFonts w:ascii="Calibri" w:cs="Calibri" w:eastAsia="Calibri" w:hAnsi="Calibri"/>
                <w:sz w:val="13"/>
                <w:szCs w:val="13"/>
                <w:color w:val="auto"/>
              </w:rPr>
              <w:t>13.4</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16.6</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23.7%</w:t>
            </w:r>
          </w:p>
        </w:tc>
        <w:tc>
          <w:tcPr>
            <w:tcW w:w="0" w:type="dxa"/>
            <w:vAlign w:val="bottom"/>
          </w:tcPr>
          <w:p>
            <w:pPr>
              <w:spacing w:after="0"/>
              <w:rPr>
                <w:sz w:val="1"/>
                <w:szCs w:val="1"/>
                <w:color w:val="auto"/>
              </w:rPr>
            </w:pPr>
          </w:p>
        </w:tc>
      </w:tr>
      <w:tr>
        <w:trPr>
          <w:trHeight w:val="246"/>
        </w:trPr>
        <w:tc>
          <w:tcPr>
            <w:tcW w:w="3080" w:type="dxa"/>
            <w:vAlign w:val="bottom"/>
            <w:tcBorders>
              <w:left w:val="single" w:sz="8" w:color="auto"/>
              <w:right w:val="single" w:sz="8" w:color="auto"/>
            </w:tcBorders>
          </w:tcPr>
          <w:p>
            <w:pPr>
              <w:ind w:left="60"/>
              <w:spacing w:after="0" w:line="246" w:lineRule="exact"/>
              <w:rPr>
                <w:sz w:val="20"/>
                <w:szCs w:val="20"/>
                <w:color w:val="auto"/>
              </w:rPr>
            </w:pPr>
            <w:r>
              <w:rPr>
                <w:rFonts w:ascii="Calibri" w:cs="Calibri" w:eastAsia="Calibri" w:hAnsi="Calibri"/>
                <w:sz w:val="13"/>
                <w:szCs w:val="13"/>
                <w:color w:val="auto"/>
              </w:rPr>
              <w:t xml:space="preserve">Monthly Actve Users (MAU) (millions) </w:t>
            </w:r>
            <w:r>
              <w:rPr>
                <w:rFonts w:ascii="Calibri" w:cs="Calibri" w:eastAsia="Calibri" w:hAnsi="Calibri"/>
                <w:sz w:val="22"/>
                <w:szCs w:val="22"/>
                <w:color w:val="auto"/>
                <w:vertAlign w:val="superscript"/>
              </w:rPr>
              <w:t>(1)</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6"/>
              </w:rPr>
              <w:t>9.8</w:t>
            </w:r>
          </w:p>
        </w:tc>
        <w:tc>
          <w:tcPr>
            <w:tcW w:w="1020" w:type="dxa"/>
            <w:vAlign w:val="bottom"/>
          </w:tcPr>
          <w:p>
            <w:pPr>
              <w:jc w:val="right"/>
              <w:ind w:right="293"/>
              <w:spacing w:after="0"/>
              <w:rPr>
                <w:sz w:val="20"/>
                <w:szCs w:val="20"/>
                <w:color w:val="auto"/>
              </w:rPr>
            </w:pPr>
            <w:r>
              <w:rPr>
                <w:rFonts w:ascii="Calibri" w:cs="Calibri" w:eastAsia="Calibri" w:hAnsi="Calibri"/>
                <w:sz w:val="13"/>
                <w:szCs w:val="13"/>
                <w:color w:val="auto"/>
              </w:rPr>
              <w:t>12.3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13.0</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5.9%</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32.5%</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9.8</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13.0</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32.5%</w:t>
            </w:r>
          </w:p>
        </w:tc>
        <w:tc>
          <w:tcPr>
            <w:tcW w:w="0" w:type="dxa"/>
            <w:vAlign w:val="bottom"/>
          </w:tcPr>
          <w:p>
            <w:pPr>
              <w:spacing w:after="0"/>
              <w:rPr>
                <w:sz w:val="1"/>
                <w:szCs w:val="1"/>
                <w:color w:val="auto"/>
              </w:rPr>
            </w:pPr>
          </w:p>
        </w:tc>
      </w:tr>
      <w:tr>
        <w:trPr>
          <w:trHeight w:val="15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Fee Income Generatng MAU (millions)</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6"/>
              </w:rPr>
              <w:t>6.5</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9.5</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10.4</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9.3%</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60.1%</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6.5</w:t>
            </w:r>
          </w:p>
        </w:tc>
        <w:tc>
          <w:tcPr>
            <w:tcW w:w="1320" w:type="dxa"/>
            <w:vAlign w:val="bottom"/>
            <w:tcBorders>
              <w:right w:val="single" w:sz="8" w:color="auto"/>
            </w:tcBorders>
          </w:tcPr>
          <w:p>
            <w:pPr>
              <w:jc w:val="right"/>
              <w:ind w:right="433"/>
              <w:spacing w:after="0"/>
              <w:rPr>
                <w:sz w:val="20"/>
                <w:szCs w:val="20"/>
                <w:color w:val="auto"/>
              </w:rPr>
            </w:pPr>
            <w:r>
              <w:rPr>
                <w:rFonts w:ascii="Calibri" w:cs="Calibri" w:eastAsia="Calibri" w:hAnsi="Calibri"/>
                <w:sz w:val="13"/>
                <w:szCs w:val="13"/>
                <w:color w:val="auto"/>
              </w:rPr>
              <w:t>10.4</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60.1%</w:t>
            </w:r>
          </w:p>
        </w:tc>
        <w:tc>
          <w:tcPr>
            <w:tcW w:w="0" w:type="dxa"/>
            <w:vAlign w:val="bottom"/>
          </w:tcPr>
          <w:p>
            <w:pPr>
              <w:spacing w:after="0"/>
              <w:rPr>
                <w:sz w:val="1"/>
                <w:szCs w:val="1"/>
                <w:color w:val="auto"/>
              </w:rPr>
            </w:pPr>
          </w:p>
        </w:tc>
      </w:tr>
      <w:tr>
        <w:trPr>
          <w:trHeight w:val="22"/>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Engagement</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 Transactons (millions)</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794.6</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1,400.7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1,664.2</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18.8%</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109.4%</w:t>
            </w:r>
          </w:p>
        </w:tc>
        <w:tc>
          <w:tcPr>
            <w:tcW w:w="680" w:type="dxa"/>
            <w:vAlign w:val="bottom"/>
          </w:tcPr>
          <w:p>
            <w:pPr>
              <w:ind w:left="200"/>
              <w:spacing w:after="0"/>
              <w:rPr>
                <w:sz w:val="20"/>
                <w:szCs w:val="20"/>
                <w:color w:val="auto"/>
              </w:rPr>
            </w:pPr>
            <w:r>
              <w:rPr>
                <w:rFonts w:ascii="Calibri" w:cs="Calibri" w:eastAsia="Calibri" w:hAnsi="Calibri"/>
                <w:sz w:val="13"/>
                <w:szCs w:val="13"/>
                <w:color w:val="auto"/>
              </w:rPr>
              <w:t>1,890.1</w:t>
            </w:r>
          </w:p>
        </w:tc>
        <w:tc>
          <w:tcPr>
            <w:tcW w:w="132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3"/>
                <w:szCs w:val="13"/>
                <w:color w:val="auto"/>
              </w:rPr>
              <w:t>4,192.6</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121.8%</w:t>
            </w:r>
          </w:p>
        </w:tc>
        <w:tc>
          <w:tcPr>
            <w:tcW w:w="0" w:type="dxa"/>
            <w:vAlign w:val="bottom"/>
          </w:tcPr>
          <w:p>
            <w:pPr>
              <w:spacing w:after="0"/>
              <w:rPr>
                <w:sz w:val="1"/>
                <w:szCs w:val="1"/>
                <w:color w:val="auto"/>
              </w:rPr>
            </w:pPr>
          </w:p>
        </w:tc>
      </w:tr>
      <w:tr>
        <w:trPr>
          <w:trHeight w:val="22"/>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i w:val="1"/>
                <w:iCs w:val="1"/>
                <w:color w:val="auto"/>
              </w:rPr>
              <w:t>Experience</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NPS (2)</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76.0</w:t>
            </w:r>
          </w:p>
        </w:tc>
        <w:tc>
          <w:tcPr>
            <w:tcW w:w="1020" w:type="dxa"/>
            <w:vAlign w:val="bottom"/>
          </w:tcPr>
          <w:p>
            <w:pPr>
              <w:jc w:val="right"/>
              <w:ind w:right="293"/>
              <w:spacing w:after="0"/>
              <w:rPr>
                <w:sz w:val="20"/>
                <w:szCs w:val="20"/>
                <w:color w:val="auto"/>
              </w:rPr>
            </w:pPr>
            <w:r>
              <w:rPr>
                <w:rFonts w:ascii="Calibri" w:cs="Calibri" w:eastAsia="Calibri" w:hAnsi="Calibri"/>
                <w:sz w:val="13"/>
                <w:szCs w:val="13"/>
                <w:color w:val="auto"/>
              </w:rPr>
              <w:t>76.0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74.0</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-2.0%</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-2.0%</w:t>
            </w:r>
          </w:p>
        </w:tc>
        <w:tc>
          <w:tcPr>
            <w:tcW w:w="680" w:type="dxa"/>
            <w:vAlign w:val="bottom"/>
          </w:tcPr>
          <w:p>
            <w:pPr>
              <w:jc w:val="center"/>
              <w:ind w:left="93"/>
              <w:spacing w:after="0"/>
              <w:rPr>
                <w:sz w:val="20"/>
                <w:szCs w:val="20"/>
                <w:color w:val="auto"/>
              </w:rPr>
            </w:pPr>
            <w:r>
              <w:rPr>
                <w:rFonts w:ascii="Calibri" w:cs="Calibri" w:eastAsia="Calibri" w:hAnsi="Calibri"/>
                <w:sz w:val="13"/>
                <w:szCs w:val="13"/>
                <w:color w:val="auto"/>
              </w:rPr>
              <w:t>76.0</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74.0</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-2.0%</w:t>
            </w:r>
          </w:p>
        </w:tc>
        <w:tc>
          <w:tcPr>
            <w:tcW w:w="0" w:type="dxa"/>
            <w:vAlign w:val="bottom"/>
          </w:tcPr>
          <w:p>
            <w:pPr>
              <w:spacing w:after="0"/>
              <w:rPr>
                <w:sz w:val="1"/>
                <w:szCs w:val="1"/>
                <w:color w:val="auto"/>
              </w:rPr>
            </w:pPr>
          </w:p>
        </w:tc>
      </w:tr>
      <w:tr>
        <w:trPr>
          <w:trHeight w:val="22"/>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080" w:type="dxa"/>
            <w:vAlign w:val="bottom"/>
            <w:tcBorders>
              <w:left w:val="single" w:sz="8" w:color="auto"/>
              <w:right w:val="single" w:sz="8" w:color="auto"/>
            </w:tcBorders>
          </w:tcPr>
          <w:p>
            <w:pPr>
              <w:ind w:left="60"/>
              <w:spacing w:after="0" w:line="218" w:lineRule="exact"/>
              <w:rPr>
                <w:sz w:val="20"/>
                <w:szCs w:val="20"/>
                <w:color w:val="auto"/>
              </w:rPr>
            </w:pPr>
            <w:r>
              <w:rPr>
                <w:rFonts w:ascii="Calibri" w:cs="Calibri" w:eastAsia="Calibri" w:hAnsi="Calibri"/>
                <w:sz w:val="13"/>
                <w:szCs w:val="13"/>
                <w:b w:val="1"/>
                <w:bCs w:val="1"/>
                <w:i w:val="1"/>
                <w:iCs w:val="1"/>
                <w:color w:val="auto"/>
              </w:rPr>
              <w:t xml:space="preserve">Metric per Monthly Actve User (MAU) </w:t>
            </w:r>
            <w:r>
              <w:rPr>
                <w:rFonts w:ascii="Calibri" w:cs="Calibri" w:eastAsia="Calibri" w:hAnsi="Calibri"/>
                <w:sz w:val="22"/>
                <w:szCs w:val="22"/>
                <w:b w:val="1"/>
                <w:bCs w:val="1"/>
                <w:i w:val="1"/>
                <w:iCs w:val="1"/>
                <w:color w:val="auto"/>
                <w:vertAlign w:val="superscript"/>
              </w:rPr>
              <w:t>(3)</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 Monthly Transactons / MAU</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29.1</w:t>
            </w:r>
          </w:p>
        </w:tc>
        <w:tc>
          <w:tcPr>
            <w:tcW w:w="1020" w:type="dxa"/>
            <w:vAlign w:val="bottom"/>
          </w:tcPr>
          <w:p>
            <w:pPr>
              <w:jc w:val="right"/>
              <w:ind w:right="293"/>
              <w:spacing w:after="0"/>
              <w:rPr>
                <w:sz w:val="20"/>
                <w:szCs w:val="20"/>
                <w:color w:val="auto"/>
              </w:rPr>
            </w:pPr>
            <w:r>
              <w:rPr>
                <w:rFonts w:ascii="Calibri" w:cs="Calibri" w:eastAsia="Calibri" w:hAnsi="Calibri"/>
                <w:sz w:val="13"/>
                <w:szCs w:val="13"/>
                <w:color w:val="auto"/>
              </w:rPr>
              <w:t>40.0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44.1</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10.3%</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51.9%</w:t>
            </w:r>
          </w:p>
        </w:tc>
        <w:tc>
          <w:tcPr>
            <w:tcW w:w="680" w:type="dxa"/>
            <w:vAlign w:val="bottom"/>
          </w:tcPr>
          <w:p>
            <w:pPr>
              <w:jc w:val="center"/>
              <w:ind w:left="93"/>
              <w:spacing w:after="0"/>
              <w:rPr>
                <w:sz w:val="20"/>
                <w:szCs w:val="20"/>
                <w:color w:val="auto"/>
              </w:rPr>
            </w:pPr>
            <w:r>
              <w:rPr>
                <w:rFonts w:ascii="Calibri" w:cs="Calibri" w:eastAsia="Calibri" w:hAnsi="Calibri"/>
                <w:sz w:val="13"/>
                <w:szCs w:val="13"/>
                <w:color w:val="auto"/>
              </w:rPr>
              <w:t>29.1</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44.1</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51.9%</w:t>
            </w: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 Average Functonalites / MAU</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6"/>
              </w:rPr>
              <w:t>2.0</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2.3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2.4</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5.7%</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22.4%</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2.0</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6"/>
              </w:rPr>
              <w:t>2.4</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22.4%</w:t>
            </w: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Monthly Revenues / MAU</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6"/>
              </w:rPr>
              <w:t>2.9</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4.1</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4.9</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18.4%</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69.8%</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2.9</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6"/>
              </w:rPr>
              <w:t>4.9</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69.8%</w:t>
            </w: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Monthly Expenses / MAU</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6"/>
              </w:rPr>
              <w:t>3.8</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4.0</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4.2</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6.0%</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11.7%</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3.8</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6"/>
              </w:rPr>
              <w:t>4.2</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11.7%</w:t>
            </w: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Monthly Cash Cost / MAU</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6"/>
              </w:rPr>
              <w:t>4.3</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4.3</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4.5</w:t>
            </w:r>
          </w:p>
        </w:tc>
        <w:tc>
          <w:tcPr>
            <w:tcW w:w="1000" w:type="dxa"/>
            <w:vAlign w:val="bottom"/>
          </w:tcPr>
          <w:p>
            <w:pPr>
              <w:jc w:val="center"/>
              <w:spacing w:after="0"/>
              <w:rPr>
                <w:sz w:val="20"/>
                <w:szCs w:val="20"/>
                <w:color w:val="auto"/>
              </w:rPr>
            </w:pPr>
            <w:r>
              <w:rPr>
                <w:rFonts w:ascii="Calibri" w:cs="Calibri" w:eastAsia="Calibri" w:hAnsi="Calibri"/>
                <w:sz w:val="13"/>
                <w:szCs w:val="13"/>
                <w:color w:val="auto"/>
              </w:rPr>
              <w:t>4.9%</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3.8%</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4.3</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6"/>
              </w:rPr>
              <w:t>4.5</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3.8%</w:t>
            </w:r>
          </w:p>
        </w:tc>
        <w:tc>
          <w:tcPr>
            <w:tcW w:w="0" w:type="dxa"/>
            <w:vAlign w:val="bottom"/>
          </w:tcPr>
          <w:p>
            <w:pPr>
              <w:spacing w:after="0"/>
              <w:rPr>
                <w:sz w:val="1"/>
                <w:szCs w:val="1"/>
                <w:color w:val="auto"/>
              </w:rPr>
            </w:pPr>
          </w:p>
        </w:tc>
      </w:tr>
      <w:tr>
        <w:trPr>
          <w:trHeight w:val="22"/>
        </w:trPr>
        <w:tc>
          <w:tcPr>
            <w:tcW w:w="3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Drivers Monetzación</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Payments</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TPV (4)</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37.3</w:t>
            </w:r>
          </w:p>
        </w:tc>
        <w:tc>
          <w:tcPr>
            <w:tcW w:w="1020" w:type="dxa"/>
            <w:vAlign w:val="bottom"/>
          </w:tcPr>
          <w:p>
            <w:pPr>
              <w:jc w:val="right"/>
              <w:ind w:right="293"/>
              <w:spacing w:after="0"/>
              <w:rPr>
                <w:sz w:val="20"/>
                <w:szCs w:val="20"/>
                <w:color w:val="auto"/>
              </w:rPr>
            </w:pPr>
            <w:r>
              <w:rPr>
                <w:rFonts w:ascii="Calibri" w:cs="Calibri" w:eastAsia="Calibri" w:hAnsi="Calibri"/>
                <w:sz w:val="13"/>
                <w:szCs w:val="13"/>
                <w:color w:val="auto"/>
              </w:rPr>
              <w:t>62.1</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76.8</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23.7%</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105.9%</w:t>
            </w:r>
          </w:p>
        </w:tc>
        <w:tc>
          <w:tcPr>
            <w:tcW w:w="680" w:type="dxa"/>
            <w:vAlign w:val="bottom"/>
          </w:tcPr>
          <w:p>
            <w:pPr>
              <w:jc w:val="center"/>
              <w:ind w:left="93"/>
              <w:spacing w:after="0"/>
              <w:rPr>
                <w:sz w:val="20"/>
                <w:szCs w:val="20"/>
                <w:color w:val="auto"/>
              </w:rPr>
            </w:pPr>
            <w:r>
              <w:rPr>
                <w:rFonts w:ascii="Calibri" w:cs="Calibri" w:eastAsia="Calibri" w:hAnsi="Calibri"/>
                <w:sz w:val="13"/>
                <w:szCs w:val="13"/>
                <w:color w:val="auto"/>
              </w:rPr>
              <w:t>90.8</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189.3</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108.6%</w:t>
            </w:r>
          </w:p>
        </w:tc>
        <w:tc>
          <w:tcPr>
            <w:tcW w:w="0" w:type="dxa"/>
            <w:vAlign w:val="bottom"/>
          </w:tcPr>
          <w:p>
            <w:pPr>
              <w:spacing w:after="0"/>
              <w:rPr>
                <w:sz w:val="1"/>
                <w:szCs w:val="1"/>
                <w:color w:val="auto"/>
              </w:rPr>
            </w:pPr>
          </w:p>
        </w:tc>
      </w:tr>
      <w:tr>
        <w:trPr>
          <w:trHeight w:val="203"/>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i w:val="1"/>
                <w:iCs w:val="1"/>
                <w:color w:val="auto"/>
              </w:rPr>
              <w:t># Bill Payments transactons (millions)</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10.6</w:t>
            </w:r>
          </w:p>
        </w:tc>
        <w:tc>
          <w:tcPr>
            <w:tcW w:w="1020" w:type="dxa"/>
            <w:vAlign w:val="bottom"/>
          </w:tcPr>
          <w:p>
            <w:pPr>
              <w:jc w:val="right"/>
              <w:ind w:right="293"/>
              <w:spacing w:after="0"/>
              <w:rPr>
                <w:sz w:val="20"/>
                <w:szCs w:val="20"/>
                <w:color w:val="auto"/>
              </w:rPr>
            </w:pPr>
            <w:r>
              <w:rPr>
                <w:rFonts w:ascii="Calibri" w:cs="Calibri" w:eastAsia="Calibri" w:hAnsi="Calibri"/>
                <w:sz w:val="13"/>
                <w:szCs w:val="13"/>
                <w:color w:val="auto"/>
              </w:rPr>
              <w:t>28.6</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5"/>
              </w:rPr>
              <w:t>34.6</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20.7%</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226.7%</w:t>
            </w:r>
          </w:p>
        </w:tc>
        <w:tc>
          <w:tcPr>
            <w:tcW w:w="680" w:type="dxa"/>
            <w:vAlign w:val="bottom"/>
          </w:tcPr>
          <w:p>
            <w:pPr>
              <w:jc w:val="center"/>
              <w:ind w:left="93"/>
              <w:spacing w:after="0"/>
              <w:rPr>
                <w:sz w:val="20"/>
                <w:szCs w:val="20"/>
                <w:color w:val="auto"/>
              </w:rPr>
            </w:pPr>
            <w:r>
              <w:rPr>
                <w:rFonts w:ascii="Calibri" w:cs="Calibri" w:eastAsia="Calibri" w:hAnsi="Calibri"/>
                <w:sz w:val="13"/>
                <w:szCs w:val="13"/>
                <w:color w:val="auto"/>
              </w:rPr>
              <w:t>16.3</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86.7</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430.7%</w:t>
            </w: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Financials</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i w:val="1"/>
                <w:iCs w:val="1"/>
                <w:color w:val="auto"/>
              </w:rPr>
              <w:t># Loans Disbursements (thousands)</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228.4</w:t>
            </w:r>
          </w:p>
        </w:tc>
        <w:tc>
          <w:tcPr>
            <w:tcW w:w="1020" w:type="dxa"/>
            <w:vAlign w:val="bottom"/>
          </w:tcPr>
          <w:p>
            <w:pPr>
              <w:jc w:val="center"/>
              <w:spacing w:after="0"/>
              <w:rPr>
                <w:sz w:val="20"/>
                <w:szCs w:val="20"/>
                <w:color w:val="auto"/>
              </w:rPr>
            </w:pPr>
            <w:r>
              <w:rPr>
                <w:rFonts w:ascii="Calibri" w:cs="Calibri" w:eastAsia="Calibri" w:hAnsi="Calibri"/>
                <w:sz w:val="13"/>
                <w:szCs w:val="13"/>
                <w:color w:val="auto"/>
              </w:rPr>
              <w:t>702.2</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1,294.9</w:t>
            </w:r>
          </w:p>
        </w:tc>
        <w:tc>
          <w:tcPr>
            <w:tcW w:w="1000" w:type="dxa"/>
            <w:vAlign w:val="bottom"/>
          </w:tcPr>
          <w:p>
            <w:pPr>
              <w:jc w:val="center"/>
              <w:spacing w:after="0"/>
              <w:rPr>
                <w:sz w:val="20"/>
                <w:szCs w:val="20"/>
                <w:color w:val="auto"/>
              </w:rPr>
            </w:pPr>
            <w:r>
              <w:rPr>
                <w:rFonts w:ascii="Calibri" w:cs="Calibri" w:eastAsia="Calibri" w:hAnsi="Calibri"/>
                <w:sz w:val="13"/>
                <w:szCs w:val="13"/>
                <w:color w:val="auto"/>
                <w:w w:val="98"/>
              </w:rPr>
              <w:t>84.4%</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466.9%</w:t>
            </w:r>
          </w:p>
        </w:tc>
        <w:tc>
          <w:tcPr>
            <w:tcW w:w="680" w:type="dxa"/>
            <w:vAlign w:val="bottom"/>
          </w:tcPr>
          <w:p>
            <w:pPr>
              <w:jc w:val="center"/>
              <w:ind w:left="73"/>
              <w:spacing w:after="0"/>
              <w:rPr>
                <w:sz w:val="20"/>
                <w:szCs w:val="20"/>
                <w:color w:val="auto"/>
              </w:rPr>
            </w:pPr>
            <w:r>
              <w:rPr>
                <w:rFonts w:ascii="Calibri" w:cs="Calibri" w:eastAsia="Calibri" w:hAnsi="Calibri"/>
                <w:sz w:val="13"/>
                <w:szCs w:val="13"/>
                <w:color w:val="auto"/>
              </w:rPr>
              <w:t>561.1</w:t>
            </w:r>
          </w:p>
        </w:tc>
        <w:tc>
          <w:tcPr>
            <w:tcW w:w="132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3"/>
                <w:szCs w:val="13"/>
                <w:color w:val="auto"/>
              </w:rPr>
              <w:t>2,469.4</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340.1%</w:t>
            </w:r>
          </w:p>
        </w:tc>
        <w:tc>
          <w:tcPr>
            <w:tcW w:w="0" w:type="dxa"/>
            <w:vAlign w:val="bottom"/>
          </w:tcPr>
          <w:p>
            <w:pPr>
              <w:spacing w:after="0"/>
              <w:rPr>
                <w:sz w:val="1"/>
                <w:szCs w:val="1"/>
                <w:color w:val="auto"/>
              </w:rPr>
            </w:pPr>
          </w:p>
        </w:tc>
      </w:tr>
      <w:tr>
        <w:trPr>
          <w:trHeight w:val="189"/>
        </w:trPr>
        <w:tc>
          <w:tcPr>
            <w:tcW w:w="308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Market Place</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tcBorders>
              <w:left w:val="single" w:sz="8" w:color="auto"/>
              <w:bottom w:val="single" w:sz="8" w:color="auto"/>
              <w:right w:val="single" w:sz="8" w:color="auto"/>
            </w:tcBorders>
          </w:tcPr>
          <w:p>
            <w:pPr>
              <w:ind w:left="60"/>
              <w:spacing w:after="0" w:line="238" w:lineRule="exact"/>
              <w:rPr>
                <w:sz w:val="20"/>
                <w:szCs w:val="20"/>
                <w:color w:val="auto"/>
              </w:rPr>
            </w:pPr>
            <w:r>
              <w:rPr>
                <w:rFonts w:ascii="Calibri" w:cs="Calibri" w:eastAsia="Calibri" w:hAnsi="Calibri"/>
                <w:sz w:val="13"/>
                <w:szCs w:val="13"/>
                <w:color w:val="auto"/>
              </w:rPr>
              <w:t xml:space="preserve">GMV </w:t>
            </w:r>
            <w:r>
              <w:rPr>
                <w:rFonts w:ascii="Calibri" w:cs="Calibri" w:eastAsia="Calibri" w:hAnsi="Calibri"/>
                <w:sz w:val="22"/>
                <w:szCs w:val="22"/>
                <w:color w:val="auto"/>
                <w:vertAlign w:val="superscript"/>
              </w:rPr>
              <w:t>(5)</w:t>
            </w:r>
            <w:r>
              <w:rPr>
                <w:rFonts w:ascii="Calibri" w:cs="Calibri" w:eastAsia="Calibri" w:hAnsi="Calibri"/>
                <w:sz w:val="13"/>
                <w:szCs w:val="13"/>
                <w:color w:val="auto"/>
              </w:rPr>
              <w:t xml:space="preserve"> (S/, Millions)</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30.3</w:t>
            </w:r>
          </w:p>
        </w:tc>
        <w:tc>
          <w:tcPr>
            <w:tcW w:w="1020" w:type="dxa"/>
            <w:vAlign w:val="bottom"/>
            <w:tcBorders>
              <w:bottom w:val="single" w:sz="8" w:color="auto"/>
            </w:tcBorders>
          </w:tcPr>
          <w:p>
            <w:pPr>
              <w:jc w:val="right"/>
              <w:ind w:right="293"/>
              <w:spacing w:after="0"/>
              <w:rPr>
                <w:sz w:val="20"/>
                <w:szCs w:val="20"/>
                <w:color w:val="auto"/>
              </w:rPr>
            </w:pPr>
            <w:r>
              <w:rPr>
                <w:rFonts w:ascii="Calibri" w:cs="Calibri" w:eastAsia="Calibri" w:hAnsi="Calibri"/>
                <w:sz w:val="13"/>
                <w:szCs w:val="13"/>
                <w:color w:val="auto"/>
              </w:rPr>
              <w:t>69.6</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112.9</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w w:val="98"/>
              </w:rPr>
              <w:t>62.3%</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272.3%</w:t>
            </w:r>
          </w:p>
        </w:tc>
        <w:tc>
          <w:tcPr>
            <w:tcW w:w="680" w:type="dxa"/>
            <w:vAlign w:val="bottom"/>
            <w:tcBorders>
              <w:bottom w:val="single" w:sz="8" w:color="auto"/>
            </w:tcBorders>
          </w:tcPr>
          <w:p>
            <w:pPr>
              <w:jc w:val="center"/>
              <w:ind w:left="93"/>
              <w:spacing w:after="0"/>
              <w:rPr>
                <w:sz w:val="20"/>
                <w:szCs w:val="20"/>
                <w:color w:val="auto"/>
              </w:rPr>
            </w:pPr>
            <w:r>
              <w:rPr>
                <w:rFonts w:ascii="Calibri" w:cs="Calibri" w:eastAsia="Calibri" w:hAnsi="Calibri"/>
                <w:sz w:val="13"/>
                <w:szCs w:val="13"/>
                <w:color w:val="auto"/>
              </w:rPr>
              <w:t>61.6</w:t>
            </w:r>
          </w:p>
        </w:tc>
        <w:tc>
          <w:tcPr>
            <w:tcW w:w="13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237.1</w:t>
            </w:r>
          </w:p>
        </w:tc>
        <w:tc>
          <w:tcPr>
            <w:tcW w:w="12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284.6%</w:t>
            </w:r>
          </w:p>
        </w:tc>
        <w:tc>
          <w:tcPr>
            <w:tcW w:w="0" w:type="dxa"/>
            <w:vAlign w:val="bottom"/>
          </w:tcPr>
          <w:p>
            <w:pPr>
              <w:spacing w:after="0"/>
              <w:rPr>
                <w:sz w:val="1"/>
                <w:szCs w:val="1"/>
                <w:color w:val="auto"/>
              </w:rPr>
            </w:pPr>
          </w:p>
        </w:tc>
      </w:tr>
    </w:tbl>
    <w:p>
      <w:pPr>
        <w:ind w:left="180" w:hanging="172"/>
        <w:spacing w:after="0" w:line="200" w:lineRule="auto"/>
        <w:tabs>
          <w:tab w:leader="none" w:pos="180" w:val="left"/>
        </w:tabs>
        <w:numPr>
          <w:ilvl w:val="0"/>
          <w:numId w:val="8"/>
        </w:numPr>
        <w:rPr>
          <w:rFonts w:ascii="Calibri" w:cs="Calibri" w:eastAsia="Calibri" w:hAnsi="Calibri"/>
          <w:sz w:val="12"/>
          <w:szCs w:val="12"/>
          <w:color w:val="auto"/>
        </w:rPr>
      </w:pPr>
      <w:r>
        <w:rPr>
          <w:rFonts w:ascii="Calibri" w:cs="Calibri" w:eastAsia="Calibri" w:hAnsi="Calibri"/>
          <w:sz w:val="12"/>
          <w:szCs w:val="12"/>
          <w:color w:val="auto"/>
        </w:rPr>
        <w:t>Yape users that have made at least one transacton over the last month.</w:t>
      </w:r>
    </w:p>
    <w:p>
      <w:pPr>
        <w:ind w:left="180" w:hanging="172"/>
        <w:spacing w:after="0" w:line="221" w:lineRule="auto"/>
        <w:tabs>
          <w:tab w:leader="none" w:pos="180" w:val="left"/>
        </w:tabs>
        <w:numPr>
          <w:ilvl w:val="0"/>
          <w:numId w:val="8"/>
        </w:numPr>
        <w:rPr>
          <w:rFonts w:ascii="Calibri" w:cs="Calibri" w:eastAsia="Calibri" w:hAnsi="Calibri"/>
          <w:sz w:val="12"/>
          <w:szCs w:val="12"/>
          <w:color w:val="auto"/>
        </w:rPr>
      </w:pPr>
      <w:r>
        <w:rPr>
          <w:rFonts w:ascii="Calibri" w:cs="Calibri" w:eastAsia="Calibri" w:hAnsi="Calibri"/>
          <w:sz w:val="12"/>
          <w:szCs w:val="12"/>
          <w:color w:val="auto"/>
        </w:rPr>
        <w:t>Net Promoter Score</w:t>
      </w:r>
    </w:p>
    <w:p>
      <w:pPr>
        <w:ind w:left="180" w:hanging="172"/>
        <w:spacing w:after="0" w:line="221" w:lineRule="auto"/>
        <w:tabs>
          <w:tab w:leader="none" w:pos="180" w:val="left"/>
        </w:tabs>
        <w:numPr>
          <w:ilvl w:val="0"/>
          <w:numId w:val="8"/>
        </w:numPr>
        <w:rPr>
          <w:rFonts w:ascii="Calibri" w:cs="Calibri" w:eastAsia="Calibri" w:hAnsi="Calibri"/>
          <w:sz w:val="12"/>
          <w:szCs w:val="12"/>
          <w:color w:val="auto"/>
        </w:rPr>
      </w:pPr>
      <w:r>
        <w:rPr>
          <w:rFonts w:ascii="Calibri" w:cs="Calibri" w:eastAsia="Calibri" w:hAnsi="Calibri"/>
          <w:sz w:val="12"/>
          <w:szCs w:val="12"/>
          <w:color w:val="auto"/>
        </w:rPr>
        <w:t>Management Figures</w:t>
      </w:r>
    </w:p>
    <w:p>
      <w:pPr>
        <w:ind w:left="180" w:hanging="172"/>
        <w:spacing w:after="0" w:line="221" w:lineRule="auto"/>
        <w:tabs>
          <w:tab w:leader="none" w:pos="180" w:val="left"/>
        </w:tabs>
        <w:numPr>
          <w:ilvl w:val="0"/>
          <w:numId w:val="8"/>
        </w:numPr>
        <w:rPr>
          <w:rFonts w:ascii="Calibri" w:cs="Calibri" w:eastAsia="Calibri" w:hAnsi="Calibri"/>
          <w:sz w:val="12"/>
          <w:szCs w:val="12"/>
          <w:color w:val="auto"/>
        </w:rPr>
      </w:pPr>
      <w:r>
        <w:rPr>
          <w:rFonts w:ascii="Calibri" w:cs="Calibri" w:eastAsia="Calibri" w:hAnsi="Calibri"/>
          <w:sz w:val="12"/>
          <w:szCs w:val="12"/>
          <w:color w:val="auto"/>
        </w:rPr>
        <w:t>Total Payment Volume, includes the following functonalites: Mobile Top-ups, QRs payments, checkout, Yape Businesses and Remitances</w:t>
      </w:r>
    </w:p>
    <w:p>
      <w:pPr>
        <w:ind w:left="180" w:hanging="172"/>
        <w:spacing w:after="0" w:line="221" w:lineRule="auto"/>
        <w:tabs>
          <w:tab w:leader="none" w:pos="180" w:val="left"/>
        </w:tabs>
        <w:numPr>
          <w:ilvl w:val="0"/>
          <w:numId w:val="8"/>
        </w:numPr>
        <w:rPr>
          <w:rFonts w:ascii="Calibri" w:cs="Calibri" w:eastAsia="Calibri" w:hAnsi="Calibri"/>
          <w:sz w:val="12"/>
          <w:szCs w:val="12"/>
          <w:color w:val="auto"/>
        </w:rPr>
      </w:pPr>
      <w:r>
        <w:rPr>
          <w:rFonts w:ascii="Calibri" w:cs="Calibri" w:eastAsia="Calibri" w:hAnsi="Calibri"/>
          <w:sz w:val="12"/>
          <w:szCs w:val="12"/>
          <w:color w:val="auto"/>
        </w:rPr>
        <w:t>Gross Merchant Volume, includes the following functonalites: Yape Promos, Yape tenda, Ticketng, Gaming and Gas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Yape generated total income in 3Q24 of S/ 190 million (+31.3% QoQ and +129.8% YoY), monetzing through its three lines of business:</w:t>
      </w:r>
    </w:p>
    <w:p>
      <w:pPr>
        <w:spacing w:after="0" w:line="217" w:lineRule="exact"/>
        <w:rPr>
          <w:sz w:val="20"/>
          <w:szCs w:val="20"/>
          <w:color w:val="auto"/>
        </w:rPr>
      </w:pPr>
    </w:p>
    <w:p>
      <w:pPr>
        <w:ind w:left="560" w:right="60" w:hanging="228"/>
        <w:spacing w:after="0" w:line="235" w:lineRule="auto"/>
        <w:tabs>
          <w:tab w:leader="none" w:pos="56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Payments</w:t>
      </w:r>
      <w:r>
        <w:rPr>
          <w:rFonts w:ascii="Calibri" w:cs="Calibri" w:eastAsia="Calibri" w:hAnsi="Calibri"/>
          <w:sz w:val="18"/>
          <w:szCs w:val="18"/>
          <w:color w:val="auto"/>
        </w:rPr>
        <w:t>: the main drivers of income are (i) Total Payment Volume (TPV), which reached S/76.8 thousand million in 3Q24 (+23.7% QoQ and +105.9%</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YoY), and (ii) Bill payment transactons, which totaled 34.6 million in 3Q24 (+20.7% QoQ and +3.3 tmes YoY).</w:t>
      </w:r>
    </w:p>
    <w:p>
      <w:pPr>
        <w:spacing w:after="0" w:line="1" w:lineRule="exact"/>
        <w:rPr>
          <w:rFonts w:ascii="Calibri" w:cs="Calibri" w:eastAsia="Calibri" w:hAnsi="Calibri"/>
          <w:sz w:val="18"/>
          <w:szCs w:val="18"/>
          <w:color w:val="auto"/>
        </w:rPr>
      </w:pPr>
    </w:p>
    <w:p>
      <w:pPr>
        <w:ind w:left="560" w:right="260" w:hanging="228"/>
        <w:spacing w:after="0" w:line="235" w:lineRule="auto"/>
        <w:tabs>
          <w:tab w:leader="none" w:pos="56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Financial: </w:t>
      </w:r>
      <w:r>
        <w:rPr>
          <w:rFonts w:ascii="Calibri" w:cs="Calibri" w:eastAsia="Calibri" w:hAnsi="Calibri"/>
          <w:sz w:val="18"/>
          <w:szCs w:val="18"/>
          <w:color w:val="auto"/>
        </w:rPr>
        <w:t>excluding foatng (income earned on funds transacted through Yape that are held in BCP), the main driver of monetzaton is Yape loans,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which registered 1,294.9 thousand disbursements in 3Q24 (+84.4 QoQ and +5.7 tmes YoY).</w:t>
      </w:r>
    </w:p>
    <w:p>
      <w:pPr>
        <w:spacing w:after="0" w:line="1" w:lineRule="exact"/>
        <w:rPr>
          <w:rFonts w:ascii="Calibri" w:cs="Calibri" w:eastAsia="Calibri" w:hAnsi="Calibri"/>
          <w:sz w:val="18"/>
          <w:szCs w:val="18"/>
          <w:color w:val="auto"/>
        </w:rPr>
      </w:pPr>
    </w:p>
    <w:p>
      <w:pPr>
        <w:ind w:left="560" w:right="300" w:hanging="228"/>
        <w:spacing w:after="0" w:line="235" w:lineRule="auto"/>
        <w:tabs>
          <w:tab w:leader="none" w:pos="56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Marketplace</w:t>
      </w:r>
      <w:r>
        <w:rPr>
          <w:rFonts w:ascii="Calibri" w:cs="Calibri" w:eastAsia="Calibri" w:hAnsi="Calibri"/>
          <w:sz w:val="18"/>
          <w:szCs w:val="18"/>
          <w:color w:val="auto"/>
        </w:rPr>
        <w:t>: Yape monetzes mainly through the Gross Market Volume transacted, which stood at S/112.9 million in 3Q24 (+50.5% QoQ and +3.7</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tmes YoY).</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15" w:name="page16"/>
    <w:bookmarkEnd w:id="15"/>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7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73723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356"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Credicorp’s Strategy Update</w:t>
      </w:r>
    </w:p>
    <w:p>
      <w:pPr>
        <w:spacing w:after="0" w:line="1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Yape’s Main Financial KPIs </w:t>
      </w:r>
      <w:r>
        <w:rPr>
          <w:rFonts w:ascii="Calibri" w:cs="Calibri" w:eastAsia="Calibri" w:hAnsi="Calibri"/>
          <w:sz w:val="29"/>
          <w:szCs w:val="29"/>
          <w:b w:val="1"/>
          <w:bCs w:val="1"/>
          <w:color w:val="auto"/>
          <w:vertAlign w:val="superscript"/>
        </w:rPr>
        <w:t>(1)</w:t>
      </w:r>
    </w:p>
    <w:tbl>
      <w:tblPr>
        <w:tblLayout w:type="fixed"/>
        <w:tblInd w:w="10" w:type="dxa"/>
        <w:tblCellMar>
          <w:top w:w="0" w:type="dxa"/>
          <w:left w:w="0" w:type="dxa"/>
          <w:bottom w:w="0" w:type="dxa"/>
          <w:right w:w="0" w:type="dxa"/>
        </w:tblCellMar>
      </w:tblPr>
      <w:tr>
        <w:trPr>
          <w:trHeight w:val="161"/>
        </w:trPr>
        <w:tc>
          <w:tcPr>
            <w:tcW w:w="2820" w:type="dxa"/>
            <w:vAlign w:val="bottom"/>
            <w:tcBorders>
              <w:top w:val="single" w:sz="8" w:color="auto"/>
              <w:left w:val="single" w:sz="8" w:color="auto"/>
              <w:right w:val="single" w:sz="8" w:color="auto"/>
            </w:tcBorders>
            <w:vMerge w:val="restart"/>
            <w:shd w:val="clear" w:color="auto" w:fill="2AD2C8"/>
          </w:tcPr>
          <w:p>
            <w:pPr>
              <w:ind w:left="60"/>
              <w:spacing w:after="0"/>
              <w:rPr>
                <w:sz w:val="20"/>
                <w:szCs w:val="20"/>
                <w:color w:val="auto"/>
              </w:rPr>
            </w:pPr>
            <w:r>
              <w:rPr>
                <w:rFonts w:ascii="Calibri" w:cs="Calibri" w:eastAsia="Calibri" w:hAnsi="Calibri"/>
                <w:sz w:val="13"/>
                <w:szCs w:val="13"/>
                <w:b w:val="1"/>
                <w:bCs w:val="1"/>
                <w:i w:val="1"/>
                <w:iCs w:val="1"/>
                <w:color w:val="FFFFFF"/>
              </w:rPr>
              <w:t>Financial KPIs</w:t>
            </w:r>
          </w:p>
        </w:tc>
        <w:tc>
          <w:tcPr>
            <w:tcW w:w="240" w:type="dxa"/>
            <w:vAlign w:val="bottom"/>
            <w:tcBorders>
              <w:top w:val="single" w:sz="8" w:color="auto"/>
            </w:tcBorders>
            <w:shd w:val="clear" w:color="auto" w:fill="2AD2C8"/>
          </w:tcPr>
          <w:p>
            <w:pPr>
              <w:spacing w:after="0"/>
              <w:rPr>
                <w:sz w:val="13"/>
                <w:szCs w:val="13"/>
                <w:color w:val="auto"/>
              </w:rPr>
            </w:pPr>
          </w:p>
        </w:tc>
        <w:tc>
          <w:tcPr>
            <w:tcW w:w="880" w:type="dxa"/>
            <w:vAlign w:val="bottom"/>
            <w:tcBorders>
              <w:top w:val="single" w:sz="8" w:color="auto"/>
            </w:tcBorders>
            <w:shd w:val="clear" w:color="auto" w:fill="2AD2C8"/>
          </w:tcPr>
          <w:p>
            <w:pPr>
              <w:spacing w:after="0"/>
              <w:rPr>
                <w:sz w:val="13"/>
                <w:szCs w:val="13"/>
                <w:color w:val="auto"/>
              </w:rPr>
            </w:pPr>
          </w:p>
        </w:tc>
        <w:tc>
          <w:tcPr>
            <w:tcW w:w="720" w:type="dxa"/>
            <w:vAlign w:val="bottom"/>
            <w:tcBorders>
              <w:top w:val="single" w:sz="8" w:color="auto"/>
            </w:tcBorders>
            <w:shd w:val="clear" w:color="auto" w:fill="2AD2C8"/>
          </w:tcPr>
          <w:p>
            <w:pPr>
              <w:spacing w:after="0"/>
              <w:rPr>
                <w:sz w:val="13"/>
                <w:szCs w:val="13"/>
                <w:color w:val="auto"/>
              </w:rPr>
            </w:pPr>
          </w:p>
        </w:tc>
        <w:tc>
          <w:tcPr>
            <w:tcW w:w="260" w:type="dxa"/>
            <w:vAlign w:val="bottom"/>
            <w:tcBorders>
              <w:top w:val="single" w:sz="8" w:color="auto"/>
            </w:tcBorders>
            <w:shd w:val="clear" w:color="auto" w:fill="2AD2C8"/>
          </w:tcPr>
          <w:p>
            <w:pPr>
              <w:spacing w:after="0"/>
              <w:rPr>
                <w:sz w:val="13"/>
                <w:szCs w:val="13"/>
                <w:color w:val="auto"/>
              </w:rPr>
            </w:pPr>
          </w:p>
        </w:tc>
        <w:tc>
          <w:tcPr>
            <w:tcW w:w="660" w:type="dxa"/>
            <w:vAlign w:val="bottom"/>
            <w:tcBorders>
              <w:top w:val="single" w:sz="8" w:color="auto"/>
              <w:right w:val="single" w:sz="8" w:color="auto"/>
            </w:tcBorders>
            <w:shd w:val="clear" w:color="auto" w:fill="2AD2C8"/>
          </w:tcPr>
          <w:p>
            <w:pPr>
              <w:spacing w:after="0"/>
              <w:rPr>
                <w:sz w:val="13"/>
                <w:szCs w:val="13"/>
                <w:color w:val="auto"/>
              </w:rPr>
            </w:pPr>
          </w:p>
        </w:tc>
        <w:tc>
          <w:tcPr>
            <w:tcW w:w="1880" w:type="dxa"/>
            <w:vAlign w:val="bottom"/>
            <w:tcBorders>
              <w:top w:val="single" w:sz="8" w:color="auto"/>
              <w:right w:val="single" w:sz="8" w:color="auto"/>
            </w:tcBorders>
            <w:gridSpan w:val="2"/>
            <w:shd w:val="clear" w:color="auto" w:fill="2AD2C8"/>
          </w:tcPr>
          <w:p>
            <w:pPr>
              <w:ind w:left="660"/>
              <w:spacing w:after="0"/>
              <w:rPr>
                <w:sz w:val="20"/>
                <w:szCs w:val="20"/>
                <w:color w:val="auto"/>
              </w:rPr>
            </w:pPr>
            <w:r>
              <w:rPr>
                <w:rFonts w:ascii="Calibri" w:cs="Calibri" w:eastAsia="Calibri" w:hAnsi="Calibri"/>
                <w:sz w:val="13"/>
                <w:szCs w:val="13"/>
                <w:b w:val="1"/>
                <w:bCs w:val="1"/>
                <w:color w:val="FFFFFF"/>
              </w:rPr>
              <w:t>Change %</w:t>
            </w:r>
          </w:p>
        </w:tc>
        <w:tc>
          <w:tcPr>
            <w:tcW w:w="2000" w:type="dxa"/>
            <w:vAlign w:val="bottom"/>
            <w:tcBorders>
              <w:top w:val="single" w:sz="8" w:color="auto"/>
            </w:tcBorders>
            <w:shd w:val="clear" w:color="auto" w:fill="2AD2C8"/>
          </w:tcPr>
          <w:p>
            <w:pPr>
              <w:jc w:val="right"/>
              <w:ind w:right="13"/>
              <w:spacing w:after="0"/>
              <w:rPr>
                <w:sz w:val="20"/>
                <w:szCs w:val="20"/>
                <w:color w:val="auto"/>
              </w:rPr>
            </w:pPr>
            <w:r>
              <w:rPr>
                <w:rFonts w:ascii="Calibri" w:cs="Calibri" w:eastAsia="Calibri" w:hAnsi="Calibri"/>
                <w:sz w:val="13"/>
                <w:szCs w:val="13"/>
                <w:b w:val="1"/>
                <w:bCs w:val="1"/>
                <w:color w:val="FFFFFF"/>
              </w:rPr>
              <w:t>Up</w:t>
            </w:r>
          </w:p>
        </w:tc>
        <w:tc>
          <w:tcPr>
            <w:tcW w:w="660" w:type="dxa"/>
            <w:vAlign w:val="bottom"/>
            <w:tcBorders>
              <w:top w:val="single" w:sz="8" w:color="auto"/>
              <w:right w:val="single" w:sz="8" w:color="auto"/>
            </w:tcBorders>
            <w:shd w:val="clear" w:color="auto" w:fill="2AD2C8"/>
          </w:tcPr>
          <w:p>
            <w:pPr>
              <w:spacing w:after="0"/>
              <w:rPr>
                <w:sz w:val="13"/>
                <w:szCs w:val="13"/>
                <w:color w:val="auto"/>
              </w:rPr>
            </w:pPr>
          </w:p>
        </w:tc>
        <w:tc>
          <w:tcPr>
            <w:tcW w:w="1120" w:type="dxa"/>
            <w:vAlign w:val="bottom"/>
            <w:tcBorders>
              <w:top w:val="single" w:sz="8" w:color="auto"/>
              <w:right w:val="single" w:sz="8" w:color="auto"/>
            </w:tcBorders>
            <w:shd w:val="clear" w:color="auto" w:fill="2AD2C8"/>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20" w:type="dxa"/>
            <w:vAlign w:val="bottom"/>
            <w:tcBorders>
              <w:left w:val="single" w:sz="8" w:color="auto"/>
              <w:right w:val="single" w:sz="8" w:color="auto"/>
            </w:tcBorders>
            <w:vMerge w:val="continue"/>
            <w:shd w:val="clear" w:color="auto" w:fill="2AD2C8"/>
          </w:tcPr>
          <w:p>
            <w:pPr>
              <w:spacing w:after="0"/>
              <w:rPr>
                <w:sz w:val="7"/>
                <w:szCs w:val="7"/>
                <w:color w:val="auto"/>
              </w:rPr>
            </w:pPr>
          </w:p>
        </w:tc>
        <w:tc>
          <w:tcPr>
            <w:tcW w:w="240" w:type="dxa"/>
            <w:vAlign w:val="bottom"/>
            <w:shd w:val="clear" w:color="auto" w:fill="2AD2C8"/>
          </w:tcPr>
          <w:p>
            <w:pPr>
              <w:spacing w:after="0"/>
              <w:rPr>
                <w:sz w:val="7"/>
                <w:szCs w:val="7"/>
                <w:color w:val="auto"/>
              </w:rPr>
            </w:pPr>
          </w:p>
        </w:tc>
        <w:tc>
          <w:tcPr>
            <w:tcW w:w="880" w:type="dxa"/>
            <w:vAlign w:val="bottom"/>
            <w:shd w:val="clear" w:color="auto" w:fill="2AD2C8"/>
          </w:tcPr>
          <w:p>
            <w:pPr>
              <w:spacing w:after="0"/>
              <w:rPr>
                <w:sz w:val="7"/>
                <w:szCs w:val="7"/>
                <w:color w:val="auto"/>
              </w:rPr>
            </w:pPr>
          </w:p>
        </w:tc>
        <w:tc>
          <w:tcPr>
            <w:tcW w:w="720" w:type="dxa"/>
            <w:vAlign w:val="bottom"/>
            <w:vMerge w:val="restart"/>
            <w:shd w:val="clear" w:color="auto" w:fill="2AD2C8"/>
          </w:tcPr>
          <w:p>
            <w:pPr>
              <w:jc w:val="right"/>
              <w:ind w:right="93"/>
              <w:spacing w:after="0"/>
              <w:rPr>
                <w:sz w:val="20"/>
                <w:szCs w:val="20"/>
                <w:color w:val="auto"/>
              </w:rPr>
            </w:pPr>
            <w:r>
              <w:rPr>
                <w:rFonts w:ascii="Calibri" w:cs="Calibri" w:eastAsia="Calibri" w:hAnsi="Calibri"/>
                <w:sz w:val="13"/>
                <w:szCs w:val="13"/>
                <w:b w:val="1"/>
                <w:bCs w:val="1"/>
                <w:color w:val="FFFFFF"/>
              </w:rPr>
              <w:t>Quarter</w:t>
            </w:r>
          </w:p>
        </w:tc>
        <w:tc>
          <w:tcPr>
            <w:tcW w:w="260" w:type="dxa"/>
            <w:vAlign w:val="bottom"/>
            <w:shd w:val="clear" w:color="auto" w:fill="2AD2C8"/>
          </w:tcPr>
          <w:p>
            <w:pPr>
              <w:spacing w:after="0"/>
              <w:rPr>
                <w:sz w:val="7"/>
                <w:szCs w:val="7"/>
                <w:color w:val="auto"/>
              </w:rPr>
            </w:pPr>
          </w:p>
        </w:tc>
        <w:tc>
          <w:tcPr>
            <w:tcW w:w="660" w:type="dxa"/>
            <w:vAlign w:val="bottom"/>
            <w:tcBorders>
              <w:right w:val="single" w:sz="8" w:color="auto"/>
            </w:tcBorders>
            <w:shd w:val="clear" w:color="auto" w:fill="2AD2C8"/>
          </w:tcPr>
          <w:p>
            <w:pPr>
              <w:spacing w:after="0"/>
              <w:rPr>
                <w:sz w:val="7"/>
                <w:szCs w:val="7"/>
                <w:color w:val="auto"/>
              </w:rPr>
            </w:pPr>
          </w:p>
        </w:tc>
        <w:tc>
          <w:tcPr>
            <w:tcW w:w="940" w:type="dxa"/>
            <w:vAlign w:val="bottom"/>
            <w:vMerge w:val="restart"/>
            <w:shd w:val="clear" w:color="auto" w:fill="2AD2C8"/>
          </w:tcPr>
          <w:p>
            <w:pPr>
              <w:jc w:val="right"/>
              <w:ind w:right="93"/>
              <w:spacing w:after="0"/>
              <w:rPr>
                <w:sz w:val="20"/>
                <w:szCs w:val="20"/>
                <w:color w:val="auto"/>
              </w:rPr>
            </w:pPr>
            <w:r>
              <w:rPr>
                <w:rFonts w:ascii="Calibri" w:cs="Calibri" w:eastAsia="Calibri" w:hAnsi="Calibri"/>
                <w:sz w:val="13"/>
                <w:szCs w:val="13"/>
                <w:b w:val="1"/>
                <w:bCs w:val="1"/>
                <w:i w:val="1"/>
                <w:iCs w:val="1"/>
                <w:color w:val="FFFFFF"/>
              </w:rPr>
              <w:t>QoQ</w:t>
            </w:r>
          </w:p>
        </w:tc>
        <w:tc>
          <w:tcPr>
            <w:tcW w:w="940" w:type="dxa"/>
            <w:vAlign w:val="bottom"/>
            <w:tcBorders>
              <w:right w:val="single" w:sz="8" w:color="auto"/>
            </w:tcBorders>
            <w:vMerge w:val="restart"/>
            <w:shd w:val="clear" w:color="auto" w:fill="2AD2C8"/>
          </w:tcPr>
          <w:p>
            <w:pPr>
              <w:ind w:left="180"/>
              <w:spacing w:after="0"/>
              <w:rPr>
                <w:sz w:val="20"/>
                <w:szCs w:val="20"/>
                <w:color w:val="auto"/>
              </w:rPr>
            </w:pPr>
            <w:r>
              <w:rPr>
                <w:rFonts w:ascii="Calibri" w:cs="Calibri" w:eastAsia="Calibri" w:hAnsi="Calibri"/>
                <w:sz w:val="13"/>
                <w:szCs w:val="13"/>
                <w:b w:val="1"/>
                <w:bCs w:val="1"/>
                <w:i w:val="1"/>
                <w:iCs w:val="1"/>
                <w:color w:val="FFFFFF"/>
              </w:rPr>
              <w:t>YoY</w:t>
            </w:r>
          </w:p>
        </w:tc>
        <w:tc>
          <w:tcPr>
            <w:tcW w:w="2000" w:type="dxa"/>
            <w:vAlign w:val="bottom"/>
            <w:vMerge w:val="restart"/>
            <w:shd w:val="clear" w:color="auto" w:fill="2AD2C8"/>
          </w:tcPr>
          <w:p>
            <w:pPr>
              <w:jc w:val="right"/>
              <w:ind w:right="33"/>
              <w:spacing w:after="0"/>
              <w:rPr>
                <w:sz w:val="20"/>
                <w:szCs w:val="20"/>
                <w:color w:val="auto"/>
              </w:rPr>
            </w:pPr>
            <w:r>
              <w:rPr>
                <w:rFonts w:ascii="Calibri" w:cs="Calibri" w:eastAsia="Calibri" w:hAnsi="Calibri"/>
                <w:sz w:val="13"/>
                <w:szCs w:val="13"/>
                <w:b w:val="1"/>
                <w:bCs w:val="1"/>
                <w:color w:val="FFFFFF"/>
              </w:rPr>
              <w:t>to</w:t>
            </w:r>
          </w:p>
        </w:tc>
        <w:tc>
          <w:tcPr>
            <w:tcW w:w="660" w:type="dxa"/>
            <w:vAlign w:val="bottom"/>
            <w:tcBorders>
              <w:right w:val="single" w:sz="8" w:color="auto"/>
            </w:tcBorders>
            <w:shd w:val="clear" w:color="auto" w:fill="2AD2C8"/>
          </w:tcPr>
          <w:p>
            <w:pPr>
              <w:spacing w:after="0"/>
              <w:rPr>
                <w:sz w:val="7"/>
                <w:szCs w:val="7"/>
                <w:color w:val="auto"/>
              </w:rPr>
            </w:pPr>
          </w:p>
        </w:tc>
        <w:tc>
          <w:tcPr>
            <w:tcW w:w="1120" w:type="dxa"/>
            <w:vAlign w:val="bottom"/>
            <w:tcBorders>
              <w:right w:val="single" w:sz="8" w:color="auto"/>
            </w:tcBorders>
            <w:vMerge w:val="restart"/>
            <w:shd w:val="clear" w:color="auto" w:fill="2AD2C8"/>
          </w:tcPr>
          <w:p>
            <w:pPr>
              <w:jc w:val="center"/>
              <w:spacing w:after="0"/>
              <w:rPr>
                <w:sz w:val="20"/>
                <w:szCs w:val="20"/>
                <w:color w:val="auto"/>
              </w:rPr>
            </w:pPr>
            <w:r>
              <w:rPr>
                <w:rFonts w:ascii="Calibri" w:cs="Calibri" w:eastAsia="Calibri" w:hAnsi="Calibri"/>
                <w:sz w:val="13"/>
                <w:szCs w:val="13"/>
                <w:b w:val="1"/>
                <w:bCs w:val="1"/>
                <w:color w:val="FFFFFF"/>
              </w:rPr>
              <w:t>Change %</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right w:val="single" w:sz="8" w:color="auto"/>
            </w:tcBorders>
            <w:vMerge w:val="restart"/>
            <w:shd w:val="clear" w:color="auto" w:fill="2AD2C8"/>
          </w:tcPr>
          <w:p>
            <w:pPr>
              <w:ind w:left="60"/>
              <w:spacing w:after="0"/>
              <w:rPr>
                <w:sz w:val="20"/>
                <w:szCs w:val="20"/>
                <w:color w:val="auto"/>
              </w:rPr>
            </w:pPr>
            <w:r>
              <w:rPr>
                <w:rFonts w:ascii="Calibri" w:cs="Calibri" w:eastAsia="Calibri" w:hAnsi="Calibri"/>
                <w:sz w:val="13"/>
                <w:szCs w:val="13"/>
                <w:b w:val="1"/>
                <w:bCs w:val="1"/>
                <w:i w:val="1"/>
                <w:iCs w:val="1"/>
                <w:color w:val="FFFFFF"/>
              </w:rPr>
              <w:t>S/ millions</w:t>
            </w:r>
          </w:p>
        </w:tc>
        <w:tc>
          <w:tcPr>
            <w:tcW w:w="240" w:type="dxa"/>
            <w:vAlign w:val="bottom"/>
            <w:shd w:val="clear" w:color="auto" w:fill="2AD2C8"/>
          </w:tcPr>
          <w:p>
            <w:pPr>
              <w:spacing w:after="0"/>
              <w:rPr>
                <w:sz w:val="8"/>
                <w:szCs w:val="8"/>
                <w:color w:val="auto"/>
              </w:rPr>
            </w:pPr>
          </w:p>
        </w:tc>
        <w:tc>
          <w:tcPr>
            <w:tcW w:w="880" w:type="dxa"/>
            <w:vAlign w:val="bottom"/>
            <w:shd w:val="clear" w:color="auto" w:fill="2AD2C8"/>
          </w:tcPr>
          <w:p>
            <w:pPr>
              <w:spacing w:after="0"/>
              <w:rPr>
                <w:sz w:val="8"/>
                <w:szCs w:val="8"/>
                <w:color w:val="auto"/>
              </w:rPr>
            </w:pPr>
          </w:p>
        </w:tc>
        <w:tc>
          <w:tcPr>
            <w:tcW w:w="720" w:type="dxa"/>
            <w:vAlign w:val="bottom"/>
            <w:vMerge w:val="continue"/>
            <w:shd w:val="clear" w:color="auto" w:fill="2AD2C8"/>
          </w:tcPr>
          <w:p>
            <w:pPr>
              <w:spacing w:after="0"/>
              <w:rPr>
                <w:sz w:val="8"/>
                <w:szCs w:val="8"/>
                <w:color w:val="auto"/>
              </w:rPr>
            </w:pPr>
          </w:p>
        </w:tc>
        <w:tc>
          <w:tcPr>
            <w:tcW w:w="260" w:type="dxa"/>
            <w:vAlign w:val="bottom"/>
            <w:shd w:val="clear" w:color="auto" w:fill="2AD2C8"/>
          </w:tcPr>
          <w:p>
            <w:pPr>
              <w:spacing w:after="0"/>
              <w:rPr>
                <w:sz w:val="8"/>
                <w:szCs w:val="8"/>
                <w:color w:val="auto"/>
              </w:rPr>
            </w:pPr>
          </w:p>
        </w:tc>
        <w:tc>
          <w:tcPr>
            <w:tcW w:w="660" w:type="dxa"/>
            <w:vAlign w:val="bottom"/>
            <w:tcBorders>
              <w:right w:val="single" w:sz="8" w:color="auto"/>
            </w:tcBorders>
            <w:shd w:val="clear" w:color="auto" w:fill="2AD2C8"/>
          </w:tcPr>
          <w:p>
            <w:pPr>
              <w:spacing w:after="0"/>
              <w:rPr>
                <w:sz w:val="8"/>
                <w:szCs w:val="8"/>
                <w:color w:val="auto"/>
              </w:rPr>
            </w:pPr>
          </w:p>
        </w:tc>
        <w:tc>
          <w:tcPr>
            <w:tcW w:w="940" w:type="dxa"/>
            <w:vAlign w:val="bottom"/>
            <w:vMerge w:val="continue"/>
            <w:shd w:val="clear" w:color="auto" w:fill="2AD2C8"/>
          </w:tcPr>
          <w:p>
            <w:pPr>
              <w:spacing w:after="0"/>
              <w:rPr>
                <w:sz w:val="8"/>
                <w:szCs w:val="8"/>
                <w:color w:val="auto"/>
              </w:rPr>
            </w:pPr>
          </w:p>
        </w:tc>
        <w:tc>
          <w:tcPr>
            <w:tcW w:w="940" w:type="dxa"/>
            <w:vAlign w:val="bottom"/>
            <w:tcBorders>
              <w:right w:val="single" w:sz="8" w:color="auto"/>
            </w:tcBorders>
            <w:vMerge w:val="continue"/>
            <w:shd w:val="clear" w:color="auto" w:fill="2AD2C8"/>
          </w:tcPr>
          <w:p>
            <w:pPr>
              <w:spacing w:after="0"/>
              <w:rPr>
                <w:sz w:val="8"/>
                <w:szCs w:val="8"/>
                <w:color w:val="auto"/>
              </w:rPr>
            </w:pPr>
          </w:p>
        </w:tc>
        <w:tc>
          <w:tcPr>
            <w:tcW w:w="2000" w:type="dxa"/>
            <w:vAlign w:val="bottom"/>
            <w:vMerge w:val="continue"/>
            <w:shd w:val="clear" w:color="auto" w:fill="2AD2C8"/>
          </w:tcPr>
          <w:p>
            <w:pPr>
              <w:spacing w:after="0"/>
              <w:rPr>
                <w:sz w:val="8"/>
                <w:szCs w:val="8"/>
                <w:color w:val="auto"/>
              </w:rPr>
            </w:pPr>
          </w:p>
        </w:tc>
        <w:tc>
          <w:tcPr>
            <w:tcW w:w="660" w:type="dxa"/>
            <w:vAlign w:val="bottom"/>
            <w:tcBorders>
              <w:right w:val="single" w:sz="8" w:color="auto"/>
            </w:tcBorders>
            <w:shd w:val="clear" w:color="auto" w:fill="2AD2C8"/>
          </w:tcPr>
          <w:p>
            <w:pPr>
              <w:spacing w:after="0"/>
              <w:rPr>
                <w:sz w:val="8"/>
                <w:szCs w:val="8"/>
                <w:color w:val="auto"/>
              </w:rPr>
            </w:pPr>
          </w:p>
        </w:tc>
        <w:tc>
          <w:tcPr>
            <w:tcW w:w="1120" w:type="dxa"/>
            <w:vAlign w:val="bottom"/>
            <w:tcBorders>
              <w:right w:val="single" w:sz="8" w:color="auto"/>
            </w:tcBorders>
            <w:vMerge w:val="continue"/>
            <w:shd w:val="clear" w:color="auto" w:fill="2AD2C8"/>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820" w:type="dxa"/>
            <w:vAlign w:val="bottom"/>
            <w:tcBorders>
              <w:left w:val="single" w:sz="8" w:color="auto"/>
              <w:right w:val="single" w:sz="8" w:color="auto"/>
            </w:tcBorders>
            <w:vMerge w:val="continue"/>
            <w:shd w:val="clear" w:color="auto" w:fill="2AD2C8"/>
          </w:tcPr>
          <w:p>
            <w:pPr>
              <w:spacing w:after="0"/>
              <w:rPr>
                <w:sz w:val="3"/>
                <w:szCs w:val="3"/>
                <w:color w:val="auto"/>
              </w:rPr>
            </w:pPr>
          </w:p>
        </w:tc>
        <w:tc>
          <w:tcPr>
            <w:tcW w:w="240" w:type="dxa"/>
            <w:vAlign w:val="bottom"/>
            <w:shd w:val="clear" w:color="auto" w:fill="2AD2C8"/>
          </w:tcPr>
          <w:p>
            <w:pPr>
              <w:spacing w:after="0"/>
              <w:rPr>
                <w:sz w:val="3"/>
                <w:szCs w:val="3"/>
                <w:color w:val="auto"/>
              </w:rPr>
            </w:pPr>
          </w:p>
        </w:tc>
        <w:tc>
          <w:tcPr>
            <w:tcW w:w="880" w:type="dxa"/>
            <w:vAlign w:val="bottom"/>
            <w:vMerge w:val="restart"/>
            <w:shd w:val="clear" w:color="auto" w:fill="2AD2C8"/>
          </w:tcPr>
          <w:p>
            <w:pPr>
              <w:jc w:val="right"/>
              <w:ind w:right="373"/>
              <w:spacing w:after="0"/>
              <w:rPr>
                <w:sz w:val="20"/>
                <w:szCs w:val="20"/>
                <w:color w:val="auto"/>
              </w:rPr>
            </w:pPr>
            <w:r>
              <w:rPr>
                <w:rFonts w:ascii="Calibri" w:cs="Calibri" w:eastAsia="Calibri" w:hAnsi="Calibri"/>
                <w:sz w:val="13"/>
                <w:szCs w:val="13"/>
                <w:b w:val="1"/>
                <w:bCs w:val="1"/>
                <w:i w:val="1"/>
                <w:iCs w:val="1"/>
                <w:color w:val="FFFFFF"/>
              </w:rPr>
              <w:t>3Q23</w:t>
            </w:r>
          </w:p>
        </w:tc>
        <w:tc>
          <w:tcPr>
            <w:tcW w:w="720" w:type="dxa"/>
            <w:vAlign w:val="bottom"/>
            <w:vMerge w:val="restart"/>
            <w:shd w:val="clear" w:color="auto" w:fill="2AD2C8"/>
          </w:tcPr>
          <w:p>
            <w:pPr>
              <w:jc w:val="right"/>
              <w:ind w:right="133"/>
              <w:spacing w:after="0"/>
              <w:rPr>
                <w:sz w:val="20"/>
                <w:szCs w:val="20"/>
                <w:color w:val="auto"/>
              </w:rPr>
            </w:pPr>
            <w:r>
              <w:rPr>
                <w:rFonts w:ascii="Calibri" w:cs="Calibri" w:eastAsia="Calibri" w:hAnsi="Calibri"/>
                <w:sz w:val="13"/>
                <w:szCs w:val="13"/>
                <w:b w:val="1"/>
                <w:bCs w:val="1"/>
                <w:i w:val="1"/>
                <w:iCs w:val="1"/>
                <w:color w:val="FFFFFF"/>
              </w:rPr>
              <w:t>2Q24</w:t>
            </w:r>
          </w:p>
        </w:tc>
        <w:tc>
          <w:tcPr>
            <w:tcW w:w="260" w:type="dxa"/>
            <w:vAlign w:val="bottom"/>
            <w:shd w:val="clear" w:color="auto" w:fill="2AD2C8"/>
          </w:tcPr>
          <w:p>
            <w:pPr>
              <w:spacing w:after="0"/>
              <w:rPr>
                <w:sz w:val="3"/>
                <w:szCs w:val="3"/>
                <w:color w:val="auto"/>
              </w:rPr>
            </w:pPr>
          </w:p>
        </w:tc>
        <w:tc>
          <w:tcPr>
            <w:tcW w:w="660" w:type="dxa"/>
            <w:vAlign w:val="bottom"/>
            <w:tcBorders>
              <w:right w:val="single" w:sz="8" w:color="auto"/>
            </w:tcBorders>
            <w:vMerge w:val="restart"/>
            <w:shd w:val="clear" w:color="auto" w:fill="2AD2C8"/>
          </w:tcPr>
          <w:p>
            <w:pPr>
              <w:jc w:val="right"/>
              <w:ind w:right="153"/>
              <w:spacing w:after="0"/>
              <w:rPr>
                <w:sz w:val="20"/>
                <w:szCs w:val="20"/>
                <w:color w:val="auto"/>
              </w:rPr>
            </w:pPr>
            <w:r>
              <w:rPr>
                <w:rFonts w:ascii="Calibri" w:cs="Calibri" w:eastAsia="Calibri" w:hAnsi="Calibri"/>
                <w:sz w:val="13"/>
                <w:szCs w:val="13"/>
                <w:b w:val="1"/>
                <w:bCs w:val="1"/>
                <w:i w:val="1"/>
                <w:iCs w:val="1"/>
                <w:color w:val="FFFFFF"/>
              </w:rPr>
              <w:t>3Q24</w:t>
            </w:r>
          </w:p>
        </w:tc>
        <w:tc>
          <w:tcPr>
            <w:tcW w:w="940" w:type="dxa"/>
            <w:vAlign w:val="bottom"/>
            <w:vMerge w:val="continue"/>
            <w:shd w:val="clear" w:color="auto" w:fill="2AD2C8"/>
          </w:tcPr>
          <w:p>
            <w:pPr>
              <w:spacing w:after="0"/>
              <w:rPr>
                <w:sz w:val="3"/>
                <w:szCs w:val="3"/>
                <w:color w:val="auto"/>
              </w:rPr>
            </w:pPr>
          </w:p>
        </w:tc>
        <w:tc>
          <w:tcPr>
            <w:tcW w:w="940" w:type="dxa"/>
            <w:vAlign w:val="bottom"/>
            <w:tcBorders>
              <w:right w:val="single" w:sz="8" w:color="auto"/>
            </w:tcBorders>
            <w:vMerge w:val="continue"/>
            <w:shd w:val="clear" w:color="auto" w:fill="2AD2C8"/>
          </w:tcPr>
          <w:p>
            <w:pPr>
              <w:spacing w:after="0"/>
              <w:rPr>
                <w:sz w:val="3"/>
                <w:szCs w:val="3"/>
                <w:color w:val="auto"/>
              </w:rPr>
            </w:pPr>
          </w:p>
        </w:tc>
        <w:tc>
          <w:tcPr>
            <w:tcW w:w="2000" w:type="dxa"/>
            <w:vAlign w:val="bottom"/>
            <w:vMerge w:val="restart"/>
            <w:shd w:val="clear" w:color="auto" w:fill="2AD2C8"/>
          </w:tcPr>
          <w:p>
            <w:pPr>
              <w:jc w:val="right"/>
              <w:ind w:right="793"/>
              <w:spacing w:after="0"/>
              <w:rPr>
                <w:sz w:val="20"/>
                <w:szCs w:val="20"/>
                <w:color w:val="auto"/>
              </w:rPr>
            </w:pPr>
            <w:r>
              <w:rPr>
                <w:rFonts w:ascii="Calibri" w:cs="Calibri" w:eastAsia="Calibri" w:hAnsi="Calibri"/>
                <w:sz w:val="13"/>
                <w:szCs w:val="13"/>
                <w:b w:val="1"/>
                <w:bCs w:val="1"/>
                <w:i w:val="1"/>
                <w:iCs w:val="1"/>
                <w:color w:val="FFFFFF"/>
              </w:rPr>
              <w:t>Sep-23</w:t>
            </w:r>
          </w:p>
        </w:tc>
        <w:tc>
          <w:tcPr>
            <w:tcW w:w="660" w:type="dxa"/>
            <w:vAlign w:val="bottom"/>
            <w:tcBorders>
              <w:right w:val="single" w:sz="8" w:color="auto"/>
            </w:tcBorders>
            <w:vMerge w:val="restart"/>
            <w:shd w:val="clear" w:color="auto" w:fill="2AD2C8"/>
          </w:tcPr>
          <w:p>
            <w:pPr>
              <w:jc w:val="right"/>
              <w:ind w:right="133"/>
              <w:spacing w:after="0"/>
              <w:rPr>
                <w:sz w:val="20"/>
                <w:szCs w:val="20"/>
                <w:color w:val="auto"/>
              </w:rPr>
            </w:pPr>
            <w:r>
              <w:rPr>
                <w:rFonts w:ascii="Calibri" w:cs="Calibri" w:eastAsia="Calibri" w:hAnsi="Calibri"/>
                <w:sz w:val="13"/>
                <w:szCs w:val="13"/>
                <w:b w:val="1"/>
                <w:bCs w:val="1"/>
                <w:i w:val="1"/>
                <w:iCs w:val="1"/>
                <w:color w:val="FFFFFF"/>
              </w:rPr>
              <w:t>Sep-24</w:t>
            </w:r>
          </w:p>
        </w:tc>
        <w:tc>
          <w:tcPr>
            <w:tcW w:w="1120" w:type="dxa"/>
            <w:vAlign w:val="bottom"/>
            <w:tcBorders>
              <w:right w:val="single" w:sz="8" w:color="auto"/>
            </w:tcBorders>
            <w:vMerge w:val="restart"/>
            <w:shd w:val="clear" w:color="auto" w:fill="2AD2C8"/>
          </w:tcPr>
          <w:p>
            <w:pPr>
              <w:jc w:val="center"/>
              <w:spacing w:after="0"/>
              <w:rPr>
                <w:sz w:val="20"/>
                <w:szCs w:val="20"/>
                <w:color w:val="auto"/>
              </w:rPr>
            </w:pPr>
            <w:r>
              <w:rPr>
                <w:rFonts w:ascii="Calibri" w:cs="Calibri" w:eastAsia="Calibri" w:hAnsi="Calibri"/>
                <w:sz w:val="13"/>
                <w:szCs w:val="13"/>
                <w:b w:val="1"/>
                <w:bCs w:val="1"/>
                <w:i w:val="1"/>
                <w:iCs w:val="1"/>
                <w:color w:val="FFFFFF"/>
              </w:rPr>
              <w:t>Sep-24 / Sep-23</w:t>
            </w:r>
          </w:p>
        </w:tc>
        <w:tc>
          <w:tcPr>
            <w:tcW w:w="0" w:type="dxa"/>
            <w:vAlign w:val="bottom"/>
          </w:tcPr>
          <w:p>
            <w:pPr>
              <w:spacing w:after="0"/>
              <w:rPr>
                <w:sz w:val="1"/>
                <w:szCs w:val="1"/>
                <w:color w:val="auto"/>
              </w:rPr>
            </w:pPr>
          </w:p>
        </w:tc>
      </w:tr>
      <w:tr>
        <w:trPr>
          <w:trHeight w:val="40"/>
        </w:trPr>
        <w:tc>
          <w:tcPr>
            <w:tcW w:w="2820" w:type="dxa"/>
            <w:vAlign w:val="bottom"/>
            <w:tcBorders>
              <w:left w:val="single" w:sz="8" w:color="auto"/>
              <w:right w:val="single" w:sz="8" w:color="auto"/>
            </w:tcBorders>
            <w:vMerge w:val="continue"/>
            <w:shd w:val="clear" w:color="auto" w:fill="2AD2C8"/>
          </w:tcPr>
          <w:p>
            <w:pPr>
              <w:spacing w:after="0"/>
              <w:rPr>
                <w:sz w:val="3"/>
                <w:szCs w:val="3"/>
                <w:color w:val="auto"/>
              </w:rPr>
            </w:pPr>
          </w:p>
        </w:tc>
        <w:tc>
          <w:tcPr>
            <w:tcW w:w="240" w:type="dxa"/>
            <w:vAlign w:val="bottom"/>
            <w:shd w:val="clear" w:color="auto" w:fill="2AD2C8"/>
          </w:tcPr>
          <w:p>
            <w:pPr>
              <w:spacing w:after="0"/>
              <w:rPr>
                <w:sz w:val="3"/>
                <w:szCs w:val="3"/>
                <w:color w:val="auto"/>
              </w:rPr>
            </w:pPr>
          </w:p>
        </w:tc>
        <w:tc>
          <w:tcPr>
            <w:tcW w:w="880" w:type="dxa"/>
            <w:vAlign w:val="bottom"/>
            <w:vMerge w:val="continue"/>
            <w:shd w:val="clear" w:color="auto" w:fill="2AD2C8"/>
          </w:tcPr>
          <w:p>
            <w:pPr>
              <w:spacing w:after="0"/>
              <w:rPr>
                <w:sz w:val="3"/>
                <w:szCs w:val="3"/>
                <w:color w:val="auto"/>
              </w:rPr>
            </w:pPr>
          </w:p>
        </w:tc>
        <w:tc>
          <w:tcPr>
            <w:tcW w:w="720" w:type="dxa"/>
            <w:vAlign w:val="bottom"/>
            <w:vMerge w:val="continue"/>
            <w:shd w:val="clear" w:color="auto" w:fill="2AD2C8"/>
          </w:tcPr>
          <w:p>
            <w:pPr>
              <w:spacing w:after="0"/>
              <w:rPr>
                <w:sz w:val="3"/>
                <w:szCs w:val="3"/>
                <w:color w:val="auto"/>
              </w:rPr>
            </w:pPr>
          </w:p>
        </w:tc>
        <w:tc>
          <w:tcPr>
            <w:tcW w:w="260" w:type="dxa"/>
            <w:vAlign w:val="bottom"/>
            <w:shd w:val="clear" w:color="auto" w:fill="2AD2C8"/>
          </w:tcPr>
          <w:p>
            <w:pPr>
              <w:spacing w:after="0"/>
              <w:rPr>
                <w:sz w:val="3"/>
                <w:szCs w:val="3"/>
                <w:color w:val="auto"/>
              </w:rPr>
            </w:pPr>
          </w:p>
        </w:tc>
        <w:tc>
          <w:tcPr>
            <w:tcW w:w="660" w:type="dxa"/>
            <w:vAlign w:val="bottom"/>
            <w:tcBorders>
              <w:right w:val="single" w:sz="8" w:color="auto"/>
            </w:tcBorders>
            <w:vMerge w:val="continue"/>
            <w:shd w:val="clear" w:color="auto" w:fill="2AD2C8"/>
          </w:tcPr>
          <w:p>
            <w:pPr>
              <w:spacing w:after="0"/>
              <w:rPr>
                <w:sz w:val="3"/>
                <w:szCs w:val="3"/>
                <w:color w:val="auto"/>
              </w:rPr>
            </w:pPr>
          </w:p>
        </w:tc>
        <w:tc>
          <w:tcPr>
            <w:tcW w:w="940" w:type="dxa"/>
            <w:vAlign w:val="bottom"/>
            <w:shd w:val="clear" w:color="auto" w:fill="2AD2C8"/>
          </w:tcPr>
          <w:p>
            <w:pPr>
              <w:spacing w:after="0"/>
              <w:rPr>
                <w:sz w:val="3"/>
                <w:szCs w:val="3"/>
                <w:color w:val="auto"/>
              </w:rPr>
            </w:pPr>
          </w:p>
        </w:tc>
        <w:tc>
          <w:tcPr>
            <w:tcW w:w="940" w:type="dxa"/>
            <w:vAlign w:val="bottom"/>
            <w:tcBorders>
              <w:right w:val="single" w:sz="8" w:color="auto"/>
            </w:tcBorders>
            <w:shd w:val="clear" w:color="auto" w:fill="2AD2C8"/>
          </w:tcPr>
          <w:p>
            <w:pPr>
              <w:spacing w:after="0"/>
              <w:rPr>
                <w:sz w:val="3"/>
                <w:szCs w:val="3"/>
                <w:color w:val="auto"/>
              </w:rPr>
            </w:pPr>
          </w:p>
        </w:tc>
        <w:tc>
          <w:tcPr>
            <w:tcW w:w="2000" w:type="dxa"/>
            <w:vAlign w:val="bottom"/>
            <w:vMerge w:val="continue"/>
            <w:shd w:val="clear" w:color="auto" w:fill="2AD2C8"/>
          </w:tcPr>
          <w:p>
            <w:pPr>
              <w:spacing w:after="0"/>
              <w:rPr>
                <w:sz w:val="3"/>
                <w:szCs w:val="3"/>
                <w:color w:val="auto"/>
              </w:rPr>
            </w:pPr>
          </w:p>
        </w:tc>
        <w:tc>
          <w:tcPr>
            <w:tcW w:w="660" w:type="dxa"/>
            <w:vAlign w:val="bottom"/>
            <w:tcBorders>
              <w:right w:val="single" w:sz="8" w:color="auto"/>
            </w:tcBorders>
            <w:vMerge w:val="continue"/>
            <w:shd w:val="clear" w:color="auto" w:fill="2AD2C8"/>
          </w:tcPr>
          <w:p>
            <w:pPr>
              <w:spacing w:after="0"/>
              <w:rPr>
                <w:sz w:val="3"/>
                <w:szCs w:val="3"/>
                <w:color w:val="auto"/>
              </w:rPr>
            </w:pPr>
          </w:p>
        </w:tc>
        <w:tc>
          <w:tcPr>
            <w:tcW w:w="1120" w:type="dxa"/>
            <w:vAlign w:val="bottom"/>
            <w:tcBorders>
              <w:right w:val="single" w:sz="8" w:color="auto"/>
            </w:tcBorders>
            <w:vMerge w:val="continue"/>
            <w:shd w:val="clear" w:color="auto" w:fill="2AD2C8"/>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2AD2C8"/>
              <w:right w:val="single" w:sz="8" w:color="auto"/>
            </w:tcBorders>
            <w:shd w:val="clear" w:color="auto" w:fill="2AD2C8"/>
          </w:tcPr>
          <w:p>
            <w:pPr>
              <w:spacing w:after="0"/>
              <w:rPr>
                <w:sz w:val="10"/>
                <w:szCs w:val="10"/>
                <w:color w:val="auto"/>
              </w:rPr>
            </w:pPr>
          </w:p>
        </w:tc>
        <w:tc>
          <w:tcPr>
            <w:tcW w:w="240" w:type="dxa"/>
            <w:vAlign w:val="bottom"/>
            <w:tcBorders>
              <w:bottom w:val="single" w:sz="8" w:color="2AD2C8"/>
            </w:tcBorders>
            <w:shd w:val="clear" w:color="auto" w:fill="2AD2C8"/>
          </w:tcPr>
          <w:p>
            <w:pPr>
              <w:spacing w:after="0"/>
              <w:rPr>
                <w:sz w:val="10"/>
                <w:szCs w:val="10"/>
                <w:color w:val="auto"/>
              </w:rPr>
            </w:pPr>
          </w:p>
        </w:tc>
        <w:tc>
          <w:tcPr>
            <w:tcW w:w="880" w:type="dxa"/>
            <w:vAlign w:val="bottom"/>
            <w:tcBorders>
              <w:bottom w:val="single" w:sz="8" w:color="2AD2C8"/>
            </w:tcBorders>
            <w:vMerge w:val="continue"/>
            <w:shd w:val="clear" w:color="auto" w:fill="2AD2C8"/>
          </w:tcPr>
          <w:p>
            <w:pPr>
              <w:spacing w:after="0"/>
              <w:rPr>
                <w:sz w:val="10"/>
                <w:szCs w:val="10"/>
                <w:color w:val="auto"/>
              </w:rPr>
            </w:pPr>
          </w:p>
        </w:tc>
        <w:tc>
          <w:tcPr>
            <w:tcW w:w="720" w:type="dxa"/>
            <w:vAlign w:val="bottom"/>
            <w:tcBorders>
              <w:bottom w:val="single" w:sz="8" w:color="2AD2C8"/>
            </w:tcBorders>
            <w:vMerge w:val="continue"/>
            <w:shd w:val="clear" w:color="auto" w:fill="2AD2C8"/>
          </w:tcPr>
          <w:p>
            <w:pPr>
              <w:spacing w:after="0"/>
              <w:rPr>
                <w:sz w:val="10"/>
                <w:szCs w:val="10"/>
                <w:color w:val="auto"/>
              </w:rPr>
            </w:pPr>
          </w:p>
        </w:tc>
        <w:tc>
          <w:tcPr>
            <w:tcW w:w="260" w:type="dxa"/>
            <w:vAlign w:val="bottom"/>
            <w:tcBorders>
              <w:bottom w:val="single" w:sz="8" w:color="2AD2C8"/>
            </w:tcBorders>
            <w:shd w:val="clear" w:color="auto" w:fill="2AD2C8"/>
          </w:tcPr>
          <w:p>
            <w:pPr>
              <w:spacing w:after="0"/>
              <w:rPr>
                <w:sz w:val="10"/>
                <w:szCs w:val="10"/>
                <w:color w:val="auto"/>
              </w:rPr>
            </w:pPr>
          </w:p>
        </w:tc>
        <w:tc>
          <w:tcPr>
            <w:tcW w:w="660" w:type="dxa"/>
            <w:vAlign w:val="bottom"/>
            <w:tcBorders>
              <w:bottom w:val="single" w:sz="8" w:color="2AD2C8"/>
              <w:right w:val="single" w:sz="8" w:color="auto"/>
            </w:tcBorders>
            <w:vMerge w:val="continue"/>
            <w:shd w:val="clear" w:color="auto" w:fill="2AD2C8"/>
          </w:tcPr>
          <w:p>
            <w:pPr>
              <w:spacing w:after="0"/>
              <w:rPr>
                <w:sz w:val="10"/>
                <w:szCs w:val="10"/>
                <w:color w:val="auto"/>
              </w:rPr>
            </w:pPr>
          </w:p>
        </w:tc>
        <w:tc>
          <w:tcPr>
            <w:tcW w:w="940" w:type="dxa"/>
            <w:vAlign w:val="bottom"/>
            <w:tcBorders>
              <w:bottom w:val="single" w:sz="8" w:color="2AD2C8"/>
            </w:tcBorders>
            <w:shd w:val="clear" w:color="auto" w:fill="2AD2C8"/>
          </w:tcPr>
          <w:p>
            <w:pPr>
              <w:spacing w:after="0"/>
              <w:rPr>
                <w:sz w:val="10"/>
                <w:szCs w:val="10"/>
                <w:color w:val="auto"/>
              </w:rPr>
            </w:pPr>
          </w:p>
        </w:tc>
        <w:tc>
          <w:tcPr>
            <w:tcW w:w="940" w:type="dxa"/>
            <w:vAlign w:val="bottom"/>
            <w:tcBorders>
              <w:bottom w:val="single" w:sz="8" w:color="2AD2C8"/>
              <w:right w:val="single" w:sz="8" w:color="auto"/>
            </w:tcBorders>
            <w:shd w:val="clear" w:color="auto" w:fill="2AD2C8"/>
          </w:tcPr>
          <w:p>
            <w:pPr>
              <w:spacing w:after="0"/>
              <w:rPr>
                <w:sz w:val="10"/>
                <w:szCs w:val="10"/>
                <w:color w:val="auto"/>
              </w:rPr>
            </w:pPr>
          </w:p>
        </w:tc>
        <w:tc>
          <w:tcPr>
            <w:tcW w:w="2000" w:type="dxa"/>
            <w:vAlign w:val="bottom"/>
            <w:tcBorders>
              <w:bottom w:val="single" w:sz="8" w:color="2AD2C8"/>
            </w:tcBorders>
            <w:vMerge w:val="continue"/>
            <w:shd w:val="clear" w:color="auto" w:fill="2AD2C8"/>
          </w:tcPr>
          <w:p>
            <w:pPr>
              <w:spacing w:after="0"/>
              <w:rPr>
                <w:sz w:val="10"/>
                <w:szCs w:val="10"/>
                <w:color w:val="auto"/>
              </w:rPr>
            </w:pPr>
          </w:p>
        </w:tc>
        <w:tc>
          <w:tcPr>
            <w:tcW w:w="660" w:type="dxa"/>
            <w:vAlign w:val="bottom"/>
            <w:tcBorders>
              <w:bottom w:val="single" w:sz="8" w:color="2AD2C8"/>
              <w:right w:val="single" w:sz="8" w:color="auto"/>
            </w:tcBorders>
            <w:vMerge w:val="continue"/>
            <w:shd w:val="clear" w:color="auto" w:fill="2AD2C8"/>
          </w:tcPr>
          <w:p>
            <w:pPr>
              <w:spacing w:after="0"/>
              <w:rPr>
                <w:sz w:val="10"/>
                <w:szCs w:val="10"/>
                <w:color w:val="auto"/>
              </w:rPr>
            </w:pPr>
          </w:p>
        </w:tc>
        <w:tc>
          <w:tcPr>
            <w:tcW w:w="1120" w:type="dxa"/>
            <w:vAlign w:val="bottom"/>
            <w:tcBorders>
              <w:bottom w:val="single" w:sz="8" w:color="2AD2C8"/>
              <w:right w:val="single" w:sz="8" w:color="auto"/>
            </w:tcBorders>
            <w:vMerge w:val="continue"/>
            <w:shd w:val="clear" w:color="auto" w:fill="2AD2C8"/>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20" w:type="dxa"/>
            <w:vAlign w:val="bottom"/>
            <w:tcBorders>
              <w:top w:val="single" w:sz="8" w:color="auto"/>
              <w:left w:val="single" w:sz="8" w:color="auto"/>
              <w:right w:val="single" w:sz="8" w:color="auto"/>
            </w:tcBorders>
          </w:tcPr>
          <w:p>
            <w:pPr>
              <w:ind w:left="60"/>
              <w:spacing w:after="0"/>
              <w:rPr>
                <w:sz w:val="20"/>
                <w:szCs w:val="20"/>
                <w:color w:val="auto"/>
              </w:rPr>
            </w:pPr>
            <w:r>
              <w:rPr>
                <w:rFonts w:ascii="Calibri" w:cs="Calibri" w:eastAsia="Calibri" w:hAnsi="Calibri"/>
                <w:sz w:val="13"/>
                <w:szCs w:val="13"/>
                <w:color w:val="auto"/>
              </w:rPr>
              <w:t>Net Interest Income</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3"/>
              <w:spacing w:after="0"/>
              <w:rPr>
                <w:sz w:val="20"/>
                <w:szCs w:val="20"/>
                <w:color w:val="auto"/>
              </w:rPr>
            </w:pPr>
            <w:r>
              <w:rPr>
                <w:rFonts w:ascii="Calibri" w:cs="Calibri" w:eastAsia="Calibri" w:hAnsi="Calibri"/>
                <w:sz w:val="13"/>
                <w:szCs w:val="13"/>
                <w:color w:val="auto"/>
              </w:rPr>
              <w:t>46.1</w:t>
            </w:r>
          </w:p>
        </w:tc>
        <w:tc>
          <w:tcPr>
            <w:tcW w:w="72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60.3</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jc w:val="right"/>
              <w:spacing w:after="0"/>
              <w:rPr>
                <w:sz w:val="20"/>
                <w:szCs w:val="20"/>
                <w:color w:val="auto"/>
              </w:rPr>
            </w:pPr>
            <w:r>
              <w:rPr>
                <w:rFonts w:ascii="Calibri" w:cs="Calibri" w:eastAsia="Calibri" w:hAnsi="Calibri"/>
                <w:sz w:val="13"/>
                <w:szCs w:val="13"/>
                <w:color w:val="auto"/>
              </w:rPr>
              <w:t>75.0</w:t>
            </w:r>
          </w:p>
        </w:tc>
        <w:tc>
          <w:tcPr>
            <w:tcW w:w="940" w:type="dxa"/>
            <w:vAlign w:val="bottom"/>
            <w:tcBorders>
              <w:top w:val="single" w:sz="8" w:color="auto"/>
            </w:tcBorders>
          </w:tcPr>
          <w:p>
            <w:pPr>
              <w:jc w:val="right"/>
              <w:ind w:right="233"/>
              <w:spacing w:after="0"/>
              <w:rPr>
                <w:sz w:val="20"/>
                <w:szCs w:val="20"/>
                <w:color w:val="auto"/>
              </w:rPr>
            </w:pPr>
            <w:r>
              <w:rPr>
                <w:rFonts w:ascii="Calibri" w:cs="Calibri" w:eastAsia="Calibri" w:hAnsi="Calibri"/>
                <w:sz w:val="13"/>
                <w:szCs w:val="13"/>
                <w:color w:val="auto"/>
              </w:rPr>
              <w:t>24.3%</w:t>
            </w:r>
          </w:p>
        </w:tc>
        <w:tc>
          <w:tcPr>
            <w:tcW w:w="9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62.5%</w:t>
            </w:r>
          </w:p>
        </w:tc>
        <w:tc>
          <w:tcPr>
            <w:tcW w:w="2000" w:type="dxa"/>
            <w:vAlign w:val="bottom"/>
            <w:tcBorders>
              <w:top w:val="single" w:sz="8" w:color="auto"/>
            </w:tcBorders>
          </w:tcPr>
          <w:p>
            <w:pPr>
              <w:jc w:val="right"/>
              <w:ind w:right="433"/>
              <w:spacing w:after="0"/>
              <w:rPr>
                <w:sz w:val="20"/>
                <w:szCs w:val="20"/>
                <w:color w:val="auto"/>
              </w:rPr>
            </w:pPr>
            <w:r>
              <w:rPr>
                <w:rFonts w:ascii="Calibri" w:cs="Calibri" w:eastAsia="Calibri" w:hAnsi="Calibri"/>
                <w:sz w:val="13"/>
                <w:szCs w:val="13"/>
                <w:color w:val="auto"/>
              </w:rPr>
              <w:t>108.2</w:t>
            </w:r>
          </w:p>
        </w:tc>
        <w:tc>
          <w:tcPr>
            <w:tcW w:w="660" w:type="dxa"/>
            <w:vAlign w:val="bottom"/>
            <w:tcBorders>
              <w:top w:val="single" w:sz="8" w:color="auto"/>
              <w:right w:val="single" w:sz="8" w:color="auto"/>
            </w:tcBorders>
          </w:tcPr>
          <w:p>
            <w:pPr>
              <w:jc w:val="right"/>
              <w:ind w:right="13"/>
              <w:spacing w:after="0"/>
              <w:rPr>
                <w:sz w:val="20"/>
                <w:szCs w:val="20"/>
                <w:color w:val="auto"/>
              </w:rPr>
            </w:pPr>
            <w:r>
              <w:rPr>
                <w:rFonts w:ascii="Calibri" w:cs="Calibri" w:eastAsia="Calibri" w:hAnsi="Calibri"/>
                <w:sz w:val="13"/>
                <w:szCs w:val="13"/>
                <w:color w:val="auto"/>
              </w:rPr>
              <w:t>189.4</w:t>
            </w:r>
          </w:p>
        </w:tc>
        <w:tc>
          <w:tcPr>
            <w:tcW w:w="11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75.0%</w:t>
            </w:r>
          </w:p>
        </w:tc>
        <w:tc>
          <w:tcPr>
            <w:tcW w:w="0" w:type="dxa"/>
            <w:vAlign w:val="bottom"/>
          </w:tcPr>
          <w:p>
            <w:pPr>
              <w:spacing w:after="0"/>
              <w:rPr>
                <w:sz w:val="1"/>
                <w:szCs w:val="1"/>
                <w:color w:val="auto"/>
              </w:rPr>
            </w:pPr>
          </w:p>
        </w:tc>
      </w:tr>
      <w:tr>
        <w:trPr>
          <w:trHeight w:val="238"/>
        </w:trPr>
        <w:tc>
          <w:tcPr>
            <w:tcW w:w="2820" w:type="dxa"/>
            <w:vAlign w:val="bottom"/>
            <w:tcBorders>
              <w:left w:val="single" w:sz="8" w:color="auto"/>
              <w:bottom w:val="single" w:sz="8" w:color="auto"/>
              <w:right w:val="single" w:sz="8" w:color="auto"/>
            </w:tcBorders>
          </w:tcPr>
          <w:p>
            <w:pPr>
              <w:ind w:left="60"/>
              <w:spacing w:after="0" w:line="238" w:lineRule="exact"/>
              <w:rPr>
                <w:sz w:val="20"/>
                <w:szCs w:val="20"/>
                <w:color w:val="auto"/>
              </w:rPr>
            </w:pPr>
            <w:r>
              <w:rPr>
                <w:rFonts w:ascii="Calibri" w:cs="Calibri" w:eastAsia="Calibri" w:hAnsi="Calibri"/>
                <w:sz w:val="13"/>
                <w:szCs w:val="13"/>
                <w:color w:val="auto"/>
              </w:rPr>
              <w:t xml:space="preserve">Net Fee Income </w:t>
            </w:r>
            <w:r>
              <w:rPr>
                <w:rFonts w:ascii="Calibri" w:cs="Calibri" w:eastAsia="Calibri" w:hAnsi="Calibri"/>
                <w:sz w:val="22"/>
                <w:szCs w:val="22"/>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3"/>
              <w:spacing w:after="0"/>
              <w:rPr>
                <w:sz w:val="20"/>
                <w:szCs w:val="20"/>
                <w:color w:val="auto"/>
              </w:rPr>
            </w:pPr>
            <w:r>
              <w:rPr>
                <w:rFonts w:ascii="Calibri" w:cs="Calibri" w:eastAsia="Calibri" w:hAnsi="Calibri"/>
                <w:sz w:val="13"/>
                <w:szCs w:val="13"/>
                <w:color w:val="auto"/>
              </w:rPr>
              <w:t>36.4</w:t>
            </w: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13"/>
                <w:szCs w:val="13"/>
                <w:color w:val="auto"/>
              </w:rPr>
              <w:t>83.5</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color w:val="auto"/>
              </w:rPr>
              <w:t>114.7</w:t>
            </w:r>
          </w:p>
        </w:tc>
        <w:tc>
          <w:tcPr>
            <w:tcW w:w="940" w:type="dxa"/>
            <w:vAlign w:val="bottom"/>
            <w:tcBorders>
              <w:bottom w:val="single" w:sz="8" w:color="auto"/>
            </w:tcBorders>
          </w:tcPr>
          <w:p>
            <w:pPr>
              <w:jc w:val="right"/>
              <w:ind w:right="233"/>
              <w:spacing w:after="0"/>
              <w:rPr>
                <w:sz w:val="20"/>
                <w:szCs w:val="20"/>
                <w:color w:val="auto"/>
              </w:rPr>
            </w:pPr>
            <w:r>
              <w:rPr>
                <w:rFonts w:ascii="Calibri" w:cs="Calibri" w:eastAsia="Calibri" w:hAnsi="Calibri"/>
                <w:sz w:val="13"/>
                <w:szCs w:val="13"/>
                <w:color w:val="auto"/>
              </w:rPr>
              <w:t>37.4%</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215.0%</w:t>
            </w:r>
          </w:p>
        </w:tc>
        <w:tc>
          <w:tcPr>
            <w:tcW w:w="2000" w:type="dxa"/>
            <w:vAlign w:val="bottom"/>
            <w:tcBorders>
              <w:bottom w:val="single" w:sz="8" w:color="auto"/>
            </w:tcBorders>
          </w:tcPr>
          <w:p>
            <w:pPr>
              <w:jc w:val="right"/>
              <w:ind w:right="433"/>
              <w:spacing w:after="0"/>
              <w:rPr>
                <w:sz w:val="20"/>
                <w:szCs w:val="20"/>
                <w:color w:val="auto"/>
              </w:rPr>
            </w:pPr>
            <w:r>
              <w:rPr>
                <w:rFonts w:ascii="Calibri" w:cs="Calibri" w:eastAsia="Calibri" w:hAnsi="Calibri"/>
                <w:sz w:val="13"/>
                <w:szCs w:val="13"/>
                <w:color w:val="auto"/>
              </w:rPr>
              <w:t>75.3</w:t>
            </w:r>
          </w:p>
        </w:tc>
        <w:tc>
          <w:tcPr>
            <w:tcW w:w="660" w:type="dxa"/>
            <w:vAlign w:val="bottom"/>
            <w:tcBorders>
              <w:bottom w:val="single" w:sz="8" w:color="auto"/>
              <w:right w:val="single" w:sz="8" w:color="auto"/>
            </w:tcBorders>
          </w:tcPr>
          <w:p>
            <w:pPr>
              <w:jc w:val="right"/>
              <w:ind w:right="13"/>
              <w:spacing w:after="0"/>
              <w:rPr>
                <w:sz w:val="20"/>
                <w:szCs w:val="20"/>
                <w:color w:val="auto"/>
              </w:rPr>
            </w:pPr>
            <w:r>
              <w:rPr>
                <w:rFonts w:ascii="Calibri" w:cs="Calibri" w:eastAsia="Calibri" w:hAnsi="Calibri"/>
                <w:sz w:val="13"/>
                <w:szCs w:val="13"/>
                <w:color w:val="auto"/>
              </w:rPr>
              <w:t>261.1</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246.6%</w:t>
            </w:r>
          </w:p>
        </w:tc>
        <w:tc>
          <w:tcPr>
            <w:tcW w:w="0" w:type="dxa"/>
            <w:vAlign w:val="bottom"/>
          </w:tcPr>
          <w:p>
            <w:pPr>
              <w:spacing w:after="0"/>
              <w:rPr>
                <w:sz w:val="1"/>
                <w:szCs w:val="1"/>
                <w:color w:val="auto"/>
              </w:rPr>
            </w:pPr>
          </w:p>
        </w:tc>
      </w:tr>
      <w:tr>
        <w:trPr>
          <w:trHeight w:val="160"/>
        </w:trPr>
        <w:tc>
          <w:tcPr>
            <w:tcW w:w="282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Total Income</w:t>
            </w:r>
          </w:p>
        </w:tc>
        <w:tc>
          <w:tcPr>
            <w:tcW w:w="240" w:type="dxa"/>
            <w:vAlign w:val="bottom"/>
          </w:tcPr>
          <w:p>
            <w:pPr>
              <w:spacing w:after="0"/>
              <w:rPr>
                <w:sz w:val="13"/>
                <w:szCs w:val="13"/>
                <w:color w:val="auto"/>
              </w:rPr>
            </w:pPr>
          </w:p>
        </w:tc>
        <w:tc>
          <w:tcPr>
            <w:tcW w:w="880" w:type="dxa"/>
            <w:vAlign w:val="bottom"/>
          </w:tcPr>
          <w:p>
            <w:pPr>
              <w:jc w:val="right"/>
              <w:ind w:right="213"/>
              <w:spacing w:after="0"/>
              <w:rPr>
                <w:sz w:val="20"/>
                <w:szCs w:val="20"/>
                <w:color w:val="auto"/>
              </w:rPr>
            </w:pPr>
            <w:r>
              <w:rPr>
                <w:rFonts w:ascii="Calibri" w:cs="Calibri" w:eastAsia="Calibri" w:hAnsi="Calibri"/>
                <w:sz w:val="13"/>
                <w:szCs w:val="13"/>
                <w:color w:val="auto"/>
              </w:rPr>
              <w:t>82.6</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143.8</w:t>
            </w:r>
          </w:p>
        </w:tc>
        <w:tc>
          <w:tcPr>
            <w:tcW w:w="260" w:type="dxa"/>
            <w:vAlign w:val="bottom"/>
          </w:tcPr>
          <w:p>
            <w:pPr>
              <w:spacing w:after="0"/>
              <w:rPr>
                <w:sz w:val="13"/>
                <w:szCs w:val="13"/>
                <w:color w:val="auto"/>
              </w:rPr>
            </w:pPr>
          </w:p>
        </w:tc>
        <w:tc>
          <w:tcPr>
            <w:tcW w:w="6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189.7</w:t>
            </w:r>
          </w:p>
        </w:tc>
        <w:tc>
          <w:tcPr>
            <w:tcW w:w="940" w:type="dxa"/>
            <w:vAlign w:val="bottom"/>
          </w:tcPr>
          <w:p>
            <w:pPr>
              <w:jc w:val="right"/>
              <w:ind w:right="233"/>
              <w:spacing w:after="0"/>
              <w:rPr>
                <w:sz w:val="20"/>
                <w:szCs w:val="20"/>
                <w:color w:val="auto"/>
              </w:rPr>
            </w:pPr>
            <w:r>
              <w:rPr>
                <w:rFonts w:ascii="Calibri" w:cs="Calibri" w:eastAsia="Calibri" w:hAnsi="Calibri"/>
                <w:sz w:val="13"/>
                <w:szCs w:val="13"/>
                <w:color w:val="auto"/>
              </w:rPr>
              <w:t>31.9%</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129.8%</w:t>
            </w:r>
          </w:p>
        </w:tc>
        <w:tc>
          <w:tcPr>
            <w:tcW w:w="2000" w:type="dxa"/>
            <w:vAlign w:val="bottom"/>
          </w:tcPr>
          <w:p>
            <w:pPr>
              <w:jc w:val="right"/>
              <w:ind w:right="433"/>
              <w:spacing w:after="0"/>
              <w:rPr>
                <w:sz w:val="20"/>
                <w:szCs w:val="20"/>
                <w:color w:val="auto"/>
              </w:rPr>
            </w:pPr>
            <w:r>
              <w:rPr>
                <w:rFonts w:ascii="Calibri" w:cs="Calibri" w:eastAsia="Calibri" w:hAnsi="Calibri"/>
                <w:sz w:val="13"/>
                <w:szCs w:val="13"/>
                <w:color w:val="auto"/>
              </w:rPr>
              <w:t>183.5</w:t>
            </w:r>
          </w:p>
        </w:tc>
        <w:tc>
          <w:tcPr>
            <w:tcW w:w="660" w:type="dxa"/>
            <w:vAlign w:val="bottom"/>
            <w:tcBorders>
              <w:right w:val="single" w:sz="8" w:color="auto"/>
            </w:tcBorders>
          </w:tcPr>
          <w:p>
            <w:pPr>
              <w:jc w:val="right"/>
              <w:ind w:right="13"/>
              <w:spacing w:after="0"/>
              <w:rPr>
                <w:sz w:val="20"/>
                <w:szCs w:val="20"/>
                <w:color w:val="auto"/>
              </w:rPr>
            </w:pPr>
            <w:r>
              <w:rPr>
                <w:rFonts w:ascii="Calibri" w:cs="Calibri" w:eastAsia="Calibri" w:hAnsi="Calibri"/>
                <w:sz w:val="13"/>
                <w:szCs w:val="13"/>
                <w:color w:val="auto"/>
              </w:rPr>
              <w:t>450.5</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145.4%</w:t>
            </w:r>
          </w:p>
        </w:tc>
        <w:tc>
          <w:tcPr>
            <w:tcW w:w="0" w:type="dxa"/>
            <w:vAlign w:val="bottom"/>
          </w:tcPr>
          <w:p>
            <w:pPr>
              <w:spacing w:after="0"/>
              <w:rPr>
                <w:sz w:val="1"/>
                <w:szCs w:val="1"/>
                <w:color w:val="auto"/>
              </w:rPr>
            </w:pPr>
          </w:p>
        </w:tc>
      </w:tr>
      <w:tr>
        <w:trPr>
          <w:trHeight w:val="36"/>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820" w:type="dxa"/>
            <w:vAlign w:val="bottom"/>
            <w:tcBorders>
              <w:left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Total Expenses</w:t>
            </w:r>
          </w:p>
        </w:tc>
        <w:tc>
          <w:tcPr>
            <w:tcW w:w="240" w:type="dxa"/>
            <w:vAlign w:val="bottom"/>
          </w:tcPr>
          <w:p>
            <w:pPr>
              <w:jc w:val="right"/>
              <w:ind w:right="93"/>
              <w:spacing w:after="0"/>
              <w:rPr>
                <w:sz w:val="20"/>
                <w:szCs w:val="20"/>
                <w:color w:val="auto"/>
              </w:rPr>
            </w:pPr>
            <w:r>
              <w:rPr>
                <w:rFonts w:ascii="Calibri" w:cs="Calibri" w:eastAsia="Calibri" w:hAnsi="Calibri"/>
                <w:sz w:val="13"/>
                <w:szCs w:val="13"/>
                <w:color w:val="auto"/>
              </w:rPr>
              <w:t>-</w:t>
            </w:r>
          </w:p>
        </w:tc>
        <w:tc>
          <w:tcPr>
            <w:tcW w:w="880" w:type="dxa"/>
            <w:vAlign w:val="bottom"/>
          </w:tcPr>
          <w:p>
            <w:pPr>
              <w:jc w:val="right"/>
              <w:ind w:right="53"/>
              <w:spacing w:after="0"/>
              <w:rPr>
                <w:sz w:val="20"/>
                <w:szCs w:val="20"/>
                <w:color w:val="auto"/>
              </w:rPr>
            </w:pPr>
            <w:r>
              <w:rPr>
                <w:rFonts w:ascii="Calibri" w:cs="Calibri" w:eastAsia="Calibri" w:hAnsi="Calibri"/>
                <w:sz w:val="13"/>
                <w:szCs w:val="13"/>
                <w:color w:val="auto"/>
              </w:rPr>
              <w:t>107.4  -</w:t>
            </w:r>
          </w:p>
        </w:tc>
        <w:tc>
          <w:tcPr>
            <w:tcW w:w="720" w:type="dxa"/>
            <w:vAlign w:val="bottom"/>
          </w:tcPr>
          <w:p>
            <w:pPr>
              <w:jc w:val="right"/>
              <w:spacing w:after="0"/>
              <w:rPr>
                <w:sz w:val="20"/>
                <w:szCs w:val="20"/>
                <w:color w:val="auto"/>
              </w:rPr>
            </w:pPr>
            <w:r>
              <w:rPr>
                <w:rFonts w:ascii="Calibri" w:cs="Calibri" w:eastAsia="Calibri" w:hAnsi="Calibri"/>
                <w:sz w:val="13"/>
                <w:szCs w:val="13"/>
                <w:color w:val="auto"/>
              </w:rPr>
              <w:t>139.2</w:t>
            </w:r>
          </w:p>
        </w:tc>
        <w:tc>
          <w:tcPr>
            <w:tcW w:w="260" w:type="dxa"/>
            <w:vAlign w:val="bottom"/>
          </w:tcPr>
          <w:p>
            <w:pPr>
              <w:jc w:val="right"/>
              <w:ind w:right="93"/>
              <w:spacing w:after="0"/>
              <w:rPr>
                <w:sz w:val="20"/>
                <w:szCs w:val="20"/>
                <w:color w:val="auto"/>
              </w:rPr>
            </w:pPr>
            <w:r>
              <w:rPr>
                <w:rFonts w:ascii="Calibri" w:cs="Calibri" w:eastAsia="Calibri" w:hAnsi="Calibri"/>
                <w:sz w:val="13"/>
                <w:szCs w:val="13"/>
                <w:color w:val="auto"/>
              </w:rPr>
              <w:t>-</w:t>
            </w:r>
          </w:p>
        </w:tc>
        <w:tc>
          <w:tcPr>
            <w:tcW w:w="6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161.5</w:t>
            </w:r>
          </w:p>
        </w:tc>
        <w:tc>
          <w:tcPr>
            <w:tcW w:w="940" w:type="dxa"/>
            <w:vAlign w:val="bottom"/>
          </w:tcPr>
          <w:p>
            <w:pPr>
              <w:jc w:val="right"/>
              <w:ind w:right="233"/>
              <w:spacing w:after="0"/>
              <w:rPr>
                <w:sz w:val="20"/>
                <w:szCs w:val="20"/>
                <w:color w:val="auto"/>
              </w:rPr>
            </w:pPr>
            <w:r>
              <w:rPr>
                <w:rFonts w:ascii="Calibri" w:cs="Calibri" w:eastAsia="Calibri" w:hAnsi="Calibri"/>
                <w:sz w:val="13"/>
                <w:szCs w:val="13"/>
                <w:color w:val="auto"/>
              </w:rPr>
              <w:t>16.0%</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50.4%</w:t>
            </w:r>
          </w:p>
        </w:tc>
        <w:tc>
          <w:tcPr>
            <w:tcW w:w="2000" w:type="dxa"/>
            <w:vAlign w:val="bottom"/>
          </w:tcPr>
          <w:p>
            <w:pPr>
              <w:jc w:val="right"/>
              <w:ind w:right="193"/>
              <w:spacing w:after="0"/>
              <w:rPr>
                <w:sz w:val="20"/>
                <w:szCs w:val="20"/>
                <w:color w:val="auto"/>
              </w:rPr>
            </w:pPr>
            <w:r>
              <w:rPr>
                <w:rFonts w:ascii="Calibri" w:cs="Calibri" w:eastAsia="Calibri" w:hAnsi="Calibri"/>
                <w:sz w:val="13"/>
                <w:szCs w:val="13"/>
                <w:color w:val="auto"/>
              </w:rPr>
              <w:t>-  306.4   -</w:t>
            </w:r>
          </w:p>
        </w:tc>
        <w:tc>
          <w:tcPr>
            <w:tcW w:w="660" w:type="dxa"/>
            <w:vAlign w:val="bottom"/>
            <w:tcBorders>
              <w:right w:val="single" w:sz="8" w:color="auto"/>
            </w:tcBorders>
          </w:tcPr>
          <w:p>
            <w:pPr>
              <w:jc w:val="right"/>
              <w:ind w:right="13"/>
              <w:spacing w:after="0"/>
              <w:rPr>
                <w:sz w:val="20"/>
                <w:szCs w:val="20"/>
                <w:color w:val="auto"/>
              </w:rPr>
            </w:pPr>
            <w:r>
              <w:rPr>
                <w:rFonts w:ascii="Calibri" w:cs="Calibri" w:eastAsia="Calibri" w:hAnsi="Calibri"/>
                <w:sz w:val="13"/>
                <w:szCs w:val="13"/>
                <w:color w:val="auto"/>
              </w:rPr>
              <w:t>428.8</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39.9%</w:t>
            </w:r>
          </w:p>
        </w:tc>
        <w:tc>
          <w:tcPr>
            <w:tcW w:w="0" w:type="dxa"/>
            <w:vAlign w:val="bottom"/>
          </w:tcPr>
          <w:p>
            <w:pPr>
              <w:spacing w:after="0"/>
              <w:rPr>
                <w:sz w:val="1"/>
                <w:szCs w:val="1"/>
                <w:color w:val="auto"/>
              </w:rPr>
            </w:pPr>
          </w:p>
        </w:tc>
      </w:tr>
      <w:tr>
        <w:trPr>
          <w:trHeight w:val="22"/>
        </w:trPr>
        <w:tc>
          <w:tcPr>
            <w:tcW w:w="2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80" w:hanging="172"/>
        <w:spacing w:after="0" w:line="200" w:lineRule="auto"/>
        <w:tabs>
          <w:tab w:leader="none" w:pos="180" w:val="left"/>
        </w:tabs>
        <w:numPr>
          <w:ilvl w:val="0"/>
          <w:numId w:val="10"/>
        </w:numPr>
        <w:rPr>
          <w:rFonts w:ascii="Calibri" w:cs="Calibri" w:eastAsia="Calibri" w:hAnsi="Calibri"/>
          <w:sz w:val="12"/>
          <w:szCs w:val="12"/>
          <w:color w:val="auto"/>
        </w:rPr>
      </w:pPr>
      <w:r>
        <w:rPr>
          <w:rFonts w:ascii="Calibri" w:cs="Calibri" w:eastAsia="Calibri" w:hAnsi="Calibri"/>
          <w:sz w:val="12"/>
          <w:szCs w:val="12"/>
          <w:color w:val="auto"/>
        </w:rPr>
        <w:t>Management fgures.</w:t>
      </w:r>
    </w:p>
    <w:p>
      <w:pPr>
        <w:ind w:left="180" w:hanging="172"/>
        <w:spacing w:after="0" w:line="221" w:lineRule="auto"/>
        <w:tabs>
          <w:tab w:leader="none" w:pos="180" w:val="left"/>
        </w:tabs>
        <w:numPr>
          <w:ilvl w:val="0"/>
          <w:numId w:val="10"/>
        </w:numPr>
        <w:rPr>
          <w:rFonts w:ascii="Calibri" w:cs="Calibri" w:eastAsia="Calibri" w:hAnsi="Calibri"/>
          <w:sz w:val="12"/>
          <w:szCs w:val="12"/>
          <w:color w:val="auto"/>
        </w:rPr>
      </w:pPr>
      <w:r>
        <w:rPr>
          <w:rFonts w:ascii="Calibri" w:cs="Calibri" w:eastAsia="Calibri" w:hAnsi="Calibri"/>
          <w:sz w:val="12"/>
          <w:szCs w:val="12"/>
          <w:color w:val="auto"/>
        </w:rPr>
        <w:t>Includes fee income recorded in BCP; as well fee income recorded in Yape Market.</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b w:val="1"/>
          <w:bCs w:val="1"/>
          <w:color w:val="auto"/>
        </w:rPr>
        <w:t>Payments</w:t>
      </w:r>
      <w:r>
        <w:rPr>
          <w:rFonts w:ascii="Calibri" w:cs="Calibri" w:eastAsia="Calibri" w:hAnsi="Calibri"/>
          <w:sz w:val="18"/>
          <w:szCs w:val="18"/>
          <w:color w:val="auto"/>
        </w:rPr>
        <w:t xml:space="preserve"> business, which holds the largest share of total income at Yape (56% as of 3Q24), was boosted by Yape businesses (which ofers value-added services for businesses), Bill payments and QR code payments through POS. Income in the </w:t>
      </w:r>
      <w:r>
        <w:rPr>
          <w:rFonts w:ascii="Calibri" w:cs="Calibri" w:eastAsia="Calibri" w:hAnsi="Calibri"/>
          <w:sz w:val="18"/>
          <w:szCs w:val="18"/>
          <w:b w:val="1"/>
          <w:bCs w:val="1"/>
          <w:color w:val="auto"/>
        </w:rPr>
        <w:t>Financial</w:t>
      </w:r>
      <w:r>
        <w:rPr>
          <w:rFonts w:ascii="Calibri" w:cs="Calibri" w:eastAsia="Calibri" w:hAnsi="Calibri"/>
          <w:sz w:val="18"/>
          <w:szCs w:val="18"/>
          <w:color w:val="auto"/>
        </w:rPr>
        <w:t xml:space="preserve"> business made 40% of 3Q24 total income. Finally, income from Yape </w:t>
      </w:r>
      <w:r>
        <w:rPr>
          <w:rFonts w:ascii="Calibri" w:cs="Calibri" w:eastAsia="Calibri" w:hAnsi="Calibri"/>
          <w:sz w:val="18"/>
          <w:szCs w:val="18"/>
          <w:b w:val="1"/>
          <w:bCs w:val="1"/>
          <w:color w:val="auto"/>
        </w:rPr>
        <w:t>Marketplace</w:t>
      </w:r>
      <w:r>
        <w:rPr>
          <w:rFonts w:ascii="Calibri" w:cs="Calibri" w:eastAsia="Calibri" w:hAnsi="Calibri"/>
          <w:sz w:val="18"/>
          <w:szCs w:val="18"/>
          <w:color w:val="auto"/>
        </w:rPr>
        <w:t xml:space="preserve"> were led by income from Yape promos, and represented 4% of total income.</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6" w:name="page17"/>
    <w:bookmarkEnd w:id="16"/>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7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3723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356"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Credicorp’s Strategy Update</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Integratng Sustainability in Our Businesses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For more informaton on our sustainability strategy, program and initatves, please reviews “</w:t>
      </w:r>
      <w:r>
        <w:rPr>
          <w:rFonts w:ascii="Calibri" w:cs="Calibri" w:eastAsia="Calibri" w:hAnsi="Calibri"/>
          <w:sz w:val="18"/>
          <w:szCs w:val="18"/>
          <w:u w:val="single" w:color="auto"/>
          <w:color w:val="auto"/>
        </w:rPr>
        <w:t>Sustainability Strategy 2020-25”</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auto"/>
        </w:rPr>
        <w:t>The Annual and</w:t>
      </w:r>
    </w:p>
    <w:p>
      <w:pPr>
        <w:spacing w:after="0" w:line="235" w:lineRule="auto"/>
        <w:rPr>
          <w:sz w:val="20"/>
          <w:szCs w:val="20"/>
          <w:color w:val="auto"/>
        </w:rPr>
      </w:pPr>
      <w:r>
        <w:rPr>
          <w:rFonts w:ascii="Calibri" w:cs="Calibri" w:eastAsia="Calibri" w:hAnsi="Calibri"/>
          <w:sz w:val="18"/>
          <w:szCs w:val="18"/>
          <w:u w:val="single" w:color="auto"/>
          <w:color w:val="auto"/>
        </w:rPr>
        <w:t>Sustainability Report 2023</w:t>
      </w:r>
      <w:r>
        <w:rPr>
          <w:rFonts w:ascii="Calibri" w:cs="Calibri" w:eastAsia="Calibri" w:hAnsi="Calibri"/>
          <w:sz w:val="18"/>
          <w:szCs w:val="18"/>
          <w:color w:val="auto"/>
        </w:rPr>
        <w:t>. Among the milestone hit in 3Q24 in the framework of the Sustainability Program, the following stand out:</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Environmental Front – Driving environmental sustainability in the fnancial sector and ESG risk management</w:t>
      </w:r>
    </w:p>
    <w:p>
      <w:pPr>
        <w:spacing w:after="0" w:line="204" w:lineRule="exact"/>
        <w:rPr>
          <w:sz w:val="20"/>
          <w:szCs w:val="20"/>
          <w:color w:val="auto"/>
        </w:rPr>
      </w:pPr>
    </w:p>
    <w:p>
      <w:pPr>
        <w:ind w:left="340" w:hanging="332"/>
        <w:spacing w:after="0" w:line="180" w:lineRule="auto"/>
        <w:tabs>
          <w:tab w:leader="none" w:pos="340" w:val="left"/>
        </w:tabs>
        <w:numPr>
          <w:ilvl w:val="0"/>
          <w:numId w:val="1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Portolio emissions: </w:t>
      </w:r>
      <w:r>
        <w:rPr>
          <w:rFonts w:ascii="Calibri" w:cs="Calibri" w:eastAsia="Calibri" w:hAnsi="Calibri"/>
          <w:sz w:val="18"/>
          <w:szCs w:val="18"/>
          <w:color w:val="auto"/>
        </w:rPr>
        <w:t>Credicorp formally adhered to PCAF</w:t>
      </w:r>
      <w:r>
        <w:rPr>
          <w:rFonts w:ascii="Calibri" w:cs="Calibri" w:eastAsia="Calibri" w:hAnsi="Calibri"/>
          <w:sz w:val="29"/>
          <w:szCs w:val="29"/>
          <w:color w:val="auto"/>
          <w:vertAlign w:val="superscript"/>
        </w:rPr>
        <w:t>1</w:t>
      </w:r>
      <w:r>
        <w:rPr>
          <w:rFonts w:ascii="Calibri" w:cs="Calibri" w:eastAsia="Calibri" w:hAnsi="Calibri"/>
          <w:sz w:val="18"/>
          <w:szCs w:val="18"/>
          <w:color w:val="auto"/>
        </w:rPr>
        <w:t>, a global initatve to standardize and disclose the measurements of fnanced emissions. In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framework of this methodology, our subsidiaries advanced as follows:</w:t>
      </w:r>
    </w:p>
    <w:p>
      <w:pPr>
        <w:spacing w:after="0" w:line="1" w:lineRule="exact"/>
        <w:rPr>
          <w:rFonts w:ascii="Calibri" w:cs="Calibri" w:eastAsia="Calibri" w:hAnsi="Calibri"/>
          <w:sz w:val="18"/>
          <w:szCs w:val="18"/>
          <w:color w:val="auto"/>
        </w:rPr>
      </w:pPr>
    </w:p>
    <w:p>
      <w:pPr>
        <w:ind w:left="980" w:hanging="324"/>
        <w:spacing w:after="0" w:line="235" w:lineRule="auto"/>
        <w:rPr>
          <w:rFonts w:ascii="Calibri" w:cs="Calibri" w:eastAsia="Calibri" w:hAnsi="Calibri"/>
          <w:sz w:val="18"/>
          <w:szCs w:val="18"/>
          <w:color w:val="auto"/>
        </w:rPr>
      </w:pPr>
      <w:r>
        <w:rPr>
          <w:rFonts w:ascii="Calibri" w:cs="Calibri" w:eastAsia="Calibri" w:hAnsi="Calibri"/>
          <w:sz w:val="18"/>
          <w:szCs w:val="18"/>
          <w:color w:val="auto"/>
        </w:rPr>
        <w:t>o BCP Bolivia: completed its frst measurement of the emissions for prioritzed segments in the wholesale loan portolio; 50% of the total portolio was measured. This achievement was predated by progress at BCP Peru, which measured its footprint at the beginning of the year.</w:t>
      </w:r>
    </w:p>
    <w:p>
      <w:pPr>
        <w:ind w:left="66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o   Pacífco Seguros: the underwritng team received training on the PCAF methodology and began to measure its footprint.</w:t>
      </w:r>
    </w:p>
    <w:p>
      <w:pPr>
        <w:spacing w:after="0" w:line="1" w:lineRule="exact"/>
        <w:rPr>
          <w:rFonts w:ascii="Calibri" w:cs="Calibri" w:eastAsia="Calibri" w:hAnsi="Calibri"/>
          <w:sz w:val="18"/>
          <w:szCs w:val="18"/>
          <w:color w:val="auto"/>
        </w:rPr>
      </w:pPr>
    </w:p>
    <w:p>
      <w:pPr>
        <w:ind w:left="980" w:hanging="324"/>
        <w:spacing w:after="0" w:line="235" w:lineRule="auto"/>
        <w:rPr>
          <w:rFonts w:ascii="Calibri" w:cs="Calibri" w:eastAsia="Calibri" w:hAnsi="Calibri"/>
          <w:sz w:val="18"/>
          <w:szCs w:val="18"/>
          <w:color w:val="auto"/>
        </w:rPr>
      </w:pPr>
      <w:r>
        <w:rPr>
          <w:rFonts w:ascii="Calibri" w:cs="Calibri" w:eastAsia="Calibri" w:hAnsi="Calibri"/>
          <w:sz w:val="18"/>
          <w:szCs w:val="18"/>
          <w:color w:val="auto"/>
        </w:rPr>
        <w:t>o To bridge a data gap, Credicorp conducted a study of emission factors in the Peruvian economy to improve the coverage and quality of local fnance enttes’ emission measurements. This document, which was developed with Universidad del Pacífco, will be available to the public afer an external validaton has been performed. The objectve is to help other fnancial insttutons efectvely align their measurements with PCAF’s methodology.</w:t>
      </w:r>
    </w:p>
    <w:p>
      <w:pPr>
        <w:spacing w:after="0" w:line="3" w:lineRule="exact"/>
        <w:rPr>
          <w:rFonts w:ascii="Calibri" w:cs="Calibri" w:eastAsia="Calibri" w:hAnsi="Calibri"/>
          <w:sz w:val="18"/>
          <w:szCs w:val="18"/>
          <w:color w:val="auto"/>
        </w:rPr>
      </w:pPr>
    </w:p>
    <w:p>
      <w:pPr>
        <w:jc w:val="both"/>
        <w:ind w:left="340" w:hanging="332"/>
        <w:spacing w:after="0" w:line="235" w:lineRule="auto"/>
        <w:tabs>
          <w:tab w:leader="none" w:pos="340" w:val="left"/>
        </w:tabs>
        <w:numPr>
          <w:ilvl w:val="0"/>
          <w:numId w:val="1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Opportunites for sustainable businesses</w:t>
      </w:r>
      <w:r>
        <w:rPr>
          <w:rFonts w:ascii="Calibri" w:cs="Calibri" w:eastAsia="Calibri" w:hAnsi="Calibri"/>
          <w:sz w:val="18"/>
          <w:szCs w:val="18"/>
          <w:color w:val="auto"/>
        </w:rPr>
        <w:t>: Under our objectve to accompany our clients as they adopt beter socio- environmental practces, BCP had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disbursed US$ 1,101 million in sustainable loans as of September 2024. BCP hit a signifcant milestone this quarter when it disbursed its frst Sustainability Linked Loan (SLL) to the Peruvian company </w:t>
      </w:r>
      <w:r>
        <w:rPr>
          <w:rFonts w:ascii="Calibri" w:cs="Calibri" w:eastAsia="Calibri" w:hAnsi="Calibri"/>
          <w:sz w:val="18"/>
          <w:szCs w:val="18"/>
          <w:i w:val="1"/>
          <w:iCs w:val="1"/>
          <w:color w:val="auto"/>
        </w:rPr>
        <w:t>Compañía de Minas Buenaventura</w:t>
      </w:r>
      <w:r>
        <w:rPr>
          <w:rFonts w:ascii="Calibri" w:cs="Calibri" w:eastAsia="Calibri" w:hAnsi="Calibri"/>
          <w:sz w:val="18"/>
          <w:szCs w:val="18"/>
          <w:color w:val="auto"/>
        </w:rPr>
        <w:t>. SLL ofers favorable lending conditons upon verifcaton of fulfllment of KPIs for sustainability in areas such as water use efciency, local employment and occupatonal health and safety. At BCP Bolivia, US$ 46 million had been disbursed in green loans as of 3Q24.</w:t>
      </w:r>
    </w:p>
    <w:p>
      <w:pPr>
        <w:spacing w:after="0" w:line="3"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1"/>
        </w:numPr>
        <w:rPr>
          <w:rFonts w:ascii="Calibri" w:cs="Calibri" w:eastAsia="Calibri" w:hAnsi="Calibri"/>
          <w:sz w:val="18"/>
          <w:szCs w:val="18"/>
          <w:b w:val="1"/>
          <w:bCs w:val="1"/>
          <w:i w:val="1"/>
          <w:iCs w:val="1"/>
          <w:color w:val="auto"/>
        </w:rPr>
      </w:pPr>
      <w:r>
        <w:rPr>
          <w:rFonts w:ascii="Calibri" w:cs="Calibri" w:eastAsia="Calibri" w:hAnsi="Calibri"/>
          <w:sz w:val="18"/>
          <w:szCs w:val="18"/>
          <w:b w:val="1"/>
          <w:bCs w:val="1"/>
          <w:i w:val="1"/>
          <w:iCs w:val="1"/>
          <w:color w:val="auto"/>
        </w:rPr>
        <w:t>ESG Risks:</w:t>
      </w:r>
    </w:p>
    <w:p>
      <w:pPr>
        <w:spacing w:after="0" w:line="2" w:lineRule="exact"/>
        <w:rPr>
          <w:sz w:val="20"/>
          <w:szCs w:val="20"/>
          <w:color w:val="auto"/>
        </w:rPr>
      </w:pPr>
    </w:p>
    <w:p>
      <w:pPr>
        <w:jc w:val="both"/>
        <w:ind w:left="980" w:hanging="324"/>
        <w:spacing w:after="0" w:line="184" w:lineRule="auto"/>
        <w:tabs>
          <w:tab w:leader="none" w:pos="980" w:val="left"/>
        </w:tabs>
        <w:numPr>
          <w:ilvl w:val="0"/>
          <w:numId w:val="12"/>
        </w:numPr>
        <w:rPr>
          <w:rFonts w:ascii="Calibri" w:cs="Calibri" w:eastAsia="Calibri" w:hAnsi="Calibri"/>
          <w:sz w:val="41"/>
          <w:szCs w:val="41"/>
          <w:color w:val="auto"/>
          <w:vertAlign w:val="subscript"/>
        </w:rPr>
      </w:pPr>
      <w:r>
        <w:rPr>
          <w:rFonts w:ascii="Calibri" w:cs="Calibri" w:eastAsia="Calibri" w:hAnsi="Calibri"/>
          <w:sz w:val="17"/>
          <w:szCs w:val="17"/>
          <w:color w:val="auto"/>
        </w:rPr>
        <w:t xml:space="preserve">In terms of the ESG Risk Enabler for the </w:t>
      </w:r>
      <w:r>
        <w:rPr>
          <w:rFonts w:ascii="Calibri" w:cs="Calibri" w:eastAsia="Calibri" w:hAnsi="Calibri"/>
          <w:sz w:val="17"/>
          <w:szCs w:val="17"/>
          <w:b w:val="1"/>
          <w:bCs w:val="1"/>
          <w:color w:val="auto"/>
        </w:rPr>
        <w:t>investment Front</w:t>
      </w:r>
      <w:r>
        <w:rPr>
          <w:rFonts w:ascii="Calibri" w:cs="Calibri" w:eastAsia="Calibri" w:hAnsi="Calibri"/>
          <w:sz w:val="17"/>
          <w:szCs w:val="17"/>
          <w:color w:val="auto"/>
        </w:rPr>
        <w:t>, ESG evaluatons of diferent types of prioritzed assets contnued. These assessments use the instruments developed for this purpose (including questonnaires and internal scores). The Commitee for Exclusions also conducted a quarterly review of exclusions under the code of conduct. As of the date of publicaton of this document, all issuers had met the conditons laid out in the Policies for Responsible and Sustainable Investments.</w:t>
      </w:r>
    </w:p>
    <w:p>
      <w:pPr>
        <w:spacing w:after="0" w:line="3" w:lineRule="exact"/>
        <w:rPr>
          <w:rFonts w:ascii="Calibri" w:cs="Calibri" w:eastAsia="Calibri" w:hAnsi="Calibri"/>
          <w:sz w:val="41"/>
          <w:szCs w:val="41"/>
          <w:color w:val="auto"/>
          <w:vertAlign w:val="subscript"/>
        </w:rPr>
      </w:pPr>
    </w:p>
    <w:p>
      <w:pPr>
        <w:jc w:val="both"/>
        <w:ind w:left="980" w:hanging="324"/>
        <w:spacing w:after="0" w:line="184" w:lineRule="auto"/>
        <w:tabs>
          <w:tab w:leader="none" w:pos="980" w:val="left"/>
        </w:tabs>
        <w:numPr>
          <w:ilvl w:val="0"/>
          <w:numId w:val="12"/>
        </w:numPr>
        <w:rPr>
          <w:rFonts w:ascii="Calibri" w:cs="Calibri" w:eastAsia="Calibri" w:hAnsi="Calibri"/>
          <w:sz w:val="41"/>
          <w:szCs w:val="41"/>
          <w:color w:val="auto"/>
          <w:vertAlign w:val="subscript"/>
        </w:rPr>
      </w:pPr>
      <w:r>
        <w:rPr>
          <w:rFonts w:ascii="Calibri" w:cs="Calibri" w:eastAsia="Calibri" w:hAnsi="Calibri"/>
          <w:sz w:val="17"/>
          <w:szCs w:val="17"/>
          <w:color w:val="auto"/>
        </w:rPr>
        <w:t xml:space="preserve">On the </w:t>
      </w:r>
      <w:r>
        <w:rPr>
          <w:rFonts w:ascii="Calibri" w:cs="Calibri" w:eastAsia="Calibri" w:hAnsi="Calibri"/>
          <w:sz w:val="17"/>
          <w:szCs w:val="17"/>
          <w:b w:val="1"/>
          <w:bCs w:val="1"/>
          <w:color w:val="auto"/>
        </w:rPr>
        <w:t>fnancing front</w:t>
      </w:r>
      <w:r>
        <w:rPr>
          <w:rFonts w:ascii="Calibri" w:cs="Calibri" w:eastAsia="Calibri" w:hAnsi="Calibri"/>
          <w:sz w:val="17"/>
          <w:szCs w:val="17"/>
          <w:color w:val="auto"/>
        </w:rPr>
        <w:t>, progress contnued in ensuring that clients respond to ESG questonnaires. As of the third quarter, 61% of clients had answered questonnaires. The Lending teams at BCP Peru and Bolivia were trained on ESG risks and opportunites to update and strengthen knowledge about ESG (Environmental, Social and Governance) criteria and how it is applied in the questonnaires on ESG risk. Finally, the SME-Business banking team at BCP Peru began a course that provides an overview of sustainability concepts.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Social Front – Expanding fnancial inclusion and educatng about fnance and entrepreneurship</w:t>
      </w:r>
    </w:p>
    <w:p>
      <w:pPr>
        <w:spacing w:after="0" w:line="150" w:lineRule="exact"/>
        <w:rPr>
          <w:sz w:val="20"/>
          <w:szCs w:val="20"/>
          <w:color w:val="auto"/>
        </w:rPr>
      </w:pPr>
    </w:p>
    <w:p>
      <w:pPr>
        <w:jc w:val="both"/>
        <w:spacing w:after="0" w:line="210" w:lineRule="auto"/>
        <w:rPr>
          <w:sz w:val="20"/>
          <w:szCs w:val="20"/>
          <w:color w:val="auto"/>
        </w:rPr>
      </w:pPr>
      <w:r>
        <w:rPr>
          <w:rFonts w:ascii="Calibri" w:cs="Calibri" w:eastAsia="Calibri" w:hAnsi="Calibri"/>
          <w:sz w:val="18"/>
          <w:szCs w:val="18"/>
          <w:b w:val="1"/>
          <w:bCs w:val="1"/>
          <w:i w:val="1"/>
          <w:iCs w:val="1"/>
          <w:color w:val="auto"/>
        </w:rPr>
        <w:t>Financial Inclusion</w:t>
      </w:r>
      <w:r>
        <w:rPr>
          <w:rFonts w:ascii="Calibri" w:cs="Calibri" w:eastAsia="Calibri" w:hAnsi="Calibri"/>
          <w:sz w:val="18"/>
          <w:szCs w:val="18"/>
          <w:color w:val="auto"/>
        </w:rPr>
        <w:t>: In terms of milestones in 3Q24, BCP and Yape fnancially included 5.3 million people. Additonally, 331 thousand people obtained their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frst loan in the Financial System through Yape; 43% of this pool of borrowers were women. The “Agente Móvil” at BCP has traveled 33.3 thousand km and conducted since 2023 more than 30 thousand transactons in rural and urban locatons in 6 departments: Puno, Loreto, Junín, Piura, Arequipa and Lima provinces. Mibanco Perú, in turn, has banked more than 37 thousand people so far this year</w:t>
      </w:r>
      <w:r>
        <w:rPr>
          <w:rFonts w:ascii="Calibri" w:cs="Calibri" w:eastAsia="Calibri" w:hAnsi="Calibri"/>
          <w:sz w:val="29"/>
          <w:szCs w:val="29"/>
          <w:color w:val="auto"/>
          <w:vertAlign w:val="superscript"/>
        </w:rPr>
        <w:t>2</w:t>
      </w:r>
      <w:r>
        <w:rPr>
          <w:rFonts w:ascii="Calibri" w:cs="Calibri" w:eastAsia="Calibri" w:hAnsi="Calibri"/>
          <w:sz w:val="18"/>
          <w:szCs w:val="18"/>
          <w:color w:val="auto"/>
        </w:rPr>
        <w:t>; and has made more than 40 thousand disbursements of its Crediagua product, whose objectve is to improve the quality of life of clients by fnancing sanitary improvements.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Financial Educaton (FE)</w:t>
      </w:r>
      <w:r>
        <w:rPr>
          <w:rFonts w:ascii="Calibri" w:cs="Calibri" w:eastAsia="Calibri" w:hAnsi="Calibri"/>
          <w:sz w:val="18"/>
          <w:szCs w:val="18"/>
          <w:color w:val="auto"/>
        </w:rPr>
        <w:t>:</w:t>
      </w:r>
    </w:p>
    <w:p>
      <w:pPr>
        <w:spacing w:after="0" w:line="1" w:lineRule="exact"/>
        <w:rPr>
          <w:sz w:val="20"/>
          <w:szCs w:val="20"/>
          <w:color w:val="auto"/>
        </w:rPr>
      </w:pPr>
    </w:p>
    <w:p>
      <w:pPr>
        <w:jc w:val="both"/>
        <w:ind w:left="340" w:hanging="332"/>
        <w:spacing w:after="0" w:line="235" w:lineRule="auto"/>
        <w:tabs>
          <w:tab w:leader="none" w:pos="3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By the end of 3Q24, BCP had helped more than 257 thousand clients improve their knowledge of the banking system and improve their fnancial behavior. Educaton eforts focused on teaching clients about digital tools; increasing savings; heightening use of banking services/products; and informing clients about how to manage credit risk (reducing overindebtedness, overdrawing credit card lines, late payments).</w:t>
      </w:r>
    </w:p>
    <w:p>
      <w:pPr>
        <w:spacing w:after="0" w:line="1" w:lineRule="exact"/>
        <w:rPr>
          <w:rFonts w:ascii="Calibri" w:cs="Calibri" w:eastAsia="Calibri" w:hAnsi="Calibri"/>
          <w:sz w:val="18"/>
          <w:szCs w:val="18"/>
          <w:color w:val="auto"/>
        </w:rPr>
      </w:pPr>
    </w:p>
    <w:p>
      <w:pPr>
        <w:ind w:left="340" w:hanging="332"/>
        <w:spacing w:after="0" w:line="235" w:lineRule="auto"/>
        <w:tabs>
          <w:tab w:leader="none" w:pos="3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At Mibanco Perú, more than 273 thousand clients had been trained by the end of 3Q24 through the Basic Digital Advisory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1423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0"/>
          <w:szCs w:val="20"/>
          <w:color w:val="auto"/>
        </w:rPr>
      </w:pPr>
    </w:p>
    <w:p>
      <w:pPr>
        <w:ind w:left="120" w:hanging="112"/>
        <w:spacing w:after="0"/>
        <w:tabs>
          <w:tab w:leader="none" w:pos="120" w:val="left"/>
        </w:tabs>
        <w:numPr>
          <w:ilvl w:val="0"/>
          <w:numId w:val="14"/>
        </w:numPr>
        <w:rPr>
          <w:rFonts w:ascii="Calibri" w:cs="Calibri" w:eastAsia="Calibri" w:hAnsi="Calibri"/>
          <w:sz w:val="30"/>
          <w:szCs w:val="30"/>
          <w:color w:val="auto"/>
          <w:vertAlign w:val="superscript"/>
        </w:rPr>
      </w:pPr>
      <w:r>
        <w:rPr>
          <w:rFonts w:ascii="Calibri" w:cs="Calibri" w:eastAsia="Calibri" w:hAnsi="Calibri"/>
          <w:sz w:val="18"/>
          <w:szCs w:val="18"/>
          <w:color w:val="auto"/>
        </w:rPr>
        <w:t>Partnership for Carbon Accountng Financials</w:t>
      </w:r>
    </w:p>
    <w:p>
      <w:pPr>
        <w:spacing w:after="0" w:line="37" w:lineRule="exact"/>
        <w:rPr>
          <w:rFonts w:ascii="Calibri" w:cs="Calibri" w:eastAsia="Calibri" w:hAnsi="Calibri"/>
          <w:sz w:val="30"/>
          <w:szCs w:val="30"/>
          <w:color w:val="auto"/>
          <w:vertAlign w:val="superscript"/>
        </w:rPr>
      </w:pPr>
    </w:p>
    <w:p>
      <w:pPr>
        <w:spacing w:after="0" w:line="211" w:lineRule="auto"/>
        <w:rPr>
          <w:rFonts w:ascii="Calibri" w:cs="Calibri" w:eastAsia="Calibri" w:hAnsi="Calibri"/>
          <w:sz w:val="30"/>
          <w:szCs w:val="30"/>
          <w:color w:val="auto"/>
          <w:vertAlign w:val="superscript"/>
        </w:rPr>
      </w:pPr>
      <w:r>
        <w:rPr>
          <w:rFonts w:ascii="Calibri" w:cs="Calibri" w:eastAsia="Calibri" w:hAnsi="Calibri"/>
          <w:sz w:val="29"/>
          <w:szCs w:val="29"/>
          <w:color w:val="auto"/>
          <w:vertAlign w:val="superscript"/>
        </w:rPr>
        <w:t>2</w:t>
      </w:r>
      <w:r>
        <w:rPr>
          <w:rFonts w:ascii="Calibri" w:cs="Calibri" w:eastAsia="Calibri" w:hAnsi="Calibri"/>
          <w:sz w:val="18"/>
          <w:szCs w:val="18"/>
          <w:color w:val="auto"/>
        </w:rPr>
        <w:t xml:space="preserve"> Up to August</w:t>
      </w:r>
    </w:p>
    <w:p>
      <w:pPr>
        <w:spacing w:after="0" w:line="24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7" w:name="page18"/>
    <w:bookmarkEnd w:id="17"/>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37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73723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356"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Credicorp’s Strategy Update</w:t>
      </w:r>
    </w:p>
    <w:p>
      <w:pPr>
        <w:spacing w:after="0" w:line="223" w:lineRule="exact"/>
        <w:rPr>
          <w:sz w:val="20"/>
          <w:szCs w:val="20"/>
          <w:color w:val="auto"/>
        </w:rPr>
      </w:pPr>
    </w:p>
    <w:p>
      <w:pPr>
        <w:jc w:val="both"/>
        <w:ind w:left="340" w:hanging="332"/>
        <w:spacing w:after="0" w:line="235" w:lineRule="auto"/>
        <w:tabs>
          <w:tab w:leader="none" w:pos="3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Through our strategy to use mass media to strengthen fnancial educaton eforts, we transmited 3 chapters of the web series 5to Piso through an open signal television broadcast. This broadened the series’ reach, and 2.8 million views were logged. At Prima AFP, more than 140 thousand people were trained this quarter through “Aprende con Ahorrando a Fondo,” which is aired on YouTube to educate people about pension fund contributons and the investments and benefts of AFPs.</w:t>
      </w:r>
    </w:p>
    <w:p>
      <w:pPr>
        <w:spacing w:after="0" w:line="3" w:lineRule="exact"/>
        <w:rPr>
          <w:rFonts w:ascii="Calibri" w:cs="Calibri" w:eastAsia="Calibri" w:hAnsi="Calibri"/>
          <w:sz w:val="18"/>
          <w:szCs w:val="18"/>
          <w:color w:val="auto"/>
        </w:rPr>
      </w:pPr>
    </w:p>
    <w:p>
      <w:pPr>
        <w:jc w:val="both"/>
        <w:ind w:left="340" w:hanging="332"/>
        <w:spacing w:after="0" w:line="235" w:lineRule="auto"/>
        <w:tabs>
          <w:tab w:leader="none" w:pos="3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Protege365 platorm at Pacífco, whose objectve is to manage risk at companies through educaton eforts, currently has more than 6 thousand afliates, many of whom are actve users of the platorm’s services. By the end of 3Q24, more than 60 thousand employees at these businesses had been trained and certfed.</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auto"/>
        </w:rPr>
        <w:t>To see progress on other initatves on the aforementoned platorms and others on the social front, review the table below:</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5640" w:type="dxa"/>
            <w:vAlign w:val="bottom"/>
            <w:tcBorders>
              <w:top w:val="single" w:sz="8" w:color="auto"/>
              <w:left w:val="single" w:sz="8" w:color="auto"/>
              <w:bottom w:val="single" w:sz="8" w:color="auto"/>
              <w:right w:val="single" w:sz="8" w:color="auto"/>
            </w:tcBorders>
            <w:shd w:val="clear" w:color="auto" w:fill="2AD2C8"/>
          </w:tcPr>
          <w:p>
            <w:pPr>
              <w:ind w:left="20"/>
              <w:spacing w:after="0"/>
              <w:rPr>
                <w:sz w:val="20"/>
                <w:szCs w:val="20"/>
                <w:color w:val="auto"/>
              </w:rPr>
            </w:pPr>
            <w:r>
              <w:rPr>
                <w:rFonts w:ascii="Calibri" w:cs="Calibri" w:eastAsia="Calibri" w:hAnsi="Calibri"/>
                <w:sz w:val="16"/>
                <w:szCs w:val="16"/>
                <w:b w:val="1"/>
                <w:bCs w:val="1"/>
                <w:i w:val="1"/>
                <w:iCs w:val="1"/>
                <w:color w:val="auto"/>
              </w:rPr>
              <w:t>Progress on Initatves</w:t>
            </w:r>
          </w:p>
        </w:tc>
        <w:tc>
          <w:tcPr>
            <w:tcW w:w="1520" w:type="dxa"/>
            <w:vAlign w:val="bottom"/>
            <w:tcBorders>
              <w:top w:val="single" w:sz="8" w:color="auto"/>
              <w:bottom w:val="single" w:sz="8" w:color="auto"/>
              <w:right w:val="single" w:sz="8" w:color="auto"/>
            </w:tcBorders>
            <w:shd w:val="clear" w:color="auto" w:fill="2AD2C8"/>
          </w:tcPr>
          <w:p>
            <w:pPr>
              <w:ind w:left="440"/>
              <w:spacing w:after="0"/>
              <w:rPr>
                <w:sz w:val="20"/>
                <w:szCs w:val="20"/>
                <w:color w:val="auto"/>
              </w:rPr>
            </w:pPr>
            <w:r>
              <w:rPr>
                <w:rFonts w:ascii="Calibri" w:cs="Calibri" w:eastAsia="Calibri" w:hAnsi="Calibri"/>
                <w:sz w:val="16"/>
                <w:szCs w:val="16"/>
                <w:b w:val="1"/>
                <w:bCs w:val="1"/>
                <w:i w:val="1"/>
                <w:iCs w:val="1"/>
                <w:color w:val="auto"/>
              </w:rPr>
              <w:t>Company</w:t>
            </w:r>
          </w:p>
        </w:tc>
        <w:tc>
          <w:tcPr>
            <w:tcW w:w="1420" w:type="dxa"/>
            <w:vAlign w:val="bottom"/>
            <w:tcBorders>
              <w:top w:val="single" w:sz="8" w:color="auto"/>
              <w:bottom w:val="single" w:sz="8" w:color="auto"/>
              <w:right w:val="single" w:sz="8" w:color="auto"/>
            </w:tcBorders>
            <w:shd w:val="clear" w:color="auto" w:fill="2AD2C8"/>
          </w:tcPr>
          <w:p>
            <w:pPr>
              <w:ind w:left="500"/>
              <w:spacing w:after="0"/>
              <w:rPr>
                <w:sz w:val="20"/>
                <w:szCs w:val="20"/>
                <w:color w:val="auto"/>
              </w:rPr>
            </w:pPr>
            <w:r>
              <w:rPr>
                <w:rFonts w:ascii="Calibri" w:cs="Calibri" w:eastAsia="Calibri" w:hAnsi="Calibri"/>
                <w:sz w:val="16"/>
                <w:szCs w:val="16"/>
                <w:b w:val="1"/>
                <w:bCs w:val="1"/>
                <w:i w:val="1"/>
                <w:iCs w:val="1"/>
                <w:color w:val="auto"/>
              </w:rPr>
              <w:t>4Q22</w:t>
            </w:r>
          </w:p>
        </w:tc>
        <w:tc>
          <w:tcPr>
            <w:tcW w:w="1380" w:type="dxa"/>
            <w:vAlign w:val="bottom"/>
            <w:tcBorders>
              <w:top w:val="single" w:sz="8" w:color="auto"/>
              <w:bottom w:val="single" w:sz="8" w:color="auto"/>
              <w:right w:val="single" w:sz="8" w:color="auto"/>
            </w:tcBorders>
            <w:shd w:val="clear" w:color="auto" w:fill="2AD2C8"/>
          </w:tcPr>
          <w:p>
            <w:pPr>
              <w:jc w:val="center"/>
              <w:spacing w:after="0"/>
              <w:rPr>
                <w:sz w:val="20"/>
                <w:szCs w:val="20"/>
                <w:color w:val="auto"/>
              </w:rPr>
            </w:pPr>
            <w:r>
              <w:rPr>
                <w:rFonts w:ascii="Calibri" w:cs="Calibri" w:eastAsia="Calibri" w:hAnsi="Calibri"/>
                <w:sz w:val="16"/>
                <w:szCs w:val="16"/>
                <w:b w:val="1"/>
                <w:bCs w:val="1"/>
                <w:i w:val="1"/>
                <w:iCs w:val="1"/>
                <w:color w:val="auto"/>
              </w:rPr>
              <w:t>4Q23</w:t>
            </w:r>
          </w:p>
        </w:tc>
        <w:tc>
          <w:tcPr>
            <w:tcW w:w="1280" w:type="dxa"/>
            <w:vAlign w:val="bottom"/>
            <w:tcBorders>
              <w:top w:val="single" w:sz="8" w:color="auto"/>
              <w:bottom w:val="single" w:sz="8" w:color="auto"/>
              <w:right w:val="single" w:sz="8" w:color="auto"/>
            </w:tcBorders>
            <w:shd w:val="clear" w:color="auto" w:fill="2AD2C8"/>
          </w:tcPr>
          <w:p>
            <w:pPr>
              <w:jc w:val="center"/>
              <w:spacing w:after="0"/>
              <w:rPr>
                <w:sz w:val="20"/>
                <w:szCs w:val="20"/>
                <w:color w:val="auto"/>
              </w:rPr>
            </w:pPr>
            <w:r>
              <w:rPr>
                <w:rFonts w:ascii="Calibri" w:cs="Calibri" w:eastAsia="Calibri" w:hAnsi="Calibri"/>
                <w:sz w:val="16"/>
                <w:szCs w:val="16"/>
                <w:b w:val="1"/>
                <w:bCs w:val="1"/>
                <w:i w:val="1"/>
                <w:iCs w:val="1"/>
                <w:color w:val="auto"/>
              </w:rPr>
              <w:t>3Q24</w:t>
            </w:r>
          </w:p>
        </w:tc>
        <w:tc>
          <w:tcPr>
            <w:tcW w:w="0" w:type="dxa"/>
            <w:vAlign w:val="bottom"/>
          </w:tcPr>
          <w:p>
            <w:pPr>
              <w:spacing w:after="0"/>
              <w:rPr>
                <w:sz w:val="1"/>
                <w:szCs w:val="1"/>
                <w:color w:val="auto"/>
              </w:rPr>
            </w:pPr>
          </w:p>
        </w:tc>
      </w:tr>
      <w:tr>
        <w:trPr>
          <w:trHeight w:val="223"/>
        </w:trPr>
        <w:tc>
          <w:tcPr>
            <w:tcW w:w="564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6"/>
                <w:szCs w:val="16"/>
                <w:b w:val="1"/>
                <w:bCs w:val="1"/>
                <w:color w:val="auto"/>
              </w:rPr>
              <w:t>Financial Inclusion</w:t>
            </w:r>
          </w:p>
        </w:tc>
        <w:tc>
          <w:tcPr>
            <w:tcW w:w="1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tcPr>
          <w:p>
            <w:pPr>
              <w:ind w:left="20"/>
              <w:spacing w:after="0" w:line="229" w:lineRule="exact"/>
              <w:rPr>
                <w:sz w:val="20"/>
                <w:szCs w:val="20"/>
                <w:color w:val="auto"/>
              </w:rPr>
            </w:pPr>
            <w:r>
              <w:rPr>
                <w:rFonts w:ascii="Calibri" w:cs="Calibri" w:eastAsia="Calibri" w:hAnsi="Calibri"/>
                <w:sz w:val="16"/>
                <w:szCs w:val="16"/>
                <w:color w:val="auto"/>
              </w:rPr>
              <w:t>Financially included through BCP and Yape</w:t>
            </w:r>
            <w:r>
              <w:rPr>
                <w:rFonts w:ascii="Calibri" w:cs="Calibri" w:eastAsia="Calibri" w:hAnsi="Calibri"/>
                <w:sz w:val="25"/>
                <w:szCs w:val="25"/>
                <w:color w:val="auto"/>
                <w:vertAlign w:val="superscript"/>
              </w:rPr>
              <w:t>(1)</w:t>
            </w:r>
            <w:r>
              <w:rPr>
                <w:rFonts w:ascii="Calibri" w:cs="Calibri" w:eastAsia="Calibri" w:hAnsi="Calibri"/>
                <w:sz w:val="16"/>
                <w:szCs w:val="16"/>
                <w:color w:val="auto"/>
              </w:rPr>
              <w:t xml:space="preserve"> – cumulatve since 2020</w:t>
            </w:r>
          </w:p>
        </w:tc>
        <w:tc>
          <w:tcPr>
            <w:tcW w:w="15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BCP</w:t>
            </w:r>
          </w:p>
        </w:tc>
        <w:tc>
          <w:tcPr>
            <w:tcW w:w="1420" w:type="dxa"/>
            <w:vAlign w:val="bottom"/>
            <w:tcBorders>
              <w:right w:val="single" w:sz="8" w:color="auto"/>
            </w:tcBorders>
          </w:tcPr>
          <w:p>
            <w:pPr>
              <w:ind w:left="480"/>
              <w:spacing w:after="0"/>
              <w:rPr>
                <w:sz w:val="20"/>
                <w:szCs w:val="20"/>
                <w:color w:val="auto"/>
              </w:rPr>
            </w:pPr>
            <w:r>
              <w:rPr>
                <w:rFonts w:ascii="Calibri" w:cs="Calibri" w:eastAsia="Calibri" w:hAnsi="Calibri"/>
                <w:sz w:val="16"/>
                <w:szCs w:val="16"/>
                <w:color w:val="auto"/>
              </w:rPr>
              <w:t>2.5 million</w:t>
            </w:r>
          </w:p>
        </w:tc>
        <w:tc>
          <w:tcPr>
            <w:tcW w:w="1380" w:type="dxa"/>
            <w:vAlign w:val="bottom"/>
            <w:tcBorders>
              <w:right w:val="single" w:sz="8" w:color="auto"/>
            </w:tcBorders>
          </w:tcPr>
          <w:p>
            <w:pPr>
              <w:ind w:left="440"/>
              <w:spacing w:after="0"/>
              <w:rPr>
                <w:sz w:val="20"/>
                <w:szCs w:val="20"/>
                <w:color w:val="auto"/>
              </w:rPr>
            </w:pPr>
            <w:r>
              <w:rPr>
                <w:rFonts w:ascii="Calibri" w:cs="Calibri" w:eastAsia="Calibri" w:hAnsi="Calibri"/>
                <w:sz w:val="16"/>
                <w:szCs w:val="16"/>
                <w:color w:val="auto"/>
              </w:rPr>
              <w:t>3.8 million</w:t>
            </w:r>
          </w:p>
        </w:tc>
        <w:tc>
          <w:tcPr>
            <w:tcW w:w="1280" w:type="dxa"/>
            <w:vAlign w:val="bottom"/>
            <w:tcBorders>
              <w:right w:val="single" w:sz="8" w:color="auto"/>
            </w:tcBorders>
          </w:tcPr>
          <w:p>
            <w:pPr>
              <w:ind w:left="400"/>
              <w:spacing w:after="0"/>
              <w:rPr>
                <w:sz w:val="20"/>
                <w:szCs w:val="20"/>
                <w:color w:val="auto"/>
              </w:rPr>
            </w:pPr>
            <w:r>
              <w:rPr>
                <w:rFonts w:ascii="Calibri" w:cs="Calibri" w:eastAsia="Calibri" w:hAnsi="Calibri"/>
                <w:sz w:val="16"/>
                <w:szCs w:val="16"/>
                <w:color w:val="auto"/>
              </w:rPr>
              <w:t>5.3 million</w:t>
            </w:r>
          </w:p>
        </w:tc>
        <w:tc>
          <w:tcPr>
            <w:tcW w:w="0" w:type="dxa"/>
            <w:vAlign w:val="bottom"/>
          </w:tcPr>
          <w:p>
            <w:pPr>
              <w:spacing w:after="0"/>
              <w:rPr>
                <w:sz w:val="1"/>
                <w:szCs w:val="1"/>
                <w:color w:val="auto"/>
              </w:rPr>
            </w:pPr>
          </w:p>
        </w:tc>
      </w:tr>
      <w:tr>
        <w:trPr>
          <w:trHeight w:val="187"/>
        </w:trPr>
        <w:tc>
          <w:tcPr>
            <w:tcW w:w="5640" w:type="dxa"/>
            <w:vAlign w:val="bottom"/>
            <w:tcBorders>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Stock of inclusive insurance policies</w:t>
            </w:r>
          </w:p>
        </w:tc>
        <w:tc>
          <w:tcPr>
            <w:tcW w:w="152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6"/>
                <w:szCs w:val="16"/>
                <w:color w:val="auto"/>
              </w:rPr>
              <w:t>Pacífco Seguros</w:t>
            </w:r>
          </w:p>
        </w:tc>
        <w:tc>
          <w:tcPr>
            <w:tcW w:w="1420" w:type="dxa"/>
            <w:vAlign w:val="bottom"/>
            <w:tcBorders>
              <w:right w:val="single" w:sz="8" w:color="auto"/>
            </w:tcBorders>
          </w:tcPr>
          <w:p>
            <w:pPr>
              <w:ind w:left="480"/>
              <w:spacing w:after="0" w:line="174" w:lineRule="exact"/>
              <w:rPr>
                <w:sz w:val="20"/>
                <w:szCs w:val="20"/>
                <w:color w:val="auto"/>
              </w:rPr>
            </w:pPr>
            <w:r>
              <w:rPr>
                <w:rFonts w:ascii="Calibri" w:cs="Calibri" w:eastAsia="Calibri" w:hAnsi="Calibri"/>
                <w:sz w:val="16"/>
                <w:szCs w:val="16"/>
                <w:color w:val="auto"/>
              </w:rPr>
              <w:t>2.6 million</w:t>
            </w:r>
          </w:p>
        </w:tc>
        <w:tc>
          <w:tcPr>
            <w:tcW w:w="1380" w:type="dxa"/>
            <w:vAlign w:val="bottom"/>
            <w:tcBorders>
              <w:right w:val="single" w:sz="8" w:color="auto"/>
            </w:tcBorders>
          </w:tcPr>
          <w:p>
            <w:pPr>
              <w:ind w:left="440"/>
              <w:spacing w:after="0" w:line="174" w:lineRule="exact"/>
              <w:rPr>
                <w:sz w:val="20"/>
                <w:szCs w:val="20"/>
                <w:color w:val="auto"/>
              </w:rPr>
            </w:pPr>
            <w:r>
              <w:rPr>
                <w:rFonts w:ascii="Calibri" w:cs="Calibri" w:eastAsia="Calibri" w:hAnsi="Calibri"/>
                <w:sz w:val="16"/>
                <w:szCs w:val="16"/>
                <w:color w:val="auto"/>
              </w:rPr>
              <w:t>3.2 million</w:t>
            </w:r>
          </w:p>
        </w:tc>
        <w:tc>
          <w:tcPr>
            <w:tcW w:w="1280" w:type="dxa"/>
            <w:vAlign w:val="bottom"/>
            <w:tcBorders>
              <w:right w:val="single" w:sz="8" w:color="auto"/>
            </w:tcBorders>
          </w:tcPr>
          <w:p>
            <w:pPr>
              <w:ind w:left="400"/>
              <w:spacing w:after="0" w:line="174" w:lineRule="exact"/>
              <w:rPr>
                <w:sz w:val="20"/>
                <w:szCs w:val="20"/>
                <w:color w:val="auto"/>
              </w:rPr>
            </w:pPr>
            <w:r>
              <w:rPr>
                <w:rFonts w:ascii="Calibri" w:cs="Calibri" w:eastAsia="Calibri" w:hAnsi="Calibri"/>
                <w:sz w:val="16"/>
                <w:szCs w:val="16"/>
                <w:color w:val="auto"/>
              </w:rPr>
              <w:t>3.3 million</w:t>
            </w:r>
          </w:p>
        </w:tc>
        <w:tc>
          <w:tcPr>
            <w:tcW w:w="0" w:type="dxa"/>
            <w:vAlign w:val="bottom"/>
          </w:tcPr>
          <w:p>
            <w:pPr>
              <w:spacing w:after="0"/>
              <w:rPr>
                <w:sz w:val="1"/>
                <w:szCs w:val="1"/>
                <w:color w:val="auto"/>
              </w:rPr>
            </w:pP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6"/>
                <w:szCs w:val="16"/>
                <w:b w:val="1"/>
                <w:bCs w:val="1"/>
                <w:color w:val="auto"/>
              </w:rPr>
              <w:t>Financial Educaton</w:t>
            </w:r>
          </w:p>
        </w:tc>
        <w:tc>
          <w:tcPr>
            <w:tcW w:w="1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Trained through online courses via ABC at BCP (ABC del BCP) – YTD</w:t>
            </w:r>
          </w:p>
        </w:tc>
        <w:tc>
          <w:tcPr>
            <w:tcW w:w="15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BCP</w:t>
            </w: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310.3 thousand</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614.1 thousand</w:t>
            </w:r>
          </w:p>
        </w:tc>
        <w:tc>
          <w:tcPr>
            <w:tcW w:w="128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435.1 thousand</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20"/>
              <w:spacing w:after="0" w:line="184" w:lineRule="exact"/>
              <w:rPr>
                <w:sz w:val="20"/>
                <w:szCs w:val="20"/>
                <w:color w:val="auto"/>
              </w:rPr>
            </w:pPr>
            <w:r>
              <w:rPr>
                <w:rFonts w:ascii="Calibri" w:cs="Calibri" w:eastAsia="Calibri" w:hAnsi="Calibri"/>
                <w:sz w:val="16"/>
                <w:szCs w:val="16"/>
                <w:color w:val="auto"/>
              </w:rPr>
              <w:t>Individuals trained in risk preventon via Safe Community</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Pacífco Seguros</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11.1 thousand</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38.4 thousand</w:t>
            </w:r>
          </w:p>
        </w:tc>
        <w:tc>
          <w:tcPr>
            <w:tcW w:w="1280" w:type="dxa"/>
            <w:vAlign w:val="bottom"/>
            <w:tcBorders>
              <w:right w:val="single" w:sz="8" w:color="auto"/>
            </w:tcBorders>
            <w:vMerge w:val="restart"/>
          </w:tcPr>
          <w:p>
            <w:pPr>
              <w:jc w:val="center"/>
              <w:ind w:left="19"/>
              <w:spacing w:after="0"/>
              <w:rPr>
                <w:sz w:val="20"/>
                <w:szCs w:val="20"/>
                <w:color w:val="auto"/>
              </w:rPr>
            </w:pPr>
            <w:r>
              <w:rPr>
                <w:rFonts w:ascii="Calibri" w:cs="Calibri" w:eastAsia="Calibri" w:hAnsi="Calibri"/>
                <w:sz w:val="16"/>
                <w:szCs w:val="16"/>
                <w:color w:val="auto"/>
              </w:rPr>
              <w:t>28.8 thousand</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vMerge w:val="restart"/>
          </w:tcPr>
          <w:p>
            <w:pPr>
              <w:ind w:left="20"/>
              <w:spacing w:after="0" w:line="193" w:lineRule="exact"/>
              <w:rPr>
                <w:sz w:val="20"/>
                <w:szCs w:val="20"/>
                <w:color w:val="auto"/>
              </w:rPr>
            </w:pPr>
            <w:r>
              <w:rPr>
                <w:rFonts w:ascii="Calibri" w:cs="Calibri" w:eastAsia="Calibri" w:hAnsi="Calibri"/>
                <w:sz w:val="16"/>
                <w:szCs w:val="16"/>
                <w:color w:val="auto"/>
              </w:rPr>
              <w:t>(Comunidad Segura) – YTD</w:t>
            </w:r>
          </w:p>
        </w:tc>
        <w:tc>
          <w:tcPr>
            <w:tcW w:w="152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64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640" w:type="dxa"/>
            <w:vAlign w:val="bottom"/>
            <w:tcBorders>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Young people trained through the ABC of the Pension Culture (ABC</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Prima AFP</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61.0 thousand</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138.1 thousand</w:t>
            </w:r>
          </w:p>
        </w:tc>
        <w:tc>
          <w:tcPr>
            <w:tcW w:w="12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390 thousand</w:t>
            </w:r>
          </w:p>
        </w:tc>
        <w:tc>
          <w:tcPr>
            <w:tcW w:w="0" w:type="dxa"/>
            <w:vAlign w:val="bottom"/>
          </w:tcPr>
          <w:p>
            <w:pPr>
              <w:spacing w:after="0"/>
              <w:rPr>
                <w:sz w:val="1"/>
                <w:szCs w:val="1"/>
                <w:color w:val="auto"/>
              </w:rPr>
            </w:pPr>
          </w:p>
        </w:tc>
      </w:tr>
      <w:tr>
        <w:trPr>
          <w:trHeight w:val="49"/>
        </w:trPr>
        <w:tc>
          <w:tcPr>
            <w:tcW w:w="5640" w:type="dxa"/>
            <w:vAlign w:val="bottom"/>
            <w:tcBorders>
              <w:left w:val="single" w:sz="8" w:color="auto"/>
              <w:right w:val="single" w:sz="8" w:color="auto"/>
            </w:tcBorders>
            <w:vMerge w:val="restart"/>
          </w:tcPr>
          <w:p>
            <w:pPr>
              <w:ind w:left="20"/>
              <w:spacing w:after="0" w:line="193" w:lineRule="exact"/>
              <w:rPr>
                <w:sz w:val="20"/>
                <w:szCs w:val="20"/>
                <w:color w:val="auto"/>
              </w:rPr>
            </w:pPr>
            <w:r>
              <w:rPr>
                <w:rFonts w:ascii="Calibri" w:cs="Calibri" w:eastAsia="Calibri" w:hAnsi="Calibri"/>
                <w:sz w:val="16"/>
                <w:szCs w:val="16"/>
                <w:color w:val="auto"/>
              </w:rPr>
              <w:t>de la Cultura Previsional) – YTD</w:t>
            </w:r>
          </w:p>
        </w:tc>
        <w:tc>
          <w:tcPr>
            <w:tcW w:w="152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6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640" w:type="dxa"/>
            <w:vAlign w:val="bottom"/>
            <w:tcBorders>
              <w:left w:val="single" w:sz="8" w:color="auto"/>
              <w:right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Clients trained in FE through Mibanco “Progress Academy” programs</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Mibanco Perú</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251.2 thousand</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413.3 thousand</w:t>
            </w:r>
          </w:p>
        </w:tc>
        <w:tc>
          <w:tcPr>
            <w:tcW w:w="12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304.4 thousand</w:t>
            </w:r>
          </w:p>
        </w:tc>
        <w:tc>
          <w:tcPr>
            <w:tcW w:w="0" w:type="dxa"/>
            <w:vAlign w:val="bottom"/>
          </w:tcPr>
          <w:p>
            <w:pPr>
              <w:spacing w:after="0"/>
              <w:rPr>
                <w:sz w:val="1"/>
                <w:szCs w:val="1"/>
                <w:color w:val="auto"/>
              </w:rPr>
            </w:pPr>
          </w:p>
        </w:tc>
      </w:tr>
      <w:tr>
        <w:trPr>
          <w:trHeight w:val="49"/>
        </w:trPr>
        <w:tc>
          <w:tcPr>
            <w:tcW w:w="5640" w:type="dxa"/>
            <w:vAlign w:val="bottom"/>
            <w:tcBorders>
              <w:left w:val="single" w:sz="8" w:color="auto"/>
              <w:right w:val="single" w:sz="8" w:color="auto"/>
            </w:tcBorders>
            <w:vMerge w:val="restart"/>
          </w:tcPr>
          <w:p>
            <w:pPr>
              <w:ind w:left="20"/>
              <w:spacing w:after="0" w:line="211" w:lineRule="exact"/>
              <w:rPr>
                <w:sz w:val="20"/>
                <w:szCs w:val="20"/>
                <w:color w:val="auto"/>
              </w:rPr>
            </w:pPr>
            <w:r>
              <w:rPr>
                <w:rFonts w:ascii="Calibri" w:cs="Calibri" w:eastAsia="Calibri" w:hAnsi="Calibri"/>
                <w:sz w:val="15"/>
                <w:szCs w:val="15"/>
                <w:color w:val="auto"/>
              </w:rPr>
              <w:t xml:space="preserve">(“Academia del Progreso”) – YTD </w:t>
            </w:r>
            <w:r>
              <w:rPr>
                <w:rFonts w:ascii="Calibri" w:cs="Calibri" w:eastAsia="Calibri" w:hAnsi="Calibri"/>
                <w:sz w:val="23"/>
                <w:szCs w:val="23"/>
                <w:color w:val="auto"/>
                <w:vertAlign w:val="superscript"/>
              </w:rPr>
              <w:t>(2)</w:t>
            </w:r>
          </w:p>
        </w:tc>
        <w:tc>
          <w:tcPr>
            <w:tcW w:w="152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6"/>
                <w:szCs w:val="16"/>
                <w:b w:val="1"/>
                <w:bCs w:val="1"/>
                <w:color w:val="auto"/>
              </w:rPr>
              <w:t>Opportunites and Products for Women</w:t>
            </w:r>
          </w:p>
        </w:tc>
        <w:tc>
          <w:tcPr>
            <w:tcW w:w="1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tcPr>
          <w:p>
            <w:pPr>
              <w:ind w:left="20"/>
              <w:spacing w:after="0" w:line="229" w:lineRule="exact"/>
              <w:rPr>
                <w:sz w:val="20"/>
                <w:szCs w:val="20"/>
                <w:color w:val="auto"/>
              </w:rPr>
            </w:pPr>
            <w:r>
              <w:rPr>
                <w:rFonts w:ascii="Calibri" w:cs="Calibri" w:eastAsia="Calibri" w:hAnsi="Calibri"/>
                <w:sz w:val="16"/>
                <w:szCs w:val="16"/>
                <w:color w:val="auto"/>
              </w:rPr>
              <w:t xml:space="preserve">Number of disbursements through Loans for Women </w:t>
            </w:r>
            <w:r>
              <w:rPr>
                <w:rFonts w:ascii="Calibri" w:cs="Calibri" w:eastAsia="Calibri" w:hAnsi="Calibri"/>
                <w:sz w:val="25"/>
                <w:szCs w:val="25"/>
                <w:color w:val="auto"/>
                <w:vertAlign w:val="superscript"/>
              </w:rPr>
              <w:t>(3)</w:t>
            </w:r>
          </w:p>
        </w:tc>
        <w:tc>
          <w:tcPr>
            <w:tcW w:w="15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rPr>
              <w:t>Mibanco Perú</w:t>
            </w:r>
          </w:p>
        </w:tc>
        <w:tc>
          <w:tcPr>
            <w:tcW w:w="142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31.4 thousand</w:t>
            </w:r>
          </w:p>
        </w:tc>
        <w:tc>
          <w:tcPr>
            <w:tcW w:w="138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51.2 thousand</w:t>
            </w:r>
          </w:p>
        </w:tc>
        <w:tc>
          <w:tcPr>
            <w:tcW w:w="1280" w:type="dxa"/>
            <w:vAlign w:val="bottom"/>
            <w:tcBorders>
              <w:right w:val="single" w:sz="8" w:color="auto"/>
            </w:tcBorders>
          </w:tcPr>
          <w:p>
            <w:pPr>
              <w:ind w:left="100"/>
              <w:spacing w:after="0"/>
              <w:rPr>
                <w:sz w:val="20"/>
                <w:szCs w:val="20"/>
                <w:color w:val="auto"/>
              </w:rPr>
            </w:pPr>
            <w:r>
              <w:rPr>
                <w:rFonts w:ascii="Calibri" w:cs="Calibri" w:eastAsia="Calibri" w:hAnsi="Calibri"/>
                <w:sz w:val="16"/>
                <w:szCs w:val="16"/>
                <w:color w:val="auto"/>
              </w:rPr>
              <w:t>31.1 thousand</w:t>
            </w:r>
          </w:p>
        </w:tc>
        <w:tc>
          <w:tcPr>
            <w:tcW w:w="0" w:type="dxa"/>
            <w:vAlign w:val="bottom"/>
          </w:tcPr>
          <w:p>
            <w:pPr>
              <w:spacing w:after="0"/>
              <w:rPr>
                <w:sz w:val="1"/>
                <w:szCs w:val="1"/>
                <w:color w:val="auto"/>
              </w:rPr>
            </w:pPr>
          </w:p>
        </w:tc>
      </w:tr>
      <w:tr>
        <w:trPr>
          <w:trHeight w:val="223"/>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6"/>
                <w:szCs w:val="16"/>
                <w:color w:val="auto"/>
              </w:rPr>
              <w:t>Percentage of women banked on the asset side (loans)</w:t>
            </w:r>
          </w:p>
        </w:tc>
        <w:tc>
          <w:tcPr>
            <w:tcW w:w="1520" w:type="dxa"/>
            <w:vAlign w:val="bottom"/>
            <w:tcBorders>
              <w:bottom w:val="single" w:sz="8" w:color="auto"/>
              <w:right w:val="single" w:sz="8" w:color="auto"/>
            </w:tcBorders>
          </w:tcPr>
          <w:p>
            <w:pPr>
              <w:jc w:val="center"/>
              <w:spacing w:after="0" w:line="182" w:lineRule="exact"/>
              <w:rPr>
                <w:sz w:val="20"/>
                <w:szCs w:val="20"/>
                <w:color w:val="auto"/>
              </w:rPr>
            </w:pPr>
            <w:r>
              <w:rPr>
                <w:rFonts w:ascii="Calibri" w:cs="Calibri" w:eastAsia="Calibri" w:hAnsi="Calibri"/>
                <w:sz w:val="16"/>
                <w:szCs w:val="16"/>
                <w:color w:val="auto"/>
              </w:rPr>
              <w:t>Mibanco Perú</w:t>
            </w:r>
          </w:p>
        </w:tc>
        <w:tc>
          <w:tcPr>
            <w:tcW w:w="1420" w:type="dxa"/>
            <w:vAlign w:val="bottom"/>
            <w:tcBorders>
              <w:bottom w:val="single" w:sz="8" w:color="auto"/>
              <w:right w:val="single" w:sz="8" w:color="auto"/>
            </w:tcBorders>
          </w:tcPr>
          <w:p>
            <w:pPr>
              <w:ind w:left="500"/>
              <w:spacing w:after="0" w:line="182" w:lineRule="exact"/>
              <w:rPr>
                <w:sz w:val="20"/>
                <w:szCs w:val="20"/>
                <w:color w:val="auto"/>
              </w:rPr>
            </w:pPr>
            <w:r>
              <w:rPr>
                <w:rFonts w:ascii="Calibri" w:cs="Calibri" w:eastAsia="Calibri" w:hAnsi="Calibri"/>
                <w:sz w:val="16"/>
                <w:szCs w:val="16"/>
                <w:color w:val="auto"/>
              </w:rPr>
              <w:t>56.0%</w:t>
            </w:r>
          </w:p>
        </w:tc>
        <w:tc>
          <w:tcPr>
            <w:tcW w:w="1380" w:type="dxa"/>
            <w:vAlign w:val="bottom"/>
            <w:tcBorders>
              <w:bottom w:val="single" w:sz="8" w:color="auto"/>
              <w:right w:val="single" w:sz="8" w:color="auto"/>
            </w:tcBorders>
          </w:tcPr>
          <w:p>
            <w:pPr>
              <w:jc w:val="right"/>
              <w:ind w:right="419"/>
              <w:spacing w:after="0" w:line="182" w:lineRule="exact"/>
              <w:rPr>
                <w:sz w:val="20"/>
                <w:szCs w:val="20"/>
                <w:color w:val="auto"/>
              </w:rPr>
            </w:pPr>
            <w:r>
              <w:rPr>
                <w:rFonts w:ascii="Calibri" w:cs="Calibri" w:eastAsia="Calibri" w:hAnsi="Calibri"/>
                <w:sz w:val="16"/>
                <w:szCs w:val="16"/>
                <w:color w:val="auto"/>
              </w:rPr>
              <w:t>55.9%</w:t>
            </w:r>
          </w:p>
        </w:tc>
        <w:tc>
          <w:tcPr>
            <w:tcW w:w="1280" w:type="dxa"/>
            <w:vAlign w:val="bottom"/>
            <w:tcBorders>
              <w:bottom w:val="single" w:sz="8" w:color="auto"/>
              <w:right w:val="single" w:sz="8" w:color="auto"/>
            </w:tcBorders>
          </w:tcPr>
          <w:p>
            <w:pPr>
              <w:jc w:val="center"/>
              <w:spacing w:after="0" w:line="223" w:lineRule="exact"/>
              <w:rPr>
                <w:sz w:val="20"/>
                <w:szCs w:val="20"/>
                <w:color w:val="auto"/>
              </w:rPr>
            </w:pPr>
            <w:r>
              <w:rPr>
                <w:rFonts w:ascii="Calibri" w:cs="Calibri" w:eastAsia="Calibri" w:hAnsi="Calibri"/>
                <w:sz w:val="15"/>
                <w:szCs w:val="15"/>
                <w:color w:val="auto"/>
                <w:w w:val="99"/>
              </w:rPr>
              <w:t xml:space="preserve">62.4% </w:t>
            </w:r>
            <w:r>
              <w:rPr>
                <w:rFonts w:ascii="Calibri" w:cs="Calibri" w:eastAsia="Calibri" w:hAnsi="Calibri"/>
                <w:sz w:val="24"/>
                <w:szCs w:val="24"/>
                <w:color w:val="auto"/>
                <w:w w:val="99"/>
                <w:vertAlign w:val="superscript"/>
              </w:rPr>
              <w:t>(4)</w:t>
            </w: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b w:val="1"/>
                <w:bCs w:val="1"/>
                <w:color w:val="auto"/>
              </w:rPr>
              <w:t>Helping small businesses grow</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640" w:type="dxa"/>
            <w:vAlign w:val="bottom"/>
            <w:tcBorders>
              <w:left w:val="single" w:sz="8" w:color="auto"/>
              <w:right w:val="single" w:sz="8" w:color="auto"/>
            </w:tcBorders>
          </w:tcPr>
          <w:p>
            <w:pPr>
              <w:ind w:left="20"/>
              <w:spacing w:after="0" w:line="178" w:lineRule="exact"/>
              <w:rPr>
                <w:sz w:val="20"/>
                <w:szCs w:val="20"/>
                <w:color w:val="auto"/>
              </w:rPr>
            </w:pPr>
            <w:r>
              <w:rPr>
                <w:rFonts w:ascii="Calibri" w:cs="Calibri" w:eastAsia="Calibri" w:hAnsi="Calibri"/>
                <w:sz w:val="16"/>
                <w:szCs w:val="16"/>
                <w:color w:val="auto"/>
              </w:rPr>
              <w:t>Trained via Accompanying Entrepreneurs (Contgo Emprendedor) –</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BCP</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110.7 thousand</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121.0 thousand</w:t>
            </w:r>
          </w:p>
        </w:tc>
        <w:tc>
          <w:tcPr>
            <w:tcW w:w="1280" w:type="dxa"/>
            <w:vAlign w:val="bottom"/>
            <w:tcBorders>
              <w:right w:val="single" w:sz="8" w:color="auto"/>
            </w:tcBorders>
            <w:vMerge w:val="restart"/>
          </w:tcPr>
          <w:p>
            <w:pPr>
              <w:jc w:val="center"/>
              <w:ind w:left="19"/>
              <w:spacing w:after="0"/>
              <w:rPr>
                <w:sz w:val="20"/>
                <w:szCs w:val="20"/>
                <w:color w:val="auto"/>
              </w:rPr>
            </w:pPr>
            <w:r>
              <w:rPr>
                <w:rFonts w:ascii="Calibri" w:cs="Calibri" w:eastAsia="Calibri" w:hAnsi="Calibri"/>
                <w:sz w:val="16"/>
                <w:szCs w:val="16"/>
                <w:color w:val="auto"/>
              </w:rPr>
              <w:t>47.8 thousand</w:t>
            </w:r>
          </w:p>
        </w:tc>
        <w:tc>
          <w:tcPr>
            <w:tcW w:w="0" w:type="dxa"/>
            <w:vAlign w:val="bottom"/>
          </w:tcPr>
          <w:p>
            <w:pPr>
              <w:spacing w:after="0"/>
              <w:rPr>
                <w:sz w:val="1"/>
                <w:szCs w:val="1"/>
                <w:color w:val="auto"/>
              </w:rPr>
            </w:pPr>
          </w:p>
        </w:tc>
      </w:tr>
      <w:tr>
        <w:trPr>
          <w:trHeight w:val="99"/>
        </w:trPr>
        <w:tc>
          <w:tcPr>
            <w:tcW w:w="5640" w:type="dxa"/>
            <w:vAlign w:val="bottom"/>
            <w:tcBorders>
              <w:left w:val="single" w:sz="8" w:color="auto"/>
              <w:right w:val="single" w:sz="8" w:color="auto"/>
            </w:tcBorders>
            <w:vMerge w:val="restart"/>
          </w:tcPr>
          <w:p>
            <w:pPr>
              <w:ind w:left="20"/>
              <w:spacing w:after="0" w:line="193" w:lineRule="exact"/>
              <w:rPr>
                <w:sz w:val="20"/>
                <w:szCs w:val="20"/>
                <w:color w:val="auto"/>
              </w:rPr>
            </w:pPr>
            <w:r>
              <w:rPr>
                <w:rFonts w:ascii="Calibri" w:cs="Calibri" w:eastAsia="Calibri" w:hAnsi="Calibri"/>
                <w:sz w:val="16"/>
                <w:szCs w:val="16"/>
                <w:color w:val="auto"/>
              </w:rPr>
              <w:t>YTD</w:t>
            </w:r>
          </w:p>
        </w:tc>
        <w:tc>
          <w:tcPr>
            <w:tcW w:w="152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64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20"/>
              <w:spacing w:after="0" w:line="178" w:lineRule="exact"/>
              <w:rPr>
                <w:sz w:val="20"/>
                <w:szCs w:val="20"/>
                <w:color w:val="auto"/>
              </w:rPr>
            </w:pPr>
            <w:r>
              <w:rPr>
                <w:rFonts w:ascii="Calibri" w:cs="Calibri" w:eastAsia="Calibri" w:hAnsi="Calibri"/>
                <w:sz w:val="16"/>
                <w:szCs w:val="16"/>
                <w:color w:val="auto"/>
              </w:rPr>
              <w:t>SME-Pymes fnancially included through loans (working capital and</w:t>
            </w: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BCP</w:t>
            </w:r>
          </w:p>
        </w:tc>
        <w:tc>
          <w:tcPr>
            <w:tcW w:w="14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49.7 thousand</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33.8 thousand</w:t>
            </w:r>
          </w:p>
        </w:tc>
        <w:tc>
          <w:tcPr>
            <w:tcW w:w="12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w w:val="98"/>
              </w:rPr>
              <w:t xml:space="preserve">31.2 thousand </w:t>
            </w:r>
            <w:r>
              <w:rPr>
                <w:rFonts w:ascii="Calibri" w:cs="Calibri" w:eastAsia="Calibri" w:hAnsi="Calibri"/>
                <w:sz w:val="26"/>
                <w:szCs w:val="26"/>
                <w:color w:val="auto"/>
                <w:w w:val="98"/>
                <w:vertAlign w:val="superscript"/>
              </w:rPr>
              <w:t>(4)</w:t>
            </w:r>
          </w:p>
        </w:tc>
        <w:tc>
          <w:tcPr>
            <w:tcW w:w="0" w:type="dxa"/>
            <w:vAlign w:val="bottom"/>
          </w:tcPr>
          <w:p>
            <w:pPr>
              <w:spacing w:after="0"/>
              <w:rPr>
                <w:sz w:val="1"/>
                <w:szCs w:val="1"/>
                <w:color w:val="auto"/>
              </w:rPr>
            </w:pPr>
          </w:p>
        </w:tc>
      </w:tr>
      <w:tr>
        <w:trPr>
          <w:trHeight w:val="153"/>
        </w:trPr>
        <w:tc>
          <w:tcPr>
            <w:tcW w:w="5640" w:type="dxa"/>
            <w:vAlign w:val="bottom"/>
            <w:tcBorders>
              <w:left w:val="single" w:sz="8" w:color="auto"/>
              <w:right w:val="single" w:sz="8" w:color="auto"/>
            </w:tcBorders>
            <w:vMerge w:val="restart"/>
          </w:tcPr>
          <w:p>
            <w:pPr>
              <w:ind w:left="20"/>
              <w:spacing w:after="0" w:line="193" w:lineRule="exact"/>
              <w:rPr>
                <w:sz w:val="20"/>
                <w:szCs w:val="20"/>
                <w:color w:val="auto"/>
              </w:rPr>
            </w:pPr>
            <w:r>
              <w:rPr>
                <w:rFonts w:ascii="Calibri" w:cs="Calibri" w:eastAsia="Calibri" w:hAnsi="Calibri"/>
                <w:sz w:val="16"/>
                <w:szCs w:val="16"/>
                <w:color w:val="auto"/>
              </w:rPr>
              <w:t>invoice discountng) – YTD</w:t>
            </w:r>
          </w:p>
        </w:tc>
        <w:tc>
          <w:tcPr>
            <w:tcW w:w="152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5640" w:type="dxa"/>
            <w:vAlign w:val="bottom"/>
            <w:tcBorders>
              <w:left w:val="single" w:sz="8" w:color="auto"/>
              <w:right w:val="single" w:sz="8" w:color="auto"/>
            </w:tcBorders>
            <w:vMerge w:val="continue"/>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4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12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BCP</w:t>
            </w:r>
          </w:p>
        </w:tc>
        <w:tc>
          <w:tcPr>
            <w:tcW w:w="1420" w:type="dxa"/>
            <w:vAlign w:val="bottom"/>
            <w:tcBorders>
              <w:right w:val="single" w:sz="8" w:color="auto"/>
            </w:tcBorders>
            <w:vMerge w:val="restart"/>
          </w:tcPr>
          <w:p>
            <w:pPr>
              <w:ind w:left="680"/>
              <w:spacing w:after="0"/>
              <w:rPr>
                <w:sz w:val="20"/>
                <w:szCs w:val="20"/>
                <w:color w:val="auto"/>
              </w:rPr>
            </w:pPr>
            <w:r>
              <w:rPr>
                <w:rFonts w:ascii="Calibri" w:cs="Calibri" w:eastAsia="Calibri" w:hAnsi="Calibri"/>
                <w:sz w:val="16"/>
                <w:szCs w:val="16"/>
                <w:color w:val="auto"/>
              </w:rPr>
              <w:t>-</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6"/>
                <w:szCs w:val="16"/>
                <w:color w:val="auto"/>
              </w:rPr>
              <w:t>26.9 thousand</w:t>
            </w:r>
          </w:p>
        </w:tc>
        <w:tc>
          <w:tcPr>
            <w:tcW w:w="1280" w:type="dxa"/>
            <w:vAlign w:val="bottom"/>
            <w:tcBorders>
              <w:right w:val="single" w:sz="8" w:color="auto"/>
            </w:tcBorders>
            <w:vMerge w:val="restart"/>
          </w:tcPr>
          <w:p>
            <w:pPr>
              <w:jc w:val="center"/>
              <w:ind w:left="19"/>
              <w:spacing w:after="0"/>
              <w:rPr>
                <w:sz w:val="20"/>
                <w:szCs w:val="20"/>
                <w:color w:val="auto"/>
              </w:rPr>
            </w:pPr>
            <w:r>
              <w:rPr>
                <w:rFonts w:ascii="Calibri" w:cs="Calibri" w:eastAsia="Calibri" w:hAnsi="Calibri"/>
                <w:sz w:val="16"/>
                <w:szCs w:val="16"/>
                <w:color w:val="auto"/>
              </w:rPr>
              <w:t>15.6 thousand</w:t>
            </w:r>
          </w:p>
        </w:tc>
        <w:tc>
          <w:tcPr>
            <w:tcW w:w="0" w:type="dxa"/>
            <w:vAlign w:val="bottom"/>
          </w:tcPr>
          <w:p>
            <w:pPr>
              <w:spacing w:after="0"/>
              <w:rPr>
                <w:sz w:val="1"/>
                <w:szCs w:val="1"/>
                <w:color w:val="auto"/>
              </w:rPr>
            </w:pPr>
          </w:p>
        </w:tc>
      </w:tr>
      <w:tr>
        <w:trPr>
          <w:trHeight w:val="192"/>
        </w:trPr>
        <w:tc>
          <w:tcPr>
            <w:tcW w:w="5640" w:type="dxa"/>
            <w:vAlign w:val="bottom"/>
            <w:tcBorders>
              <w:left w:val="single" w:sz="8" w:color="auto"/>
              <w:bottom w:val="single" w:sz="8" w:color="auto"/>
              <w:right w:val="single" w:sz="8" w:color="auto"/>
            </w:tcBorders>
          </w:tcPr>
          <w:p>
            <w:pPr>
              <w:ind w:left="20"/>
              <w:spacing w:after="0" w:line="192" w:lineRule="exact"/>
              <w:rPr>
                <w:sz w:val="20"/>
                <w:szCs w:val="20"/>
                <w:color w:val="auto"/>
              </w:rPr>
            </w:pPr>
            <w:r>
              <w:rPr>
                <w:rFonts w:ascii="Calibri" w:cs="Calibri" w:eastAsia="Calibri" w:hAnsi="Calibri"/>
                <w:sz w:val="16"/>
                <w:szCs w:val="16"/>
                <w:color w:val="auto"/>
              </w:rPr>
              <w:t>Microbusiness afliated to Yape – YTD</w:t>
            </w: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80" w:hanging="172"/>
        <w:spacing w:after="0" w:line="245" w:lineRule="auto"/>
        <w:tabs>
          <w:tab w:leader="none" w:pos="214"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Stock of fnancially included clients through BCP since 2020: (i) New clients with savings accounts or afliated to Yape. (ii) New clients without debt in the fnancial system or BCP products in the last twelve months. (iii) Clients with 3 monthly average transactons in the last three months. The fgure for 4Q23 has been revised.</w:t>
      </w:r>
    </w:p>
    <w:p>
      <w:pPr>
        <w:spacing w:after="0" w:line="2" w:lineRule="exact"/>
        <w:rPr>
          <w:rFonts w:ascii="Calibri" w:cs="Calibri" w:eastAsia="Calibri" w:hAnsi="Calibri"/>
          <w:sz w:val="14"/>
          <w:szCs w:val="14"/>
          <w:color w:val="auto"/>
        </w:rPr>
      </w:pPr>
    </w:p>
    <w:p>
      <w:pPr>
        <w:ind w:left="180" w:hanging="172"/>
        <w:spacing w:after="0" w:line="245" w:lineRule="auto"/>
        <w:tabs>
          <w:tab w:leader="none" w:pos="215"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Covers virtual or in-person trainings about risk management for businesses, entrepreneurship, and fnance through our diferent educatonal strategies, such as the Basic Program for Digital Guidance, Powerful Women and MiConsultor.</w:t>
      </w:r>
    </w:p>
    <w:p>
      <w:pPr>
        <w:spacing w:after="0" w:line="1" w:lineRule="exact"/>
        <w:rPr>
          <w:rFonts w:ascii="Calibri" w:cs="Calibri" w:eastAsia="Calibri" w:hAnsi="Calibri"/>
          <w:sz w:val="14"/>
          <w:szCs w:val="14"/>
          <w:color w:val="auto"/>
        </w:rPr>
      </w:pPr>
    </w:p>
    <w:p>
      <w:pPr>
        <w:ind w:left="200" w:hanging="192"/>
        <w:spacing w:after="0"/>
        <w:tabs>
          <w:tab w:leader="none" w:pos="20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Non-cumulatve. Figure for the period.</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Up to August.</w:t>
      </w:r>
    </w:p>
    <w:p>
      <w:pPr>
        <w:spacing w:after="0" w:line="37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8" w:name="page19"/>
    <w:bookmarkEnd w:id="18"/>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52"/>
          <w:szCs w:val="52"/>
          <w:b w:val="1"/>
          <w:bCs w:val="1"/>
          <w:color w:val="E93BAC"/>
        </w:rPr>
        <w:t>01</w:t>
      </w:r>
      <w:r>
        <w:rPr>
          <w:sz w:val="20"/>
          <w:szCs w:val="20"/>
          <w:color w:val="auto"/>
        </w:rPr>
        <w:tab/>
      </w:r>
      <w:r>
        <w:rPr>
          <w:rFonts w:ascii="Calibri" w:cs="Calibri" w:eastAsia="Calibri" w:hAnsi="Calibri"/>
          <w:sz w:val="32"/>
          <w:szCs w:val="32"/>
          <w:color w:val="E93BAC"/>
        </w:rPr>
        <w:t>Loan Portolio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088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57"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This quarter, total loans in average daily balances (ADB) fell 1.2% (-0.7% FX Neutral), driven primarily by i) an uptck in repayments of long-term loans in Corporate Banking, ii) stricter lending guidelines at Mibanco and iii) an increase in loan amortzatons in Consumer and Credit Cards, on the back of excess liquidity from pension fund withdrawals. The drop in ADB was partally ofset by growth in SME Business and Mortgage loan balances.</w:t>
      </w:r>
    </w:p>
    <w:p>
      <w:pPr>
        <w:spacing w:after="0" w:line="151"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YoY, total loans in average daily balances fell 1.2% (-1.4% FX Neutral). This evoluton was driven primarily by i) tghter lending guidelines at Mibanco, ii) an increase in repayments of long-term loans in Middle Market Banking, iii) growth in amortzatons of Government Program loans in SME-Pyme and iv) an increase in amortzatons in Consumer. The YoY decline in loans was partally ofset by growth in balances for Mortgage and BCP Bolivia. YTD, loans in ADB fell 1.4%, driven primarily by Mibanco and Corporate Banking.</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Loans</w:t>
      </w:r>
    </w:p>
    <w:p>
      <w:pPr>
        <w:ind w:left="4280" w:hanging="122"/>
        <w:spacing w:after="0" w:line="235" w:lineRule="auto"/>
        <w:tabs>
          <w:tab w:leader="none" w:pos="4280" w:val="left"/>
        </w:tabs>
        <w:numPr>
          <w:ilvl w:val="0"/>
          <w:numId w:val="17"/>
        </w:numPr>
        <w:rPr>
          <w:rFonts w:ascii="Calibri" w:cs="Calibri" w:eastAsia="Calibri" w:hAnsi="Calibri"/>
          <w:sz w:val="3"/>
          <w:szCs w:val="3"/>
          <w:b w:val="1"/>
          <w:bCs w:val="1"/>
          <w:color w:val="auto"/>
        </w:rPr>
      </w:pPr>
      <w:r>
        <w:rPr>
          <w:rFonts w:ascii="Calibri" w:cs="Calibri" w:eastAsia="Calibri" w:hAnsi="Calibri"/>
          <w:sz w:val="18"/>
          <w:szCs w:val="18"/>
          <w:b w:val="1"/>
          <w:bCs w:val="1"/>
          <w:color w:val="auto"/>
        </w:rPr>
        <w:t>Total Loans (in Average Daily Balances)</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84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8"/>
                <w:szCs w:val="18"/>
                <w:b w:val="1"/>
                <w:bCs w:val="1"/>
                <w:color w:val="FFFFFF"/>
              </w:rPr>
              <w:t>Total Loans</w:t>
            </w:r>
          </w:p>
        </w:tc>
        <w:tc>
          <w:tcPr>
            <w:tcW w:w="880" w:type="dxa"/>
            <w:vAlign w:val="bottom"/>
            <w:tcBorders>
              <w:top w:val="single" w:sz="8" w:color="auto"/>
            </w:tcBorders>
            <w:shd w:val="clear" w:color="auto" w:fill="33CCCC"/>
          </w:tcPr>
          <w:p>
            <w:pPr>
              <w:spacing w:after="0"/>
              <w:rPr>
                <w:sz w:val="19"/>
                <w:szCs w:val="19"/>
                <w:color w:val="auto"/>
              </w:rPr>
            </w:pPr>
          </w:p>
        </w:tc>
        <w:tc>
          <w:tcPr>
            <w:tcW w:w="90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8"/>
                <w:szCs w:val="18"/>
                <w:b w:val="1"/>
                <w:bCs w:val="1"/>
                <w:color w:val="FFFFFF"/>
                <w:w w:val="95"/>
              </w:rPr>
              <w:t>As of</w:t>
            </w:r>
          </w:p>
        </w:tc>
        <w:tc>
          <w:tcPr>
            <w:tcW w:w="920" w:type="dxa"/>
            <w:vAlign w:val="bottom"/>
            <w:tcBorders>
              <w:top w:val="single" w:sz="8" w:color="auto"/>
              <w:right w:val="single" w:sz="8" w:color="auto"/>
            </w:tcBorders>
            <w:shd w:val="clear" w:color="auto" w:fill="33CCCC"/>
          </w:tcPr>
          <w:p>
            <w:pPr>
              <w:spacing w:after="0"/>
              <w:rPr>
                <w:sz w:val="19"/>
                <w:szCs w:val="19"/>
                <w:color w:val="auto"/>
              </w:rPr>
            </w:pPr>
          </w:p>
        </w:tc>
        <w:tc>
          <w:tcPr>
            <w:tcW w:w="1580" w:type="dxa"/>
            <w:vAlign w:val="bottom"/>
            <w:tcBorders>
              <w:top w:val="single" w:sz="8" w:color="auto"/>
              <w:right w:val="single" w:sz="8" w:color="auto"/>
            </w:tcBorders>
            <w:gridSpan w:val="2"/>
            <w:shd w:val="clear" w:color="auto" w:fill="33CCCC"/>
          </w:tcPr>
          <w:p>
            <w:pPr>
              <w:ind w:left="220"/>
              <w:spacing w:after="0"/>
              <w:rPr>
                <w:sz w:val="20"/>
                <w:szCs w:val="20"/>
                <w:color w:val="auto"/>
              </w:rPr>
            </w:pPr>
            <w:r>
              <w:rPr>
                <w:rFonts w:ascii="Calibri" w:cs="Calibri" w:eastAsia="Calibri" w:hAnsi="Calibri"/>
                <w:sz w:val="18"/>
                <w:szCs w:val="18"/>
                <w:b w:val="1"/>
                <w:bCs w:val="1"/>
                <w:color w:val="FFFFFF"/>
              </w:rPr>
              <w:t>Volume change</w:t>
            </w:r>
          </w:p>
        </w:tc>
        <w:tc>
          <w:tcPr>
            <w:tcW w:w="1560" w:type="dxa"/>
            <w:vAlign w:val="bottom"/>
            <w:tcBorders>
              <w:top w:val="single" w:sz="8" w:color="auto"/>
              <w:right w:val="single" w:sz="8" w:color="auto"/>
            </w:tcBorders>
            <w:gridSpan w:val="2"/>
            <w:shd w:val="clear" w:color="auto" w:fill="33CCCC"/>
          </w:tcPr>
          <w:p>
            <w:pPr>
              <w:ind w:left="420"/>
              <w:spacing w:after="0"/>
              <w:rPr>
                <w:sz w:val="20"/>
                <w:szCs w:val="20"/>
                <w:color w:val="auto"/>
              </w:rPr>
            </w:pPr>
            <w:r>
              <w:rPr>
                <w:rFonts w:ascii="Calibri" w:cs="Calibri" w:eastAsia="Calibri" w:hAnsi="Calibri"/>
                <w:sz w:val="18"/>
                <w:szCs w:val="18"/>
                <w:b w:val="1"/>
                <w:bCs w:val="1"/>
                <w:color w:val="FFFFFF"/>
              </w:rPr>
              <w:t>% change</w:t>
            </w:r>
          </w:p>
        </w:tc>
        <w:tc>
          <w:tcPr>
            <w:tcW w:w="2560" w:type="dxa"/>
            <w:vAlign w:val="bottom"/>
            <w:tcBorders>
              <w:top w:val="single" w:sz="8" w:color="auto"/>
              <w:right w:val="single" w:sz="8" w:color="auto"/>
            </w:tcBorders>
            <w:gridSpan w:val="3"/>
            <w:shd w:val="clear" w:color="auto" w:fill="33CCCC"/>
          </w:tcPr>
          <w:p>
            <w:pPr>
              <w:ind w:left="500"/>
              <w:spacing w:after="0"/>
              <w:rPr>
                <w:sz w:val="20"/>
                <w:szCs w:val="20"/>
                <w:color w:val="auto"/>
              </w:rPr>
            </w:pPr>
            <w:r>
              <w:rPr>
                <w:rFonts w:ascii="Calibri" w:cs="Calibri" w:eastAsia="Calibri" w:hAnsi="Calibri"/>
                <w:sz w:val="18"/>
                <w:szCs w:val="18"/>
                <w:b w:val="1"/>
                <w:bCs w:val="1"/>
                <w:color w:val="FFFFFF"/>
              </w:rPr>
              <w:t>% Part. in total loans</w:t>
            </w:r>
          </w:p>
        </w:tc>
        <w:tc>
          <w:tcPr>
            <w:tcW w:w="0" w:type="dxa"/>
            <w:vAlign w:val="bottom"/>
          </w:tcPr>
          <w:p>
            <w:pPr>
              <w:spacing w:after="0"/>
              <w:rPr>
                <w:sz w:val="1"/>
                <w:szCs w:val="1"/>
                <w:color w:val="auto"/>
              </w:rPr>
            </w:pPr>
          </w:p>
        </w:tc>
      </w:tr>
      <w:tr>
        <w:trPr>
          <w:trHeight w:val="72"/>
        </w:trPr>
        <w:tc>
          <w:tcPr>
            <w:tcW w:w="284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880" w:type="dxa"/>
            <w:vAlign w:val="bottom"/>
            <w:shd w:val="clear" w:color="auto" w:fill="33CCCC"/>
          </w:tcPr>
          <w:p>
            <w:pPr>
              <w:spacing w:after="0"/>
              <w:rPr>
                <w:sz w:val="6"/>
                <w:szCs w:val="6"/>
                <w:color w:val="auto"/>
              </w:rPr>
            </w:pPr>
          </w:p>
        </w:tc>
        <w:tc>
          <w:tcPr>
            <w:tcW w:w="900" w:type="dxa"/>
            <w:vAlign w:val="bottom"/>
            <w:shd w:val="clear" w:color="auto" w:fill="33CCCC"/>
          </w:tcPr>
          <w:p>
            <w:pPr>
              <w:spacing w:after="0"/>
              <w:rPr>
                <w:sz w:val="6"/>
                <w:szCs w:val="6"/>
                <w:color w:val="auto"/>
              </w:rPr>
            </w:pPr>
          </w:p>
        </w:tc>
        <w:tc>
          <w:tcPr>
            <w:tcW w:w="920" w:type="dxa"/>
            <w:vAlign w:val="bottom"/>
            <w:tcBorders>
              <w:right w:val="single" w:sz="8" w:color="auto"/>
            </w:tcBorders>
            <w:shd w:val="clear" w:color="auto" w:fill="33CCCC"/>
          </w:tcPr>
          <w:p>
            <w:pPr>
              <w:spacing w:after="0"/>
              <w:rPr>
                <w:sz w:val="6"/>
                <w:szCs w:val="6"/>
                <w:color w:val="auto"/>
              </w:rPr>
            </w:pPr>
          </w:p>
        </w:tc>
        <w:tc>
          <w:tcPr>
            <w:tcW w:w="780" w:type="dxa"/>
            <w:vAlign w:val="bottom"/>
            <w:shd w:val="clear" w:color="auto" w:fill="33CCCC"/>
          </w:tcPr>
          <w:p>
            <w:pPr>
              <w:spacing w:after="0"/>
              <w:rPr>
                <w:sz w:val="6"/>
                <w:szCs w:val="6"/>
                <w:color w:val="auto"/>
              </w:rPr>
            </w:pPr>
          </w:p>
        </w:tc>
        <w:tc>
          <w:tcPr>
            <w:tcW w:w="800" w:type="dxa"/>
            <w:vAlign w:val="bottom"/>
            <w:tcBorders>
              <w:right w:val="single" w:sz="8" w:color="auto"/>
            </w:tcBorders>
            <w:shd w:val="clear" w:color="auto" w:fill="33CCCC"/>
          </w:tcPr>
          <w:p>
            <w:pPr>
              <w:spacing w:after="0"/>
              <w:rPr>
                <w:sz w:val="6"/>
                <w:szCs w:val="6"/>
                <w:color w:val="auto"/>
              </w:rPr>
            </w:pPr>
          </w:p>
        </w:tc>
        <w:tc>
          <w:tcPr>
            <w:tcW w:w="740" w:type="dxa"/>
            <w:vAlign w:val="bottom"/>
            <w:shd w:val="clear" w:color="auto" w:fill="33CCCC"/>
          </w:tcPr>
          <w:p>
            <w:pPr>
              <w:spacing w:after="0"/>
              <w:rPr>
                <w:sz w:val="6"/>
                <w:szCs w:val="6"/>
                <w:color w:val="auto"/>
              </w:rPr>
            </w:pPr>
          </w:p>
        </w:tc>
        <w:tc>
          <w:tcPr>
            <w:tcW w:w="820" w:type="dxa"/>
            <w:vAlign w:val="bottom"/>
            <w:tcBorders>
              <w:right w:val="single" w:sz="8" w:color="auto"/>
            </w:tcBorders>
            <w:shd w:val="clear" w:color="auto" w:fill="33CCCC"/>
          </w:tcPr>
          <w:p>
            <w:pPr>
              <w:spacing w:after="0"/>
              <w:rPr>
                <w:sz w:val="6"/>
                <w:szCs w:val="6"/>
                <w:color w:val="auto"/>
              </w:rPr>
            </w:pPr>
          </w:p>
        </w:tc>
        <w:tc>
          <w:tcPr>
            <w:tcW w:w="800" w:type="dxa"/>
            <w:vAlign w:val="bottom"/>
            <w:shd w:val="clear" w:color="auto" w:fill="33CCCC"/>
          </w:tcPr>
          <w:p>
            <w:pPr>
              <w:spacing w:after="0"/>
              <w:rPr>
                <w:sz w:val="6"/>
                <w:szCs w:val="6"/>
                <w:color w:val="auto"/>
              </w:rPr>
            </w:pPr>
          </w:p>
        </w:tc>
        <w:tc>
          <w:tcPr>
            <w:tcW w:w="860" w:type="dxa"/>
            <w:vAlign w:val="bottom"/>
            <w:shd w:val="clear" w:color="auto" w:fill="33CCCC"/>
          </w:tcPr>
          <w:p>
            <w:pPr>
              <w:spacing w:after="0"/>
              <w:rPr>
                <w:sz w:val="6"/>
                <w:szCs w:val="6"/>
                <w:color w:val="auto"/>
              </w:rPr>
            </w:pPr>
          </w:p>
        </w:tc>
        <w:tc>
          <w:tcPr>
            <w:tcW w:w="900" w:type="dxa"/>
            <w:vAlign w:val="bottom"/>
            <w:tcBorders>
              <w:right w:val="single" w:sz="8" w:color="auto"/>
            </w:tcBorders>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840" w:type="dxa"/>
            <w:vAlign w:val="bottom"/>
            <w:tcBorders>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6"/>
                <w:szCs w:val="16"/>
                <w:color w:val="FFFFFF"/>
              </w:rPr>
              <w:t>(S/ millions)</w:t>
            </w:r>
          </w:p>
        </w:tc>
        <w:tc>
          <w:tcPr>
            <w:tcW w:w="880" w:type="dxa"/>
            <w:vAlign w:val="bottom"/>
            <w:vMerge w:val="restart"/>
            <w:shd w:val="clear" w:color="auto" w:fill="33CCCC"/>
          </w:tcPr>
          <w:p>
            <w:pPr>
              <w:ind w:left="200"/>
              <w:spacing w:after="0"/>
              <w:rPr>
                <w:sz w:val="20"/>
                <w:szCs w:val="20"/>
                <w:color w:val="auto"/>
              </w:rPr>
            </w:pPr>
            <w:r>
              <w:rPr>
                <w:rFonts w:ascii="Calibri" w:cs="Calibri" w:eastAsia="Calibri" w:hAnsi="Calibri"/>
                <w:sz w:val="18"/>
                <w:szCs w:val="18"/>
                <w:b w:val="1"/>
                <w:bCs w:val="1"/>
                <w:color w:val="FFFFFF"/>
              </w:rPr>
              <w:t>Sep 23</w:t>
            </w:r>
          </w:p>
        </w:tc>
        <w:tc>
          <w:tcPr>
            <w:tcW w:w="900" w:type="dxa"/>
            <w:vAlign w:val="bottom"/>
            <w:vMerge w:val="restart"/>
            <w:shd w:val="clear" w:color="auto" w:fill="33CCCC"/>
          </w:tcPr>
          <w:p>
            <w:pPr>
              <w:jc w:val="center"/>
              <w:spacing w:after="0"/>
              <w:rPr>
                <w:sz w:val="20"/>
                <w:szCs w:val="20"/>
                <w:color w:val="auto"/>
              </w:rPr>
            </w:pPr>
            <w:r>
              <w:rPr>
                <w:rFonts w:ascii="Calibri" w:cs="Calibri" w:eastAsia="Calibri" w:hAnsi="Calibri"/>
                <w:sz w:val="18"/>
                <w:szCs w:val="18"/>
                <w:b w:val="1"/>
                <w:bCs w:val="1"/>
                <w:color w:val="FFFFFF"/>
                <w:w w:val="96"/>
              </w:rPr>
              <w:t>Jun 24</w:t>
            </w:r>
          </w:p>
        </w:tc>
        <w:tc>
          <w:tcPr>
            <w:tcW w:w="920" w:type="dxa"/>
            <w:vAlign w:val="bottom"/>
            <w:tcBorders>
              <w:right w:val="single" w:sz="8" w:color="auto"/>
            </w:tcBorders>
            <w:vMerge w:val="restart"/>
            <w:shd w:val="clear" w:color="auto" w:fill="33CCCC"/>
          </w:tcPr>
          <w:p>
            <w:pPr>
              <w:ind w:left="220"/>
              <w:spacing w:after="0"/>
              <w:rPr>
                <w:sz w:val="20"/>
                <w:szCs w:val="20"/>
                <w:color w:val="auto"/>
              </w:rPr>
            </w:pPr>
            <w:r>
              <w:rPr>
                <w:rFonts w:ascii="Calibri" w:cs="Calibri" w:eastAsia="Calibri" w:hAnsi="Calibri"/>
                <w:sz w:val="18"/>
                <w:szCs w:val="18"/>
                <w:b w:val="1"/>
                <w:bCs w:val="1"/>
                <w:color w:val="FFFFFF"/>
              </w:rPr>
              <w:t>Sep 24</w:t>
            </w:r>
          </w:p>
        </w:tc>
        <w:tc>
          <w:tcPr>
            <w:tcW w:w="780" w:type="dxa"/>
            <w:vAlign w:val="bottom"/>
            <w:vMerge w:val="restart"/>
            <w:shd w:val="clear" w:color="auto" w:fill="33CCCC"/>
          </w:tcPr>
          <w:p>
            <w:pPr>
              <w:ind w:left="220"/>
              <w:spacing w:after="0"/>
              <w:rPr>
                <w:sz w:val="20"/>
                <w:szCs w:val="20"/>
                <w:color w:val="auto"/>
              </w:rPr>
            </w:pPr>
            <w:r>
              <w:rPr>
                <w:rFonts w:ascii="Calibri" w:cs="Calibri" w:eastAsia="Calibri" w:hAnsi="Calibri"/>
                <w:sz w:val="18"/>
                <w:szCs w:val="18"/>
                <w:b w:val="1"/>
                <w:bCs w:val="1"/>
                <w:color w:val="FFFFFF"/>
              </w:rPr>
              <w:t>QoQ</w:t>
            </w:r>
          </w:p>
        </w:tc>
        <w:tc>
          <w:tcPr>
            <w:tcW w:w="800" w:type="dxa"/>
            <w:vAlign w:val="bottom"/>
            <w:tcBorders>
              <w:right w:val="single" w:sz="8" w:color="auto"/>
            </w:tcBorders>
            <w:vMerge w:val="restart"/>
            <w:shd w:val="clear" w:color="auto" w:fill="33CCCC"/>
          </w:tcPr>
          <w:p>
            <w:pPr>
              <w:ind w:left="260"/>
              <w:spacing w:after="0"/>
              <w:rPr>
                <w:sz w:val="20"/>
                <w:szCs w:val="20"/>
                <w:color w:val="auto"/>
              </w:rPr>
            </w:pPr>
            <w:r>
              <w:rPr>
                <w:rFonts w:ascii="Calibri" w:cs="Calibri" w:eastAsia="Calibri" w:hAnsi="Calibri"/>
                <w:sz w:val="18"/>
                <w:szCs w:val="18"/>
                <w:b w:val="1"/>
                <w:bCs w:val="1"/>
                <w:color w:val="FFFFFF"/>
              </w:rPr>
              <w:t>YoY</w:t>
            </w:r>
          </w:p>
        </w:tc>
        <w:tc>
          <w:tcPr>
            <w:tcW w:w="740" w:type="dxa"/>
            <w:vAlign w:val="bottom"/>
            <w:vMerge w:val="restart"/>
            <w:shd w:val="clear" w:color="auto" w:fill="33CCCC"/>
          </w:tcPr>
          <w:p>
            <w:pPr>
              <w:ind w:left="200"/>
              <w:spacing w:after="0"/>
              <w:rPr>
                <w:sz w:val="20"/>
                <w:szCs w:val="20"/>
                <w:color w:val="auto"/>
              </w:rPr>
            </w:pPr>
            <w:r>
              <w:rPr>
                <w:rFonts w:ascii="Calibri" w:cs="Calibri" w:eastAsia="Calibri" w:hAnsi="Calibri"/>
                <w:sz w:val="18"/>
                <w:szCs w:val="18"/>
                <w:b w:val="1"/>
                <w:bCs w:val="1"/>
                <w:color w:val="FFFFFF"/>
              </w:rPr>
              <w:t>QoQ</w:t>
            </w:r>
          </w:p>
        </w:tc>
        <w:tc>
          <w:tcPr>
            <w:tcW w:w="820" w:type="dxa"/>
            <w:vAlign w:val="bottom"/>
            <w:tcBorders>
              <w:right w:val="single" w:sz="8" w:color="auto"/>
            </w:tcBorders>
            <w:vMerge w:val="restart"/>
            <w:shd w:val="clear" w:color="auto" w:fill="33CCCC"/>
          </w:tcPr>
          <w:p>
            <w:pPr>
              <w:ind w:left="280"/>
              <w:spacing w:after="0"/>
              <w:rPr>
                <w:sz w:val="20"/>
                <w:szCs w:val="20"/>
                <w:color w:val="auto"/>
              </w:rPr>
            </w:pPr>
            <w:r>
              <w:rPr>
                <w:rFonts w:ascii="Calibri" w:cs="Calibri" w:eastAsia="Calibri" w:hAnsi="Calibri"/>
                <w:sz w:val="18"/>
                <w:szCs w:val="18"/>
                <w:b w:val="1"/>
                <w:bCs w:val="1"/>
                <w:color w:val="FFFFFF"/>
              </w:rPr>
              <w:t>YoY</w:t>
            </w:r>
          </w:p>
        </w:tc>
        <w:tc>
          <w:tcPr>
            <w:tcW w:w="800" w:type="dxa"/>
            <w:vAlign w:val="bottom"/>
            <w:vMerge w:val="restart"/>
            <w:shd w:val="clear" w:color="auto" w:fill="33CCCC"/>
          </w:tcPr>
          <w:p>
            <w:pPr>
              <w:ind w:left="140"/>
              <w:spacing w:after="0"/>
              <w:rPr>
                <w:sz w:val="20"/>
                <w:szCs w:val="20"/>
                <w:color w:val="auto"/>
              </w:rPr>
            </w:pPr>
            <w:r>
              <w:rPr>
                <w:rFonts w:ascii="Calibri" w:cs="Calibri" w:eastAsia="Calibri" w:hAnsi="Calibri"/>
                <w:sz w:val="18"/>
                <w:szCs w:val="18"/>
                <w:b w:val="1"/>
                <w:bCs w:val="1"/>
                <w:color w:val="FFFFFF"/>
              </w:rPr>
              <w:t>Sep 23</w:t>
            </w:r>
          </w:p>
        </w:tc>
        <w:tc>
          <w:tcPr>
            <w:tcW w:w="860" w:type="dxa"/>
            <w:vAlign w:val="bottom"/>
            <w:vMerge w:val="restart"/>
            <w:shd w:val="clear" w:color="auto" w:fill="33CCCC"/>
          </w:tcPr>
          <w:p>
            <w:pPr>
              <w:ind w:left="180"/>
              <w:spacing w:after="0"/>
              <w:rPr>
                <w:sz w:val="20"/>
                <w:szCs w:val="20"/>
                <w:color w:val="auto"/>
              </w:rPr>
            </w:pPr>
            <w:r>
              <w:rPr>
                <w:rFonts w:ascii="Calibri" w:cs="Calibri" w:eastAsia="Calibri" w:hAnsi="Calibri"/>
                <w:sz w:val="18"/>
                <w:szCs w:val="18"/>
                <w:b w:val="1"/>
                <w:bCs w:val="1"/>
                <w:color w:val="FFFFFF"/>
              </w:rPr>
              <w:t>Jun 24</w:t>
            </w:r>
          </w:p>
        </w:tc>
        <w:tc>
          <w:tcPr>
            <w:tcW w:w="900" w:type="dxa"/>
            <w:vAlign w:val="bottom"/>
            <w:tcBorders>
              <w:right w:val="single" w:sz="8" w:color="auto"/>
            </w:tcBorders>
            <w:vMerge w:val="restart"/>
            <w:shd w:val="clear" w:color="auto" w:fill="33CCCC"/>
          </w:tcPr>
          <w:p>
            <w:pPr>
              <w:ind w:left="200"/>
              <w:spacing w:after="0"/>
              <w:rPr>
                <w:sz w:val="20"/>
                <w:szCs w:val="20"/>
                <w:color w:val="auto"/>
              </w:rPr>
            </w:pPr>
            <w:r>
              <w:rPr>
                <w:rFonts w:ascii="Calibri" w:cs="Calibri" w:eastAsia="Calibri" w:hAnsi="Calibri"/>
                <w:sz w:val="18"/>
                <w:szCs w:val="18"/>
                <w:b w:val="1"/>
                <w:bCs w:val="1"/>
                <w:color w:val="FFFFFF"/>
              </w:rPr>
              <w:t>Sep 24</w:t>
            </w:r>
          </w:p>
        </w:tc>
        <w:tc>
          <w:tcPr>
            <w:tcW w:w="0" w:type="dxa"/>
            <w:vAlign w:val="bottom"/>
          </w:tcPr>
          <w:p>
            <w:pPr>
              <w:spacing w:after="0"/>
              <w:rPr>
                <w:sz w:val="1"/>
                <w:szCs w:val="1"/>
                <w:color w:val="auto"/>
              </w:rPr>
            </w:pPr>
          </w:p>
        </w:tc>
      </w:tr>
      <w:tr>
        <w:trPr>
          <w:trHeight w:val="149"/>
        </w:trPr>
        <w:tc>
          <w:tcPr>
            <w:tcW w:w="2840" w:type="dxa"/>
            <w:vAlign w:val="bottom"/>
            <w:tcBorders>
              <w:left w:val="single" w:sz="8" w:color="auto"/>
              <w:bottom w:val="single" w:sz="8" w:color="33CCCC"/>
              <w:right w:val="single" w:sz="8" w:color="auto"/>
            </w:tcBorders>
            <w:shd w:val="clear" w:color="auto" w:fill="33CCCC"/>
          </w:tcPr>
          <w:p>
            <w:pPr>
              <w:spacing w:after="0"/>
              <w:rPr>
                <w:sz w:val="12"/>
                <w:szCs w:val="12"/>
                <w:color w:val="auto"/>
              </w:rPr>
            </w:pPr>
          </w:p>
        </w:tc>
        <w:tc>
          <w:tcPr>
            <w:tcW w:w="880" w:type="dxa"/>
            <w:vAlign w:val="bottom"/>
            <w:tcBorders>
              <w:bottom w:val="single" w:sz="8" w:color="33CCCC"/>
            </w:tcBorders>
            <w:vMerge w:val="continue"/>
            <w:shd w:val="clear" w:color="auto" w:fill="33CCCC"/>
          </w:tcPr>
          <w:p>
            <w:pPr>
              <w:spacing w:after="0"/>
              <w:rPr>
                <w:sz w:val="12"/>
                <w:szCs w:val="12"/>
                <w:color w:val="auto"/>
              </w:rPr>
            </w:pPr>
          </w:p>
        </w:tc>
        <w:tc>
          <w:tcPr>
            <w:tcW w:w="900" w:type="dxa"/>
            <w:vAlign w:val="bottom"/>
            <w:tcBorders>
              <w:bottom w:val="single" w:sz="8" w:color="33CCCC"/>
            </w:tcBorders>
            <w:vMerge w:val="continue"/>
            <w:shd w:val="clear" w:color="auto" w:fill="33CCCC"/>
          </w:tcPr>
          <w:p>
            <w:pPr>
              <w:spacing w:after="0"/>
              <w:rPr>
                <w:sz w:val="12"/>
                <w:szCs w:val="12"/>
                <w:color w:val="auto"/>
              </w:rPr>
            </w:pPr>
          </w:p>
        </w:tc>
        <w:tc>
          <w:tcPr>
            <w:tcW w:w="920" w:type="dxa"/>
            <w:vAlign w:val="bottom"/>
            <w:tcBorders>
              <w:bottom w:val="single" w:sz="8" w:color="33CCCC"/>
              <w:right w:val="single" w:sz="8" w:color="auto"/>
            </w:tcBorders>
            <w:vMerge w:val="continue"/>
            <w:shd w:val="clear" w:color="auto" w:fill="33CCCC"/>
          </w:tcPr>
          <w:p>
            <w:pPr>
              <w:spacing w:after="0"/>
              <w:rPr>
                <w:sz w:val="12"/>
                <w:szCs w:val="12"/>
                <w:color w:val="auto"/>
              </w:rPr>
            </w:pPr>
          </w:p>
        </w:tc>
        <w:tc>
          <w:tcPr>
            <w:tcW w:w="780" w:type="dxa"/>
            <w:vAlign w:val="bottom"/>
            <w:tcBorders>
              <w:bottom w:val="single" w:sz="8" w:color="33CCCC"/>
            </w:tcBorders>
            <w:vMerge w:val="continue"/>
            <w:shd w:val="clear" w:color="auto" w:fill="33CCCC"/>
          </w:tcPr>
          <w:p>
            <w:pPr>
              <w:spacing w:after="0"/>
              <w:rPr>
                <w:sz w:val="12"/>
                <w:szCs w:val="12"/>
                <w:color w:val="auto"/>
              </w:rPr>
            </w:pPr>
          </w:p>
        </w:tc>
        <w:tc>
          <w:tcPr>
            <w:tcW w:w="800" w:type="dxa"/>
            <w:vAlign w:val="bottom"/>
            <w:tcBorders>
              <w:bottom w:val="single" w:sz="8" w:color="33CCCC"/>
              <w:right w:val="single" w:sz="8" w:color="auto"/>
            </w:tcBorders>
            <w:vMerge w:val="continue"/>
            <w:shd w:val="clear" w:color="auto" w:fill="33CCCC"/>
          </w:tcPr>
          <w:p>
            <w:pPr>
              <w:spacing w:after="0"/>
              <w:rPr>
                <w:sz w:val="12"/>
                <w:szCs w:val="12"/>
                <w:color w:val="auto"/>
              </w:rPr>
            </w:pPr>
          </w:p>
        </w:tc>
        <w:tc>
          <w:tcPr>
            <w:tcW w:w="740" w:type="dxa"/>
            <w:vAlign w:val="bottom"/>
            <w:tcBorders>
              <w:bottom w:val="single" w:sz="8" w:color="33CCCC"/>
            </w:tcBorders>
            <w:vMerge w:val="continue"/>
            <w:shd w:val="clear" w:color="auto" w:fill="33CCCC"/>
          </w:tcPr>
          <w:p>
            <w:pPr>
              <w:spacing w:after="0"/>
              <w:rPr>
                <w:sz w:val="12"/>
                <w:szCs w:val="12"/>
                <w:color w:val="auto"/>
              </w:rPr>
            </w:pPr>
          </w:p>
        </w:tc>
        <w:tc>
          <w:tcPr>
            <w:tcW w:w="820" w:type="dxa"/>
            <w:vAlign w:val="bottom"/>
            <w:tcBorders>
              <w:bottom w:val="single" w:sz="8" w:color="33CCCC"/>
              <w:right w:val="single" w:sz="8" w:color="auto"/>
            </w:tcBorders>
            <w:vMerge w:val="continue"/>
            <w:shd w:val="clear" w:color="auto" w:fill="33CCCC"/>
          </w:tcPr>
          <w:p>
            <w:pPr>
              <w:spacing w:after="0"/>
              <w:rPr>
                <w:sz w:val="12"/>
                <w:szCs w:val="12"/>
                <w:color w:val="auto"/>
              </w:rPr>
            </w:pPr>
          </w:p>
        </w:tc>
        <w:tc>
          <w:tcPr>
            <w:tcW w:w="800" w:type="dxa"/>
            <w:vAlign w:val="bottom"/>
            <w:tcBorders>
              <w:bottom w:val="single" w:sz="8" w:color="33CCCC"/>
            </w:tcBorders>
            <w:vMerge w:val="continue"/>
            <w:shd w:val="clear" w:color="auto" w:fill="33CCCC"/>
          </w:tcPr>
          <w:p>
            <w:pPr>
              <w:spacing w:after="0"/>
              <w:rPr>
                <w:sz w:val="12"/>
                <w:szCs w:val="12"/>
                <w:color w:val="auto"/>
              </w:rPr>
            </w:pPr>
          </w:p>
        </w:tc>
        <w:tc>
          <w:tcPr>
            <w:tcW w:w="860" w:type="dxa"/>
            <w:vAlign w:val="bottom"/>
            <w:tcBorders>
              <w:bottom w:val="single" w:sz="8" w:color="33CCCC"/>
            </w:tcBorders>
            <w:vMerge w:val="continue"/>
            <w:shd w:val="clear" w:color="auto" w:fill="33CCCC"/>
          </w:tcPr>
          <w:p>
            <w:pPr>
              <w:spacing w:after="0"/>
              <w:rPr>
                <w:sz w:val="12"/>
                <w:szCs w:val="12"/>
                <w:color w:val="auto"/>
              </w:rPr>
            </w:pPr>
          </w:p>
        </w:tc>
        <w:tc>
          <w:tcPr>
            <w:tcW w:w="900" w:type="dxa"/>
            <w:vAlign w:val="bottom"/>
            <w:tcBorders>
              <w:bottom w:val="single" w:sz="8" w:color="33CCCC"/>
              <w:right w:val="single" w:sz="8" w:color="auto"/>
            </w:tcBorders>
            <w:vMerge w:val="continue"/>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40" w:type="dxa"/>
            <w:vAlign w:val="bottom"/>
            <w:tcBorders>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8"/>
                <w:szCs w:val="18"/>
                <w:b w:val="1"/>
                <w:bCs w:val="1"/>
                <w:color w:val="auto"/>
              </w:rPr>
              <w:t>BCP Stand-alone</w:t>
            </w:r>
          </w:p>
        </w:tc>
        <w:tc>
          <w:tcPr>
            <w:tcW w:w="88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7"/>
              </w:rPr>
              <w:t>115,851</w:t>
            </w:r>
          </w:p>
        </w:tc>
        <w:tc>
          <w:tcPr>
            <w:tcW w:w="90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7"/>
              </w:rPr>
              <w:t>116,450</w:t>
            </w:r>
          </w:p>
        </w:tc>
        <w:tc>
          <w:tcPr>
            <w:tcW w:w="920" w:type="dxa"/>
            <w:vAlign w:val="bottom"/>
            <w:tcBorders>
              <w:top w:val="single" w:sz="8" w:color="auto"/>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7"/>
              </w:rPr>
              <w:t>115,569</w:t>
            </w:r>
          </w:p>
        </w:tc>
        <w:tc>
          <w:tcPr>
            <w:tcW w:w="78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rPr>
              <w:t>-881</w:t>
            </w:r>
          </w:p>
        </w:tc>
        <w:tc>
          <w:tcPr>
            <w:tcW w:w="800" w:type="dxa"/>
            <w:vAlign w:val="bottom"/>
            <w:tcBorders>
              <w:top w:val="single" w:sz="8" w:color="auto"/>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7"/>
              </w:rPr>
              <w:t>-282</w:t>
            </w:r>
          </w:p>
        </w:tc>
        <w:tc>
          <w:tcPr>
            <w:tcW w:w="74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5"/>
              </w:rPr>
              <w:t>-0.8%</w:t>
            </w:r>
          </w:p>
        </w:tc>
        <w:tc>
          <w:tcPr>
            <w:tcW w:w="820" w:type="dxa"/>
            <w:vAlign w:val="bottom"/>
            <w:tcBorders>
              <w:top w:val="single" w:sz="8" w:color="auto"/>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rPr>
              <w:t>-0.2%</w:t>
            </w:r>
          </w:p>
        </w:tc>
        <w:tc>
          <w:tcPr>
            <w:tcW w:w="80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7"/>
              </w:rPr>
              <w:t>81.5%</w:t>
            </w:r>
          </w:p>
        </w:tc>
        <w:tc>
          <w:tcPr>
            <w:tcW w:w="860" w:type="dxa"/>
            <w:vAlign w:val="bottom"/>
            <w:tcBorders>
              <w:top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rPr>
              <w:t>81.9%</w:t>
            </w:r>
          </w:p>
        </w:tc>
        <w:tc>
          <w:tcPr>
            <w:tcW w:w="900" w:type="dxa"/>
            <w:vAlign w:val="bottom"/>
            <w:tcBorders>
              <w:top w:val="single" w:sz="8" w:color="auto"/>
              <w:right w:val="single" w:sz="8" w:color="auto"/>
            </w:tcBorders>
          </w:tcPr>
          <w:p>
            <w:pPr>
              <w:jc w:val="center"/>
              <w:spacing w:after="0" w:line="187" w:lineRule="exact"/>
              <w:rPr>
                <w:sz w:val="20"/>
                <w:szCs w:val="20"/>
                <w:color w:val="auto"/>
              </w:rPr>
            </w:pPr>
            <w:r>
              <w:rPr>
                <w:rFonts w:ascii="Calibri" w:cs="Calibri" w:eastAsia="Calibri" w:hAnsi="Calibri"/>
                <w:sz w:val="18"/>
                <w:szCs w:val="18"/>
                <w:b w:val="1"/>
                <w:bCs w:val="1"/>
                <w:color w:val="auto"/>
                <w:w w:val="97"/>
              </w:rPr>
              <w:t>82.2%</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right w:val="single" w:sz="8" w:color="auto"/>
            </w:tcBorders>
          </w:tcPr>
          <w:p>
            <w:pPr>
              <w:ind w:left="180"/>
              <w:spacing w:after="0" w:line="215" w:lineRule="exact"/>
              <w:rPr>
                <w:sz w:val="20"/>
                <w:szCs w:val="20"/>
                <w:color w:val="auto"/>
              </w:rPr>
            </w:pPr>
            <w:r>
              <w:rPr>
                <w:rFonts w:ascii="Calibri" w:cs="Calibri" w:eastAsia="Calibri" w:hAnsi="Calibri"/>
                <w:sz w:val="18"/>
                <w:szCs w:val="18"/>
                <w:b w:val="1"/>
                <w:bCs w:val="1"/>
                <w:color w:val="auto"/>
              </w:rPr>
              <w:t>Wholesale Banking</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52,796</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53,157</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5"/>
              </w:rPr>
              <w:t>52,257</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-901</w:t>
            </w:r>
          </w:p>
        </w:tc>
        <w:tc>
          <w:tcPr>
            <w:tcW w:w="8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-540</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-1.7%</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-1.0%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37.1%</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37.4%</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37.2%</w:t>
            </w:r>
          </w:p>
        </w:tc>
        <w:tc>
          <w:tcPr>
            <w:tcW w:w="0" w:type="dxa"/>
            <w:vAlign w:val="bottom"/>
          </w:tcPr>
          <w:p>
            <w:pPr>
              <w:spacing w:after="0"/>
              <w:rPr>
                <w:sz w:val="1"/>
                <w:szCs w:val="1"/>
                <w:color w:val="auto"/>
              </w:rPr>
            </w:pPr>
          </w:p>
        </w:tc>
      </w:tr>
      <w:tr>
        <w:trPr>
          <w:trHeight w:val="23"/>
        </w:trPr>
        <w:tc>
          <w:tcPr>
            <w:tcW w:w="2840" w:type="dxa"/>
            <w:vAlign w:val="bottom"/>
            <w:tcBorders>
              <w:left w:val="single" w:sz="8" w:color="auto"/>
              <w:right w:val="single" w:sz="8" w:color="auto"/>
            </w:tcBorders>
            <w:vMerge w:val="restart"/>
          </w:tcPr>
          <w:p>
            <w:pPr>
              <w:ind w:left="340"/>
              <w:spacing w:after="0" w:line="216" w:lineRule="exact"/>
              <w:rPr>
                <w:sz w:val="20"/>
                <w:szCs w:val="20"/>
                <w:color w:val="auto"/>
              </w:rPr>
            </w:pPr>
            <w:r>
              <w:rPr>
                <w:rFonts w:ascii="Calibri" w:cs="Calibri" w:eastAsia="Calibri" w:hAnsi="Calibri"/>
                <w:sz w:val="18"/>
                <w:szCs w:val="18"/>
                <w:color w:val="auto"/>
              </w:rPr>
              <w:t>Corporate</w:t>
            </w:r>
          </w:p>
        </w:tc>
        <w:tc>
          <w:tcPr>
            <w:tcW w:w="880" w:type="dxa"/>
            <w:vAlign w:val="bottom"/>
            <w:vMerge w:val="restart"/>
          </w:tcPr>
          <w:p>
            <w:pPr>
              <w:jc w:val="center"/>
              <w:spacing w:after="0" w:line="216" w:lineRule="exact"/>
              <w:rPr>
                <w:sz w:val="20"/>
                <w:szCs w:val="20"/>
                <w:color w:val="auto"/>
              </w:rPr>
            </w:pPr>
            <w:r>
              <w:rPr>
                <w:rFonts w:ascii="Calibri" w:cs="Calibri" w:eastAsia="Calibri" w:hAnsi="Calibri"/>
                <w:sz w:val="18"/>
                <w:szCs w:val="18"/>
                <w:color w:val="auto"/>
                <w:w w:val="95"/>
              </w:rPr>
              <w:t>31,134</w:t>
            </w:r>
          </w:p>
        </w:tc>
        <w:tc>
          <w:tcPr>
            <w:tcW w:w="900" w:type="dxa"/>
            <w:vAlign w:val="bottom"/>
            <w:vMerge w:val="restart"/>
          </w:tcPr>
          <w:p>
            <w:pPr>
              <w:jc w:val="center"/>
              <w:spacing w:after="0" w:line="216" w:lineRule="exact"/>
              <w:rPr>
                <w:sz w:val="20"/>
                <w:szCs w:val="20"/>
                <w:color w:val="auto"/>
              </w:rPr>
            </w:pPr>
            <w:r>
              <w:rPr>
                <w:rFonts w:ascii="Calibri" w:cs="Calibri" w:eastAsia="Calibri" w:hAnsi="Calibri"/>
                <w:sz w:val="18"/>
                <w:szCs w:val="18"/>
                <w:color w:val="auto"/>
                <w:w w:val="99"/>
              </w:rPr>
              <w:t>31,879</w:t>
            </w:r>
          </w:p>
        </w:tc>
        <w:tc>
          <w:tcPr>
            <w:tcW w:w="920" w:type="dxa"/>
            <w:vAlign w:val="bottom"/>
            <w:tcBorders>
              <w:right w:val="single" w:sz="8" w:color="auto"/>
            </w:tcBorders>
            <w:vMerge w:val="restart"/>
          </w:tcPr>
          <w:p>
            <w:pPr>
              <w:jc w:val="center"/>
              <w:spacing w:after="0" w:line="216" w:lineRule="exact"/>
              <w:rPr>
                <w:sz w:val="20"/>
                <w:szCs w:val="20"/>
                <w:color w:val="auto"/>
              </w:rPr>
            </w:pPr>
            <w:r>
              <w:rPr>
                <w:rFonts w:ascii="Calibri" w:cs="Calibri" w:eastAsia="Calibri" w:hAnsi="Calibri"/>
                <w:sz w:val="18"/>
                <w:szCs w:val="18"/>
                <w:color w:val="auto"/>
                <w:w w:val="95"/>
              </w:rPr>
              <w:t>31,108</w:t>
            </w:r>
          </w:p>
        </w:tc>
        <w:tc>
          <w:tcPr>
            <w:tcW w:w="780" w:type="dxa"/>
            <w:vAlign w:val="bottom"/>
          </w:tcPr>
          <w:p>
            <w:pPr>
              <w:spacing w:after="0"/>
              <w:rPr>
                <w:sz w:val="2"/>
                <w:szCs w:val="2"/>
                <w:color w:val="auto"/>
              </w:rPr>
            </w:pPr>
          </w:p>
        </w:tc>
        <w:tc>
          <w:tcPr>
            <w:tcW w:w="800" w:type="dxa"/>
            <w:vAlign w:val="bottom"/>
            <w:tcBorders>
              <w:right w:val="single" w:sz="8" w:color="auto"/>
            </w:tcBorders>
            <w:vMerge w:val="restart"/>
          </w:tcPr>
          <w:p>
            <w:pPr>
              <w:jc w:val="center"/>
              <w:spacing w:after="0" w:line="216" w:lineRule="exact"/>
              <w:rPr>
                <w:sz w:val="20"/>
                <w:szCs w:val="20"/>
                <w:color w:val="auto"/>
              </w:rPr>
            </w:pPr>
            <w:r>
              <w:rPr>
                <w:rFonts w:ascii="Calibri" w:cs="Calibri" w:eastAsia="Calibri" w:hAnsi="Calibri"/>
                <w:sz w:val="18"/>
                <w:szCs w:val="18"/>
                <w:color w:val="auto"/>
              </w:rPr>
              <w:t>-26</w:t>
            </w:r>
          </w:p>
        </w:tc>
        <w:tc>
          <w:tcPr>
            <w:tcW w:w="740" w:type="dxa"/>
            <w:vAlign w:val="bottom"/>
            <w:vMerge w:val="restart"/>
          </w:tcPr>
          <w:p>
            <w:pPr>
              <w:jc w:val="center"/>
              <w:spacing w:after="0" w:line="216" w:lineRule="exact"/>
              <w:rPr>
                <w:sz w:val="20"/>
                <w:szCs w:val="20"/>
                <w:color w:val="auto"/>
              </w:rPr>
            </w:pPr>
            <w:r>
              <w:rPr>
                <w:rFonts w:ascii="Calibri" w:cs="Calibri" w:eastAsia="Calibri" w:hAnsi="Calibri"/>
                <w:sz w:val="18"/>
                <w:szCs w:val="18"/>
                <w:color w:val="auto"/>
                <w:w w:val="97"/>
              </w:rPr>
              <w:t>-2.4%</w:t>
            </w:r>
          </w:p>
        </w:tc>
        <w:tc>
          <w:tcPr>
            <w:tcW w:w="820" w:type="dxa"/>
            <w:vAlign w:val="bottom"/>
            <w:tcBorders>
              <w:right w:val="single" w:sz="8" w:color="auto"/>
            </w:tcBorders>
            <w:vMerge w:val="restart"/>
          </w:tcPr>
          <w:p>
            <w:pPr>
              <w:jc w:val="center"/>
              <w:spacing w:after="0" w:line="216" w:lineRule="exact"/>
              <w:rPr>
                <w:sz w:val="20"/>
                <w:szCs w:val="20"/>
                <w:color w:val="auto"/>
              </w:rPr>
            </w:pPr>
            <w:r>
              <w:rPr>
                <w:rFonts w:ascii="Calibri" w:cs="Calibri" w:eastAsia="Calibri" w:hAnsi="Calibri"/>
                <w:sz w:val="18"/>
                <w:szCs w:val="18"/>
                <w:color w:val="auto"/>
              </w:rPr>
              <w:t>-0.1%</w:t>
            </w:r>
          </w:p>
        </w:tc>
        <w:tc>
          <w:tcPr>
            <w:tcW w:w="800" w:type="dxa"/>
            <w:vAlign w:val="bottom"/>
            <w:vMerge w:val="restart"/>
          </w:tcPr>
          <w:p>
            <w:pPr>
              <w:jc w:val="center"/>
              <w:spacing w:after="0" w:line="216" w:lineRule="exact"/>
              <w:rPr>
                <w:sz w:val="20"/>
                <w:szCs w:val="20"/>
                <w:color w:val="auto"/>
              </w:rPr>
            </w:pPr>
            <w:r>
              <w:rPr>
                <w:rFonts w:ascii="Calibri" w:cs="Calibri" w:eastAsia="Calibri" w:hAnsi="Calibri"/>
                <w:sz w:val="18"/>
                <w:szCs w:val="18"/>
                <w:color w:val="auto"/>
                <w:w w:val="98"/>
              </w:rPr>
              <w:t>21.9%</w:t>
            </w:r>
          </w:p>
        </w:tc>
        <w:tc>
          <w:tcPr>
            <w:tcW w:w="860" w:type="dxa"/>
            <w:vAlign w:val="bottom"/>
            <w:vMerge w:val="restart"/>
          </w:tcPr>
          <w:p>
            <w:pPr>
              <w:jc w:val="center"/>
              <w:spacing w:after="0" w:line="216" w:lineRule="exact"/>
              <w:rPr>
                <w:sz w:val="20"/>
                <w:szCs w:val="20"/>
                <w:color w:val="auto"/>
              </w:rPr>
            </w:pPr>
            <w:r>
              <w:rPr>
                <w:rFonts w:ascii="Calibri" w:cs="Calibri" w:eastAsia="Calibri" w:hAnsi="Calibri"/>
                <w:sz w:val="18"/>
                <w:szCs w:val="18"/>
                <w:color w:val="auto"/>
                <w:w w:val="98"/>
              </w:rPr>
              <w:t>22.4%</w:t>
            </w:r>
          </w:p>
        </w:tc>
        <w:tc>
          <w:tcPr>
            <w:tcW w:w="900" w:type="dxa"/>
            <w:vAlign w:val="bottom"/>
            <w:tcBorders>
              <w:right w:val="single" w:sz="8" w:color="auto"/>
            </w:tcBorders>
            <w:vMerge w:val="restart"/>
          </w:tcPr>
          <w:p>
            <w:pPr>
              <w:jc w:val="center"/>
              <w:spacing w:after="0" w:line="216" w:lineRule="exact"/>
              <w:rPr>
                <w:sz w:val="20"/>
                <w:szCs w:val="20"/>
                <w:color w:val="auto"/>
              </w:rPr>
            </w:pPr>
            <w:r>
              <w:rPr>
                <w:rFonts w:ascii="Calibri" w:cs="Calibri" w:eastAsia="Calibri" w:hAnsi="Calibri"/>
                <w:sz w:val="18"/>
                <w:szCs w:val="18"/>
                <w:color w:val="auto"/>
                <w:w w:val="98"/>
              </w:rPr>
              <w:t>22.1%</w:t>
            </w:r>
          </w:p>
        </w:tc>
        <w:tc>
          <w:tcPr>
            <w:tcW w:w="0" w:type="dxa"/>
            <w:vAlign w:val="bottom"/>
          </w:tcPr>
          <w:p>
            <w:pPr>
              <w:spacing w:after="0" w:line="20" w:lineRule="exact"/>
              <w:rPr>
                <w:sz w:val="1"/>
                <w:szCs w:val="1"/>
                <w:color w:val="auto"/>
              </w:rPr>
            </w:pPr>
          </w:p>
        </w:tc>
      </w:tr>
      <w:tr>
        <w:trPr>
          <w:trHeight w:val="216"/>
        </w:trPr>
        <w:tc>
          <w:tcPr>
            <w:tcW w:w="2840" w:type="dxa"/>
            <w:vAlign w:val="bottom"/>
            <w:tcBorders>
              <w:left w:val="single" w:sz="8" w:color="auto"/>
              <w:right w:val="single" w:sz="8" w:color="auto"/>
            </w:tcBorders>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780" w:type="dxa"/>
            <w:vAlign w:val="bottom"/>
            <w:shd w:val="clear" w:color="auto" w:fill="EB40A9"/>
          </w:tcPr>
          <w:p>
            <w:pPr>
              <w:jc w:val="center"/>
              <w:spacing w:after="0" w:line="215" w:lineRule="exact"/>
              <w:rPr>
                <w:sz w:val="20"/>
                <w:szCs w:val="20"/>
                <w:color w:val="auto"/>
              </w:rPr>
            </w:pPr>
            <w:r>
              <w:rPr>
                <w:rFonts w:ascii="Calibri" w:cs="Calibri" w:eastAsia="Calibri" w:hAnsi="Calibri"/>
                <w:sz w:val="18"/>
                <w:szCs w:val="18"/>
                <w:color w:val="auto"/>
              </w:rPr>
              <w:t>-770</w:t>
            </w:r>
          </w:p>
        </w:tc>
        <w:tc>
          <w:tcPr>
            <w:tcW w:w="800" w:type="dxa"/>
            <w:vAlign w:val="bottom"/>
            <w:tcBorders>
              <w:right w:val="single" w:sz="8" w:color="auto"/>
            </w:tcBorders>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Middle - Market</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21,662</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21,278</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21,148</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-130</w:t>
            </w:r>
          </w:p>
        </w:tc>
        <w:tc>
          <w:tcPr>
            <w:tcW w:w="800" w:type="dxa"/>
            <w:vAlign w:val="bottom"/>
            <w:tcBorders>
              <w:right w:val="single" w:sz="8" w:color="auto"/>
            </w:tcBorders>
            <w:shd w:val="clear" w:color="auto" w:fill="EB40A9"/>
          </w:tcPr>
          <w:p>
            <w:pPr>
              <w:jc w:val="center"/>
              <w:spacing w:after="0" w:line="215" w:lineRule="exact"/>
              <w:rPr>
                <w:sz w:val="20"/>
                <w:szCs w:val="20"/>
                <w:color w:val="auto"/>
              </w:rPr>
            </w:pPr>
            <w:r>
              <w:rPr>
                <w:rFonts w:ascii="Calibri" w:cs="Calibri" w:eastAsia="Calibri" w:hAnsi="Calibri"/>
                <w:sz w:val="18"/>
                <w:szCs w:val="18"/>
                <w:color w:val="auto"/>
                <w:w w:val="97"/>
              </w:rPr>
              <w:t>-514</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-0.6%</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-2.4%</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15.2%</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15.0%</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8"/>
              </w:rPr>
              <w:t>15.0%</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Retail Banking</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63,055</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63,293</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5"/>
              </w:rPr>
              <w:t>63,312</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8"/>
              </w:rPr>
              <w:t>20</w:t>
            </w:r>
          </w:p>
        </w:tc>
        <w:tc>
          <w:tcPr>
            <w:tcW w:w="8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4"/>
              </w:rPr>
              <w:t>258</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0.0%</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3"/>
              </w:rPr>
              <w:t>0.4%</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44.3%</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44.5%</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45.0%</w:t>
            </w:r>
          </w:p>
        </w:tc>
        <w:tc>
          <w:tcPr>
            <w:tcW w:w="0" w:type="dxa"/>
            <w:vAlign w:val="bottom"/>
          </w:tcPr>
          <w:p>
            <w:pPr>
              <w:spacing w:after="0"/>
              <w:rPr>
                <w:sz w:val="1"/>
                <w:szCs w:val="1"/>
                <w:color w:val="auto"/>
              </w:rPr>
            </w:pPr>
          </w:p>
        </w:tc>
      </w:tr>
      <w:tr>
        <w:trPr>
          <w:trHeight w:val="217"/>
        </w:trPr>
        <w:tc>
          <w:tcPr>
            <w:tcW w:w="2840" w:type="dxa"/>
            <w:vAlign w:val="bottom"/>
            <w:tcBorders>
              <w:left w:val="single" w:sz="8" w:color="auto"/>
              <w:right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SME - Business</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7,292</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7,121</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7"/>
              </w:rPr>
              <w:t>7,356</w:t>
            </w:r>
          </w:p>
        </w:tc>
        <w:tc>
          <w:tcPr>
            <w:tcW w:w="780" w:type="dxa"/>
            <w:vAlign w:val="bottom"/>
            <w:shd w:val="clear" w:color="auto" w:fill="00D273"/>
          </w:tcPr>
          <w:p>
            <w:pPr>
              <w:jc w:val="center"/>
              <w:spacing w:after="0" w:line="216" w:lineRule="exact"/>
              <w:rPr>
                <w:sz w:val="20"/>
                <w:szCs w:val="20"/>
                <w:color w:val="auto"/>
              </w:rPr>
            </w:pPr>
            <w:r>
              <w:rPr>
                <w:rFonts w:ascii="Calibri" w:cs="Calibri" w:eastAsia="Calibri" w:hAnsi="Calibri"/>
                <w:sz w:val="18"/>
                <w:szCs w:val="18"/>
                <w:color w:val="auto"/>
                <w:w w:val="94"/>
              </w:rPr>
              <w:t>235</w:t>
            </w:r>
          </w:p>
        </w:tc>
        <w:tc>
          <w:tcPr>
            <w:tcW w:w="8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8"/>
              </w:rPr>
              <w:t>65</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color w:val="auto"/>
              </w:rPr>
              <w:t>3.3%</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0.9%</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rPr>
              <w:t>5.1%</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5.0%</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5.2%</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right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SME - Pyme</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16,549</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16,295</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16,184</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-111</w:t>
            </w:r>
          </w:p>
        </w:tc>
        <w:tc>
          <w:tcPr>
            <w:tcW w:w="800" w:type="dxa"/>
            <w:vAlign w:val="bottom"/>
            <w:tcBorders>
              <w:right w:val="single" w:sz="8" w:color="auto"/>
            </w:tcBorders>
            <w:shd w:val="clear" w:color="auto" w:fill="EB40A9"/>
          </w:tcPr>
          <w:p>
            <w:pPr>
              <w:jc w:val="center"/>
              <w:spacing w:after="0" w:line="215" w:lineRule="exact"/>
              <w:rPr>
                <w:sz w:val="20"/>
                <w:szCs w:val="20"/>
                <w:color w:val="auto"/>
              </w:rPr>
            </w:pPr>
            <w:r>
              <w:rPr>
                <w:rFonts w:ascii="Calibri" w:cs="Calibri" w:eastAsia="Calibri" w:hAnsi="Calibri"/>
                <w:sz w:val="18"/>
                <w:szCs w:val="18"/>
                <w:color w:val="auto"/>
                <w:w w:val="97"/>
              </w:rPr>
              <w:t>-364</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-0.7%</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-2.2%</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11.6%</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11.5%</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8"/>
              </w:rPr>
              <w:t>11.5%</w:t>
            </w:r>
          </w:p>
        </w:tc>
        <w:tc>
          <w:tcPr>
            <w:tcW w:w="0" w:type="dxa"/>
            <w:vAlign w:val="bottom"/>
          </w:tcPr>
          <w:p>
            <w:pPr>
              <w:spacing w:after="0"/>
              <w:rPr>
                <w:sz w:val="1"/>
                <w:szCs w:val="1"/>
                <w:color w:val="auto"/>
              </w:rPr>
            </w:pPr>
          </w:p>
        </w:tc>
      </w:tr>
      <w:tr>
        <w:trPr>
          <w:trHeight w:val="217"/>
        </w:trPr>
        <w:tc>
          <w:tcPr>
            <w:tcW w:w="2840" w:type="dxa"/>
            <w:vAlign w:val="bottom"/>
            <w:tcBorders>
              <w:left w:val="single" w:sz="8" w:color="auto"/>
              <w:right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Mortgage</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20,712</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21,432</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21,606</w:t>
            </w:r>
          </w:p>
        </w:tc>
        <w:tc>
          <w:tcPr>
            <w:tcW w:w="780" w:type="dxa"/>
            <w:vAlign w:val="bottom"/>
            <w:shd w:val="clear" w:color="auto" w:fill="00D273"/>
          </w:tcPr>
          <w:p>
            <w:pPr>
              <w:jc w:val="center"/>
              <w:spacing w:after="0" w:line="216" w:lineRule="exact"/>
              <w:rPr>
                <w:sz w:val="20"/>
                <w:szCs w:val="20"/>
                <w:color w:val="auto"/>
              </w:rPr>
            </w:pPr>
            <w:r>
              <w:rPr>
                <w:rFonts w:ascii="Calibri" w:cs="Calibri" w:eastAsia="Calibri" w:hAnsi="Calibri"/>
                <w:sz w:val="18"/>
                <w:szCs w:val="18"/>
                <w:color w:val="auto"/>
                <w:w w:val="94"/>
              </w:rPr>
              <w:t>174</w:t>
            </w:r>
          </w:p>
        </w:tc>
        <w:tc>
          <w:tcPr>
            <w:tcW w:w="800" w:type="dxa"/>
            <w:vAlign w:val="bottom"/>
            <w:tcBorders>
              <w:right w:val="single" w:sz="8" w:color="auto"/>
            </w:tcBorders>
            <w:shd w:val="clear" w:color="auto" w:fill="00D273"/>
          </w:tcPr>
          <w:p>
            <w:pPr>
              <w:jc w:val="center"/>
              <w:spacing w:after="0" w:line="216" w:lineRule="exact"/>
              <w:rPr>
                <w:sz w:val="20"/>
                <w:szCs w:val="20"/>
                <w:color w:val="auto"/>
              </w:rPr>
            </w:pPr>
            <w:r>
              <w:rPr>
                <w:rFonts w:ascii="Calibri" w:cs="Calibri" w:eastAsia="Calibri" w:hAnsi="Calibri"/>
                <w:sz w:val="18"/>
                <w:szCs w:val="18"/>
                <w:color w:val="auto"/>
                <w:w w:val="94"/>
              </w:rPr>
              <w:t>894</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color w:val="auto"/>
              </w:rPr>
              <w:t>0.8%</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4.3%</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14.6%</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15.1%</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8"/>
              </w:rPr>
              <w:t>15.4%</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Consumer</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12,654</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12,466</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12,319</w:t>
            </w:r>
          </w:p>
        </w:tc>
        <w:tc>
          <w:tcPr>
            <w:tcW w:w="780" w:type="dxa"/>
            <w:vAlign w:val="bottom"/>
            <w:shd w:val="clear" w:color="auto" w:fill="EB40A9"/>
          </w:tcPr>
          <w:p>
            <w:pPr>
              <w:jc w:val="center"/>
              <w:spacing w:after="0" w:line="215" w:lineRule="exact"/>
              <w:rPr>
                <w:sz w:val="20"/>
                <w:szCs w:val="20"/>
                <w:color w:val="auto"/>
              </w:rPr>
            </w:pPr>
            <w:r>
              <w:rPr>
                <w:rFonts w:ascii="Calibri" w:cs="Calibri" w:eastAsia="Calibri" w:hAnsi="Calibri"/>
                <w:sz w:val="18"/>
                <w:szCs w:val="18"/>
                <w:color w:val="auto"/>
              </w:rPr>
              <w:t>-148</w:t>
            </w:r>
          </w:p>
        </w:tc>
        <w:tc>
          <w:tcPr>
            <w:tcW w:w="800" w:type="dxa"/>
            <w:vAlign w:val="bottom"/>
            <w:tcBorders>
              <w:right w:val="single" w:sz="8" w:color="auto"/>
            </w:tcBorders>
            <w:shd w:val="clear" w:color="auto" w:fill="EB40A9"/>
          </w:tcPr>
          <w:p>
            <w:pPr>
              <w:jc w:val="center"/>
              <w:spacing w:after="0" w:line="215" w:lineRule="exact"/>
              <w:rPr>
                <w:sz w:val="20"/>
                <w:szCs w:val="20"/>
                <w:color w:val="auto"/>
              </w:rPr>
            </w:pPr>
            <w:r>
              <w:rPr>
                <w:rFonts w:ascii="Calibri" w:cs="Calibri" w:eastAsia="Calibri" w:hAnsi="Calibri"/>
                <w:sz w:val="18"/>
                <w:szCs w:val="18"/>
                <w:color w:val="auto"/>
                <w:w w:val="97"/>
              </w:rPr>
              <w:t>-335</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-1.2%</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-2.7%</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rPr>
              <w:t>8.9%</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8.8%</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8.8%</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right w:val="single" w:sz="8" w:color="auto"/>
            </w:tcBorders>
          </w:tcPr>
          <w:p>
            <w:pPr>
              <w:ind w:left="340"/>
              <w:spacing w:after="0" w:line="215" w:lineRule="exact"/>
              <w:rPr>
                <w:sz w:val="20"/>
                <w:szCs w:val="20"/>
                <w:color w:val="auto"/>
              </w:rPr>
            </w:pPr>
            <w:r>
              <w:rPr>
                <w:rFonts w:ascii="Calibri" w:cs="Calibri" w:eastAsia="Calibri" w:hAnsi="Calibri"/>
                <w:sz w:val="18"/>
                <w:szCs w:val="18"/>
                <w:color w:val="auto"/>
              </w:rPr>
              <w:t>Credit Card</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5,848</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5,978</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7"/>
              </w:rPr>
              <w:t>5,847</w:t>
            </w:r>
          </w:p>
        </w:tc>
        <w:tc>
          <w:tcPr>
            <w:tcW w:w="780" w:type="dxa"/>
            <w:vAlign w:val="bottom"/>
            <w:shd w:val="clear" w:color="auto" w:fill="EB40A9"/>
          </w:tcPr>
          <w:p>
            <w:pPr>
              <w:jc w:val="center"/>
              <w:spacing w:after="0" w:line="215" w:lineRule="exact"/>
              <w:rPr>
                <w:sz w:val="20"/>
                <w:szCs w:val="20"/>
                <w:color w:val="auto"/>
              </w:rPr>
            </w:pPr>
            <w:r>
              <w:rPr>
                <w:rFonts w:ascii="Calibri" w:cs="Calibri" w:eastAsia="Calibri" w:hAnsi="Calibri"/>
                <w:sz w:val="18"/>
                <w:szCs w:val="18"/>
                <w:color w:val="auto"/>
              </w:rPr>
              <w:t>-131</w:t>
            </w:r>
          </w:p>
        </w:tc>
        <w:tc>
          <w:tcPr>
            <w:tcW w:w="8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-1</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-2.2%</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5"/>
              </w:rPr>
              <w:t>0.0%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rPr>
              <w:t>4.1%</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4.2%</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17"/>
        </w:trPr>
        <w:tc>
          <w:tcPr>
            <w:tcW w:w="284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Mibanco</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14,121</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12,815</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5"/>
              </w:rPr>
              <w:t>12,199</w:t>
            </w:r>
          </w:p>
        </w:tc>
        <w:tc>
          <w:tcPr>
            <w:tcW w:w="780" w:type="dxa"/>
            <w:vAlign w:val="bottom"/>
            <w:shd w:val="clear" w:color="auto" w:fill="EB40A9"/>
          </w:tcPr>
          <w:p>
            <w:pPr>
              <w:jc w:val="center"/>
              <w:spacing w:after="0" w:line="215" w:lineRule="exact"/>
              <w:rPr>
                <w:sz w:val="20"/>
                <w:szCs w:val="20"/>
                <w:color w:val="auto"/>
              </w:rPr>
            </w:pPr>
            <w:r>
              <w:rPr>
                <w:rFonts w:ascii="Calibri" w:cs="Calibri" w:eastAsia="Calibri" w:hAnsi="Calibri"/>
                <w:sz w:val="18"/>
                <w:szCs w:val="18"/>
                <w:b w:val="1"/>
                <w:bCs w:val="1"/>
                <w:color w:val="auto"/>
              </w:rPr>
              <w:t>-615</w:t>
            </w:r>
          </w:p>
        </w:tc>
        <w:tc>
          <w:tcPr>
            <w:tcW w:w="800" w:type="dxa"/>
            <w:vAlign w:val="bottom"/>
            <w:tcBorders>
              <w:right w:val="single" w:sz="8" w:color="auto"/>
            </w:tcBorders>
            <w:shd w:val="clear" w:color="auto" w:fill="EB40A9"/>
          </w:tcPr>
          <w:p>
            <w:pPr>
              <w:jc w:val="center"/>
              <w:spacing w:after="0" w:line="216" w:lineRule="exact"/>
              <w:rPr>
                <w:sz w:val="20"/>
                <w:szCs w:val="20"/>
                <w:color w:val="auto"/>
              </w:rPr>
            </w:pPr>
            <w:r>
              <w:rPr>
                <w:rFonts w:ascii="Calibri" w:cs="Calibri" w:eastAsia="Calibri" w:hAnsi="Calibri"/>
                <w:sz w:val="18"/>
                <w:szCs w:val="18"/>
                <w:b w:val="1"/>
                <w:bCs w:val="1"/>
                <w:color w:val="auto"/>
                <w:w w:val="98"/>
              </w:rPr>
              <w:t>-1,922</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-4.8%</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8"/>
              </w:rPr>
              <w:t>-13.6%</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9.9%</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3"/>
              </w:rPr>
              <w:t>9.0%</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9"/>
              </w:rPr>
              <w:t>8.7%</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Mibanco Colombia</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1,557</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1,746</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1,721</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2"/>
              </w:rPr>
              <w:t>-25</w:t>
            </w:r>
          </w:p>
        </w:tc>
        <w:tc>
          <w:tcPr>
            <w:tcW w:w="8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4"/>
              </w:rPr>
              <w:t>163</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-1.4%</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10.5%</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1.1%</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3"/>
              </w:rPr>
              <w:t>1.2%</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9"/>
              </w:rPr>
              <w:t>1.2%</w:t>
            </w:r>
          </w:p>
        </w:tc>
        <w:tc>
          <w:tcPr>
            <w:tcW w:w="0" w:type="dxa"/>
            <w:vAlign w:val="bottom"/>
          </w:tcPr>
          <w:p>
            <w:pPr>
              <w:spacing w:after="0"/>
              <w:rPr>
                <w:sz w:val="1"/>
                <w:szCs w:val="1"/>
                <w:color w:val="auto"/>
              </w:rPr>
            </w:pPr>
          </w:p>
        </w:tc>
      </w:tr>
      <w:tr>
        <w:trPr>
          <w:trHeight w:val="217"/>
        </w:trPr>
        <w:tc>
          <w:tcPr>
            <w:tcW w:w="284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Bolivia</w:t>
            </w:r>
          </w:p>
        </w:tc>
        <w:tc>
          <w:tcPr>
            <w:tcW w:w="8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8,957</w:t>
            </w:r>
          </w:p>
        </w:tc>
        <w:tc>
          <w:tcPr>
            <w:tcW w:w="9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9,645</w:t>
            </w:r>
          </w:p>
        </w:tc>
        <w:tc>
          <w:tcPr>
            <w:tcW w:w="9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9,555</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2"/>
              </w:rPr>
              <w:t>-90</w:t>
            </w:r>
          </w:p>
        </w:tc>
        <w:tc>
          <w:tcPr>
            <w:tcW w:w="800" w:type="dxa"/>
            <w:vAlign w:val="bottom"/>
            <w:tcBorders>
              <w:right w:val="single" w:sz="8" w:color="auto"/>
            </w:tcBorders>
            <w:shd w:val="clear" w:color="auto" w:fill="00D273"/>
          </w:tcPr>
          <w:p>
            <w:pPr>
              <w:jc w:val="center"/>
              <w:spacing w:after="0" w:line="216" w:lineRule="exact"/>
              <w:rPr>
                <w:sz w:val="20"/>
                <w:szCs w:val="20"/>
                <w:color w:val="auto"/>
              </w:rPr>
            </w:pPr>
            <w:r>
              <w:rPr>
                <w:rFonts w:ascii="Calibri" w:cs="Calibri" w:eastAsia="Calibri" w:hAnsi="Calibri"/>
                <w:sz w:val="18"/>
                <w:szCs w:val="18"/>
                <w:b w:val="1"/>
                <w:bCs w:val="1"/>
                <w:color w:val="auto"/>
                <w:w w:val="94"/>
              </w:rPr>
              <w:t>598</w:t>
            </w:r>
          </w:p>
        </w:tc>
        <w:tc>
          <w:tcPr>
            <w:tcW w:w="7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5"/>
              </w:rPr>
              <w:t>-0.9%</w:t>
            </w:r>
          </w:p>
        </w:tc>
        <w:tc>
          <w:tcPr>
            <w:tcW w:w="82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3"/>
              </w:rPr>
              <w:t>6.7%</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9"/>
              </w:rPr>
              <w:t>6.3%</w:t>
            </w:r>
          </w:p>
        </w:tc>
        <w:tc>
          <w:tcPr>
            <w:tcW w:w="8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3"/>
              </w:rPr>
              <w:t>6.8%</w:t>
            </w:r>
          </w:p>
        </w:tc>
        <w:tc>
          <w:tcPr>
            <w:tcW w:w="9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9"/>
              </w:rPr>
              <w:t>6.8%</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bottom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ASB Bank Corp.</w:t>
            </w:r>
          </w:p>
        </w:tc>
        <w:tc>
          <w:tcPr>
            <w:tcW w:w="88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1,733</w:t>
            </w:r>
          </w:p>
        </w:tc>
        <w:tc>
          <w:tcPr>
            <w:tcW w:w="90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1,605</w:t>
            </w:r>
          </w:p>
        </w:tc>
        <w:tc>
          <w:tcPr>
            <w:tcW w:w="92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1,530</w:t>
            </w:r>
          </w:p>
        </w:tc>
        <w:tc>
          <w:tcPr>
            <w:tcW w:w="78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2"/>
              </w:rPr>
              <w:t>-75</w:t>
            </w:r>
          </w:p>
        </w:tc>
        <w:tc>
          <w:tcPr>
            <w:tcW w:w="80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-203</w:t>
            </w:r>
          </w:p>
        </w:tc>
        <w:tc>
          <w:tcPr>
            <w:tcW w:w="74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5"/>
              </w:rPr>
              <w:t>-4.7%</w:t>
            </w:r>
          </w:p>
        </w:tc>
        <w:tc>
          <w:tcPr>
            <w:tcW w:w="82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8"/>
              </w:rPr>
              <w:t>-11.7%</w:t>
            </w:r>
          </w:p>
        </w:tc>
        <w:tc>
          <w:tcPr>
            <w:tcW w:w="80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9"/>
              </w:rPr>
              <w:t>1.2%</w:t>
            </w:r>
          </w:p>
        </w:tc>
        <w:tc>
          <w:tcPr>
            <w:tcW w:w="86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3"/>
              </w:rPr>
              <w:t>1.1%</w:t>
            </w:r>
          </w:p>
        </w:tc>
        <w:tc>
          <w:tcPr>
            <w:tcW w:w="90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9"/>
              </w:rPr>
              <w:t>1.1%</w:t>
            </w: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BAP's total loans</w:t>
            </w:r>
          </w:p>
        </w:tc>
        <w:tc>
          <w:tcPr>
            <w:tcW w:w="88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7"/>
              </w:rPr>
              <w:t>142,219</w:t>
            </w:r>
          </w:p>
        </w:tc>
        <w:tc>
          <w:tcPr>
            <w:tcW w:w="9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7"/>
              </w:rPr>
              <w:t>142,261</w:t>
            </w:r>
          </w:p>
        </w:tc>
        <w:tc>
          <w:tcPr>
            <w:tcW w:w="92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7"/>
              </w:rPr>
              <w:t>140,574</w:t>
            </w:r>
          </w:p>
        </w:tc>
        <w:tc>
          <w:tcPr>
            <w:tcW w:w="78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8"/>
              </w:rPr>
              <w:t>-1,687</w:t>
            </w:r>
          </w:p>
        </w:tc>
        <w:tc>
          <w:tcPr>
            <w:tcW w:w="80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8"/>
              </w:rPr>
              <w:t>-1,645</w:t>
            </w:r>
          </w:p>
        </w:tc>
        <w:tc>
          <w:tcPr>
            <w:tcW w:w="74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5"/>
              </w:rPr>
              <w:t>-1.2%</w:t>
            </w:r>
          </w:p>
        </w:tc>
        <w:tc>
          <w:tcPr>
            <w:tcW w:w="82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rPr>
              <w:t>-1.2%</w:t>
            </w:r>
          </w:p>
        </w:tc>
        <w:tc>
          <w:tcPr>
            <w:tcW w:w="80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5"/>
              </w:rPr>
              <w:t>100.0%</w:t>
            </w:r>
          </w:p>
        </w:tc>
        <w:tc>
          <w:tcPr>
            <w:tcW w:w="860" w:type="dxa"/>
            <w:vAlign w:val="bottom"/>
            <w:tcBorders>
              <w:bottom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9"/>
              </w:rPr>
              <w:t>100.0%</w:t>
            </w:r>
          </w:p>
        </w:tc>
        <w:tc>
          <w:tcPr>
            <w:tcW w:w="90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b w:val="1"/>
                <w:bCs w:val="1"/>
                <w:color w:val="auto"/>
                <w:w w:val="95"/>
              </w:rPr>
              <w:t>100.0%</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Calibri" w:cs="Calibri" w:eastAsia="Calibri" w:hAnsi="Calibri"/>
          <w:sz w:val="12"/>
          <w:szCs w:val="12"/>
          <w:color w:val="auto"/>
        </w:rPr>
        <w:t>For consolidaton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-68580</wp:posOffset>
            </wp:positionV>
            <wp:extent cx="145732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7325" cy="342900"/>
                    </a:xfrm>
                    <a:prstGeom prst="rect">
                      <a:avLst/>
                    </a:prstGeom>
                    <a:noFill/>
                  </pic:spPr>
                </pic:pic>
              </a:graphicData>
            </a:graphic>
          </wp:anchor>
        </w:drawing>
      </w:r>
    </w:p>
    <w:p>
      <w:pPr>
        <w:ind w:left="160" w:hanging="152"/>
        <w:spacing w:after="0" w:line="221" w:lineRule="auto"/>
        <w:tabs>
          <w:tab w:leader="none" w:pos="160" w:val="left"/>
        </w:tabs>
        <w:numPr>
          <w:ilvl w:val="0"/>
          <w:numId w:val="18"/>
        </w:numPr>
        <w:rPr>
          <w:rFonts w:ascii="Calibri" w:cs="Calibri" w:eastAsia="Calibri" w:hAnsi="Calibri"/>
          <w:sz w:val="12"/>
          <w:szCs w:val="12"/>
          <w:color w:val="auto"/>
        </w:rPr>
      </w:pPr>
      <w:r>
        <w:rPr>
          <w:rFonts w:ascii="Calibri" w:cs="Calibri" w:eastAsia="Calibri" w:hAnsi="Calibri"/>
          <w:sz w:val="12"/>
          <w:szCs w:val="12"/>
          <w:color w:val="auto"/>
        </w:rPr>
        <w:t>Includes Workout unit and other banking. For Quarter-end balance fgures, please refer to “12. Annexes – 12.3 Loan Portolio Quality”</w:t>
      </w:r>
    </w:p>
    <w:p>
      <w:pPr>
        <w:ind w:left="160" w:hanging="152"/>
        <w:spacing w:after="0" w:line="221" w:lineRule="auto"/>
        <w:tabs>
          <w:tab w:leader="none" w:pos="160" w:val="left"/>
        </w:tabs>
        <w:numPr>
          <w:ilvl w:val="0"/>
          <w:numId w:val="18"/>
        </w:numPr>
        <w:rPr>
          <w:rFonts w:ascii="Calibri" w:cs="Calibri" w:eastAsia="Calibri" w:hAnsi="Calibri"/>
          <w:sz w:val="12"/>
          <w:szCs w:val="12"/>
          <w:color w:val="auto"/>
        </w:rPr>
      </w:pPr>
      <w:r>
        <w:rPr>
          <w:rFonts w:ascii="Calibri" w:cs="Calibri" w:eastAsia="Calibri" w:hAnsi="Calibri"/>
          <w:sz w:val="12"/>
          <w:szCs w:val="12"/>
          <w:color w:val="auto"/>
        </w:rPr>
        <w:t>Internal Management Figures</w:t>
      </w:r>
    </w:p>
    <w:p>
      <w:pPr>
        <w:sectPr>
          <w:pgSz w:w="11900" w:h="16838" w:orient="portrait"/>
          <w:cols w:equalWidth="0" w:num="1">
            <w:col w:w="11240"/>
          </w:cols>
          <w:pgMar w:left="320" w:top="348" w:right="339" w:bottom="1440" w:gutter="0" w:footer="0" w:header="0"/>
        </w:sectPr>
      </w:pPr>
    </w:p>
    <w:p>
      <w:pPr>
        <w:spacing w:after="0" w:line="341"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color w:val="auto"/>
        </w:rPr>
        <w:t xml:space="preserve">QoQ, </w:t>
      </w:r>
      <w:r>
        <w:rPr>
          <w:rFonts w:ascii="Calibri" w:cs="Calibri" w:eastAsia="Calibri" w:hAnsi="Calibri"/>
          <w:sz w:val="18"/>
          <w:szCs w:val="18"/>
          <w:color w:val="auto"/>
        </w:rPr>
        <w:t>total loans in average daily balances dropped 1.2% (- 0.7% FX</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Neutral). This reducton was fueled mainly by:</w:t>
      </w:r>
    </w:p>
    <w:p>
      <w:pPr>
        <w:spacing w:after="0" w:line="218" w:lineRule="exact"/>
        <w:rPr>
          <w:sz w:val="20"/>
          <w:szCs w:val="20"/>
          <w:color w:val="auto"/>
        </w:rPr>
      </w:pPr>
    </w:p>
    <w:p>
      <w:pPr>
        <w:ind w:left="840" w:hanging="346"/>
        <w:spacing w:after="0" w:line="235" w:lineRule="auto"/>
        <w:tabs>
          <w:tab w:leader="none" w:pos="840" w:val="left"/>
        </w:tabs>
        <w:numPr>
          <w:ilvl w:val="0"/>
          <w:numId w:val="19"/>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Corporate Banking</w:t>
      </w:r>
      <w:r>
        <w:rPr>
          <w:rFonts w:ascii="Calibri" w:cs="Calibri" w:eastAsia="Calibri" w:hAnsi="Calibri"/>
          <w:sz w:val="18"/>
          <w:szCs w:val="18"/>
          <w:color w:val="auto"/>
        </w:rPr>
        <w:t>, due to growth in repayments of long-term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loans.</w:t>
      </w:r>
    </w:p>
    <w:p>
      <w:pPr>
        <w:spacing w:after="0" w:line="1" w:lineRule="exact"/>
        <w:rPr>
          <w:rFonts w:ascii="Times New Roman" w:cs="Times New Roman" w:eastAsia="Times New Roman" w:hAnsi="Times New Roman"/>
          <w:sz w:val="16"/>
          <w:szCs w:val="16"/>
          <w:color w:val="auto"/>
        </w:rPr>
      </w:pPr>
    </w:p>
    <w:p>
      <w:pPr>
        <w:jc w:val="both"/>
        <w:ind w:left="840" w:hanging="346"/>
        <w:spacing w:after="0" w:line="235" w:lineRule="auto"/>
        <w:tabs>
          <w:tab w:leader="none" w:pos="840" w:val="left"/>
        </w:tabs>
        <w:numPr>
          <w:ilvl w:val="0"/>
          <w:numId w:val="19"/>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Mibanco, </w:t>
      </w:r>
      <w:r>
        <w:rPr>
          <w:rFonts w:ascii="Calibri" w:cs="Calibri" w:eastAsia="Calibri" w:hAnsi="Calibri"/>
          <w:sz w:val="18"/>
          <w:szCs w:val="18"/>
          <w:color w:val="auto"/>
        </w:rPr>
        <w:t>afer stricter lending guidelines were implemented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industry contnued to take a cautous approach to originaton. The contracton in the portolio this quarter was concentrated in higher-tcket loans.</w:t>
      </w:r>
    </w:p>
    <w:p>
      <w:pPr>
        <w:spacing w:after="0" w:line="3" w:lineRule="exact"/>
        <w:rPr>
          <w:rFonts w:ascii="Times New Roman" w:cs="Times New Roman" w:eastAsia="Times New Roman" w:hAnsi="Times New Roman"/>
          <w:sz w:val="16"/>
          <w:szCs w:val="16"/>
          <w:color w:val="auto"/>
        </w:rPr>
      </w:pPr>
    </w:p>
    <w:p>
      <w:pPr>
        <w:jc w:val="both"/>
        <w:ind w:left="840" w:hanging="346"/>
        <w:spacing w:after="0" w:line="235" w:lineRule="auto"/>
        <w:tabs>
          <w:tab w:leader="none" w:pos="840" w:val="left"/>
        </w:tabs>
        <w:numPr>
          <w:ilvl w:val="0"/>
          <w:numId w:val="19"/>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Consumer and Credit Cards, </w:t>
      </w:r>
      <w:r>
        <w:rPr>
          <w:rFonts w:ascii="Calibri" w:cs="Calibri" w:eastAsia="Calibri" w:hAnsi="Calibri"/>
          <w:sz w:val="18"/>
          <w:szCs w:val="18"/>
          <w:color w:val="auto"/>
        </w:rPr>
        <w:t>due to an uptck in loan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amortzatons and to a drop in demand for fnancing, in a context of excess liquidity from pension fund withdrawals.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was partally ofset by loan growth through:</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840" w:hanging="345"/>
        <w:spacing w:after="0" w:line="235" w:lineRule="auto"/>
        <w:tabs>
          <w:tab w:leader="none" w:pos="840" w:val="left"/>
        </w:tabs>
        <w:numPr>
          <w:ilvl w:val="0"/>
          <w:numId w:val="20"/>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SME-Business, </w:t>
      </w:r>
      <w:r>
        <w:rPr>
          <w:rFonts w:ascii="Calibri" w:cs="Calibri" w:eastAsia="Calibri" w:hAnsi="Calibri"/>
          <w:sz w:val="18"/>
          <w:szCs w:val="18"/>
          <w:color w:val="auto"/>
        </w:rPr>
        <w:t>due to an uptck in Government Program loan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disbursements (Impulso MyPerú).</w:t>
      </w:r>
    </w:p>
    <w:p>
      <w:pPr>
        <w:spacing w:after="0" w:line="1" w:lineRule="exact"/>
        <w:rPr>
          <w:rFonts w:ascii="Times New Roman" w:cs="Times New Roman" w:eastAsia="Times New Roman" w:hAnsi="Times New Roman"/>
          <w:sz w:val="16"/>
          <w:szCs w:val="16"/>
          <w:color w:val="auto"/>
        </w:rPr>
      </w:pPr>
    </w:p>
    <w:p>
      <w:pPr>
        <w:ind w:left="840" w:hanging="345"/>
        <w:spacing w:after="0" w:line="235" w:lineRule="auto"/>
        <w:tabs>
          <w:tab w:leader="none" w:pos="840" w:val="left"/>
        </w:tabs>
        <w:numPr>
          <w:ilvl w:val="0"/>
          <w:numId w:val="20"/>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Mortgage, </w:t>
      </w:r>
      <w:r>
        <w:rPr>
          <w:rFonts w:ascii="Calibri" w:cs="Calibri" w:eastAsia="Calibri" w:hAnsi="Calibri"/>
          <w:sz w:val="18"/>
          <w:szCs w:val="18"/>
          <w:color w:val="auto"/>
        </w:rPr>
        <w:t>due to a rebound in disbursements this quarter in 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context of lower rates.</w:t>
      </w:r>
    </w:p>
    <w:p>
      <w:pPr>
        <w:spacing w:after="0" w:line="15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total loans in average daily balances dropped 1.2% (- 1.4% FX Neutral).</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This decline was fueled mainly by:</w:t>
      </w:r>
    </w:p>
    <w:p>
      <w:pPr>
        <w:spacing w:after="0" w:line="199" w:lineRule="exact"/>
        <w:rPr>
          <w:sz w:val="20"/>
          <w:szCs w:val="20"/>
          <w:color w:val="auto"/>
        </w:rPr>
      </w:pPr>
    </w:p>
    <w:p>
      <w:pPr>
        <w:ind w:left="840" w:hanging="345"/>
        <w:spacing w:after="0"/>
        <w:tabs>
          <w:tab w:leader="none" w:pos="840" w:val="left"/>
        </w:tabs>
        <w:numPr>
          <w:ilvl w:val="0"/>
          <w:numId w:val="21"/>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Mibanco, </w:t>
      </w:r>
      <w:r>
        <w:rPr>
          <w:rFonts w:ascii="Calibri" w:cs="Calibri" w:eastAsia="Calibri" w:hAnsi="Calibri"/>
          <w:sz w:val="18"/>
          <w:szCs w:val="18"/>
          <w:color w:val="auto"/>
        </w:rPr>
        <w:t>due the same dynamics seen</w:t>
      </w:r>
      <w:r>
        <w:rPr>
          <w:rFonts w:ascii="Calibri" w:cs="Calibri" w:eastAsia="Calibri" w:hAnsi="Calibri"/>
          <w:sz w:val="18"/>
          <w:szCs w:val="18"/>
          <w:b w:val="1"/>
          <w:bCs w:val="1"/>
          <w:color w:val="auto"/>
        </w:rPr>
        <w:t xml:space="preserve"> QoQ.</w:t>
      </w:r>
    </w:p>
    <w:p>
      <w:pPr>
        <w:spacing w:after="0" w:line="3" w:lineRule="exact"/>
        <w:rPr>
          <w:rFonts w:ascii="Times New Roman" w:cs="Times New Roman" w:eastAsia="Times New Roman" w:hAnsi="Times New Roman"/>
          <w:sz w:val="16"/>
          <w:szCs w:val="16"/>
          <w:color w:val="auto"/>
        </w:rPr>
      </w:pPr>
    </w:p>
    <w:p>
      <w:pPr>
        <w:ind w:left="840" w:right="20" w:hanging="345"/>
        <w:spacing w:after="0" w:line="233" w:lineRule="auto"/>
        <w:tabs>
          <w:tab w:leader="none" w:pos="840" w:val="left"/>
        </w:tabs>
        <w:numPr>
          <w:ilvl w:val="0"/>
          <w:numId w:val="21"/>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Middle Market Banking, </w:t>
      </w:r>
      <w:r>
        <w:rPr>
          <w:rFonts w:ascii="Calibri" w:cs="Calibri" w:eastAsia="Calibri" w:hAnsi="Calibri"/>
          <w:sz w:val="18"/>
          <w:szCs w:val="18"/>
          <w:color w:val="auto"/>
        </w:rPr>
        <w:t>due to an uptck in repayments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long-term loans.</w:t>
      </w:r>
    </w:p>
    <w:p>
      <w:pPr>
        <w:spacing w:after="0" w:line="2" w:lineRule="exact"/>
        <w:rPr>
          <w:rFonts w:ascii="Times New Roman" w:cs="Times New Roman" w:eastAsia="Times New Roman" w:hAnsi="Times New Roman"/>
          <w:sz w:val="16"/>
          <w:szCs w:val="16"/>
          <w:color w:val="auto"/>
        </w:rPr>
      </w:pPr>
    </w:p>
    <w:p>
      <w:pPr>
        <w:jc w:val="both"/>
        <w:ind w:left="840" w:hanging="345"/>
        <w:spacing w:after="0" w:line="235" w:lineRule="auto"/>
        <w:tabs>
          <w:tab w:leader="none" w:pos="840" w:val="left"/>
        </w:tabs>
        <w:numPr>
          <w:ilvl w:val="0"/>
          <w:numId w:val="21"/>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SME-Pyme, </w:t>
      </w:r>
      <w:r>
        <w:rPr>
          <w:rFonts w:ascii="Calibri" w:cs="Calibri" w:eastAsia="Calibri" w:hAnsi="Calibri"/>
          <w:sz w:val="18"/>
          <w:szCs w:val="18"/>
          <w:color w:val="auto"/>
        </w:rPr>
        <w:t>which refects growth in amortzatons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Government Program loans. If we exclude this efect, the portolio grew 2.9% due to an increase in disbursements for working capital loans.</w:t>
      </w:r>
    </w:p>
    <w:p>
      <w:pPr>
        <w:spacing w:after="0" w:line="2" w:lineRule="exact"/>
        <w:rPr>
          <w:rFonts w:ascii="Times New Roman" w:cs="Times New Roman" w:eastAsia="Times New Roman" w:hAnsi="Times New Roman"/>
          <w:sz w:val="16"/>
          <w:szCs w:val="16"/>
          <w:color w:val="auto"/>
        </w:rPr>
      </w:pPr>
    </w:p>
    <w:p>
      <w:pPr>
        <w:ind w:left="840" w:hanging="345"/>
        <w:spacing w:after="0" w:line="235" w:lineRule="auto"/>
        <w:tabs>
          <w:tab w:leader="none" w:pos="840" w:val="left"/>
        </w:tabs>
        <w:numPr>
          <w:ilvl w:val="0"/>
          <w:numId w:val="21"/>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Consumer, </w:t>
      </w:r>
      <w:r>
        <w:rPr>
          <w:rFonts w:ascii="Calibri" w:cs="Calibri" w:eastAsia="Calibri" w:hAnsi="Calibri"/>
          <w:sz w:val="18"/>
          <w:szCs w:val="18"/>
          <w:color w:val="auto"/>
        </w:rPr>
        <w:t>due the same dynamics seen</w:t>
      </w:r>
      <w:r>
        <w:rPr>
          <w:rFonts w:ascii="Calibri" w:cs="Calibri" w:eastAsia="Calibri" w:hAnsi="Calibri"/>
          <w:sz w:val="18"/>
          <w:szCs w:val="18"/>
          <w:b w:val="1"/>
          <w:bCs w:val="1"/>
          <w:color w:val="auto"/>
        </w:rPr>
        <w:t xml:space="preserve"> QoQ.</w:t>
      </w:r>
    </w:p>
    <w:p>
      <w:pPr>
        <w:spacing w:after="0" w:line="200" w:lineRule="exact"/>
        <w:rPr>
          <w:sz w:val="20"/>
          <w:szCs w:val="20"/>
          <w:color w:val="auto"/>
        </w:rPr>
      </w:pPr>
    </w:p>
    <w:p>
      <w:pPr>
        <w:sectPr>
          <w:pgSz w:w="11900" w:h="16838" w:orient="portrait"/>
          <w:cols w:equalWidth="0" w:num="2">
            <w:col w:w="5400" w:space="440"/>
            <w:col w:w="5400"/>
          </w:cols>
          <w:pgMar w:left="320" w:top="348" w:right="339" w:bottom="1440" w:gutter="0" w:footer="0" w:header="0"/>
          <w:type w:val="continuous"/>
        </w:sectPr>
      </w:pPr>
    </w:p>
    <w:p>
      <w:pPr>
        <w:spacing w:after="0" w:line="18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19" w:name="page20"/>
    <w:bookmarkEnd w:id="19"/>
    <w:p>
      <w:pPr>
        <w:ind w:left="2700"/>
        <w:spacing w:after="0"/>
        <w:tabs>
          <w:tab w:leader="none" w:pos="2920" w:val="left"/>
        </w:tabs>
        <w:rPr>
          <w:sz w:val="20"/>
          <w:szCs w:val="20"/>
          <w:color w:val="auto"/>
        </w:rPr>
      </w:pPr>
      <w:r>
        <w:rPr>
          <w:rFonts w:ascii="Calibri" w:cs="Calibri" w:eastAsia="Calibri" w:hAnsi="Calibri"/>
          <w:sz w:val="20"/>
          <w:szCs w:val="20"/>
          <w:color w:val="A6A6A6"/>
        </w:rPr>
        <w:t>|</w:t>
      </w:r>
      <w:r>
        <w:rPr>
          <w:sz w:val="20"/>
          <w:szCs w:val="20"/>
          <w:color w:val="auto"/>
        </w:rPr>
        <w:tab/>
      </w:r>
      <w:r>
        <w:rPr>
          <w:rFonts w:ascii="Calibri" w:cs="Calibri" w:eastAsia="Calibri" w:hAnsi="Calibri"/>
          <w:sz w:val="16"/>
          <w:szCs w:val="16"/>
          <w:color w:val="BFBFBF"/>
        </w:rPr>
        <w:t>Earnings Release 3Q / 24</w:t>
      </w:r>
    </w:p>
    <w:p>
      <w:pPr>
        <w:spacing w:after="0" w:line="343"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FFFFFF"/>
        </w:rPr>
        <w:t>01. Loan Portolio</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was partally ofset by loan growth via:</w:t>
      </w:r>
    </w:p>
    <w:p>
      <w:pPr>
        <w:spacing w:after="0" w:line="199" w:lineRule="exact"/>
        <w:rPr>
          <w:sz w:val="20"/>
          <w:szCs w:val="20"/>
          <w:color w:val="auto"/>
        </w:rPr>
      </w:pPr>
    </w:p>
    <w:p>
      <w:pPr>
        <w:ind w:left="840" w:hanging="346"/>
        <w:spacing w:after="0"/>
        <w:tabs>
          <w:tab w:leader="none" w:pos="840" w:val="left"/>
        </w:tabs>
        <w:numPr>
          <w:ilvl w:val="0"/>
          <w:numId w:val="22"/>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Mortgage, </w:t>
      </w:r>
      <w:r>
        <w:rPr>
          <w:rFonts w:ascii="Calibri" w:cs="Calibri" w:eastAsia="Calibri" w:hAnsi="Calibri"/>
          <w:sz w:val="18"/>
          <w:szCs w:val="18"/>
          <w:color w:val="auto"/>
        </w:rPr>
        <w:t>due to the same dynamics seen</w:t>
      </w:r>
      <w:r>
        <w:rPr>
          <w:rFonts w:ascii="Calibri" w:cs="Calibri" w:eastAsia="Calibri" w:hAnsi="Calibri"/>
          <w:sz w:val="18"/>
          <w:szCs w:val="18"/>
          <w:b w:val="1"/>
          <w:bCs w:val="1"/>
          <w:color w:val="auto"/>
        </w:rPr>
        <w:t xml:space="preserve"> QoQ.</w:t>
      </w:r>
    </w:p>
    <w:p>
      <w:pPr>
        <w:spacing w:after="0" w:line="4" w:lineRule="exact"/>
        <w:rPr>
          <w:rFonts w:ascii="Times New Roman" w:cs="Times New Roman" w:eastAsia="Times New Roman" w:hAnsi="Times New Roman"/>
          <w:sz w:val="16"/>
          <w:szCs w:val="16"/>
          <w:color w:val="auto"/>
        </w:rPr>
      </w:pPr>
    </w:p>
    <w:p>
      <w:pPr>
        <w:ind w:left="840" w:right="460" w:hanging="346"/>
        <w:spacing w:after="0" w:line="233" w:lineRule="auto"/>
        <w:tabs>
          <w:tab w:leader="none" w:pos="840" w:val="left"/>
        </w:tabs>
        <w:numPr>
          <w:ilvl w:val="0"/>
          <w:numId w:val="22"/>
        </w:numPr>
        <w:rPr>
          <w:rFonts w:ascii="Times New Roman" w:cs="Times New Roman" w:eastAsia="Times New Roman" w:hAnsi="Times New Roman"/>
          <w:sz w:val="16"/>
          <w:szCs w:val="16"/>
          <w:color w:val="auto"/>
        </w:rPr>
      </w:pPr>
      <w:r>
        <w:rPr>
          <w:rFonts w:ascii="Calibri" w:cs="Calibri" w:eastAsia="Calibri" w:hAnsi="Calibri"/>
          <w:sz w:val="18"/>
          <w:szCs w:val="18"/>
          <w:b w:val="1"/>
          <w:bCs w:val="1"/>
          <w:color w:val="auto"/>
        </w:rPr>
        <w:t xml:space="preserve">BCP Bolivia, </w:t>
      </w:r>
      <w:r>
        <w:rPr>
          <w:rFonts w:ascii="Calibri" w:cs="Calibri" w:eastAsia="Calibri" w:hAnsi="Calibri"/>
          <w:sz w:val="18"/>
          <w:szCs w:val="18"/>
          <w:color w:val="auto"/>
        </w:rPr>
        <w:t>driven by an uptck in Wholesale Banking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disbursements.</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-264795</wp:posOffset>
            </wp:positionV>
            <wp:extent cx="7132320" cy="720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b w:val="1"/>
          <w:bCs w:val="1"/>
          <w:color w:val="auto"/>
        </w:rPr>
        <w:t xml:space="preserve">At the YTD level, </w:t>
      </w:r>
      <w:r>
        <w:rPr>
          <w:rFonts w:ascii="Calibri" w:cs="Calibri" w:eastAsia="Calibri" w:hAnsi="Calibri"/>
          <w:sz w:val="17"/>
          <w:szCs w:val="17"/>
          <w:color w:val="auto"/>
        </w:rPr>
        <w:t>loans in average daily balances dropped 1.4%. This decline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was mainly atributable to a drop in balances for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Corporate</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Banking</w:t>
      </w:r>
      <w:r>
        <w:rPr>
          <w:rFonts w:ascii="Calibri" w:cs="Calibri" w:eastAsia="Calibri" w:hAnsi="Calibri"/>
          <w:sz w:val="17"/>
          <w:szCs w:val="17"/>
          <w:color w:val="auto"/>
        </w:rPr>
        <w:t>, which was driven by the same dynamics as those seen</w:t>
      </w:r>
      <w:r>
        <w:rPr>
          <w:rFonts w:ascii="Calibri" w:cs="Calibri" w:eastAsia="Calibri" w:hAnsi="Calibri"/>
          <w:sz w:val="17"/>
          <w:szCs w:val="17"/>
          <w:b w:val="1"/>
          <w:bCs w:val="1"/>
          <w:color w:val="auto"/>
        </w:rPr>
        <w:t xml:space="preserve"> QoQ.</w:t>
      </w:r>
    </w:p>
    <w:p>
      <w:pPr>
        <w:spacing w:after="0" w:line="605" w:lineRule="exact"/>
        <w:rPr>
          <w:sz w:val="20"/>
          <w:szCs w:val="20"/>
          <w:color w:val="auto"/>
        </w:rPr>
      </w:pPr>
    </w:p>
    <w:p>
      <w:pPr>
        <w:sectPr>
          <w:pgSz w:w="11900" w:h="16838" w:orient="portrait"/>
          <w:cols w:equalWidth="0" w:num="2">
            <w:col w:w="5120" w:space="720"/>
            <w:col w:w="5400"/>
          </w:cols>
          <w:pgMar w:left="320" w:top="348" w:right="3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 xml:space="preserve">Evoluton of Loan Dollarizaton (in Average Daily Balances) </w:t>
      </w:r>
      <w:r>
        <w:rPr>
          <w:rFonts w:ascii="Calibri" w:cs="Calibri" w:eastAsia="Calibri" w:hAnsi="Calibri"/>
          <w:sz w:val="29"/>
          <w:szCs w:val="29"/>
          <w:b w:val="1"/>
          <w:bCs w:val="1"/>
          <w:color w:val="auto"/>
          <w:vertAlign w:val="superscript"/>
        </w:rPr>
        <w:t>(1)(2)</w:t>
      </w:r>
    </w:p>
    <w:tbl>
      <w:tblPr>
        <w:tblLayout w:type="fixed"/>
        <w:tblInd w:w="10" w:type="dxa"/>
        <w:tblCellMar>
          <w:top w:w="0" w:type="dxa"/>
          <w:left w:w="0" w:type="dxa"/>
          <w:bottom w:w="0" w:type="dxa"/>
          <w:right w:w="0" w:type="dxa"/>
        </w:tblCellMar>
      </w:tblPr>
      <w:tr>
        <w:trPr>
          <w:trHeight w:val="142"/>
        </w:trPr>
        <w:tc>
          <w:tcPr>
            <w:tcW w:w="236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3"/>
                <w:szCs w:val="13"/>
                <w:b w:val="1"/>
                <w:bCs w:val="1"/>
                <w:color w:val="FFFFFF"/>
              </w:rPr>
              <w:t>Total Loans</w:t>
            </w:r>
          </w:p>
        </w:tc>
        <w:tc>
          <w:tcPr>
            <w:tcW w:w="2280" w:type="dxa"/>
            <w:vAlign w:val="bottom"/>
            <w:tcBorders>
              <w:top w:val="single" w:sz="8" w:color="auto"/>
              <w:right w:val="single" w:sz="8" w:color="auto"/>
            </w:tcBorders>
            <w:gridSpan w:val="3"/>
            <w:shd w:val="clear" w:color="auto" w:fill="33CCCC"/>
          </w:tcPr>
          <w:p>
            <w:pPr>
              <w:jc w:val="right"/>
              <w:ind w:right="277"/>
              <w:spacing w:after="0" w:line="142" w:lineRule="exact"/>
              <w:rPr>
                <w:sz w:val="20"/>
                <w:szCs w:val="20"/>
                <w:color w:val="auto"/>
              </w:rPr>
            </w:pPr>
            <w:r>
              <w:rPr>
                <w:rFonts w:ascii="Calibri" w:cs="Calibri" w:eastAsia="Calibri" w:hAnsi="Calibri"/>
                <w:sz w:val="13"/>
                <w:szCs w:val="13"/>
                <w:b w:val="1"/>
                <w:bCs w:val="1"/>
                <w:color w:val="FFFFFF"/>
              </w:rPr>
              <w:t>Local Currency (LC) - S/ millions</w:t>
            </w:r>
          </w:p>
        </w:tc>
        <w:tc>
          <w:tcPr>
            <w:tcW w:w="1340" w:type="dxa"/>
            <w:vAlign w:val="bottom"/>
            <w:tcBorders>
              <w:top w:val="single" w:sz="8" w:color="auto"/>
              <w:right w:val="single" w:sz="8" w:color="auto"/>
            </w:tcBorders>
            <w:gridSpan w:val="2"/>
            <w:shd w:val="clear" w:color="auto" w:fill="33CCCC"/>
          </w:tcPr>
          <w:p>
            <w:pPr>
              <w:ind w:left="400"/>
              <w:spacing w:after="0" w:line="142" w:lineRule="exact"/>
              <w:rPr>
                <w:sz w:val="20"/>
                <w:szCs w:val="20"/>
                <w:color w:val="auto"/>
              </w:rPr>
            </w:pPr>
            <w:r>
              <w:rPr>
                <w:rFonts w:ascii="Calibri" w:cs="Calibri" w:eastAsia="Calibri" w:hAnsi="Calibri"/>
                <w:sz w:val="13"/>
                <w:szCs w:val="13"/>
                <w:b w:val="1"/>
                <w:bCs w:val="1"/>
                <w:color w:val="FFFFFF"/>
              </w:rPr>
              <w:t>% change</w:t>
            </w:r>
          </w:p>
        </w:tc>
        <w:tc>
          <w:tcPr>
            <w:tcW w:w="2320" w:type="dxa"/>
            <w:vAlign w:val="bottom"/>
            <w:tcBorders>
              <w:top w:val="single" w:sz="8" w:color="auto"/>
              <w:right w:val="single" w:sz="8" w:color="auto"/>
            </w:tcBorders>
            <w:gridSpan w:val="3"/>
            <w:shd w:val="clear" w:color="auto" w:fill="33CCCC"/>
          </w:tcPr>
          <w:p>
            <w:pPr>
              <w:ind w:left="220"/>
              <w:spacing w:after="0" w:line="142" w:lineRule="exact"/>
              <w:rPr>
                <w:sz w:val="20"/>
                <w:szCs w:val="20"/>
                <w:color w:val="auto"/>
              </w:rPr>
            </w:pPr>
            <w:r>
              <w:rPr>
                <w:rFonts w:ascii="Calibri" w:cs="Calibri" w:eastAsia="Calibri" w:hAnsi="Calibri"/>
                <w:sz w:val="13"/>
                <w:szCs w:val="13"/>
                <w:b w:val="1"/>
                <w:bCs w:val="1"/>
                <w:color w:val="FFFFFF"/>
              </w:rPr>
              <w:t>Foreign Currency (FC) - US$ millions</w:t>
            </w:r>
          </w:p>
        </w:tc>
        <w:tc>
          <w:tcPr>
            <w:tcW w:w="1380" w:type="dxa"/>
            <w:vAlign w:val="bottom"/>
            <w:tcBorders>
              <w:top w:val="single" w:sz="8" w:color="auto"/>
              <w:right w:val="single" w:sz="8" w:color="auto"/>
            </w:tcBorders>
            <w:gridSpan w:val="2"/>
            <w:shd w:val="clear" w:color="auto" w:fill="33CCCC"/>
          </w:tcPr>
          <w:p>
            <w:pPr>
              <w:ind w:left="440"/>
              <w:spacing w:after="0" w:line="142" w:lineRule="exact"/>
              <w:rPr>
                <w:sz w:val="20"/>
                <w:szCs w:val="20"/>
                <w:color w:val="auto"/>
              </w:rPr>
            </w:pPr>
            <w:r>
              <w:rPr>
                <w:rFonts w:ascii="Calibri" w:cs="Calibri" w:eastAsia="Calibri" w:hAnsi="Calibri"/>
                <w:sz w:val="13"/>
                <w:szCs w:val="13"/>
                <w:b w:val="1"/>
                <w:bCs w:val="1"/>
                <w:color w:val="FFFFFF"/>
              </w:rPr>
              <w:t>% change</w:t>
            </w:r>
          </w:p>
        </w:tc>
        <w:tc>
          <w:tcPr>
            <w:tcW w:w="1560" w:type="dxa"/>
            <w:vAlign w:val="bottom"/>
            <w:tcBorders>
              <w:top w:val="single" w:sz="8" w:color="auto"/>
              <w:right w:val="single" w:sz="8" w:color="auto"/>
            </w:tcBorders>
            <w:gridSpan w:val="2"/>
            <w:shd w:val="clear" w:color="auto" w:fill="33CCCC"/>
          </w:tcPr>
          <w:p>
            <w:pPr>
              <w:jc w:val="center"/>
              <w:spacing w:after="0" w:line="142" w:lineRule="exact"/>
              <w:rPr>
                <w:sz w:val="20"/>
                <w:szCs w:val="20"/>
                <w:color w:val="auto"/>
              </w:rPr>
            </w:pPr>
            <w:r>
              <w:rPr>
                <w:rFonts w:ascii="Calibri" w:cs="Calibri" w:eastAsia="Calibri" w:hAnsi="Calibri"/>
                <w:sz w:val="13"/>
                <w:szCs w:val="13"/>
                <w:b w:val="1"/>
                <w:bCs w:val="1"/>
                <w:color w:val="FFFFFF"/>
                <w:w w:val="97"/>
              </w:rPr>
              <w:t>% part. by currency</w:t>
            </w:r>
          </w:p>
        </w:tc>
        <w:tc>
          <w:tcPr>
            <w:tcW w:w="0" w:type="dxa"/>
            <w:vAlign w:val="bottom"/>
          </w:tcPr>
          <w:p>
            <w:pPr>
              <w:spacing w:after="0"/>
              <w:rPr>
                <w:sz w:val="1"/>
                <w:szCs w:val="1"/>
                <w:color w:val="auto"/>
              </w:rPr>
            </w:pPr>
          </w:p>
        </w:tc>
      </w:tr>
      <w:tr>
        <w:trPr>
          <w:trHeight w:val="71"/>
        </w:trPr>
        <w:tc>
          <w:tcPr>
            <w:tcW w:w="236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780" w:type="dxa"/>
            <w:vAlign w:val="bottom"/>
            <w:shd w:val="clear" w:color="auto" w:fill="33CCCC"/>
          </w:tcPr>
          <w:p>
            <w:pPr>
              <w:spacing w:after="0"/>
              <w:rPr>
                <w:sz w:val="6"/>
                <w:szCs w:val="6"/>
                <w:color w:val="auto"/>
              </w:rPr>
            </w:pPr>
          </w:p>
        </w:tc>
        <w:tc>
          <w:tcPr>
            <w:tcW w:w="740" w:type="dxa"/>
            <w:vAlign w:val="bottom"/>
            <w:vMerge w:val="restart"/>
            <w:shd w:val="clear" w:color="auto" w:fill="33CCCC"/>
          </w:tcPr>
          <w:p>
            <w:pPr>
              <w:jc w:val="right"/>
              <w:ind w:right="217"/>
              <w:spacing w:after="0" w:line="149" w:lineRule="exact"/>
              <w:rPr>
                <w:sz w:val="20"/>
                <w:szCs w:val="20"/>
                <w:color w:val="auto"/>
              </w:rPr>
            </w:pPr>
            <w:r>
              <w:rPr>
                <w:rFonts w:ascii="Calibri" w:cs="Calibri" w:eastAsia="Calibri" w:hAnsi="Calibri"/>
                <w:sz w:val="13"/>
                <w:szCs w:val="13"/>
                <w:b w:val="1"/>
                <w:bCs w:val="1"/>
                <w:color w:val="FFFFFF"/>
              </w:rPr>
              <w:t>Total</w:t>
            </w:r>
          </w:p>
        </w:tc>
        <w:tc>
          <w:tcPr>
            <w:tcW w:w="760" w:type="dxa"/>
            <w:vAlign w:val="bottom"/>
            <w:tcBorders>
              <w:right w:val="single" w:sz="8" w:color="auto"/>
            </w:tcBorders>
            <w:shd w:val="clear" w:color="auto" w:fill="33CCCC"/>
          </w:tcPr>
          <w:p>
            <w:pPr>
              <w:spacing w:after="0"/>
              <w:rPr>
                <w:sz w:val="6"/>
                <w:szCs w:val="6"/>
                <w:color w:val="auto"/>
              </w:rPr>
            </w:pPr>
          </w:p>
        </w:tc>
        <w:tc>
          <w:tcPr>
            <w:tcW w:w="640" w:type="dxa"/>
            <w:vAlign w:val="bottom"/>
            <w:shd w:val="clear" w:color="auto" w:fill="33CCCC"/>
          </w:tcPr>
          <w:p>
            <w:pPr>
              <w:spacing w:after="0"/>
              <w:rPr>
                <w:sz w:val="6"/>
                <w:szCs w:val="6"/>
                <w:color w:val="auto"/>
              </w:rPr>
            </w:pPr>
          </w:p>
        </w:tc>
        <w:tc>
          <w:tcPr>
            <w:tcW w:w="700" w:type="dxa"/>
            <w:vAlign w:val="bottom"/>
            <w:tcBorders>
              <w:right w:val="single" w:sz="8" w:color="auto"/>
            </w:tcBorders>
            <w:shd w:val="clear" w:color="auto" w:fill="33CCCC"/>
          </w:tcPr>
          <w:p>
            <w:pPr>
              <w:spacing w:after="0"/>
              <w:rPr>
                <w:sz w:val="6"/>
                <w:szCs w:val="6"/>
                <w:color w:val="auto"/>
              </w:rPr>
            </w:pPr>
          </w:p>
        </w:tc>
        <w:tc>
          <w:tcPr>
            <w:tcW w:w="780" w:type="dxa"/>
            <w:vAlign w:val="bottom"/>
            <w:shd w:val="clear" w:color="auto" w:fill="33CCCC"/>
          </w:tcPr>
          <w:p>
            <w:pPr>
              <w:spacing w:after="0"/>
              <w:rPr>
                <w:sz w:val="6"/>
                <w:szCs w:val="6"/>
                <w:color w:val="auto"/>
              </w:rPr>
            </w:pPr>
          </w:p>
        </w:tc>
        <w:tc>
          <w:tcPr>
            <w:tcW w:w="760" w:type="dxa"/>
            <w:vAlign w:val="bottom"/>
            <w:vMerge w:val="restart"/>
            <w:shd w:val="clear" w:color="auto" w:fill="33CCCC"/>
          </w:tcPr>
          <w:p>
            <w:pPr>
              <w:ind w:left="240"/>
              <w:spacing w:after="0" w:line="149" w:lineRule="exact"/>
              <w:rPr>
                <w:sz w:val="20"/>
                <w:szCs w:val="20"/>
                <w:color w:val="auto"/>
              </w:rPr>
            </w:pPr>
            <w:r>
              <w:rPr>
                <w:rFonts w:ascii="Calibri" w:cs="Calibri" w:eastAsia="Calibri" w:hAnsi="Calibri"/>
                <w:sz w:val="13"/>
                <w:szCs w:val="13"/>
                <w:b w:val="1"/>
                <w:bCs w:val="1"/>
                <w:color w:val="FFFFFF"/>
              </w:rPr>
              <w:t>Total</w:t>
            </w:r>
          </w:p>
        </w:tc>
        <w:tc>
          <w:tcPr>
            <w:tcW w:w="780" w:type="dxa"/>
            <w:vAlign w:val="bottom"/>
            <w:tcBorders>
              <w:right w:val="single" w:sz="8" w:color="auto"/>
            </w:tcBorders>
            <w:shd w:val="clear" w:color="auto" w:fill="33CCCC"/>
          </w:tcPr>
          <w:p>
            <w:pPr>
              <w:spacing w:after="0"/>
              <w:rPr>
                <w:sz w:val="6"/>
                <w:szCs w:val="6"/>
                <w:color w:val="auto"/>
              </w:rPr>
            </w:pPr>
          </w:p>
        </w:tc>
        <w:tc>
          <w:tcPr>
            <w:tcW w:w="680" w:type="dxa"/>
            <w:vAlign w:val="bottom"/>
            <w:shd w:val="clear" w:color="auto" w:fill="33CCCC"/>
          </w:tcPr>
          <w:p>
            <w:pPr>
              <w:spacing w:after="0"/>
              <w:rPr>
                <w:sz w:val="6"/>
                <w:szCs w:val="6"/>
                <w:color w:val="auto"/>
              </w:rPr>
            </w:pPr>
          </w:p>
        </w:tc>
        <w:tc>
          <w:tcPr>
            <w:tcW w:w="700" w:type="dxa"/>
            <w:vAlign w:val="bottom"/>
            <w:tcBorders>
              <w:right w:val="single" w:sz="8" w:color="auto"/>
            </w:tcBorders>
            <w:shd w:val="clear" w:color="auto" w:fill="33CCCC"/>
          </w:tcPr>
          <w:p>
            <w:pPr>
              <w:spacing w:after="0"/>
              <w:rPr>
                <w:sz w:val="6"/>
                <w:szCs w:val="6"/>
                <w:color w:val="auto"/>
              </w:rPr>
            </w:pPr>
          </w:p>
        </w:tc>
        <w:tc>
          <w:tcPr>
            <w:tcW w:w="580" w:type="dxa"/>
            <w:vAlign w:val="bottom"/>
            <w:shd w:val="clear" w:color="auto" w:fill="33CCCC"/>
          </w:tcPr>
          <w:p>
            <w:pPr>
              <w:spacing w:after="0"/>
              <w:rPr>
                <w:sz w:val="6"/>
                <w:szCs w:val="6"/>
                <w:color w:val="auto"/>
              </w:rPr>
            </w:pPr>
          </w:p>
        </w:tc>
        <w:tc>
          <w:tcPr>
            <w:tcW w:w="980" w:type="dxa"/>
            <w:vAlign w:val="bottom"/>
            <w:tcBorders>
              <w:right w:val="single" w:sz="8" w:color="auto"/>
            </w:tcBorders>
            <w:vMerge w:val="restart"/>
            <w:shd w:val="clear" w:color="auto" w:fill="33CCCC"/>
          </w:tcPr>
          <w:p>
            <w:pPr>
              <w:jc w:val="center"/>
              <w:ind w:right="537"/>
              <w:spacing w:after="0" w:line="149" w:lineRule="exact"/>
              <w:rPr>
                <w:sz w:val="20"/>
                <w:szCs w:val="20"/>
                <w:color w:val="auto"/>
              </w:rPr>
            </w:pPr>
            <w:r>
              <w:rPr>
                <w:rFonts w:ascii="Calibri" w:cs="Calibri" w:eastAsia="Calibri" w:hAnsi="Calibri"/>
                <w:sz w:val="13"/>
                <w:szCs w:val="13"/>
                <w:b w:val="1"/>
                <w:bCs w:val="1"/>
                <w:color w:val="FFFFFF"/>
                <w:w w:val="94"/>
              </w:rPr>
              <w:t>Sep 24</w:t>
            </w:r>
          </w:p>
        </w:tc>
        <w:tc>
          <w:tcPr>
            <w:tcW w:w="0" w:type="dxa"/>
            <w:vAlign w:val="bottom"/>
          </w:tcPr>
          <w:p>
            <w:pPr>
              <w:spacing w:after="0"/>
              <w:rPr>
                <w:sz w:val="1"/>
                <w:szCs w:val="1"/>
                <w:color w:val="auto"/>
              </w:rPr>
            </w:pPr>
          </w:p>
        </w:tc>
      </w:tr>
      <w:tr>
        <w:trPr>
          <w:trHeight w:val="78"/>
        </w:trPr>
        <w:tc>
          <w:tcPr>
            <w:tcW w:w="2360" w:type="dxa"/>
            <w:vAlign w:val="bottom"/>
            <w:tcBorders>
              <w:left w:val="single" w:sz="8" w:color="auto"/>
              <w:right w:val="single" w:sz="8" w:color="auto"/>
            </w:tcBorders>
            <w:vMerge w:val="restart"/>
            <w:shd w:val="clear" w:color="auto" w:fill="33CCCC"/>
          </w:tcPr>
          <w:p>
            <w:pPr>
              <w:ind w:left="20"/>
              <w:spacing w:after="0" w:line="149" w:lineRule="exact"/>
              <w:rPr>
                <w:sz w:val="20"/>
                <w:szCs w:val="20"/>
                <w:color w:val="auto"/>
              </w:rPr>
            </w:pPr>
            <w:r>
              <w:rPr>
                <w:rFonts w:ascii="Calibri" w:cs="Calibri" w:eastAsia="Calibri" w:hAnsi="Calibri"/>
                <w:sz w:val="13"/>
                <w:szCs w:val="13"/>
                <w:color w:val="FFFFFF"/>
              </w:rPr>
              <w:t>(S/ millions)</w:t>
            </w:r>
          </w:p>
        </w:tc>
        <w:tc>
          <w:tcPr>
            <w:tcW w:w="780" w:type="dxa"/>
            <w:vAlign w:val="bottom"/>
            <w:shd w:val="clear" w:color="auto" w:fill="33CCCC"/>
          </w:tcPr>
          <w:p>
            <w:pPr>
              <w:spacing w:after="0"/>
              <w:rPr>
                <w:sz w:val="6"/>
                <w:szCs w:val="6"/>
                <w:color w:val="auto"/>
              </w:rPr>
            </w:pPr>
          </w:p>
        </w:tc>
        <w:tc>
          <w:tcPr>
            <w:tcW w:w="740" w:type="dxa"/>
            <w:vAlign w:val="bottom"/>
            <w:vMerge w:val="continue"/>
            <w:shd w:val="clear" w:color="auto" w:fill="33CCCC"/>
          </w:tcPr>
          <w:p>
            <w:pPr>
              <w:spacing w:after="0"/>
              <w:rPr>
                <w:sz w:val="6"/>
                <w:szCs w:val="6"/>
                <w:color w:val="auto"/>
              </w:rPr>
            </w:pPr>
          </w:p>
        </w:tc>
        <w:tc>
          <w:tcPr>
            <w:tcW w:w="760" w:type="dxa"/>
            <w:vAlign w:val="bottom"/>
            <w:tcBorders>
              <w:right w:val="single" w:sz="8" w:color="auto"/>
            </w:tcBorders>
            <w:shd w:val="clear" w:color="auto" w:fill="33CCCC"/>
          </w:tcPr>
          <w:p>
            <w:pPr>
              <w:spacing w:after="0"/>
              <w:rPr>
                <w:sz w:val="6"/>
                <w:szCs w:val="6"/>
                <w:color w:val="auto"/>
              </w:rPr>
            </w:pPr>
          </w:p>
        </w:tc>
        <w:tc>
          <w:tcPr>
            <w:tcW w:w="640" w:type="dxa"/>
            <w:vAlign w:val="bottom"/>
            <w:shd w:val="clear" w:color="auto" w:fill="33CCCC"/>
          </w:tcPr>
          <w:p>
            <w:pPr>
              <w:spacing w:after="0"/>
              <w:rPr>
                <w:sz w:val="6"/>
                <w:szCs w:val="6"/>
                <w:color w:val="auto"/>
              </w:rPr>
            </w:pPr>
          </w:p>
        </w:tc>
        <w:tc>
          <w:tcPr>
            <w:tcW w:w="700" w:type="dxa"/>
            <w:vAlign w:val="bottom"/>
            <w:tcBorders>
              <w:right w:val="single" w:sz="8" w:color="auto"/>
            </w:tcBorders>
            <w:shd w:val="clear" w:color="auto" w:fill="33CCCC"/>
          </w:tcPr>
          <w:p>
            <w:pPr>
              <w:spacing w:after="0"/>
              <w:rPr>
                <w:sz w:val="6"/>
                <w:szCs w:val="6"/>
                <w:color w:val="auto"/>
              </w:rPr>
            </w:pPr>
          </w:p>
        </w:tc>
        <w:tc>
          <w:tcPr>
            <w:tcW w:w="780" w:type="dxa"/>
            <w:vAlign w:val="bottom"/>
            <w:shd w:val="clear" w:color="auto" w:fill="33CCCC"/>
          </w:tcPr>
          <w:p>
            <w:pPr>
              <w:spacing w:after="0"/>
              <w:rPr>
                <w:sz w:val="6"/>
                <w:szCs w:val="6"/>
                <w:color w:val="auto"/>
              </w:rPr>
            </w:pPr>
          </w:p>
        </w:tc>
        <w:tc>
          <w:tcPr>
            <w:tcW w:w="760" w:type="dxa"/>
            <w:vAlign w:val="bottom"/>
            <w:vMerge w:val="continue"/>
            <w:shd w:val="clear" w:color="auto" w:fill="33CCCC"/>
          </w:tcPr>
          <w:p>
            <w:pPr>
              <w:spacing w:after="0"/>
              <w:rPr>
                <w:sz w:val="6"/>
                <w:szCs w:val="6"/>
                <w:color w:val="auto"/>
              </w:rPr>
            </w:pPr>
          </w:p>
        </w:tc>
        <w:tc>
          <w:tcPr>
            <w:tcW w:w="780" w:type="dxa"/>
            <w:vAlign w:val="bottom"/>
            <w:tcBorders>
              <w:right w:val="single" w:sz="8" w:color="auto"/>
            </w:tcBorders>
            <w:shd w:val="clear" w:color="auto" w:fill="33CCCC"/>
          </w:tcPr>
          <w:p>
            <w:pPr>
              <w:spacing w:after="0"/>
              <w:rPr>
                <w:sz w:val="6"/>
                <w:szCs w:val="6"/>
                <w:color w:val="auto"/>
              </w:rPr>
            </w:pPr>
          </w:p>
        </w:tc>
        <w:tc>
          <w:tcPr>
            <w:tcW w:w="680" w:type="dxa"/>
            <w:vAlign w:val="bottom"/>
            <w:shd w:val="clear" w:color="auto" w:fill="33CCCC"/>
          </w:tcPr>
          <w:p>
            <w:pPr>
              <w:spacing w:after="0"/>
              <w:rPr>
                <w:sz w:val="6"/>
                <w:szCs w:val="6"/>
                <w:color w:val="auto"/>
              </w:rPr>
            </w:pPr>
          </w:p>
        </w:tc>
        <w:tc>
          <w:tcPr>
            <w:tcW w:w="700" w:type="dxa"/>
            <w:vAlign w:val="bottom"/>
            <w:tcBorders>
              <w:right w:val="single" w:sz="8" w:color="auto"/>
            </w:tcBorders>
            <w:shd w:val="clear" w:color="auto" w:fill="33CCCC"/>
          </w:tcPr>
          <w:p>
            <w:pPr>
              <w:spacing w:after="0"/>
              <w:rPr>
                <w:sz w:val="6"/>
                <w:szCs w:val="6"/>
                <w:color w:val="auto"/>
              </w:rPr>
            </w:pPr>
          </w:p>
        </w:tc>
        <w:tc>
          <w:tcPr>
            <w:tcW w:w="580" w:type="dxa"/>
            <w:vAlign w:val="bottom"/>
            <w:shd w:val="clear" w:color="auto" w:fill="33CCCC"/>
          </w:tcPr>
          <w:p>
            <w:pPr>
              <w:spacing w:after="0"/>
              <w:rPr>
                <w:sz w:val="6"/>
                <w:szCs w:val="6"/>
                <w:color w:val="auto"/>
              </w:rPr>
            </w:pPr>
          </w:p>
        </w:tc>
        <w:tc>
          <w:tcPr>
            <w:tcW w:w="980" w:type="dxa"/>
            <w:vAlign w:val="bottom"/>
            <w:tcBorders>
              <w:right w:val="single" w:sz="8" w:color="auto"/>
            </w:tcBorders>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360" w:type="dxa"/>
            <w:vAlign w:val="bottom"/>
            <w:tcBorders>
              <w:left w:val="single" w:sz="8" w:color="auto"/>
              <w:right w:val="single" w:sz="8" w:color="auto"/>
            </w:tcBorders>
            <w:vMerge w:val="continue"/>
            <w:shd w:val="clear" w:color="auto" w:fill="33CCCC"/>
          </w:tcPr>
          <w:p>
            <w:pPr>
              <w:spacing w:after="0"/>
              <w:rPr>
                <w:sz w:val="6"/>
                <w:szCs w:val="6"/>
                <w:color w:val="auto"/>
              </w:rPr>
            </w:pPr>
          </w:p>
        </w:tc>
        <w:tc>
          <w:tcPr>
            <w:tcW w:w="780" w:type="dxa"/>
            <w:vAlign w:val="bottom"/>
            <w:vMerge w:val="restart"/>
            <w:shd w:val="clear" w:color="auto" w:fill="33CCCC"/>
          </w:tcPr>
          <w:p>
            <w:pPr>
              <w:jc w:val="right"/>
              <w:ind w:right="177"/>
              <w:spacing w:after="0" w:line="149" w:lineRule="exact"/>
              <w:rPr>
                <w:sz w:val="20"/>
                <w:szCs w:val="20"/>
                <w:color w:val="auto"/>
              </w:rPr>
            </w:pPr>
            <w:r>
              <w:rPr>
                <w:rFonts w:ascii="Calibri" w:cs="Calibri" w:eastAsia="Calibri" w:hAnsi="Calibri"/>
                <w:sz w:val="13"/>
                <w:szCs w:val="13"/>
                <w:b w:val="1"/>
                <w:bCs w:val="1"/>
                <w:color w:val="FFFFFF"/>
              </w:rPr>
              <w:t>Sep 23</w:t>
            </w:r>
          </w:p>
        </w:tc>
        <w:tc>
          <w:tcPr>
            <w:tcW w:w="740" w:type="dxa"/>
            <w:vAlign w:val="bottom"/>
            <w:vMerge w:val="restart"/>
            <w:shd w:val="clear" w:color="auto" w:fill="33CCCC"/>
          </w:tcPr>
          <w:p>
            <w:pPr>
              <w:jc w:val="right"/>
              <w:ind w:right="157"/>
              <w:spacing w:after="0" w:line="149" w:lineRule="exact"/>
              <w:rPr>
                <w:sz w:val="20"/>
                <w:szCs w:val="20"/>
                <w:color w:val="auto"/>
              </w:rPr>
            </w:pPr>
            <w:r>
              <w:rPr>
                <w:rFonts w:ascii="Calibri" w:cs="Calibri" w:eastAsia="Calibri" w:hAnsi="Calibri"/>
                <w:sz w:val="13"/>
                <w:szCs w:val="13"/>
                <w:b w:val="1"/>
                <w:bCs w:val="1"/>
                <w:color w:val="FFFFFF"/>
              </w:rPr>
              <w:t>Jun 24</w:t>
            </w:r>
          </w:p>
        </w:tc>
        <w:tc>
          <w:tcPr>
            <w:tcW w:w="760" w:type="dxa"/>
            <w:vAlign w:val="bottom"/>
            <w:tcBorders>
              <w:right w:val="single" w:sz="8" w:color="auto"/>
            </w:tcBorders>
            <w:vMerge w:val="restart"/>
            <w:shd w:val="clear" w:color="auto" w:fill="33CCCC"/>
          </w:tcPr>
          <w:p>
            <w:pPr>
              <w:jc w:val="right"/>
              <w:ind w:right="157"/>
              <w:spacing w:after="0" w:line="149" w:lineRule="exact"/>
              <w:rPr>
                <w:sz w:val="20"/>
                <w:szCs w:val="20"/>
                <w:color w:val="auto"/>
              </w:rPr>
            </w:pPr>
            <w:r>
              <w:rPr>
                <w:rFonts w:ascii="Calibri" w:cs="Calibri" w:eastAsia="Calibri" w:hAnsi="Calibri"/>
                <w:sz w:val="13"/>
                <w:szCs w:val="13"/>
                <w:b w:val="1"/>
                <w:bCs w:val="1"/>
                <w:color w:val="FFFFFF"/>
              </w:rPr>
              <w:t>Sep 24</w:t>
            </w:r>
          </w:p>
        </w:tc>
        <w:tc>
          <w:tcPr>
            <w:tcW w:w="640" w:type="dxa"/>
            <w:vAlign w:val="bottom"/>
            <w:vMerge w:val="restart"/>
            <w:shd w:val="clear" w:color="auto" w:fill="33CCCC"/>
          </w:tcPr>
          <w:p>
            <w:pPr>
              <w:ind w:left="200"/>
              <w:spacing w:after="0" w:line="149" w:lineRule="exact"/>
              <w:rPr>
                <w:sz w:val="20"/>
                <w:szCs w:val="20"/>
                <w:color w:val="auto"/>
              </w:rPr>
            </w:pPr>
            <w:r>
              <w:rPr>
                <w:rFonts w:ascii="Calibri" w:cs="Calibri" w:eastAsia="Calibri" w:hAnsi="Calibri"/>
                <w:sz w:val="13"/>
                <w:szCs w:val="13"/>
                <w:b w:val="1"/>
                <w:bCs w:val="1"/>
                <w:color w:val="FFFFFF"/>
              </w:rPr>
              <w:t>QoQ</w:t>
            </w:r>
          </w:p>
        </w:tc>
        <w:tc>
          <w:tcPr>
            <w:tcW w:w="700" w:type="dxa"/>
            <w:vAlign w:val="bottom"/>
            <w:tcBorders>
              <w:right w:val="single" w:sz="8" w:color="auto"/>
            </w:tcBorders>
            <w:vMerge w:val="restart"/>
            <w:shd w:val="clear" w:color="auto" w:fill="33CCCC"/>
          </w:tcPr>
          <w:p>
            <w:pPr>
              <w:ind w:left="240"/>
              <w:spacing w:after="0" w:line="149" w:lineRule="exact"/>
              <w:rPr>
                <w:sz w:val="20"/>
                <w:szCs w:val="20"/>
                <w:color w:val="auto"/>
              </w:rPr>
            </w:pPr>
            <w:r>
              <w:rPr>
                <w:rFonts w:ascii="Calibri" w:cs="Calibri" w:eastAsia="Calibri" w:hAnsi="Calibri"/>
                <w:sz w:val="13"/>
                <w:szCs w:val="13"/>
                <w:b w:val="1"/>
                <w:bCs w:val="1"/>
                <w:color w:val="FFFFFF"/>
              </w:rPr>
              <w:t>YoY</w:t>
            </w:r>
          </w:p>
        </w:tc>
        <w:tc>
          <w:tcPr>
            <w:tcW w:w="780" w:type="dxa"/>
            <w:vAlign w:val="bottom"/>
            <w:vMerge w:val="restart"/>
            <w:shd w:val="clear" w:color="auto" w:fill="33CCCC"/>
          </w:tcPr>
          <w:p>
            <w:pPr>
              <w:ind w:left="220"/>
              <w:spacing w:after="0" w:line="149" w:lineRule="exact"/>
              <w:rPr>
                <w:sz w:val="20"/>
                <w:szCs w:val="20"/>
                <w:color w:val="auto"/>
              </w:rPr>
            </w:pPr>
            <w:r>
              <w:rPr>
                <w:rFonts w:ascii="Calibri" w:cs="Calibri" w:eastAsia="Calibri" w:hAnsi="Calibri"/>
                <w:sz w:val="13"/>
                <w:szCs w:val="13"/>
                <w:b w:val="1"/>
                <w:bCs w:val="1"/>
                <w:color w:val="FFFFFF"/>
              </w:rPr>
              <w:t>Sep 23</w:t>
            </w:r>
          </w:p>
        </w:tc>
        <w:tc>
          <w:tcPr>
            <w:tcW w:w="760" w:type="dxa"/>
            <w:vAlign w:val="bottom"/>
            <w:vMerge w:val="restart"/>
            <w:shd w:val="clear" w:color="auto" w:fill="33CCCC"/>
          </w:tcPr>
          <w:p>
            <w:pPr>
              <w:ind w:left="220"/>
              <w:spacing w:after="0" w:line="149" w:lineRule="exact"/>
              <w:rPr>
                <w:sz w:val="20"/>
                <w:szCs w:val="20"/>
                <w:color w:val="auto"/>
              </w:rPr>
            </w:pPr>
            <w:r>
              <w:rPr>
                <w:rFonts w:ascii="Calibri" w:cs="Calibri" w:eastAsia="Calibri" w:hAnsi="Calibri"/>
                <w:sz w:val="13"/>
                <w:szCs w:val="13"/>
                <w:b w:val="1"/>
                <w:bCs w:val="1"/>
                <w:color w:val="FFFFFF"/>
              </w:rPr>
              <w:t>Jun 24</w:t>
            </w:r>
          </w:p>
        </w:tc>
        <w:tc>
          <w:tcPr>
            <w:tcW w:w="780" w:type="dxa"/>
            <w:vAlign w:val="bottom"/>
            <w:tcBorders>
              <w:right w:val="single" w:sz="8" w:color="auto"/>
            </w:tcBorders>
            <w:vMerge w:val="restart"/>
            <w:shd w:val="clear" w:color="auto" w:fill="33CCCC"/>
          </w:tcPr>
          <w:p>
            <w:pPr>
              <w:ind w:left="220"/>
              <w:spacing w:after="0" w:line="149" w:lineRule="exact"/>
              <w:rPr>
                <w:sz w:val="20"/>
                <w:szCs w:val="20"/>
                <w:color w:val="auto"/>
              </w:rPr>
            </w:pPr>
            <w:r>
              <w:rPr>
                <w:rFonts w:ascii="Calibri" w:cs="Calibri" w:eastAsia="Calibri" w:hAnsi="Calibri"/>
                <w:sz w:val="13"/>
                <w:szCs w:val="13"/>
                <w:b w:val="1"/>
                <w:bCs w:val="1"/>
                <w:color w:val="FFFFFF"/>
              </w:rPr>
              <w:t>Sep 24</w:t>
            </w:r>
          </w:p>
        </w:tc>
        <w:tc>
          <w:tcPr>
            <w:tcW w:w="680" w:type="dxa"/>
            <w:vAlign w:val="bottom"/>
            <w:vMerge w:val="restart"/>
            <w:shd w:val="clear" w:color="auto" w:fill="33CCCC"/>
          </w:tcPr>
          <w:p>
            <w:pPr>
              <w:ind w:left="220"/>
              <w:spacing w:after="0" w:line="149" w:lineRule="exact"/>
              <w:rPr>
                <w:sz w:val="20"/>
                <w:szCs w:val="20"/>
                <w:color w:val="auto"/>
              </w:rPr>
            </w:pPr>
            <w:r>
              <w:rPr>
                <w:rFonts w:ascii="Calibri" w:cs="Calibri" w:eastAsia="Calibri" w:hAnsi="Calibri"/>
                <w:sz w:val="13"/>
                <w:szCs w:val="13"/>
                <w:b w:val="1"/>
                <w:bCs w:val="1"/>
                <w:color w:val="FFFFFF"/>
              </w:rPr>
              <w:t>QoQ</w:t>
            </w:r>
          </w:p>
        </w:tc>
        <w:tc>
          <w:tcPr>
            <w:tcW w:w="700" w:type="dxa"/>
            <w:vAlign w:val="bottom"/>
            <w:tcBorders>
              <w:right w:val="single" w:sz="8" w:color="auto"/>
            </w:tcBorders>
            <w:vMerge w:val="restart"/>
            <w:shd w:val="clear" w:color="auto" w:fill="33CCCC"/>
          </w:tcPr>
          <w:p>
            <w:pPr>
              <w:ind w:left="240"/>
              <w:spacing w:after="0" w:line="149" w:lineRule="exact"/>
              <w:rPr>
                <w:sz w:val="20"/>
                <w:szCs w:val="20"/>
                <w:color w:val="auto"/>
              </w:rPr>
            </w:pPr>
            <w:r>
              <w:rPr>
                <w:rFonts w:ascii="Calibri" w:cs="Calibri" w:eastAsia="Calibri" w:hAnsi="Calibri"/>
                <w:sz w:val="13"/>
                <w:szCs w:val="13"/>
                <w:b w:val="1"/>
                <w:bCs w:val="1"/>
                <w:color w:val="FFFFFF"/>
              </w:rPr>
              <w:t>YoY</w:t>
            </w:r>
          </w:p>
        </w:tc>
        <w:tc>
          <w:tcPr>
            <w:tcW w:w="580" w:type="dxa"/>
            <w:vAlign w:val="bottom"/>
            <w:vMerge w:val="restart"/>
            <w:shd w:val="clear" w:color="auto" w:fill="33CCCC"/>
          </w:tcPr>
          <w:p>
            <w:pPr>
              <w:jc w:val="center"/>
              <w:ind w:left="157"/>
              <w:spacing w:after="0" w:line="149" w:lineRule="exact"/>
              <w:rPr>
                <w:sz w:val="20"/>
                <w:szCs w:val="20"/>
                <w:color w:val="auto"/>
              </w:rPr>
            </w:pPr>
            <w:r>
              <w:rPr>
                <w:rFonts w:ascii="Calibri" w:cs="Calibri" w:eastAsia="Calibri" w:hAnsi="Calibri"/>
                <w:sz w:val="13"/>
                <w:szCs w:val="13"/>
                <w:b w:val="1"/>
                <w:bCs w:val="1"/>
                <w:color w:val="FFFFFF"/>
                <w:w w:val="96"/>
              </w:rPr>
              <w:t>LC</w:t>
            </w:r>
          </w:p>
        </w:tc>
        <w:tc>
          <w:tcPr>
            <w:tcW w:w="980" w:type="dxa"/>
            <w:vAlign w:val="bottom"/>
            <w:tcBorders>
              <w:right w:val="single" w:sz="8" w:color="auto"/>
            </w:tcBorders>
            <w:vMerge w:val="restart"/>
            <w:shd w:val="clear" w:color="auto" w:fill="33CCCC"/>
          </w:tcPr>
          <w:p>
            <w:pPr>
              <w:ind w:left="520"/>
              <w:spacing w:after="0" w:line="149" w:lineRule="exact"/>
              <w:rPr>
                <w:sz w:val="20"/>
                <w:szCs w:val="20"/>
                <w:color w:val="auto"/>
              </w:rPr>
            </w:pPr>
            <w:r>
              <w:rPr>
                <w:rFonts w:ascii="Calibri" w:cs="Calibri" w:eastAsia="Calibri" w:hAnsi="Calibri"/>
                <w:sz w:val="13"/>
                <w:szCs w:val="13"/>
                <w:b w:val="1"/>
                <w:bCs w:val="1"/>
                <w:color w:val="FFFFFF"/>
              </w:rPr>
              <w:t>FC</w:t>
            </w:r>
          </w:p>
        </w:tc>
        <w:tc>
          <w:tcPr>
            <w:tcW w:w="0" w:type="dxa"/>
            <w:vAlign w:val="bottom"/>
          </w:tcPr>
          <w:p>
            <w:pPr>
              <w:spacing w:after="0"/>
              <w:rPr>
                <w:sz w:val="1"/>
                <w:szCs w:val="1"/>
                <w:color w:val="auto"/>
              </w:rPr>
            </w:pPr>
          </w:p>
        </w:tc>
      </w:tr>
      <w:tr>
        <w:trPr>
          <w:trHeight w:val="92"/>
        </w:trPr>
        <w:tc>
          <w:tcPr>
            <w:tcW w:w="2360" w:type="dxa"/>
            <w:vAlign w:val="bottom"/>
            <w:tcBorders>
              <w:left w:val="single" w:sz="8" w:color="auto"/>
              <w:bottom w:val="single" w:sz="8" w:color="auto"/>
              <w:right w:val="single" w:sz="8" w:color="auto"/>
            </w:tcBorders>
            <w:shd w:val="clear" w:color="auto" w:fill="33CCCC"/>
          </w:tcPr>
          <w:p>
            <w:pPr>
              <w:spacing w:after="0"/>
              <w:rPr>
                <w:sz w:val="7"/>
                <w:szCs w:val="7"/>
                <w:color w:val="auto"/>
              </w:rPr>
            </w:pPr>
          </w:p>
        </w:tc>
        <w:tc>
          <w:tcPr>
            <w:tcW w:w="780" w:type="dxa"/>
            <w:vAlign w:val="bottom"/>
            <w:vMerge w:val="continue"/>
            <w:shd w:val="clear" w:color="auto" w:fill="33CCCC"/>
          </w:tcPr>
          <w:p>
            <w:pPr>
              <w:spacing w:after="0"/>
              <w:rPr>
                <w:sz w:val="7"/>
                <w:szCs w:val="7"/>
                <w:color w:val="auto"/>
              </w:rPr>
            </w:pPr>
          </w:p>
        </w:tc>
        <w:tc>
          <w:tcPr>
            <w:tcW w:w="740" w:type="dxa"/>
            <w:vAlign w:val="bottom"/>
            <w:vMerge w:val="continue"/>
            <w:shd w:val="clear" w:color="auto" w:fill="33CCCC"/>
          </w:tcPr>
          <w:p>
            <w:pPr>
              <w:spacing w:after="0"/>
              <w:rPr>
                <w:sz w:val="7"/>
                <w:szCs w:val="7"/>
                <w:color w:val="auto"/>
              </w:rPr>
            </w:pPr>
          </w:p>
        </w:tc>
        <w:tc>
          <w:tcPr>
            <w:tcW w:w="760" w:type="dxa"/>
            <w:vAlign w:val="bottom"/>
            <w:tcBorders>
              <w:right w:val="single" w:sz="8" w:color="auto"/>
            </w:tcBorders>
            <w:vMerge w:val="continue"/>
            <w:shd w:val="clear" w:color="auto" w:fill="33CCCC"/>
          </w:tcPr>
          <w:p>
            <w:pPr>
              <w:spacing w:after="0"/>
              <w:rPr>
                <w:sz w:val="7"/>
                <w:szCs w:val="7"/>
                <w:color w:val="auto"/>
              </w:rPr>
            </w:pPr>
          </w:p>
        </w:tc>
        <w:tc>
          <w:tcPr>
            <w:tcW w:w="640" w:type="dxa"/>
            <w:vAlign w:val="bottom"/>
            <w:vMerge w:val="continue"/>
            <w:shd w:val="clear" w:color="auto" w:fill="33CCCC"/>
          </w:tcPr>
          <w:p>
            <w:pPr>
              <w:spacing w:after="0"/>
              <w:rPr>
                <w:sz w:val="7"/>
                <w:szCs w:val="7"/>
                <w:color w:val="auto"/>
              </w:rPr>
            </w:pPr>
          </w:p>
        </w:tc>
        <w:tc>
          <w:tcPr>
            <w:tcW w:w="700" w:type="dxa"/>
            <w:vAlign w:val="bottom"/>
            <w:tcBorders>
              <w:right w:val="single" w:sz="8" w:color="auto"/>
            </w:tcBorders>
            <w:vMerge w:val="continue"/>
            <w:shd w:val="clear" w:color="auto" w:fill="33CCCC"/>
          </w:tcPr>
          <w:p>
            <w:pPr>
              <w:spacing w:after="0"/>
              <w:rPr>
                <w:sz w:val="7"/>
                <w:szCs w:val="7"/>
                <w:color w:val="auto"/>
              </w:rPr>
            </w:pPr>
          </w:p>
        </w:tc>
        <w:tc>
          <w:tcPr>
            <w:tcW w:w="780" w:type="dxa"/>
            <w:vAlign w:val="bottom"/>
            <w:vMerge w:val="continue"/>
            <w:shd w:val="clear" w:color="auto" w:fill="33CCCC"/>
          </w:tcPr>
          <w:p>
            <w:pPr>
              <w:spacing w:after="0"/>
              <w:rPr>
                <w:sz w:val="7"/>
                <w:szCs w:val="7"/>
                <w:color w:val="auto"/>
              </w:rPr>
            </w:pPr>
          </w:p>
        </w:tc>
        <w:tc>
          <w:tcPr>
            <w:tcW w:w="760" w:type="dxa"/>
            <w:vAlign w:val="bottom"/>
            <w:vMerge w:val="continue"/>
            <w:shd w:val="clear" w:color="auto" w:fill="33CCCC"/>
          </w:tcPr>
          <w:p>
            <w:pPr>
              <w:spacing w:after="0"/>
              <w:rPr>
                <w:sz w:val="7"/>
                <w:szCs w:val="7"/>
                <w:color w:val="auto"/>
              </w:rPr>
            </w:pPr>
          </w:p>
        </w:tc>
        <w:tc>
          <w:tcPr>
            <w:tcW w:w="780" w:type="dxa"/>
            <w:vAlign w:val="bottom"/>
            <w:tcBorders>
              <w:right w:val="single" w:sz="8" w:color="auto"/>
            </w:tcBorders>
            <w:vMerge w:val="continue"/>
            <w:shd w:val="clear" w:color="auto" w:fill="33CCCC"/>
          </w:tcPr>
          <w:p>
            <w:pPr>
              <w:spacing w:after="0"/>
              <w:rPr>
                <w:sz w:val="7"/>
                <w:szCs w:val="7"/>
                <w:color w:val="auto"/>
              </w:rPr>
            </w:pPr>
          </w:p>
        </w:tc>
        <w:tc>
          <w:tcPr>
            <w:tcW w:w="680" w:type="dxa"/>
            <w:vAlign w:val="bottom"/>
            <w:vMerge w:val="continue"/>
            <w:shd w:val="clear" w:color="auto" w:fill="33CCCC"/>
          </w:tcPr>
          <w:p>
            <w:pPr>
              <w:spacing w:after="0"/>
              <w:rPr>
                <w:sz w:val="7"/>
                <w:szCs w:val="7"/>
                <w:color w:val="auto"/>
              </w:rPr>
            </w:pPr>
          </w:p>
        </w:tc>
        <w:tc>
          <w:tcPr>
            <w:tcW w:w="700" w:type="dxa"/>
            <w:vAlign w:val="bottom"/>
            <w:tcBorders>
              <w:right w:val="single" w:sz="8" w:color="auto"/>
            </w:tcBorders>
            <w:vMerge w:val="continue"/>
            <w:shd w:val="clear" w:color="auto" w:fill="33CCCC"/>
          </w:tcPr>
          <w:p>
            <w:pPr>
              <w:spacing w:after="0"/>
              <w:rPr>
                <w:sz w:val="7"/>
                <w:szCs w:val="7"/>
                <w:color w:val="auto"/>
              </w:rPr>
            </w:pPr>
          </w:p>
        </w:tc>
        <w:tc>
          <w:tcPr>
            <w:tcW w:w="580" w:type="dxa"/>
            <w:vAlign w:val="bottom"/>
            <w:vMerge w:val="continue"/>
            <w:shd w:val="clear" w:color="auto" w:fill="33CCCC"/>
          </w:tcPr>
          <w:p>
            <w:pPr>
              <w:spacing w:after="0"/>
              <w:rPr>
                <w:sz w:val="7"/>
                <w:szCs w:val="7"/>
                <w:color w:val="auto"/>
              </w:rPr>
            </w:pPr>
          </w:p>
        </w:tc>
        <w:tc>
          <w:tcPr>
            <w:tcW w:w="980" w:type="dxa"/>
            <w:vAlign w:val="bottom"/>
            <w:tcBorders>
              <w:right w:val="single" w:sz="8" w:color="auto"/>
            </w:tcBorders>
            <w:vMerge w:val="continue"/>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3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3"/>
                <w:szCs w:val="13"/>
                <w:b w:val="1"/>
                <w:bCs w:val="1"/>
                <w:color w:val="auto"/>
              </w:rPr>
              <w:t>BCP Stand-alone</w:t>
            </w:r>
          </w:p>
        </w:tc>
        <w:tc>
          <w:tcPr>
            <w:tcW w:w="780" w:type="dxa"/>
            <w:vAlign w:val="bottom"/>
          </w:tcPr>
          <w:p>
            <w:pPr>
              <w:jc w:val="center"/>
              <w:spacing w:after="0" w:line="129" w:lineRule="exact"/>
              <w:rPr>
                <w:sz w:val="20"/>
                <w:szCs w:val="20"/>
                <w:color w:val="auto"/>
              </w:rPr>
            </w:pPr>
            <w:r>
              <w:rPr>
                <w:rFonts w:ascii="Calibri" w:cs="Calibri" w:eastAsia="Calibri" w:hAnsi="Calibri"/>
                <w:sz w:val="13"/>
                <w:szCs w:val="13"/>
                <w:b w:val="1"/>
                <w:bCs w:val="1"/>
                <w:color w:val="auto"/>
                <w:w w:val="99"/>
              </w:rPr>
              <w:t>79,896</w:t>
            </w:r>
          </w:p>
        </w:tc>
        <w:tc>
          <w:tcPr>
            <w:tcW w:w="740" w:type="dxa"/>
            <w:vAlign w:val="bottom"/>
          </w:tcPr>
          <w:p>
            <w:pPr>
              <w:jc w:val="center"/>
              <w:spacing w:after="0" w:line="129" w:lineRule="exact"/>
              <w:rPr>
                <w:sz w:val="20"/>
                <w:szCs w:val="20"/>
                <w:color w:val="auto"/>
              </w:rPr>
            </w:pPr>
            <w:r>
              <w:rPr>
                <w:rFonts w:ascii="Calibri" w:cs="Calibri" w:eastAsia="Calibri" w:hAnsi="Calibri"/>
                <w:sz w:val="13"/>
                <w:szCs w:val="13"/>
                <w:b w:val="1"/>
                <w:bCs w:val="1"/>
                <w:color w:val="auto"/>
                <w:w w:val="99"/>
              </w:rPr>
              <w:t>79,154</w:t>
            </w:r>
          </w:p>
        </w:tc>
        <w:tc>
          <w:tcPr>
            <w:tcW w:w="76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3"/>
                <w:szCs w:val="13"/>
                <w:b w:val="1"/>
                <w:bCs w:val="1"/>
                <w:color w:val="auto"/>
                <w:w w:val="99"/>
              </w:rPr>
              <w:t>78,619</w:t>
            </w:r>
          </w:p>
        </w:tc>
        <w:tc>
          <w:tcPr>
            <w:tcW w:w="640" w:type="dxa"/>
            <w:vAlign w:val="bottom"/>
          </w:tcPr>
          <w:p>
            <w:pPr>
              <w:jc w:val="center"/>
              <w:spacing w:after="0" w:line="129" w:lineRule="exact"/>
              <w:rPr>
                <w:sz w:val="20"/>
                <w:szCs w:val="20"/>
                <w:color w:val="auto"/>
              </w:rPr>
            </w:pPr>
            <w:r>
              <w:rPr>
                <w:rFonts w:ascii="Calibri" w:cs="Calibri" w:eastAsia="Calibri" w:hAnsi="Calibri"/>
                <w:sz w:val="13"/>
                <w:szCs w:val="13"/>
                <w:color w:val="auto"/>
                <w:w w:val="94"/>
              </w:rPr>
              <w:t>-0.7%</w:t>
            </w:r>
          </w:p>
        </w:tc>
        <w:tc>
          <w:tcPr>
            <w:tcW w:w="70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3"/>
                <w:szCs w:val="13"/>
                <w:color w:val="auto"/>
                <w:w w:val="94"/>
              </w:rPr>
              <w:t>-1.6%</w:t>
            </w:r>
          </w:p>
        </w:tc>
        <w:tc>
          <w:tcPr>
            <w:tcW w:w="780" w:type="dxa"/>
            <w:vAlign w:val="bottom"/>
          </w:tcPr>
          <w:p>
            <w:pPr>
              <w:jc w:val="center"/>
              <w:spacing w:after="0" w:line="129" w:lineRule="exact"/>
              <w:rPr>
                <w:sz w:val="20"/>
                <w:szCs w:val="20"/>
                <w:color w:val="auto"/>
              </w:rPr>
            </w:pPr>
            <w:r>
              <w:rPr>
                <w:rFonts w:ascii="Calibri" w:cs="Calibri" w:eastAsia="Calibri" w:hAnsi="Calibri"/>
                <w:sz w:val="13"/>
                <w:szCs w:val="13"/>
                <w:b w:val="1"/>
                <w:bCs w:val="1"/>
                <w:color w:val="auto"/>
              </w:rPr>
              <w:t>9,722</w:t>
            </w:r>
          </w:p>
        </w:tc>
        <w:tc>
          <w:tcPr>
            <w:tcW w:w="760" w:type="dxa"/>
            <w:vAlign w:val="bottom"/>
          </w:tcPr>
          <w:p>
            <w:pPr>
              <w:jc w:val="center"/>
              <w:spacing w:after="0" w:line="129" w:lineRule="exact"/>
              <w:rPr>
                <w:sz w:val="20"/>
                <w:szCs w:val="20"/>
                <w:color w:val="auto"/>
              </w:rPr>
            </w:pPr>
            <w:r>
              <w:rPr>
                <w:rFonts w:ascii="Calibri" w:cs="Calibri" w:eastAsia="Calibri" w:hAnsi="Calibri"/>
                <w:sz w:val="13"/>
                <w:szCs w:val="13"/>
                <w:b w:val="1"/>
                <w:bCs w:val="1"/>
                <w:color w:val="auto"/>
              </w:rPr>
              <w:t>9,886</w:t>
            </w:r>
          </w:p>
        </w:tc>
        <w:tc>
          <w:tcPr>
            <w:tcW w:w="78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3"/>
                <w:szCs w:val="13"/>
                <w:b w:val="1"/>
                <w:bCs w:val="1"/>
                <w:color w:val="auto"/>
                <w:w w:val="94"/>
              </w:rPr>
              <w:t>9,924</w:t>
            </w:r>
          </w:p>
        </w:tc>
        <w:tc>
          <w:tcPr>
            <w:tcW w:w="680" w:type="dxa"/>
            <w:vAlign w:val="bottom"/>
          </w:tcPr>
          <w:p>
            <w:pPr>
              <w:jc w:val="center"/>
              <w:spacing w:after="0" w:line="129" w:lineRule="exact"/>
              <w:rPr>
                <w:sz w:val="20"/>
                <w:szCs w:val="20"/>
                <w:color w:val="auto"/>
              </w:rPr>
            </w:pPr>
            <w:r>
              <w:rPr>
                <w:rFonts w:ascii="Calibri" w:cs="Calibri" w:eastAsia="Calibri" w:hAnsi="Calibri"/>
                <w:sz w:val="13"/>
                <w:szCs w:val="13"/>
                <w:color w:val="auto"/>
              </w:rPr>
              <w:t>0.4%</w:t>
            </w:r>
          </w:p>
        </w:tc>
        <w:tc>
          <w:tcPr>
            <w:tcW w:w="70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3"/>
                <w:szCs w:val="13"/>
                <w:color w:val="auto"/>
                <w:w w:val="93"/>
              </w:rPr>
              <w:t>2.1%</w:t>
            </w:r>
          </w:p>
        </w:tc>
        <w:tc>
          <w:tcPr>
            <w:tcW w:w="580" w:type="dxa"/>
            <w:vAlign w:val="bottom"/>
          </w:tcPr>
          <w:p>
            <w:pPr>
              <w:jc w:val="center"/>
              <w:ind w:left="157"/>
              <w:spacing w:after="0" w:line="129" w:lineRule="exact"/>
              <w:rPr>
                <w:sz w:val="20"/>
                <w:szCs w:val="20"/>
                <w:color w:val="auto"/>
              </w:rPr>
            </w:pPr>
            <w:r>
              <w:rPr>
                <w:rFonts w:ascii="Calibri" w:cs="Calibri" w:eastAsia="Calibri" w:hAnsi="Calibri"/>
                <w:sz w:val="13"/>
                <w:szCs w:val="13"/>
                <w:b w:val="1"/>
                <w:bCs w:val="1"/>
                <w:color w:val="auto"/>
                <w:w w:val="97"/>
              </w:rPr>
              <w:t>68.0%</w:t>
            </w:r>
          </w:p>
        </w:tc>
        <w:tc>
          <w:tcPr>
            <w:tcW w:w="980" w:type="dxa"/>
            <w:vAlign w:val="bottom"/>
            <w:tcBorders>
              <w:right w:val="single" w:sz="8" w:color="auto"/>
            </w:tcBorders>
          </w:tcPr>
          <w:p>
            <w:pPr>
              <w:jc w:val="center"/>
              <w:ind w:left="137"/>
              <w:spacing w:after="0" w:line="129" w:lineRule="exact"/>
              <w:rPr>
                <w:sz w:val="20"/>
                <w:szCs w:val="20"/>
                <w:color w:val="auto"/>
              </w:rPr>
            </w:pPr>
            <w:r>
              <w:rPr>
                <w:rFonts w:ascii="Calibri" w:cs="Calibri" w:eastAsia="Calibri" w:hAnsi="Calibri"/>
                <w:sz w:val="13"/>
                <w:szCs w:val="13"/>
                <w:b w:val="1"/>
                <w:bCs w:val="1"/>
                <w:color w:val="auto"/>
                <w:w w:val="91"/>
              </w:rPr>
              <w:t>32.0%</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b w:val="1"/>
                <w:bCs w:val="1"/>
                <w:color w:val="auto"/>
              </w:rPr>
              <w:t>Wholesale Banking</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24,341</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23,361</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9"/>
              </w:rPr>
              <w:t>22,748</w:t>
            </w:r>
          </w:p>
        </w:tc>
        <w:tc>
          <w:tcPr>
            <w:tcW w:w="6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-2.6%</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-6.5%</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7,695</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7,898</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4"/>
              </w:rPr>
              <w:t>7,925</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rPr>
              <w:t>0.3%</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3.0%</w:t>
            </w:r>
          </w:p>
        </w:tc>
        <w:tc>
          <w:tcPr>
            <w:tcW w:w="580" w:type="dxa"/>
            <w:vAlign w:val="bottom"/>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7"/>
              </w:rPr>
              <w:t>43.5%</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b w:val="1"/>
                <w:bCs w:val="1"/>
                <w:color w:val="auto"/>
                <w:w w:val="91"/>
              </w:rPr>
              <w:t>56.5%</w:t>
            </w:r>
          </w:p>
        </w:tc>
        <w:tc>
          <w:tcPr>
            <w:tcW w:w="0" w:type="dxa"/>
            <w:vAlign w:val="bottom"/>
          </w:tcPr>
          <w:p>
            <w:pPr>
              <w:spacing w:after="0"/>
              <w:rPr>
                <w:sz w:val="1"/>
                <w:szCs w:val="1"/>
                <w:color w:val="auto"/>
              </w:rPr>
            </w:pPr>
          </w:p>
        </w:tc>
      </w:tr>
      <w:tr>
        <w:trPr>
          <w:trHeight w:val="159"/>
        </w:trPr>
        <w:tc>
          <w:tcPr>
            <w:tcW w:w="2360" w:type="dxa"/>
            <w:vAlign w:val="bottom"/>
            <w:tcBorders>
              <w:left w:val="single" w:sz="8" w:color="auto"/>
              <w:right w:val="single" w:sz="8" w:color="auto"/>
            </w:tcBorders>
          </w:tcPr>
          <w:p>
            <w:pPr>
              <w:ind w:left="340"/>
              <w:spacing w:after="0" w:line="149" w:lineRule="exact"/>
              <w:rPr>
                <w:sz w:val="20"/>
                <w:szCs w:val="20"/>
                <w:color w:val="auto"/>
              </w:rPr>
            </w:pPr>
            <w:r>
              <w:rPr>
                <w:rFonts w:ascii="Calibri" w:cs="Calibri" w:eastAsia="Calibri" w:hAnsi="Calibri"/>
                <w:sz w:val="13"/>
                <w:szCs w:val="13"/>
                <w:color w:val="auto"/>
              </w:rPr>
              <w:t>Corporate</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14,592</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14,201</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13,916</w:t>
            </w:r>
          </w:p>
        </w:tc>
        <w:tc>
          <w:tcPr>
            <w:tcW w:w="640" w:type="dxa"/>
            <w:vAlign w:val="bottom"/>
            <w:shd w:val="clear" w:color="auto" w:fill="EB40A9"/>
          </w:tcPr>
          <w:p>
            <w:pPr>
              <w:jc w:val="center"/>
              <w:spacing w:after="0"/>
              <w:rPr>
                <w:sz w:val="20"/>
                <w:szCs w:val="20"/>
                <w:color w:val="auto"/>
              </w:rPr>
            </w:pPr>
            <w:r>
              <w:rPr>
                <w:rFonts w:ascii="Calibri" w:cs="Calibri" w:eastAsia="Calibri" w:hAnsi="Calibri"/>
                <w:sz w:val="13"/>
                <w:szCs w:val="13"/>
                <w:color w:val="auto"/>
                <w:w w:val="94"/>
              </w:rPr>
              <w:t>-2.0%</w:t>
            </w:r>
          </w:p>
        </w:tc>
        <w:tc>
          <w:tcPr>
            <w:tcW w:w="700" w:type="dxa"/>
            <w:vAlign w:val="bottom"/>
            <w:tcBorders>
              <w:right w:val="single" w:sz="8" w:color="auto"/>
            </w:tcBorders>
            <w:shd w:val="clear" w:color="auto" w:fill="EB40A9"/>
          </w:tcPr>
          <w:p>
            <w:pPr>
              <w:jc w:val="center"/>
              <w:spacing w:after="0"/>
              <w:rPr>
                <w:sz w:val="20"/>
                <w:szCs w:val="20"/>
                <w:color w:val="auto"/>
              </w:rPr>
            </w:pPr>
            <w:r>
              <w:rPr>
                <w:rFonts w:ascii="Calibri" w:cs="Calibri" w:eastAsia="Calibri" w:hAnsi="Calibri"/>
                <w:sz w:val="13"/>
                <w:szCs w:val="13"/>
                <w:color w:val="auto"/>
                <w:w w:val="94"/>
              </w:rPr>
              <w:t>-4.6%</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rPr>
              <w:t>4,475</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color w:val="auto"/>
              </w:rPr>
              <w:t>4,687</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4,618</w:t>
            </w:r>
          </w:p>
        </w:tc>
        <w:tc>
          <w:tcPr>
            <w:tcW w:w="680" w:type="dxa"/>
            <w:vAlign w:val="bottom"/>
            <w:shd w:val="clear" w:color="auto" w:fill="EB40A9"/>
          </w:tcPr>
          <w:p>
            <w:pPr>
              <w:jc w:val="center"/>
              <w:spacing w:after="0"/>
              <w:rPr>
                <w:sz w:val="20"/>
                <w:szCs w:val="20"/>
                <w:color w:val="auto"/>
              </w:rPr>
            </w:pPr>
            <w:r>
              <w:rPr>
                <w:rFonts w:ascii="Calibri" w:cs="Calibri" w:eastAsia="Calibri" w:hAnsi="Calibri"/>
                <w:sz w:val="13"/>
                <w:szCs w:val="13"/>
                <w:color w:val="auto"/>
                <w:w w:val="94"/>
              </w:rPr>
              <w:t>-1.5%</w:t>
            </w:r>
          </w:p>
        </w:tc>
        <w:tc>
          <w:tcPr>
            <w:tcW w:w="700" w:type="dxa"/>
            <w:vAlign w:val="bottom"/>
            <w:tcBorders>
              <w:right w:val="single" w:sz="8" w:color="auto"/>
            </w:tcBorders>
            <w:shd w:val="clear" w:color="auto" w:fill="25D07B"/>
          </w:tcPr>
          <w:p>
            <w:pPr>
              <w:jc w:val="center"/>
              <w:spacing w:after="0"/>
              <w:rPr>
                <w:sz w:val="20"/>
                <w:szCs w:val="20"/>
                <w:color w:val="auto"/>
              </w:rPr>
            </w:pPr>
            <w:r>
              <w:rPr>
                <w:rFonts w:ascii="Calibri" w:cs="Calibri" w:eastAsia="Calibri" w:hAnsi="Calibri"/>
                <w:sz w:val="13"/>
                <w:szCs w:val="13"/>
                <w:color w:val="auto"/>
                <w:w w:val="93"/>
              </w:rPr>
              <w:t>3.2%</w:t>
            </w:r>
          </w:p>
        </w:tc>
        <w:tc>
          <w:tcPr>
            <w:tcW w:w="580" w:type="dxa"/>
            <w:vAlign w:val="bottom"/>
          </w:tcPr>
          <w:p>
            <w:pPr>
              <w:jc w:val="center"/>
              <w:ind w:left="137"/>
              <w:spacing w:after="0" w:line="149" w:lineRule="exact"/>
              <w:rPr>
                <w:sz w:val="20"/>
                <w:szCs w:val="20"/>
                <w:color w:val="auto"/>
              </w:rPr>
            </w:pPr>
            <w:r>
              <w:rPr>
                <w:rFonts w:ascii="Calibri" w:cs="Calibri" w:eastAsia="Calibri" w:hAnsi="Calibri"/>
                <w:sz w:val="13"/>
                <w:szCs w:val="13"/>
                <w:color w:val="auto"/>
                <w:w w:val="92"/>
              </w:rPr>
              <w:t>44.7%</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w w:val="92"/>
              </w:rPr>
              <w:t>55.3%</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340"/>
              <w:spacing w:after="0" w:line="149" w:lineRule="exact"/>
              <w:rPr>
                <w:sz w:val="20"/>
                <w:szCs w:val="20"/>
                <w:color w:val="auto"/>
              </w:rPr>
            </w:pPr>
            <w:r>
              <w:rPr>
                <w:rFonts w:ascii="Calibri" w:cs="Calibri" w:eastAsia="Calibri" w:hAnsi="Calibri"/>
                <w:sz w:val="13"/>
                <w:szCs w:val="13"/>
                <w:color w:val="auto"/>
              </w:rPr>
              <w:t>Middle-Market</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9,748</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9,161</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8,833</w:t>
            </w:r>
          </w:p>
        </w:tc>
        <w:tc>
          <w:tcPr>
            <w:tcW w:w="640" w:type="dxa"/>
            <w:vAlign w:val="bottom"/>
            <w:shd w:val="clear" w:color="auto" w:fill="EB40A9"/>
          </w:tcPr>
          <w:p>
            <w:pPr>
              <w:jc w:val="center"/>
              <w:spacing w:after="0" w:line="149" w:lineRule="exact"/>
              <w:rPr>
                <w:sz w:val="20"/>
                <w:szCs w:val="20"/>
                <w:color w:val="auto"/>
              </w:rPr>
            </w:pPr>
            <w:r>
              <w:rPr>
                <w:rFonts w:ascii="Calibri" w:cs="Calibri" w:eastAsia="Calibri" w:hAnsi="Calibri"/>
                <w:sz w:val="13"/>
                <w:szCs w:val="13"/>
                <w:color w:val="auto"/>
                <w:w w:val="94"/>
              </w:rPr>
              <w:t>-3.6%</w:t>
            </w:r>
          </w:p>
        </w:tc>
        <w:tc>
          <w:tcPr>
            <w:tcW w:w="700" w:type="dxa"/>
            <w:vAlign w:val="bottom"/>
            <w:tcBorders>
              <w:right w:val="single" w:sz="8" w:color="auto"/>
            </w:tcBorders>
            <w:shd w:val="clear" w:color="auto" w:fill="EB40A9"/>
          </w:tcPr>
          <w:p>
            <w:pPr>
              <w:jc w:val="center"/>
              <w:spacing w:after="0" w:line="149" w:lineRule="exact"/>
              <w:rPr>
                <w:sz w:val="20"/>
                <w:szCs w:val="20"/>
                <w:color w:val="auto"/>
              </w:rPr>
            </w:pPr>
            <w:r>
              <w:rPr>
                <w:rFonts w:ascii="Calibri" w:cs="Calibri" w:eastAsia="Calibri" w:hAnsi="Calibri"/>
                <w:sz w:val="13"/>
                <w:szCs w:val="13"/>
                <w:color w:val="auto"/>
                <w:w w:val="94"/>
              </w:rPr>
              <w:t>-9.4%</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rPr>
              <w:t>3,220</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color w:val="auto"/>
              </w:rPr>
              <w:t>3,211</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3,308</w:t>
            </w:r>
          </w:p>
        </w:tc>
        <w:tc>
          <w:tcPr>
            <w:tcW w:w="680" w:type="dxa"/>
            <w:vAlign w:val="bottom"/>
            <w:shd w:val="clear" w:color="auto" w:fill="25D07B"/>
          </w:tcPr>
          <w:p>
            <w:pPr>
              <w:jc w:val="center"/>
              <w:spacing w:after="0" w:line="149" w:lineRule="exact"/>
              <w:rPr>
                <w:sz w:val="20"/>
                <w:szCs w:val="20"/>
                <w:color w:val="auto"/>
              </w:rPr>
            </w:pPr>
            <w:r>
              <w:rPr>
                <w:rFonts w:ascii="Calibri" w:cs="Calibri" w:eastAsia="Calibri" w:hAnsi="Calibri"/>
                <w:sz w:val="13"/>
                <w:szCs w:val="13"/>
                <w:color w:val="auto"/>
              </w:rPr>
              <w:t>3.0%</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2.7%</w:t>
            </w:r>
          </w:p>
        </w:tc>
        <w:tc>
          <w:tcPr>
            <w:tcW w:w="580" w:type="dxa"/>
            <w:vAlign w:val="bottom"/>
          </w:tcPr>
          <w:p>
            <w:pPr>
              <w:jc w:val="center"/>
              <w:ind w:left="137"/>
              <w:spacing w:after="0" w:line="149" w:lineRule="exact"/>
              <w:rPr>
                <w:sz w:val="20"/>
                <w:szCs w:val="20"/>
                <w:color w:val="auto"/>
              </w:rPr>
            </w:pPr>
            <w:r>
              <w:rPr>
                <w:rFonts w:ascii="Calibri" w:cs="Calibri" w:eastAsia="Calibri" w:hAnsi="Calibri"/>
                <w:sz w:val="13"/>
                <w:szCs w:val="13"/>
                <w:color w:val="auto"/>
                <w:w w:val="92"/>
              </w:rPr>
              <w:t>41.8%</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w w:val="92"/>
              </w:rPr>
              <w:t>58.2%</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b w:val="1"/>
                <w:bCs w:val="1"/>
                <w:color w:val="auto"/>
              </w:rPr>
              <w:t>Retail Banking</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55,555</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55,793</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9"/>
              </w:rPr>
              <w:t>55,870</w:t>
            </w:r>
          </w:p>
        </w:tc>
        <w:tc>
          <w:tcPr>
            <w:tcW w:w="64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0.1%</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0.6%</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2,028</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1,988</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4"/>
              </w:rPr>
              <w:t>1,999</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rPr>
              <w:t>0.5%</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-1.4%</w:t>
            </w:r>
          </w:p>
        </w:tc>
        <w:tc>
          <w:tcPr>
            <w:tcW w:w="580" w:type="dxa"/>
            <w:vAlign w:val="bottom"/>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7"/>
              </w:rPr>
              <w:t>88.2%</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b w:val="1"/>
                <w:bCs w:val="1"/>
                <w:color w:val="auto"/>
                <w:w w:val="91"/>
              </w:rPr>
              <w:t>11.8%</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340"/>
              <w:spacing w:after="0" w:line="149" w:lineRule="exact"/>
              <w:rPr>
                <w:sz w:val="20"/>
                <w:szCs w:val="20"/>
                <w:color w:val="auto"/>
              </w:rPr>
            </w:pPr>
            <w:r>
              <w:rPr>
                <w:rFonts w:ascii="Calibri" w:cs="Calibri" w:eastAsia="Calibri" w:hAnsi="Calibri"/>
                <w:sz w:val="13"/>
                <w:szCs w:val="13"/>
                <w:color w:val="auto"/>
              </w:rPr>
              <w:t>SME - Business</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4,302</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4,286</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4,581</w:t>
            </w:r>
          </w:p>
        </w:tc>
        <w:tc>
          <w:tcPr>
            <w:tcW w:w="640" w:type="dxa"/>
            <w:vAlign w:val="bottom"/>
            <w:shd w:val="clear" w:color="auto" w:fill="25D07B"/>
          </w:tcPr>
          <w:p>
            <w:pPr>
              <w:jc w:val="center"/>
              <w:spacing w:after="0" w:line="149" w:lineRule="exact"/>
              <w:rPr>
                <w:sz w:val="20"/>
                <w:szCs w:val="20"/>
                <w:color w:val="auto"/>
              </w:rPr>
            </w:pPr>
            <w:r>
              <w:rPr>
                <w:rFonts w:ascii="Calibri" w:cs="Calibri" w:eastAsia="Calibri" w:hAnsi="Calibri"/>
                <w:sz w:val="13"/>
                <w:szCs w:val="13"/>
                <w:color w:val="auto"/>
                <w:w w:val="93"/>
              </w:rPr>
              <w:t>6.9%</w:t>
            </w:r>
          </w:p>
        </w:tc>
        <w:tc>
          <w:tcPr>
            <w:tcW w:w="700" w:type="dxa"/>
            <w:vAlign w:val="bottom"/>
            <w:tcBorders>
              <w:right w:val="single" w:sz="8" w:color="auto"/>
            </w:tcBorders>
            <w:shd w:val="clear" w:color="auto" w:fill="25D07B"/>
          </w:tcPr>
          <w:p>
            <w:pPr>
              <w:jc w:val="center"/>
              <w:spacing w:after="0" w:line="149" w:lineRule="exact"/>
              <w:rPr>
                <w:sz w:val="20"/>
                <w:szCs w:val="20"/>
                <w:color w:val="auto"/>
              </w:rPr>
            </w:pPr>
            <w:r>
              <w:rPr>
                <w:rFonts w:ascii="Calibri" w:cs="Calibri" w:eastAsia="Calibri" w:hAnsi="Calibri"/>
                <w:sz w:val="13"/>
                <w:szCs w:val="13"/>
                <w:color w:val="auto"/>
                <w:w w:val="93"/>
              </w:rPr>
              <w:t>6.5%</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0"/>
              </w:rPr>
              <w:t>809</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color w:val="auto"/>
                <w:w w:val="90"/>
              </w:rPr>
              <w:t>752</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745</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-0.8%</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-7.8%</w:t>
            </w:r>
          </w:p>
        </w:tc>
        <w:tc>
          <w:tcPr>
            <w:tcW w:w="580" w:type="dxa"/>
            <w:vAlign w:val="bottom"/>
          </w:tcPr>
          <w:p>
            <w:pPr>
              <w:jc w:val="center"/>
              <w:ind w:left="137"/>
              <w:spacing w:after="0" w:line="149" w:lineRule="exact"/>
              <w:rPr>
                <w:sz w:val="20"/>
                <w:szCs w:val="20"/>
                <w:color w:val="auto"/>
              </w:rPr>
            </w:pPr>
            <w:r>
              <w:rPr>
                <w:rFonts w:ascii="Calibri" w:cs="Calibri" w:eastAsia="Calibri" w:hAnsi="Calibri"/>
                <w:sz w:val="13"/>
                <w:szCs w:val="13"/>
                <w:color w:val="auto"/>
                <w:w w:val="92"/>
              </w:rPr>
              <w:t>62.3%</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w w:val="92"/>
              </w:rPr>
              <w:t>37.7%</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ind w:left="340"/>
              <w:spacing w:after="0" w:line="149" w:lineRule="exact"/>
              <w:rPr>
                <w:sz w:val="20"/>
                <w:szCs w:val="20"/>
                <w:color w:val="auto"/>
              </w:rPr>
            </w:pPr>
            <w:r>
              <w:rPr>
                <w:rFonts w:ascii="Calibri" w:cs="Calibri" w:eastAsia="Calibri" w:hAnsi="Calibri"/>
                <w:sz w:val="13"/>
                <w:szCs w:val="13"/>
                <w:color w:val="auto"/>
              </w:rPr>
              <w:t>SME - Pyme</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16,378</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16,127</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16,023</w:t>
            </w:r>
          </w:p>
        </w:tc>
        <w:tc>
          <w:tcPr>
            <w:tcW w:w="6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-0.6%</w:t>
            </w:r>
          </w:p>
        </w:tc>
        <w:tc>
          <w:tcPr>
            <w:tcW w:w="700" w:type="dxa"/>
            <w:vAlign w:val="bottom"/>
            <w:tcBorders>
              <w:right w:val="single" w:sz="8" w:color="auto"/>
            </w:tcBorders>
            <w:shd w:val="clear" w:color="auto" w:fill="EB40A9"/>
          </w:tcPr>
          <w:p>
            <w:pPr>
              <w:jc w:val="center"/>
              <w:spacing w:after="0" w:line="149" w:lineRule="exact"/>
              <w:rPr>
                <w:sz w:val="20"/>
                <w:szCs w:val="20"/>
                <w:color w:val="auto"/>
              </w:rPr>
            </w:pPr>
            <w:r>
              <w:rPr>
                <w:rFonts w:ascii="Calibri" w:cs="Calibri" w:eastAsia="Calibri" w:hAnsi="Calibri"/>
                <w:sz w:val="13"/>
                <w:szCs w:val="13"/>
                <w:color w:val="auto"/>
                <w:w w:val="94"/>
              </w:rPr>
              <w:t>-2.2%</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rPr>
              <w:t>46</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color w:val="auto"/>
              </w:rPr>
              <w:t>45</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0"/>
              </w:rPr>
              <w:t>43</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-2.8%</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-5.9%</w:t>
            </w:r>
          </w:p>
        </w:tc>
        <w:tc>
          <w:tcPr>
            <w:tcW w:w="580" w:type="dxa"/>
            <w:vAlign w:val="bottom"/>
          </w:tcPr>
          <w:p>
            <w:pPr>
              <w:jc w:val="center"/>
              <w:ind w:left="137"/>
              <w:spacing w:after="0" w:line="149" w:lineRule="exact"/>
              <w:rPr>
                <w:sz w:val="20"/>
                <w:szCs w:val="20"/>
                <w:color w:val="auto"/>
              </w:rPr>
            </w:pPr>
            <w:r>
              <w:rPr>
                <w:rFonts w:ascii="Calibri" w:cs="Calibri" w:eastAsia="Calibri" w:hAnsi="Calibri"/>
                <w:sz w:val="13"/>
                <w:szCs w:val="13"/>
                <w:color w:val="auto"/>
                <w:w w:val="92"/>
              </w:rPr>
              <w:t>99.0%</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rPr>
              <w:t>1.0%</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340"/>
              <w:spacing w:after="0" w:line="149" w:lineRule="exact"/>
              <w:rPr>
                <w:sz w:val="20"/>
                <w:szCs w:val="20"/>
                <w:color w:val="auto"/>
              </w:rPr>
            </w:pPr>
            <w:r>
              <w:rPr>
                <w:rFonts w:ascii="Calibri" w:cs="Calibri" w:eastAsia="Calibri" w:hAnsi="Calibri"/>
                <w:sz w:val="13"/>
                <w:szCs w:val="13"/>
                <w:color w:val="auto"/>
              </w:rPr>
              <w:t>Mortgage</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18,768</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19,491</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19,690</w:t>
            </w:r>
          </w:p>
        </w:tc>
        <w:tc>
          <w:tcPr>
            <w:tcW w:w="640" w:type="dxa"/>
            <w:vAlign w:val="bottom"/>
            <w:shd w:val="clear" w:color="auto" w:fill="25D07B"/>
          </w:tcPr>
          <w:p>
            <w:pPr>
              <w:jc w:val="center"/>
              <w:spacing w:after="0" w:line="149" w:lineRule="exact"/>
              <w:rPr>
                <w:sz w:val="20"/>
                <w:szCs w:val="20"/>
                <w:color w:val="auto"/>
              </w:rPr>
            </w:pPr>
            <w:r>
              <w:rPr>
                <w:rFonts w:ascii="Calibri" w:cs="Calibri" w:eastAsia="Calibri" w:hAnsi="Calibri"/>
                <w:sz w:val="13"/>
                <w:szCs w:val="13"/>
                <w:color w:val="auto"/>
                <w:w w:val="93"/>
              </w:rPr>
              <w:t>1.0%</w:t>
            </w:r>
          </w:p>
        </w:tc>
        <w:tc>
          <w:tcPr>
            <w:tcW w:w="700" w:type="dxa"/>
            <w:vAlign w:val="bottom"/>
            <w:tcBorders>
              <w:right w:val="single" w:sz="8" w:color="auto"/>
            </w:tcBorders>
            <w:shd w:val="clear" w:color="auto" w:fill="25D07B"/>
          </w:tcPr>
          <w:p>
            <w:pPr>
              <w:jc w:val="center"/>
              <w:spacing w:after="0" w:line="149" w:lineRule="exact"/>
              <w:rPr>
                <w:sz w:val="20"/>
                <w:szCs w:val="20"/>
                <w:color w:val="auto"/>
              </w:rPr>
            </w:pPr>
            <w:r>
              <w:rPr>
                <w:rFonts w:ascii="Calibri" w:cs="Calibri" w:eastAsia="Calibri" w:hAnsi="Calibri"/>
                <w:sz w:val="13"/>
                <w:szCs w:val="13"/>
                <w:color w:val="auto"/>
                <w:w w:val="93"/>
              </w:rPr>
              <w:t>4.9%</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0"/>
              </w:rPr>
              <w:t>526</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color w:val="auto"/>
                <w:w w:val="90"/>
              </w:rPr>
              <w:t>515</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515</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rPr>
              <w:t>0.0%</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-2.1%</w:t>
            </w:r>
          </w:p>
        </w:tc>
        <w:tc>
          <w:tcPr>
            <w:tcW w:w="580" w:type="dxa"/>
            <w:vAlign w:val="bottom"/>
          </w:tcPr>
          <w:p>
            <w:pPr>
              <w:jc w:val="center"/>
              <w:ind w:left="137"/>
              <w:spacing w:after="0" w:line="149" w:lineRule="exact"/>
              <w:rPr>
                <w:sz w:val="20"/>
                <w:szCs w:val="20"/>
                <w:color w:val="auto"/>
              </w:rPr>
            </w:pPr>
            <w:r>
              <w:rPr>
                <w:rFonts w:ascii="Calibri" w:cs="Calibri" w:eastAsia="Calibri" w:hAnsi="Calibri"/>
                <w:sz w:val="13"/>
                <w:szCs w:val="13"/>
                <w:color w:val="auto"/>
                <w:w w:val="92"/>
              </w:rPr>
              <w:t>91.1%</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rPr>
              <w:t>8.9%</w:t>
            </w:r>
          </w:p>
        </w:tc>
        <w:tc>
          <w:tcPr>
            <w:tcW w:w="0" w:type="dxa"/>
            <w:vAlign w:val="bottom"/>
          </w:tcPr>
          <w:p>
            <w:pPr>
              <w:spacing w:after="0"/>
              <w:rPr>
                <w:sz w:val="1"/>
                <w:szCs w:val="1"/>
                <w:color w:val="auto"/>
              </w:rPr>
            </w:pPr>
          </w:p>
        </w:tc>
      </w:tr>
      <w:tr>
        <w:trPr>
          <w:trHeight w:val="138"/>
        </w:trPr>
        <w:tc>
          <w:tcPr>
            <w:tcW w:w="2360" w:type="dxa"/>
            <w:vAlign w:val="bottom"/>
            <w:tcBorders>
              <w:left w:val="single" w:sz="8" w:color="auto"/>
              <w:right w:val="single" w:sz="8" w:color="auto"/>
            </w:tcBorders>
          </w:tcPr>
          <w:p>
            <w:pPr>
              <w:ind w:left="340"/>
              <w:spacing w:after="0" w:line="138" w:lineRule="exact"/>
              <w:rPr>
                <w:sz w:val="20"/>
                <w:szCs w:val="20"/>
                <w:color w:val="auto"/>
              </w:rPr>
            </w:pPr>
            <w:r>
              <w:rPr>
                <w:rFonts w:ascii="Calibri" w:cs="Calibri" w:eastAsia="Calibri" w:hAnsi="Calibri"/>
                <w:sz w:val="13"/>
                <w:szCs w:val="13"/>
                <w:color w:val="auto"/>
              </w:rPr>
              <w:t>Consumer</w:t>
            </w:r>
          </w:p>
        </w:tc>
        <w:tc>
          <w:tcPr>
            <w:tcW w:w="780" w:type="dxa"/>
            <w:vAlign w:val="bottom"/>
          </w:tcPr>
          <w:p>
            <w:pPr>
              <w:jc w:val="center"/>
              <w:spacing w:after="0" w:line="138" w:lineRule="exact"/>
              <w:rPr>
                <w:sz w:val="20"/>
                <w:szCs w:val="20"/>
                <w:color w:val="auto"/>
              </w:rPr>
            </w:pPr>
            <w:r>
              <w:rPr>
                <w:rFonts w:ascii="Calibri" w:cs="Calibri" w:eastAsia="Calibri" w:hAnsi="Calibri"/>
                <w:sz w:val="13"/>
                <w:szCs w:val="13"/>
                <w:color w:val="auto"/>
                <w:w w:val="99"/>
              </w:rPr>
              <w:t>11,210</w:t>
            </w:r>
          </w:p>
        </w:tc>
        <w:tc>
          <w:tcPr>
            <w:tcW w:w="740" w:type="dxa"/>
            <w:vAlign w:val="bottom"/>
          </w:tcPr>
          <w:p>
            <w:pPr>
              <w:jc w:val="center"/>
              <w:spacing w:after="0" w:line="138" w:lineRule="exact"/>
              <w:rPr>
                <w:sz w:val="20"/>
                <w:szCs w:val="20"/>
                <w:color w:val="auto"/>
              </w:rPr>
            </w:pPr>
            <w:r>
              <w:rPr>
                <w:rFonts w:ascii="Calibri" w:cs="Calibri" w:eastAsia="Calibri" w:hAnsi="Calibri"/>
                <w:sz w:val="13"/>
                <w:szCs w:val="13"/>
                <w:color w:val="auto"/>
                <w:w w:val="99"/>
              </w:rPr>
              <w:t>10,908</w:t>
            </w:r>
          </w:p>
        </w:tc>
        <w:tc>
          <w:tcPr>
            <w:tcW w:w="76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3"/>
                <w:szCs w:val="13"/>
                <w:color w:val="auto"/>
                <w:w w:val="99"/>
              </w:rPr>
              <w:t>10,742</w:t>
            </w:r>
          </w:p>
        </w:tc>
        <w:tc>
          <w:tcPr>
            <w:tcW w:w="640" w:type="dxa"/>
            <w:vAlign w:val="bottom"/>
          </w:tcPr>
          <w:p>
            <w:pPr>
              <w:jc w:val="center"/>
              <w:spacing w:after="0" w:line="138" w:lineRule="exact"/>
              <w:rPr>
                <w:sz w:val="20"/>
                <w:szCs w:val="20"/>
                <w:color w:val="auto"/>
              </w:rPr>
            </w:pPr>
            <w:r>
              <w:rPr>
                <w:rFonts w:ascii="Calibri" w:cs="Calibri" w:eastAsia="Calibri" w:hAnsi="Calibri"/>
                <w:sz w:val="13"/>
                <w:szCs w:val="13"/>
                <w:color w:val="auto"/>
                <w:w w:val="94"/>
              </w:rPr>
              <w:t>-1.5%</w:t>
            </w:r>
          </w:p>
        </w:tc>
        <w:tc>
          <w:tcPr>
            <w:tcW w:w="70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3"/>
                <w:szCs w:val="13"/>
                <w:color w:val="auto"/>
                <w:w w:val="94"/>
              </w:rPr>
              <w:t>-4.2%</w:t>
            </w:r>
          </w:p>
        </w:tc>
        <w:tc>
          <w:tcPr>
            <w:tcW w:w="780" w:type="dxa"/>
            <w:vAlign w:val="bottom"/>
          </w:tcPr>
          <w:p>
            <w:pPr>
              <w:jc w:val="center"/>
              <w:spacing w:after="0" w:line="138" w:lineRule="exact"/>
              <w:rPr>
                <w:sz w:val="20"/>
                <w:szCs w:val="20"/>
                <w:color w:val="auto"/>
              </w:rPr>
            </w:pPr>
            <w:r>
              <w:rPr>
                <w:rFonts w:ascii="Calibri" w:cs="Calibri" w:eastAsia="Calibri" w:hAnsi="Calibri"/>
                <w:sz w:val="13"/>
                <w:szCs w:val="13"/>
                <w:color w:val="auto"/>
                <w:w w:val="90"/>
              </w:rPr>
              <w:t>390</w:t>
            </w:r>
          </w:p>
        </w:tc>
        <w:tc>
          <w:tcPr>
            <w:tcW w:w="760" w:type="dxa"/>
            <w:vAlign w:val="bottom"/>
          </w:tcPr>
          <w:p>
            <w:pPr>
              <w:jc w:val="center"/>
              <w:spacing w:after="0" w:line="138" w:lineRule="exact"/>
              <w:rPr>
                <w:sz w:val="20"/>
                <w:szCs w:val="20"/>
                <w:color w:val="auto"/>
              </w:rPr>
            </w:pPr>
            <w:r>
              <w:rPr>
                <w:rFonts w:ascii="Calibri" w:cs="Calibri" w:eastAsia="Calibri" w:hAnsi="Calibri"/>
                <w:sz w:val="13"/>
                <w:szCs w:val="13"/>
                <w:color w:val="auto"/>
                <w:w w:val="90"/>
              </w:rPr>
              <w:t>413</w:t>
            </w:r>
          </w:p>
        </w:tc>
        <w:tc>
          <w:tcPr>
            <w:tcW w:w="78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3"/>
                <w:szCs w:val="13"/>
                <w:color w:val="auto"/>
              </w:rPr>
              <w:t>423</w:t>
            </w:r>
          </w:p>
        </w:tc>
        <w:tc>
          <w:tcPr>
            <w:tcW w:w="680" w:type="dxa"/>
            <w:vAlign w:val="bottom"/>
          </w:tcPr>
          <w:p>
            <w:pPr>
              <w:jc w:val="center"/>
              <w:spacing w:after="0" w:line="138" w:lineRule="exact"/>
              <w:rPr>
                <w:sz w:val="20"/>
                <w:szCs w:val="20"/>
                <w:color w:val="auto"/>
              </w:rPr>
            </w:pPr>
            <w:r>
              <w:rPr>
                <w:rFonts w:ascii="Calibri" w:cs="Calibri" w:eastAsia="Calibri" w:hAnsi="Calibri"/>
                <w:sz w:val="13"/>
                <w:szCs w:val="13"/>
                <w:color w:val="auto"/>
              </w:rPr>
              <w:t>2.5%</w:t>
            </w:r>
          </w:p>
        </w:tc>
        <w:tc>
          <w:tcPr>
            <w:tcW w:w="70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3"/>
                <w:szCs w:val="13"/>
                <w:color w:val="auto"/>
                <w:w w:val="93"/>
              </w:rPr>
              <w:t>8.4%</w:t>
            </w:r>
          </w:p>
        </w:tc>
        <w:tc>
          <w:tcPr>
            <w:tcW w:w="580" w:type="dxa"/>
            <w:vAlign w:val="bottom"/>
          </w:tcPr>
          <w:p>
            <w:pPr>
              <w:jc w:val="center"/>
              <w:ind w:left="137"/>
              <w:spacing w:after="0" w:line="138" w:lineRule="exact"/>
              <w:rPr>
                <w:sz w:val="20"/>
                <w:szCs w:val="20"/>
                <w:color w:val="auto"/>
              </w:rPr>
            </w:pPr>
            <w:r>
              <w:rPr>
                <w:rFonts w:ascii="Calibri" w:cs="Calibri" w:eastAsia="Calibri" w:hAnsi="Calibri"/>
                <w:sz w:val="13"/>
                <w:szCs w:val="13"/>
                <w:color w:val="auto"/>
                <w:w w:val="92"/>
              </w:rPr>
              <w:t>87.2%</w:t>
            </w:r>
          </w:p>
        </w:tc>
        <w:tc>
          <w:tcPr>
            <w:tcW w:w="980" w:type="dxa"/>
            <w:vAlign w:val="bottom"/>
            <w:tcBorders>
              <w:right w:val="single" w:sz="8" w:color="auto"/>
            </w:tcBorders>
          </w:tcPr>
          <w:p>
            <w:pPr>
              <w:jc w:val="center"/>
              <w:ind w:left="137"/>
              <w:spacing w:after="0" w:line="138" w:lineRule="exact"/>
              <w:rPr>
                <w:sz w:val="20"/>
                <w:szCs w:val="20"/>
                <w:color w:val="auto"/>
              </w:rPr>
            </w:pPr>
            <w:r>
              <w:rPr>
                <w:rFonts w:ascii="Calibri" w:cs="Calibri" w:eastAsia="Calibri" w:hAnsi="Calibri"/>
                <w:sz w:val="13"/>
                <w:szCs w:val="13"/>
                <w:color w:val="auto"/>
                <w:w w:val="92"/>
              </w:rPr>
              <w:t>12.8%</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ind w:left="340"/>
              <w:spacing w:after="0" w:line="149" w:lineRule="exact"/>
              <w:rPr>
                <w:sz w:val="20"/>
                <w:szCs w:val="20"/>
                <w:color w:val="auto"/>
              </w:rPr>
            </w:pPr>
            <w:r>
              <w:rPr>
                <w:rFonts w:ascii="Calibri" w:cs="Calibri" w:eastAsia="Calibri" w:hAnsi="Calibri"/>
                <w:sz w:val="13"/>
                <w:szCs w:val="13"/>
                <w:color w:val="auto"/>
              </w:rPr>
              <w:t>Credit Card</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4,898</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4,981</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4,834</w:t>
            </w:r>
          </w:p>
        </w:tc>
        <w:tc>
          <w:tcPr>
            <w:tcW w:w="6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-2.9%</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-1.3%</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color w:val="auto"/>
                <w:w w:val="90"/>
              </w:rPr>
              <w:t>257</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color w:val="auto"/>
                <w:w w:val="90"/>
              </w:rPr>
              <w:t>264</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272</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rPr>
              <w:t>2.9%</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5.9%</w:t>
            </w:r>
          </w:p>
        </w:tc>
        <w:tc>
          <w:tcPr>
            <w:tcW w:w="580" w:type="dxa"/>
            <w:vAlign w:val="bottom"/>
          </w:tcPr>
          <w:p>
            <w:pPr>
              <w:jc w:val="center"/>
              <w:ind w:left="137"/>
              <w:spacing w:after="0" w:line="149" w:lineRule="exact"/>
              <w:rPr>
                <w:sz w:val="20"/>
                <w:szCs w:val="20"/>
                <w:color w:val="auto"/>
              </w:rPr>
            </w:pPr>
            <w:r>
              <w:rPr>
                <w:rFonts w:ascii="Calibri" w:cs="Calibri" w:eastAsia="Calibri" w:hAnsi="Calibri"/>
                <w:sz w:val="13"/>
                <w:szCs w:val="13"/>
                <w:color w:val="auto"/>
                <w:w w:val="92"/>
              </w:rPr>
              <w:t>82.7%</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color w:val="auto"/>
                <w:w w:val="92"/>
              </w:rPr>
              <w:t>17.3%</w:t>
            </w:r>
          </w:p>
        </w:tc>
        <w:tc>
          <w:tcPr>
            <w:tcW w:w="0" w:type="dxa"/>
            <w:vAlign w:val="bottom"/>
          </w:tcPr>
          <w:p>
            <w:pPr>
              <w:spacing w:after="0"/>
              <w:rPr>
                <w:sz w:val="1"/>
                <w:szCs w:val="1"/>
                <w:color w:val="auto"/>
              </w:rPr>
            </w:pPr>
          </w:p>
        </w:tc>
      </w:tr>
      <w:tr>
        <w:trPr>
          <w:trHeight w:val="159"/>
        </w:trPr>
        <w:tc>
          <w:tcPr>
            <w:tcW w:w="23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Mibanco</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13,633</w:t>
            </w:r>
          </w:p>
        </w:tc>
        <w:tc>
          <w:tcPr>
            <w:tcW w:w="7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9"/>
              </w:rPr>
              <w:t>12,800</w:t>
            </w:r>
          </w:p>
        </w:tc>
        <w:tc>
          <w:tcPr>
            <w:tcW w:w="76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9"/>
              </w:rPr>
              <w:t>12,186</w:t>
            </w:r>
          </w:p>
        </w:tc>
        <w:tc>
          <w:tcPr>
            <w:tcW w:w="640" w:type="dxa"/>
            <w:vAlign w:val="bottom"/>
            <w:shd w:val="clear" w:color="auto" w:fill="EB40A9"/>
          </w:tcPr>
          <w:p>
            <w:pPr>
              <w:jc w:val="center"/>
              <w:spacing w:after="0"/>
              <w:rPr>
                <w:sz w:val="20"/>
                <w:szCs w:val="20"/>
                <w:color w:val="auto"/>
              </w:rPr>
            </w:pPr>
            <w:r>
              <w:rPr>
                <w:rFonts w:ascii="Calibri" w:cs="Calibri" w:eastAsia="Calibri" w:hAnsi="Calibri"/>
                <w:sz w:val="13"/>
                <w:szCs w:val="13"/>
                <w:color w:val="auto"/>
                <w:w w:val="94"/>
              </w:rPr>
              <w:t>-4.8%</w:t>
            </w:r>
          </w:p>
        </w:tc>
        <w:tc>
          <w:tcPr>
            <w:tcW w:w="700" w:type="dxa"/>
            <w:vAlign w:val="bottom"/>
            <w:tcBorders>
              <w:right w:val="single" w:sz="8" w:color="auto"/>
            </w:tcBorders>
            <w:shd w:val="clear" w:color="auto" w:fill="EB40A9"/>
          </w:tcPr>
          <w:p>
            <w:pPr>
              <w:jc w:val="center"/>
              <w:spacing w:after="0"/>
              <w:rPr>
                <w:sz w:val="20"/>
                <w:szCs w:val="20"/>
                <w:color w:val="auto"/>
              </w:rPr>
            </w:pPr>
            <w:r>
              <w:rPr>
                <w:rFonts w:ascii="Calibri" w:cs="Calibri" w:eastAsia="Calibri" w:hAnsi="Calibri"/>
                <w:sz w:val="13"/>
                <w:szCs w:val="13"/>
                <w:color w:val="auto"/>
                <w:w w:val="98"/>
              </w:rPr>
              <w:t>-10.6%</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0"/>
              </w:rPr>
              <w:t>132</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0"/>
              </w:rPr>
              <w:t>4</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0"/>
              </w:rPr>
              <w:t>4</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-8.5%</w:t>
            </w:r>
          </w:p>
        </w:tc>
        <w:tc>
          <w:tcPr>
            <w:tcW w:w="700" w:type="dxa"/>
            <w:vAlign w:val="bottom"/>
            <w:tcBorders>
              <w:right w:val="single" w:sz="8" w:color="auto"/>
            </w:tcBorders>
            <w:shd w:val="clear" w:color="auto" w:fill="EB40A9"/>
          </w:tcPr>
          <w:p>
            <w:pPr>
              <w:jc w:val="center"/>
              <w:spacing w:after="0"/>
              <w:rPr>
                <w:sz w:val="20"/>
                <w:szCs w:val="20"/>
                <w:color w:val="auto"/>
              </w:rPr>
            </w:pPr>
            <w:r>
              <w:rPr>
                <w:rFonts w:ascii="Calibri" w:cs="Calibri" w:eastAsia="Calibri" w:hAnsi="Calibri"/>
                <w:sz w:val="13"/>
                <w:szCs w:val="13"/>
                <w:color w:val="auto"/>
                <w:w w:val="98"/>
              </w:rPr>
              <w:t>-97.3%</w:t>
            </w:r>
          </w:p>
        </w:tc>
        <w:tc>
          <w:tcPr>
            <w:tcW w:w="580" w:type="dxa"/>
            <w:vAlign w:val="bottom"/>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7"/>
              </w:rPr>
              <w:t>99.9%</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b w:val="1"/>
                <w:bCs w:val="1"/>
                <w:color w:val="auto"/>
                <w:w w:val="99"/>
              </w:rPr>
              <w:t>0.1%</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Mibanco Colombia</w:t>
            </w:r>
          </w:p>
        </w:tc>
        <w:tc>
          <w:tcPr>
            <w:tcW w:w="780" w:type="dxa"/>
            <w:vAlign w:val="bottom"/>
          </w:tcPr>
          <w:p>
            <w:pPr>
              <w:jc w:val="right"/>
              <w:ind w:right="157"/>
              <w:spacing w:after="0" w:line="149" w:lineRule="exact"/>
              <w:rPr>
                <w:sz w:val="20"/>
                <w:szCs w:val="20"/>
                <w:color w:val="auto"/>
              </w:rPr>
            </w:pPr>
            <w:r>
              <w:rPr>
                <w:rFonts w:ascii="Calibri" w:cs="Calibri" w:eastAsia="Calibri" w:hAnsi="Calibri"/>
                <w:sz w:val="13"/>
                <w:szCs w:val="13"/>
                <w:b w:val="1"/>
                <w:bCs w:val="1"/>
                <w:color w:val="auto"/>
              </w:rPr>
              <w:t>-</w:t>
            </w:r>
          </w:p>
        </w:tc>
        <w:tc>
          <w:tcPr>
            <w:tcW w:w="740" w:type="dxa"/>
            <w:vAlign w:val="bottom"/>
          </w:tcPr>
          <w:p>
            <w:pPr>
              <w:jc w:val="right"/>
              <w:ind w:right="137"/>
              <w:spacing w:after="0" w:line="149" w:lineRule="exact"/>
              <w:rPr>
                <w:sz w:val="20"/>
                <w:szCs w:val="20"/>
                <w:color w:val="auto"/>
              </w:rPr>
            </w:pPr>
            <w:r>
              <w:rPr>
                <w:rFonts w:ascii="Calibri" w:cs="Calibri" w:eastAsia="Calibri" w:hAnsi="Calibri"/>
                <w:sz w:val="13"/>
                <w:szCs w:val="13"/>
                <w:b w:val="1"/>
                <w:bCs w:val="1"/>
                <w:color w:val="auto"/>
              </w:rPr>
              <w:t>-</w:t>
            </w:r>
          </w:p>
        </w:tc>
        <w:tc>
          <w:tcPr>
            <w:tcW w:w="760" w:type="dxa"/>
            <w:vAlign w:val="bottom"/>
            <w:tcBorders>
              <w:right w:val="single" w:sz="8" w:color="auto"/>
            </w:tcBorders>
          </w:tcPr>
          <w:p>
            <w:pPr>
              <w:jc w:val="right"/>
              <w:ind w:right="137"/>
              <w:spacing w:after="0" w:line="149" w:lineRule="exact"/>
              <w:rPr>
                <w:sz w:val="20"/>
                <w:szCs w:val="20"/>
                <w:color w:val="auto"/>
              </w:rPr>
            </w:pPr>
            <w:r>
              <w:rPr>
                <w:rFonts w:ascii="Calibri" w:cs="Calibri" w:eastAsia="Calibri" w:hAnsi="Calibri"/>
                <w:sz w:val="13"/>
                <w:szCs w:val="13"/>
                <w:b w:val="1"/>
                <w:bCs w:val="1"/>
                <w:color w:val="auto"/>
              </w:rPr>
              <w:t>-</w:t>
            </w:r>
          </w:p>
        </w:tc>
        <w:tc>
          <w:tcPr>
            <w:tcW w:w="64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0"/>
              </w:rPr>
              <w:t>421</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0"/>
              </w:rPr>
              <w:t>463</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rPr>
              <w:t>462</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-0.2%</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9.8%</w:t>
            </w:r>
          </w:p>
        </w:tc>
        <w:tc>
          <w:tcPr>
            <w:tcW w:w="5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b w:val="1"/>
                <w:bCs w:val="1"/>
                <w:color w:val="auto"/>
                <w:w w:val="96"/>
              </w:rPr>
              <w:t>100.0%</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Bolivia</w:t>
            </w:r>
          </w:p>
        </w:tc>
        <w:tc>
          <w:tcPr>
            <w:tcW w:w="780" w:type="dxa"/>
            <w:vAlign w:val="bottom"/>
          </w:tcPr>
          <w:p>
            <w:pPr>
              <w:jc w:val="right"/>
              <w:ind w:right="157"/>
              <w:spacing w:after="0" w:line="149" w:lineRule="exact"/>
              <w:rPr>
                <w:sz w:val="20"/>
                <w:szCs w:val="20"/>
                <w:color w:val="auto"/>
              </w:rPr>
            </w:pPr>
            <w:r>
              <w:rPr>
                <w:rFonts w:ascii="Calibri" w:cs="Calibri" w:eastAsia="Calibri" w:hAnsi="Calibri"/>
                <w:sz w:val="13"/>
                <w:szCs w:val="13"/>
                <w:b w:val="1"/>
                <w:bCs w:val="1"/>
                <w:color w:val="auto"/>
              </w:rPr>
              <w:t>-</w:t>
            </w:r>
          </w:p>
        </w:tc>
        <w:tc>
          <w:tcPr>
            <w:tcW w:w="740" w:type="dxa"/>
            <w:vAlign w:val="bottom"/>
          </w:tcPr>
          <w:p>
            <w:pPr>
              <w:jc w:val="right"/>
              <w:ind w:right="137"/>
              <w:spacing w:after="0" w:line="149" w:lineRule="exact"/>
              <w:rPr>
                <w:sz w:val="20"/>
                <w:szCs w:val="20"/>
                <w:color w:val="auto"/>
              </w:rPr>
            </w:pPr>
            <w:r>
              <w:rPr>
                <w:rFonts w:ascii="Calibri" w:cs="Calibri" w:eastAsia="Calibri" w:hAnsi="Calibri"/>
                <w:sz w:val="13"/>
                <w:szCs w:val="13"/>
                <w:b w:val="1"/>
                <w:bCs w:val="1"/>
                <w:color w:val="auto"/>
              </w:rPr>
              <w:t>-</w:t>
            </w:r>
          </w:p>
        </w:tc>
        <w:tc>
          <w:tcPr>
            <w:tcW w:w="760" w:type="dxa"/>
            <w:vAlign w:val="bottom"/>
            <w:tcBorders>
              <w:right w:val="single" w:sz="8" w:color="auto"/>
            </w:tcBorders>
          </w:tcPr>
          <w:p>
            <w:pPr>
              <w:jc w:val="right"/>
              <w:ind w:right="137"/>
              <w:spacing w:after="0" w:line="149" w:lineRule="exact"/>
              <w:rPr>
                <w:sz w:val="20"/>
                <w:szCs w:val="20"/>
                <w:color w:val="auto"/>
              </w:rPr>
            </w:pPr>
            <w:r>
              <w:rPr>
                <w:rFonts w:ascii="Calibri" w:cs="Calibri" w:eastAsia="Calibri" w:hAnsi="Calibri"/>
                <w:sz w:val="13"/>
                <w:szCs w:val="13"/>
                <w:b w:val="1"/>
                <w:bCs w:val="1"/>
                <w:color w:val="auto"/>
              </w:rPr>
              <w:t>-</w:t>
            </w:r>
          </w:p>
        </w:tc>
        <w:tc>
          <w:tcPr>
            <w:tcW w:w="64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7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2,422</w:t>
            </w:r>
          </w:p>
        </w:tc>
        <w:tc>
          <w:tcPr>
            <w:tcW w:w="7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rPr>
              <w:t>2,557</w:t>
            </w:r>
          </w:p>
        </w:tc>
        <w:tc>
          <w:tcPr>
            <w:tcW w:w="7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4"/>
              </w:rPr>
              <w:t>2,566</w:t>
            </w:r>
          </w:p>
        </w:tc>
        <w:tc>
          <w:tcPr>
            <w:tcW w:w="680" w:type="dxa"/>
            <w:vAlign w:val="bottom"/>
          </w:tcPr>
          <w:p>
            <w:pPr>
              <w:jc w:val="center"/>
              <w:spacing w:after="0" w:line="149" w:lineRule="exact"/>
              <w:rPr>
                <w:sz w:val="20"/>
                <w:szCs w:val="20"/>
                <w:color w:val="auto"/>
              </w:rPr>
            </w:pPr>
            <w:r>
              <w:rPr>
                <w:rFonts w:ascii="Calibri" w:cs="Calibri" w:eastAsia="Calibri" w:hAnsi="Calibri"/>
                <w:sz w:val="13"/>
                <w:szCs w:val="13"/>
                <w:color w:val="auto"/>
              </w:rPr>
              <w:t>0.4%</w:t>
            </w:r>
          </w:p>
        </w:tc>
        <w:tc>
          <w:tcPr>
            <w:tcW w:w="700" w:type="dxa"/>
            <w:vAlign w:val="bottom"/>
            <w:tcBorders>
              <w:right w:val="single" w:sz="8" w:color="auto"/>
            </w:tcBorders>
            <w:shd w:val="clear" w:color="auto" w:fill="25D07B"/>
          </w:tcPr>
          <w:p>
            <w:pPr>
              <w:jc w:val="center"/>
              <w:spacing w:after="0" w:line="149" w:lineRule="exact"/>
              <w:rPr>
                <w:sz w:val="20"/>
                <w:szCs w:val="20"/>
                <w:color w:val="auto"/>
              </w:rPr>
            </w:pPr>
            <w:r>
              <w:rPr>
                <w:rFonts w:ascii="Calibri" w:cs="Calibri" w:eastAsia="Calibri" w:hAnsi="Calibri"/>
                <w:sz w:val="13"/>
                <w:szCs w:val="13"/>
                <w:color w:val="auto"/>
                <w:w w:val="93"/>
              </w:rPr>
              <w:t>6.0%</w:t>
            </w:r>
          </w:p>
        </w:tc>
        <w:tc>
          <w:tcPr>
            <w:tcW w:w="580" w:type="dxa"/>
            <w:vAlign w:val="bottom"/>
          </w:tcPr>
          <w:p>
            <w:pPr>
              <w:jc w:val="right"/>
              <w:spacing w:after="0" w:line="149" w:lineRule="exact"/>
              <w:rPr>
                <w:sz w:val="20"/>
                <w:szCs w:val="20"/>
                <w:color w:val="auto"/>
              </w:rPr>
            </w:pPr>
            <w:r>
              <w:rPr>
                <w:rFonts w:ascii="Calibri" w:cs="Calibri" w:eastAsia="Calibri" w:hAnsi="Calibri"/>
                <w:sz w:val="13"/>
                <w:szCs w:val="13"/>
                <w:b w:val="1"/>
                <w:bCs w:val="1"/>
                <w:color w:val="auto"/>
              </w:rPr>
              <w:t>-</w:t>
            </w:r>
          </w:p>
        </w:tc>
        <w:tc>
          <w:tcPr>
            <w:tcW w:w="980" w:type="dxa"/>
            <w:vAlign w:val="bottom"/>
            <w:tcBorders>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b w:val="1"/>
                <w:bCs w:val="1"/>
                <w:color w:val="auto"/>
                <w:w w:val="96"/>
              </w:rPr>
              <w:t>100.0%</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bottom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ASB Bank Corp.</w:t>
            </w:r>
          </w:p>
        </w:tc>
        <w:tc>
          <w:tcPr>
            <w:tcW w:w="780" w:type="dxa"/>
            <w:vAlign w:val="bottom"/>
            <w:tcBorders>
              <w:bottom w:val="single" w:sz="8" w:color="auto"/>
            </w:tcBorders>
          </w:tcPr>
          <w:p>
            <w:pPr>
              <w:jc w:val="right"/>
              <w:ind w:right="157"/>
              <w:spacing w:after="0" w:line="149" w:lineRule="exact"/>
              <w:rPr>
                <w:sz w:val="20"/>
                <w:szCs w:val="20"/>
                <w:color w:val="auto"/>
              </w:rPr>
            </w:pPr>
            <w:r>
              <w:rPr>
                <w:rFonts w:ascii="Calibri" w:cs="Calibri" w:eastAsia="Calibri" w:hAnsi="Calibri"/>
                <w:sz w:val="13"/>
                <w:szCs w:val="13"/>
                <w:b w:val="1"/>
                <w:bCs w:val="1"/>
                <w:color w:val="auto"/>
              </w:rPr>
              <w:t>-</w:t>
            </w:r>
          </w:p>
        </w:tc>
        <w:tc>
          <w:tcPr>
            <w:tcW w:w="740" w:type="dxa"/>
            <w:vAlign w:val="bottom"/>
            <w:tcBorders>
              <w:bottom w:val="single" w:sz="8" w:color="auto"/>
            </w:tcBorders>
          </w:tcPr>
          <w:p>
            <w:pPr>
              <w:jc w:val="right"/>
              <w:ind w:right="137"/>
              <w:spacing w:after="0" w:line="149" w:lineRule="exact"/>
              <w:rPr>
                <w:sz w:val="20"/>
                <w:szCs w:val="20"/>
                <w:color w:val="auto"/>
              </w:rPr>
            </w:pPr>
            <w:r>
              <w:rPr>
                <w:rFonts w:ascii="Calibri" w:cs="Calibri" w:eastAsia="Calibri" w:hAnsi="Calibri"/>
                <w:sz w:val="13"/>
                <w:szCs w:val="13"/>
                <w:b w:val="1"/>
                <w:bCs w:val="1"/>
                <w:color w:val="auto"/>
              </w:rPr>
              <w:t>-</w:t>
            </w:r>
          </w:p>
        </w:tc>
        <w:tc>
          <w:tcPr>
            <w:tcW w:w="760" w:type="dxa"/>
            <w:vAlign w:val="bottom"/>
            <w:tcBorders>
              <w:bottom w:val="single" w:sz="8" w:color="auto"/>
              <w:right w:val="single" w:sz="8" w:color="auto"/>
            </w:tcBorders>
          </w:tcPr>
          <w:p>
            <w:pPr>
              <w:jc w:val="right"/>
              <w:ind w:right="137"/>
              <w:spacing w:after="0" w:line="149" w:lineRule="exact"/>
              <w:rPr>
                <w:sz w:val="20"/>
                <w:szCs w:val="20"/>
                <w:color w:val="auto"/>
              </w:rPr>
            </w:pPr>
            <w:r>
              <w:rPr>
                <w:rFonts w:ascii="Calibri" w:cs="Calibri" w:eastAsia="Calibri" w:hAnsi="Calibri"/>
                <w:sz w:val="13"/>
                <w:szCs w:val="13"/>
                <w:b w:val="1"/>
                <w:bCs w:val="1"/>
                <w:color w:val="auto"/>
              </w:rPr>
              <w:t>-</w:t>
            </w:r>
          </w:p>
        </w:tc>
        <w:tc>
          <w:tcPr>
            <w:tcW w:w="64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70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78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0"/>
              </w:rPr>
              <w:t>469</w:t>
            </w:r>
          </w:p>
        </w:tc>
        <w:tc>
          <w:tcPr>
            <w:tcW w:w="76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0"/>
              </w:rPr>
              <w:t>426</w:t>
            </w:r>
          </w:p>
        </w:tc>
        <w:tc>
          <w:tcPr>
            <w:tcW w:w="78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rPr>
              <w:t>411</w:t>
            </w:r>
          </w:p>
        </w:tc>
        <w:tc>
          <w:tcPr>
            <w:tcW w:w="68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-3.5%</w:t>
            </w:r>
          </w:p>
        </w:tc>
        <w:tc>
          <w:tcPr>
            <w:tcW w:w="70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-12.3%</w:t>
            </w:r>
          </w:p>
        </w:tc>
        <w:tc>
          <w:tcPr>
            <w:tcW w:w="580" w:type="dxa"/>
            <w:vAlign w:val="bottom"/>
            <w:tcBorders>
              <w:bottom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w:t>
            </w:r>
          </w:p>
        </w:tc>
        <w:tc>
          <w:tcPr>
            <w:tcW w:w="980" w:type="dxa"/>
            <w:vAlign w:val="bottom"/>
            <w:tcBorders>
              <w:bottom w:val="single" w:sz="8" w:color="auto"/>
              <w:right w:val="single" w:sz="8" w:color="auto"/>
            </w:tcBorders>
          </w:tcPr>
          <w:p>
            <w:pPr>
              <w:jc w:val="center"/>
              <w:ind w:left="137"/>
              <w:spacing w:after="0" w:line="149" w:lineRule="exact"/>
              <w:rPr>
                <w:sz w:val="20"/>
                <w:szCs w:val="20"/>
                <w:color w:val="auto"/>
              </w:rPr>
            </w:pPr>
            <w:r>
              <w:rPr>
                <w:rFonts w:ascii="Calibri" w:cs="Calibri" w:eastAsia="Calibri" w:hAnsi="Calibri"/>
                <w:sz w:val="13"/>
                <w:szCs w:val="13"/>
                <w:b w:val="1"/>
                <w:bCs w:val="1"/>
                <w:color w:val="auto"/>
                <w:w w:val="96"/>
              </w:rPr>
              <w:t>100.0%</w:t>
            </w: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Calibri" w:cs="Calibri" w:eastAsia="Calibri" w:hAnsi="Calibri"/>
                <w:sz w:val="13"/>
                <w:szCs w:val="13"/>
                <w:b w:val="1"/>
                <w:bCs w:val="1"/>
                <w:color w:val="auto"/>
              </w:rPr>
              <w:t>Total loans</w:t>
            </w:r>
          </w:p>
        </w:tc>
        <w:tc>
          <w:tcPr>
            <w:tcW w:w="780" w:type="dxa"/>
            <w:vAlign w:val="bottom"/>
            <w:tcBorders>
              <w:bottom w:val="single" w:sz="8" w:color="auto"/>
            </w:tcBorders>
          </w:tcPr>
          <w:p>
            <w:pPr>
              <w:jc w:val="right"/>
              <w:ind w:right="117"/>
              <w:spacing w:after="0" w:line="142" w:lineRule="exact"/>
              <w:rPr>
                <w:sz w:val="20"/>
                <w:szCs w:val="20"/>
                <w:color w:val="auto"/>
              </w:rPr>
            </w:pPr>
            <w:r>
              <w:rPr>
                <w:rFonts w:ascii="Calibri" w:cs="Calibri" w:eastAsia="Calibri" w:hAnsi="Calibri"/>
                <w:sz w:val="13"/>
                <w:szCs w:val="13"/>
                <w:b w:val="1"/>
                <w:bCs w:val="1"/>
                <w:color w:val="auto"/>
              </w:rPr>
              <w:t>93,529</w:t>
            </w:r>
          </w:p>
        </w:tc>
        <w:tc>
          <w:tcPr>
            <w:tcW w:w="74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9"/>
              </w:rPr>
              <w:t>91,954</w:t>
            </w:r>
          </w:p>
        </w:tc>
        <w:tc>
          <w:tcPr>
            <w:tcW w:w="760" w:type="dxa"/>
            <w:vAlign w:val="bottom"/>
            <w:tcBorders>
              <w:bottom w:val="single" w:sz="8" w:color="auto"/>
              <w:right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9"/>
              </w:rPr>
              <w:t>90,805</w:t>
            </w:r>
          </w:p>
        </w:tc>
        <w:tc>
          <w:tcPr>
            <w:tcW w:w="64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2"/>
              </w:rPr>
              <w:t>-1.2%</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9"/>
              </w:rPr>
              <w:t>-2.9%</w:t>
            </w:r>
          </w:p>
        </w:tc>
        <w:tc>
          <w:tcPr>
            <w:tcW w:w="78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3"/>
              </w:rPr>
              <w:t>13,166</w:t>
            </w:r>
          </w:p>
        </w:tc>
        <w:tc>
          <w:tcPr>
            <w:tcW w:w="76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3"/>
              </w:rPr>
              <w:t>13,335</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9"/>
              </w:rPr>
              <w:t>13,367</w:t>
            </w:r>
          </w:p>
        </w:tc>
        <w:tc>
          <w:tcPr>
            <w:tcW w:w="68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9"/>
              </w:rPr>
              <w:t>0.2%</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Calibri" w:cs="Calibri" w:eastAsia="Calibri" w:hAnsi="Calibri"/>
                <w:sz w:val="13"/>
                <w:szCs w:val="13"/>
                <w:b w:val="1"/>
                <w:bCs w:val="1"/>
                <w:color w:val="auto"/>
                <w:w w:val="99"/>
              </w:rPr>
              <w:t>1.5%</w:t>
            </w:r>
          </w:p>
        </w:tc>
        <w:tc>
          <w:tcPr>
            <w:tcW w:w="580" w:type="dxa"/>
            <w:vAlign w:val="bottom"/>
            <w:tcBorders>
              <w:bottom w:val="single" w:sz="8" w:color="auto"/>
            </w:tcBorders>
          </w:tcPr>
          <w:p>
            <w:pPr>
              <w:jc w:val="center"/>
              <w:ind w:left="157"/>
              <w:spacing w:after="0" w:line="142" w:lineRule="exact"/>
              <w:rPr>
                <w:sz w:val="20"/>
                <w:szCs w:val="20"/>
                <w:color w:val="auto"/>
              </w:rPr>
            </w:pPr>
            <w:r>
              <w:rPr>
                <w:rFonts w:ascii="Calibri" w:cs="Calibri" w:eastAsia="Calibri" w:hAnsi="Calibri"/>
                <w:sz w:val="13"/>
                <w:szCs w:val="13"/>
                <w:b w:val="1"/>
                <w:bCs w:val="1"/>
                <w:color w:val="auto"/>
                <w:w w:val="97"/>
              </w:rPr>
              <w:t>64.6%</w:t>
            </w:r>
          </w:p>
        </w:tc>
        <w:tc>
          <w:tcPr>
            <w:tcW w:w="980" w:type="dxa"/>
            <w:vAlign w:val="bottom"/>
            <w:tcBorders>
              <w:bottom w:val="single" w:sz="8" w:color="auto"/>
              <w:right w:val="single" w:sz="8" w:color="auto"/>
            </w:tcBorders>
          </w:tcPr>
          <w:p>
            <w:pPr>
              <w:jc w:val="center"/>
              <w:ind w:left="137"/>
              <w:spacing w:after="0" w:line="142" w:lineRule="exact"/>
              <w:rPr>
                <w:sz w:val="20"/>
                <w:szCs w:val="20"/>
                <w:color w:val="auto"/>
              </w:rPr>
            </w:pPr>
            <w:r>
              <w:rPr>
                <w:rFonts w:ascii="Calibri" w:cs="Calibri" w:eastAsia="Calibri" w:hAnsi="Calibri"/>
                <w:sz w:val="13"/>
                <w:szCs w:val="13"/>
                <w:b w:val="1"/>
                <w:bCs w:val="1"/>
                <w:color w:val="auto"/>
                <w:w w:val="91"/>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-1559560</wp:posOffset>
            </wp:positionV>
            <wp:extent cx="161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-1559560</wp:posOffset>
            </wp:positionV>
            <wp:extent cx="161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1457325"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7325" cy="34290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Calibri" w:cs="Calibri" w:eastAsia="Calibri" w:hAnsi="Calibri"/>
          <w:sz w:val="12"/>
          <w:szCs w:val="12"/>
          <w:color w:val="auto"/>
        </w:rPr>
        <w:t>For consolidaton purposes. Loans generated in Foreign Currency (FC) are converted into Local Currency (LC).</w:t>
      </w:r>
    </w:p>
    <w:p>
      <w:pPr>
        <w:ind w:left="160" w:hanging="152"/>
        <w:spacing w:after="0" w:line="221" w:lineRule="auto"/>
        <w:tabs>
          <w:tab w:leader="none" w:pos="160" w:val="left"/>
        </w:tabs>
        <w:numPr>
          <w:ilvl w:val="0"/>
          <w:numId w:val="23"/>
        </w:numPr>
        <w:rPr>
          <w:rFonts w:ascii="Calibri" w:cs="Calibri" w:eastAsia="Calibri" w:hAnsi="Calibri"/>
          <w:sz w:val="12"/>
          <w:szCs w:val="12"/>
          <w:color w:val="auto"/>
        </w:rPr>
      </w:pPr>
      <w:r>
        <w:rPr>
          <w:rFonts w:ascii="Calibri" w:cs="Calibri" w:eastAsia="Calibri" w:hAnsi="Calibri"/>
          <w:sz w:val="12"/>
          <w:szCs w:val="12"/>
          <w:color w:val="auto"/>
        </w:rPr>
        <w:t>Includes Workout unit and other banking. For Quarter-end balance fgures, please refer to “12. Annexes – 12.3 Loan Portolio Quality”.</w:t>
      </w:r>
    </w:p>
    <w:p>
      <w:pPr>
        <w:ind w:left="160" w:hanging="152"/>
        <w:spacing w:after="0" w:line="221" w:lineRule="auto"/>
        <w:tabs>
          <w:tab w:leader="none" w:pos="160" w:val="left"/>
        </w:tabs>
        <w:numPr>
          <w:ilvl w:val="0"/>
          <w:numId w:val="23"/>
        </w:numPr>
        <w:rPr>
          <w:rFonts w:ascii="Calibri" w:cs="Calibri" w:eastAsia="Calibri" w:hAnsi="Calibri"/>
          <w:sz w:val="12"/>
          <w:szCs w:val="12"/>
          <w:color w:val="auto"/>
        </w:rPr>
      </w:pPr>
      <w:r>
        <w:rPr>
          <w:rFonts w:ascii="Calibri" w:cs="Calibri" w:eastAsia="Calibri" w:hAnsi="Calibri"/>
          <w:sz w:val="12"/>
          <w:szCs w:val="12"/>
          <w:color w:val="auto"/>
        </w:rPr>
        <w:t>Internal Management Figures</w:t>
      </w:r>
    </w:p>
    <w:p>
      <w:pPr>
        <w:spacing w:after="0" w:line="27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 xml:space="preserve">At the end of September 2024, the dollarizaton level of total loans rose 4 bps </w:t>
      </w:r>
      <w:r>
        <w:rPr>
          <w:rFonts w:ascii="Calibri" w:cs="Calibri" w:eastAsia="Calibri" w:hAnsi="Calibri"/>
          <w:sz w:val="18"/>
          <w:szCs w:val="18"/>
          <w:b w:val="1"/>
          <w:bCs w:val="1"/>
          <w:color w:val="auto"/>
        </w:rPr>
        <w:t>QoQ</w:t>
      </w:r>
      <w:r>
        <w:rPr>
          <w:rFonts w:ascii="Calibri" w:cs="Calibri" w:eastAsia="Calibri" w:hAnsi="Calibri"/>
          <w:sz w:val="18"/>
          <w:szCs w:val="18"/>
          <w:color w:val="auto"/>
        </w:rPr>
        <w:t xml:space="preserve"> (35.4% in Sept 24). This evoluton was driven by a drop in the balance for LC loans, which was fueled primarily by a reducton in LC balances for </w:t>
      </w:r>
      <w:r>
        <w:rPr>
          <w:rFonts w:ascii="Calibri" w:cs="Calibri" w:eastAsia="Calibri" w:hAnsi="Calibri"/>
          <w:sz w:val="18"/>
          <w:szCs w:val="18"/>
          <w:b w:val="1"/>
          <w:bCs w:val="1"/>
          <w:color w:val="auto"/>
        </w:rPr>
        <w:t>Mibanco</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Wholesale Banking</w:t>
      </w:r>
      <w:r>
        <w:rPr>
          <w:rFonts w:ascii="Calibri" w:cs="Calibri" w:eastAsia="Calibri" w:hAnsi="Calibri"/>
          <w:sz w:val="18"/>
          <w:szCs w:val="18"/>
          <w:color w:val="auto"/>
        </w:rPr>
        <w:t>.</w:t>
      </w:r>
    </w:p>
    <w:p>
      <w:pPr>
        <w:spacing w:after="0" w:line="20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color w:val="auto"/>
        </w:rPr>
        <w:t>YoY</w:t>
      </w:r>
      <w:r>
        <w:rPr>
          <w:rFonts w:ascii="Calibri" w:cs="Calibri" w:eastAsia="Calibri" w:hAnsi="Calibri"/>
          <w:sz w:val="18"/>
          <w:szCs w:val="18"/>
          <w:color w:val="auto"/>
        </w:rPr>
        <w:t>, the dollarizaton level for the total portolio rose 117 bps. This evoluton was driven by a 2.9% decline in total loans in LC, which was driven by the same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dynamics seen </w:t>
      </w:r>
      <w:r>
        <w:rPr>
          <w:rFonts w:ascii="Calibri" w:cs="Calibri" w:eastAsia="Calibri" w:hAnsi="Calibri"/>
          <w:sz w:val="18"/>
          <w:szCs w:val="18"/>
          <w:b w:val="1"/>
          <w:bCs w:val="1"/>
          <w:color w:val="auto"/>
        </w:rPr>
        <w:t>QoQ</w:t>
      </w:r>
      <w:r>
        <w:rPr>
          <w:rFonts w:ascii="Calibri" w:cs="Calibri" w:eastAsia="Calibri" w:hAnsi="Calibri"/>
          <w:sz w:val="18"/>
          <w:szCs w:val="18"/>
          <w:color w:val="auto"/>
        </w:rPr>
        <w:t xml:space="preserve"> and, to a lesser extent, by total loan growth in FC (+1.5%).</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20" w:name="page21"/>
    <w:bookmarkEnd w:id="20"/>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3"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FFFFFF"/>
        </w:rPr>
        <w:t>01. Loan Portolio</w:t>
      </w: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Evoluton of the Dollarizaton Level of Total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151765</wp:posOffset>
            </wp:positionV>
            <wp:extent cx="5906135" cy="2014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613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hanging="172"/>
        <w:spacing w:after="0"/>
        <w:tabs>
          <w:tab w:leader="none" w:pos="180" w:val="left"/>
        </w:tabs>
        <w:numPr>
          <w:ilvl w:val="0"/>
          <w:numId w:val="24"/>
        </w:numPr>
        <w:rPr>
          <w:rFonts w:ascii="Calibri" w:cs="Calibri" w:eastAsia="Calibri" w:hAnsi="Calibri"/>
          <w:sz w:val="12"/>
          <w:szCs w:val="12"/>
          <w:color w:val="auto"/>
        </w:rPr>
      </w:pPr>
      <w:r>
        <w:rPr>
          <w:rFonts w:ascii="Calibri" w:cs="Calibri" w:eastAsia="Calibri" w:hAnsi="Calibri"/>
          <w:sz w:val="12"/>
          <w:szCs w:val="12"/>
          <w:color w:val="auto"/>
        </w:rPr>
        <w:t>The FC share of Credicorp’s loan portolio is calculated including BCP Bolivia and ASB Bank Corp., however the chart shows only the loan books of BCP Stand-alone and Mibanco.</w:t>
      </w:r>
    </w:p>
    <w:p>
      <w:pPr>
        <w:ind w:right="2500" w:firstLine="8"/>
        <w:spacing w:after="0" w:line="221" w:lineRule="auto"/>
        <w:tabs>
          <w:tab w:leader="none" w:pos="162" w:val="left"/>
        </w:tabs>
        <w:numPr>
          <w:ilvl w:val="0"/>
          <w:numId w:val="24"/>
        </w:numPr>
        <w:rPr>
          <w:rFonts w:ascii="Calibri" w:cs="Calibri" w:eastAsia="Calibri" w:hAnsi="Calibri"/>
          <w:sz w:val="12"/>
          <w:szCs w:val="12"/>
          <w:color w:val="auto"/>
        </w:rPr>
      </w:pPr>
      <w:r>
        <w:rPr>
          <w:rFonts w:ascii="Calibri" w:cs="Calibri" w:eastAsia="Calibri" w:hAnsi="Calibri"/>
          <w:sz w:val="12"/>
          <w:szCs w:val="12"/>
          <w:color w:val="auto"/>
        </w:rPr>
        <w:t>The year with the historic maximum level of dollarizaton for Wholesale Banking was 2012, for Mibanco was 2016, for Credit Card was in 2021 and for the rest of segments was 2009. * For dollarizaton fgures in the quarter-end period, please refer to “12. Annexes – 12.3 Loan Portolio Quality.</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Evoluton of Loans in Quarter-End balances</w:t>
      </w:r>
    </w:p>
    <w:p>
      <w:pPr>
        <w:spacing w:after="0" w:line="204"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color w:val="auto"/>
        </w:rPr>
        <w:t xml:space="preserve">Total loans in quarter-end balances dropped 3.0% </w:t>
      </w:r>
      <w:r>
        <w:rPr>
          <w:rFonts w:ascii="Calibri" w:cs="Calibri" w:eastAsia="Calibri" w:hAnsi="Calibri"/>
          <w:sz w:val="18"/>
          <w:szCs w:val="18"/>
          <w:b w:val="1"/>
          <w:bCs w:val="1"/>
          <w:color w:val="auto"/>
        </w:rPr>
        <w:t>QoQ</w:t>
      </w:r>
      <w:r>
        <w:rPr>
          <w:rFonts w:ascii="Calibri" w:cs="Calibri" w:eastAsia="Calibri" w:hAnsi="Calibri"/>
          <w:sz w:val="18"/>
          <w:szCs w:val="18"/>
          <w:color w:val="auto"/>
        </w:rPr>
        <w:t xml:space="preserve"> and 1.8% </w:t>
      </w:r>
      <w:r>
        <w:rPr>
          <w:rFonts w:ascii="Calibri" w:cs="Calibri" w:eastAsia="Calibri" w:hAnsi="Calibri"/>
          <w:sz w:val="18"/>
          <w:szCs w:val="18"/>
          <w:b w:val="1"/>
          <w:bCs w:val="1"/>
          <w:color w:val="auto"/>
        </w:rPr>
        <w:t>YoY</w:t>
      </w:r>
      <w:r>
        <w:rPr>
          <w:rFonts w:ascii="Calibri" w:cs="Calibri" w:eastAsia="Calibri" w:hAnsi="Calibri"/>
          <w:sz w:val="18"/>
          <w:szCs w:val="18"/>
          <w:color w:val="auto"/>
        </w:rPr>
        <w:t>, fueled by the same dynamics as those seen in the analysis for loans in average daily balances.</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1" w:name="page22"/>
    <w:bookmarkEnd w:id="21"/>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02  </w:t>
      </w:r>
      <w:r>
        <w:rPr>
          <w:rFonts w:ascii="Calibri" w:cs="Calibri" w:eastAsia="Calibri" w:hAnsi="Calibri"/>
          <w:sz w:val="32"/>
          <w:szCs w:val="32"/>
          <w:color w:val="E93B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183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71"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Total deposits contnued to grow this quarter, driven primarily by growth in low-cost deposits. QoQ, growth was fueled by a 4.9% increase in the balance of Demand Deposits (+6.7% FX neutral) and 2.8% in the Saving Deposits (+4.1% FX neutral) in LC at BCP. This evoluton was atributable to pension fund withdrawals, which was partally ofset by a drop in Time deposits (-2.3%) due to a context marked by easing cycle in interest rates.</w:t>
      </w:r>
    </w:p>
    <w:p>
      <w:pPr>
        <w:spacing w:after="0" w:line="146" w:lineRule="exact"/>
        <w:rPr>
          <w:sz w:val="20"/>
          <w:szCs w:val="20"/>
          <w:color w:val="auto"/>
        </w:rPr>
      </w:pPr>
    </w:p>
    <w:p>
      <w:pPr>
        <w:ind w:left="160"/>
        <w:spacing w:after="0"/>
        <w:rPr>
          <w:sz w:val="20"/>
          <w:szCs w:val="20"/>
          <w:color w:val="auto"/>
        </w:rPr>
      </w:pPr>
      <w:r>
        <w:rPr>
          <w:rFonts w:ascii="Calibri" w:cs="Calibri" w:eastAsia="Calibri" w:hAnsi="Calibri"/>
          <w:sz w:val="18"/>
          <w:szCs w:val="18"/>
          <w:color w:val="FFFFFF"/>
        </w:rPr>
        <w:t>YoY, the total deposit balance rose 4.0%(+5.1% FX neutral). This growth was fueled by the dynamics seen QoQ.</w:t>
      </w:r>
    </w:p>
    <w:p>
      <w:pPr>
        <w:spacing w:after="0" w:line="136"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At quarter-end, 69.7% of all deposits were low-cost (Demand+ Savings). With this fgure, Credicorp contnued to lead the market for low-cost deposits with a MS of 41.0% at the end of August 2024, which represents a signifcant compettve advantage in a context of persistently high interest rates in relatve terms.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6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Deposits</w:t>
            </w:r>
          </w:p>
        </w:tc>
        <w:tc>
          <w:tcPr>
            <w:tcW w:w="1440" w:type="dxa"/>
            <w:vAlign w:val="bottom"/>
            <w:tcBorders>
              <w:top w:val="single" w:sz="8" w:color="auto"/>
            </w:tcBorders>
            <w:shd w:val="clear" w:color="auto" w:fill="33CCCC"/>
          </w:tcPr>
          <w:p>
            <w:pPr>
              <w:spacing w:after="0"/>
              <w:rPr>
                <w:sz w:val="15"/>
                <w:szCs w:val="15"/>
                <w:color w:val="auto"/>
              </w:rPr>
            </w:pPr>
          </w:p>
        </w:tc>
        <w:tc>
          <w:tcPr>
            <w:tcW w:w="1280" w:type="dxa"/>
            <w:vAlign w:val="bottom"/>
            <w:tcBorders>
              <w:top w:val="single" w:sz="8" w:color="auto"/>
            </w:tcBorders>
            <w:shd w:val="clear" w:color="auto" w:fill="33CCCC"/>
          </w:tcPr>
          <w:p>
            <w:pPr>
              <w:jc w:val="right"/>
              <w:ind w:right="608"/>
              <w:spacing w:after="0"/>
              <w:rPr>
                <w:sz w:val="20"/>
                <w:szCs w:val="20"/>
                <w:color w:val="auto"/>
              </w:rPr>
            </w:pPr>
            <w:r>
              <w:rPr>
                <w:rFonts w:ascii="Calibri" w:cs="Calibri" w:eastAsia="Calibri" w:hAnsi="Calibri"/>
                <w:sz w:val="14"/>
                <w:szCs w:val="14"/>
                <w:b w:val="1"/>
                <w:bCs w:val="1"/>
                <w:color w:val="FFFFFF"/>
              </w:rPr>
              <w:t>As of</w:t>
            </w:r>
          </w:p>
        </w:tc>
        <w:tc>
          <w:tcPr>
            <w:tcW w:w="1080" w:type="dxa"/>
            <w:vAlign w:val="bottom"/>
            <w:tcBorders>
              <w:top w:val="single" w:sz="8" w:color="auto"/>
              <w:right w:val="single" w:sz="8" w:color="auto"/>
            </w:tcBorders>
            <w:shd w:val="clear" w:color="auto" w:fill="33CCCC"/>
          </w:tcPr>
          <w:p>
            <w:pPr>
              <w:spacing w:after="0"/>
              <w:rPr>
                <w:sz w:val="15"/>
                <w:szCs w:val="15"/>
                <w:color w:val="auto"/>
              </w:rPr>
            </w:pPr>
          </w:p>
        </w:tc>
        <w:tc>
          <w:tcPr>
            <w:tcW w:w="860" w:type="dxa"/>
            <w:vAlign w:val="bottom"/>
            <w:tcBorders>
              <w:top w:val="single" w:sz="8" w:color="auto"/>
            </w:tcBorders>
            <w:shd w:val="clear" w:color="auto" w:fill="33CCCC"/>
          </w:tcPr>
          <w:p>
            <w:pPr>
              <w:spacing w:after="0"/>
              <w:rPr>
                <w:sz w:val="15"/>
                <w:szCs w:val="15"/>
                <w:color w:val="auto"/>
              </w:rPr>
            </w:pPr>
          </w:p>
        </w:tc>
        <w:tc>
          <w:tcPr>
            <w:tcW w:w="158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4"/>
                <w:szCs w:val="14"/>
                <w:b w:val="1"/>
                <w:bCs w:val="1"/>
                <w:color w:val="FFFFFF"/>
              </w:rPr>
              <w:t>% change</w:t>
            </w:r>
          </w:p>
        </w:tc>
        <w:tc>
          <w:tcPr>
            <w:tcW w:w="840" w:type="dxa"/>
            <w:vAlign w:val="bottom"/>
            <w:tcBorders>
              <w:top w:val="single" w:sz="8" w:color="auto"/>
            </w:tcBorders>
            <w:shd w:val="clear" w:color="auto" w:fill="33CCCC"/>
          </w:tcPr>
          <w:p>
            <w:pPr>
              <w:spacing w:after="0"/>
              <w:rPr>
                <w:sz w:val="15"/>
                <w:szCs w:val="15"/>
                <w:color w:val="auto"/>
              </w:rPr>
            </w:pPr>
          </w:p>
        </w:tc>
        <w:tc>
          <w:tcPr>
            <w:tcW w:w="154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4"/>
                <w:szCs w:val="14"/>
                <w:b w:val="1"/>
                <w:bCs w:val="1"/>
                <w:color w:val="FFFFFF"/>
              </w:rPr>
              <w:t>Currency</w:t>
            </w:r>
          </w:p>
        </w:tc>
      </w:tr>
      <w:tr>
        <w:trPr>
          <w:trHeight w:val="183"/>
        </w:trPr>
        <w:tc>
          <w:tcPr>
            <w:tcW w:w="26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color w:val="FFFFFF"/>
              </w:rPr>
              <w:t>S/ 000</w:t>
            </w:r>
          </w:p>
        </w:tc>
        <w:tc>
          <w:tcPr>
            <w:tcW w:w="1440" w:type="dxa"/>
            <w:vAlign w:val="bottom"/>
            <w:tcBorders>
              <w:bottom w:val="single" w:sz="8" w:color="auto"/>
            </w:tcBorders>
            <w:shd w:val="clear" w:color="auto" w:fill="33CCCC"/>
          </w:tcPr>
          <w:p>
            <w:pPr>
              <w:jc w:val="right"/>
              <w:ind w:right="568"/>
              <w:spacing w:after="0"/>
              <w:rPr>
                <w:sz w:val="20"/>
                <w:szCs w:val="20"/>
                <w:color w:val="auto"/>
              </w:rPr>
            </w:pPr>
            <w:r>
              <w:rPr>
                <w:rFonts w:ascii="Calibri" w:cs="Calibri" w:eastAsia="Calibri" w:hAnsi="Calibri"/>
                <w:sz w:val="14"/>
                <w:szCs w:val="14"/>
                <w:b w:val="1"/>
                <w:bCs w:val="1"/>
                <w:color w:val="FFFFFF"/>
              </w:rPr>
              <w:t>Sep 23</w:t>
            </w:r>
          </w:p>
        </w:tc>
        <w:tc>
          <w:tcPr>
            <w:tcW w:w="1280" w:type="dxa"/>
            <w:vAlign w:val="bottom"/>
            <w:tcBorders>
              <w:bottom w:val="single" w:sz="8" w:color="auto"/>
            </w:tcBorders>
            <w:shd w:val="clear" w:color="auto" w:fill="33CCCC"/>
          </w:tcPr>
          <w:p>
            <w:pPr>
              <w:jc w:val="right"/>
              <w:ind w:right="588"/>
              <w:spacing w:after="0"/>
              <w:rPr>
                <w:sz w:val="20"/>
                <w:szCs w:val="20"/>
                <w:color w:val="auto"/>
              </w:rPr>
            </w:pPr>
            <w:r>
              <w:rPr>
                <w:rFonts w:ascii="Calibri" w:cs="Calibri" w:eastAsia="Calibri" w:hAnsi="Calibri"/>
                <w:sz w:val="14"/>
                <w:szCs w:val="14"/>
                <w:b w:val="1"/>
                <w:bCs w:val="1"/>
                <w:color w:val="FFFFFF"/>
              </w:rPr>
              <w:t>Jun 24</w:t>
            </w:r>
          </w:p>
        </w:tc>
        <w:tc>
          <w:tcPr>
            <w:tcW w:w="1080" w:type="dxa"/>
            <w:vAlign w:val="bottom"/>
            <w:tcBorders>
              <w:bottom w:val="single" w:sz="8" w:color="auto"/>
              <w:right w:val="single" w:sz="8" w:color="auto"/>
            </w:tcBorders>
            <w:shd w:val="clear" w:color="auto" w:fill="33CCCC"/>
          </w:tcPr>
          <w:p>
            <w:pPr>
              <w:jc w:val="right"/>
              <w:ind w:right="388"/>
              <w:spacing w:after="0"/>
              <w:rPr>
                <w:sz w:val="20"/>
                <w:szCs w:val="20"/>
                <w:color w:val="auto"/>
              </w:rPr>
            </w:pPr>
            <w:r>
              <w:rPr>
                <w:rFonts w:ascii="Calibri" w:cs="Calibri" w:eastAsia="Calibri" w:hAnsi="Calibri"/>
                <w:sz w:val="14"/>
                <w:szCs w:val="14"/>
                <w:b w:val="1"/>
                <w:bCs w:val="1"/>
                <w:color w:val="FFFFFF"/>
              </w:rPr>
              <w:t>Sep 24</w:t>
            </w:r>
          </w:p>
        </w:tc>
        <w:tc>
          <w:tcPr>
            <w:tcW w:w="860" w:type="dxa"/>
            <w:vAlign w:val="bottom"/>
            <w:tcBorders>
              <w:bottom w:val="single" w:sz="8" w:color="auto"/>
            </w:tcBorders>
            <w:shd w:val="clear" w:color="auto" w:fill="33CCCC"/>
          </w:tcPr>
          <w:p>
            <w:pPr>
              <w:ind w:left="460"/>
              <w:spacing w:after="0"/>
              <w:rPr>
                <w:sz w:val="20"/>
                <w:szCs w:val="20"/>
                <w:color w:val="auto"/>
              </w:rPr>
            </w:pPr>
            <w:r>
              <w:rPr>
                <w:rFonts w:ascii="Calibri" w:cs="Calibri" w:eastAsia="Calibri" w:hAnsi="Calibri"/>
                <w:sz w:val="14"/>
                <w:szCs w:val="14"/>
                <w:b w:val="1"/>
                <w:bCs w:val="1"/>
                <w:color w:val="FFFFFF"/>
              </w:rPr>
              <w:t>QoQ</w:t>
            </w:r>
          </w:p>
        </w:tc>
        <w:tc>
          <w:tcPr>
            <w:tcW w:w="1580" w:type="dxa"/>
            <w:vAlign w:val="bottom"/>
            <w:tcBorders>
              <w:bottom w:val="single" w:sz="8" w:color="auto"/>
              <w:right w:val="single" w:sz="8" w:color="auto"/>
            </w:tcBorders>
            <w:shd w:val="clear" w:color="auto" w:fill="33CCCC"/>
          </w:tcPr>
          <w:p>
            <w:pPr>
              <w:ind w:left="840"/>
              <w:spacing w:after="0"/>
              <w:rPr>
                <w:sz w:val="20"/>
                <w:szCs w:val="20"/>
                <w:color w:val="auto"/>
              </w:rPr>
            </w:pPr>
            <w:r>
              <w:rPr>
                <w:rFonts w:ascii="Calibri" w:cs="Calibri" w:eastAsia="Calibri" w:hAnsi="Calibri"/>
                <w:sz w:val="14"/>
                <w:szCs w:val="14"/>
                <w:b w:val="1"/>
                <w:bCs w:val="1"/>
                <w:color w:val="FFFFFF"/>
              </w:rPr>
              <w:t>YoY</w:t>
            </w:r>
          </w:p>
        </w:tc>
        <w:tc>
          <w:tcPr>
            <w:tcW w:w="840" w:type="dxa"/>
            <w:vAlign w:val="bottom"/>
            <w:tcBorders>
              <w:bottom w:val="single" w:sz="8" w:color="auto"/>
            </w:tcBorders>
            <w:shd w:val="clear" w:color="auto" w:fill="33CCCC"/>
          </w:tcPr>
          <w:p>
            <w:pPr>
              <w:jc w:val="center"/>
              <w:ind w:left="288"/>
              <w:spacing w:after="0"/>
              <w:rPr>
                <w:sz w:val="20"/>
                <w:szCs w:val="20"/>
                <w:color w:val="auto"/>
              </w:rPr>
            </w:pPr>
            <w:r>
              <w:rPr>
                <w:rFonts w:ascii="Calibri" w:cs="Calibri" w:eastAsia="Calibri" w:hAnsi="Calibri"/>
                <w:sz w:val="14"/>
                <w:szCs w:val="14"/>
                <w:b w:val="1"/>
                <w:bCs w:val="1"/>
                <w:color w:val="FFFFFF"/>
                <w:w w:val="89"/>
              </w:rPr>
              <w:t>LC</w:t>
            </w:r>
          </w:p>
        </w:tc>
        <w:tc>
          <w:tcPr>
            <w:tcW w:w="1540" w:type="dxa"/>
            <w:vAlign w:val="bottom"/>
            <w:tcBorders>
              <w:bottom w:val="single" w:sz="8" w:color="auto"/>
              <w:right w:val="single" w:sz="8" w:color="auto"/>
            </w:tcBorders>
            <w:shd w:val="clear" w:color="auto" w:fill="33CCCC"/>
          </w:tcPr>
          <w:p>
            <w:pPr>
              <w:jc w:val="center"/>
              <w:ind w:left="288"/>
              <w:spacing w:after="0"/>
              <w:rPr>
                <w:sz w:val="20"/>
                <w:szCs w:val="20"/>
                <w:color w:val="auto"/>
              </w:rPr>
            </w:pPr>
            <w:r>
              <w:rPr>
                <w:rFonts w:ascii="Calibri" w:cs="Calibri" w:eastAsia="Calibri" w:hAnsi="Calibri"/>
                <w:sz w:val="14"/>
                <w:szCs w:val="14"/>
                <w:b w:val="1"/>
                <w:bCs w:val="1"/>
                <w:color w:val="FFFFFF"/>
              </w:rPr>
              <w:t>FC</w:t>
            </w:r>
          </w:p>
        </w:tc>
      </w:tr>
      <w:tr>
        <w:trPr>
          <w:trHeight w:val="161"/>
        </w:trPr>
        <w:tc>
          <w:tcPr>
            <w:tcW w:w="2620" w:type="dxa"/>
            <w:vAlign w:val="bottom"/>
            <w:tcBorders>
              <w:left w:val="single" w:sz="8" w:color="auto"/>
              <w:right w:val="single" w:sz="8" w:color="auto"/>
            </w:tcBorders>
          </w:tcPr>
          <w:p>
            <w:pPr>
              <w:ind w:left="20"/>
              <w:spacing w:after="0" w:line="161" w:lineRule="exact"/>
              <w:rPr>
                <w:sz w:val="20"/>
                <w:szCs w:val="20"/>
                <w:color w:val="auto"/>
              </w:rPr>
            </w:pPr>
            <w:r>
              <w:rPr>
                <w:rFonts w:ascii="Calibri" w:cs="Calibri" w:eastAsia="Calibri" w:hAnsi="Calibri"/>
                <w:sz w:val="14"/>
                <w:szCs w:val="14"/>
                <w:color w:val="auto"/>
              </w:rPr>
              <w:t>Demand deposits</w:t>
            </w:r>
          </w:p>
        </w:tc>
        <w:tc>
          <w:tcPr>
            <w:tcW w:w="1440" w:type="dxa"/>
            <w:vAlign w:val="bottom"/>
          </w:tcPr>
          <w:p>
            <w:pPr>
              <w:jc w:val="right"/>
              <w:ind w:right="148"/>
              <w:spacing w:after="0" w:line="161" w:lineRule="exact"/>
              <w:rPr>
                <w:sz w:val="20"/>
                <w:szCs w:val="20"/>
                <w:color w:val="auto"/>
              </w:rPr>
            </w:pPr>
            <w:r>
              <w:rPr>
                <w:rFonts w:ascii="Calibri" w:cs="Calibri" w:eastAsia="Calibri" w:hAnsi="Calibri"/>
                <w:sz w:val="14"/>
                <w:szCs w:val="14"/>
                <w:color w:val="auto"/>
              </w:rPr>
              <w:t>45,120,127</w:t>
            </w:r>
          </w:p>
        </w:tc>
        <w:tc>
          <w:tcPr>
            <w:tcW w:w="1280" w:type="dxa"/>
            <w:vAlign w:val="bottom"/>
          </w:tcPr>
          <w:p>
            <w:pPr>
              <w:jc w:val="right"/>
              <w:ind w:right="148"/>
              <w:spacing w:after="0" w:line="161" w:lineRule="exact"/>
              <w:rPr>
                <w:sz w:val="20"/>
                <w:szCs w:val="20"/>
                <w:color w:val="auto"/>
              </w:rPr>
            </w:pPr>
            <w:r>
              <w:rPr>
                <w:rFonts w:ascii="Calibri" w:cs="Calibri" w:eastAsia="Calibri" w:hAnsi="Calibri"/>
                <w:sz w:val="14"/>
                <w:szCs w:val="14"/>
                <w:color w:val="auto"/>
              </w:rPr>
              <w:t>50,657,031</w:t>
            </w:r>
          </w:p>
        </w:tc>
        <w:tc>
          <w:tcPr>
            <w:tcW w:w="1080" w:type="dxa"/>
            <w:vAlign w:val="bottom"/>
            <w:tcBorders>
              <w:right w:val="single" w:sz="8" w:color="auto"/>
            </w:tcBorders>
          </w:tcPr>
          <w:p>
            <w:pPr>
              <w:jc w:val="right"/>
              <w:spacing w:after="0" w:line="161" w:lineRule="exact"/>
              <w:rPr>
                <w:sz w:val="20"/>
                <w:szCs w:val="20"/>
                <w:color w:val="auto"/>
              </w:rPr>
            </w:pPr>
            <w:r>
              <w:rPr>
                <w:rFonts w:ascii="Calibri" w:cs="Calibri" w:eastAsia="Calibri" w:hAnsi="Calibri"/>
                <w:sz w:val="14"/>
                <w:szCs w:val="14"/>
                <w:color w:val="auto"/>
              </w:rPr>
              <w:t>53,149,144</w:t>
            </w:r>
          </w:p>
        </w:tc>
        <w:tc>
          <w:tcPr>
            <w:tcW w:w="860" w:type="dxa"/>
            <w:vAlign w:val="bottom"/>
          </w:tcPr>
          <w:p>
            <w:pPr>
              <w:jc w:val="center"/>
              <w:ind w:left="268"/>
              <w:spacing w:after="0" w:line="161" w:lineRule="exact"/>
              <w:rPr>
                <w:sz w:val="20"/>
                <w:szCs w:val="20"/>
                <w:color w:val="auto"/>
              </w:rPr>
            </w:pPr>
            <w:r>
              <w:rPr>
                <w:rFonts w:ascii="Calibri" w:cs="Calibri" w:eastAsia="Calibri" w:hAnsi="Calibri"/>
                <w:sz w:val="14"/>
                <w:szCs w:val="14"/>
                <w:color w:val="auto"/>
              </w:rPr>
              <w:t>4.9%</w:t>
            </w:r>
          </w:p>
        </w:tc>
        <w:tc>
          <w:tcPr>
            <w:tcW w:w="1580" w:type="dxa"/>
            <w:vAlign w:val="bottom"/>
            <w:tcBorders>
              <w:right w:val="single" w:sz="8" w:color="auto"/>
            </w:tcBorders>
          </w:tcPr>
          <w:p>
            <w:pPr>
              <w:jc w:val="center"/>
              <w:ind w:left="248"/>
              <w:spacing w:after="0" w:line="161" w:lineRule="exact"/>
              <w:rPr>
                <w:sz w:val="20"/>
                <w:szCs w:val="20"/>
                <w:color w:val="auto"/>
              </w:rPr>
            </w:pPr>
            <w:r>
              <w:rPr>
                <w:rFonts w:ascii="Calibri" w:cs="Calibri" w:eastAsia="Calibri" w:hAnsi="Calibri"/>
                <w:sz w:val="14"/>
                <w:szCs w:val="14"/>
                <w:color w:val="auto"/>
                <w:w w:val="97"/>
              </w:rPr>
              <w:t>17.8%</w:t>
            </w:r>
          </w:p>
        </w:tc>
        <w:tc>
          <w:tcPr>
            <w:tcW w:w="840" w:type="dxa"/>
            <w:vAlign w:val="bottom"/>
          </w:tcPr>
          <w:p>
            <w:pPr>
              <w:jc w:val="center"/>
              <w:ind w:left="288"/>
              <w:spacing w:after="0" w:line="161" w:lineRule="exact"/>
              <w:rPr>
                <w:sz w:val="20"/>
                <w:szCs w:val="20"/>
                <w:color w:val="auto"/>
              </w:rPr>
            </w:pPr>
            <w:r>
              <w:rPr>
                <w:rFonts w:ascii="Calibri" w:cs="Calibri" w:eastAsia="Calibri" w:hAnsi="Calibri"/>
                <w:sz w:val="14"/>
                <w:szCs w:val="14"/>
                <w:color w:val="auto"/>
              </w:rPr>
              <w:t>49.7%</w:t>
            </w:r>
          </w:p>
        </w:tc>
        <w:tc>
          <w:tcPr>
            <w:tcW w:w="1540" w:type="dxa"/>
            <w:vAlign w:val="bottom"/>
            <w:tcBorders>
              <w:right w:val="single" w:sz="8" w:color="auto"/>
            </w:tcBorders>
          </w:tcPr>
          <w:p>
            <w:pPr>
              <w:jc w:val="center"/>
              <w:ind w:left="268"/>
              <w:spacing w:after="0" w:line="161" w:lineRule="exact"/>
              <w:rPr>
                <w:sz w:val="20"/>
                <w:szCs w:val="20"/>
                <w:color w:val="auto"/>
              </w:rPr>
            </w:pPr>
            <w:r>
              <w:rPr>
                <w:rFonts w:ascii="Calibri" w:cs="Calibri" w:eastAsia="Calibri" w:hAnsi="Calibri"/>
                <w:sz w:val="14"/>
                <w:szCs w:val="14"/>
                <w:color w:val="auto"/>
              </w:rPr>
              <w:t>50.3%</w:t>
            </w:r>
          </w:p>
        </w:tc>
      </w:tr>
      <w:tr>
        <w:trPr>
          <w:trHeight w:val="170"/>
        </w:trPr>
        <w:tc>
          <w:tcPr>
            <w:tcW w:w="2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Saving deposits</w:t>
            </w:r>
          </w:p>
        </w:tc>
        <w:tc>
          <w:tcPr>
            <w:tcW w:w="1440" w:type="dxa"/>
            <w:vAlign w:val="bottom"/>
          </w:tcPr>
          <w:p>
            <w:pPr>
              <w:jc w:val="right"/>
              <w:ind w:right="148"/>
              <w:spacing w:after="0"/>
              <w:rPr>
                <w:sz w:val="20"/>
                <w:szCs w:val="20"/>
                <w:color w:val="auto"/>
              </w:rPr>
            </w:pPr>
            <w:r>
              <w:rPr>
                <w:rFonts w:ascii="Calibri" w:cs="Calibri" w:eastAsia="Calibri" w:hAnsi="Calibri"/>
                <w:sz w:val="14"/>
                <w:szCs w:val="14"/>
                <w:color w:val="auto"/>
              </w:rPr>
              <w:t>49,395,543</w:t>
            </w:r>
          </w:p>
        </w:tc>
        <w:tc>
          <w:tcPr>
            <w:tcW w:w="1280" w:type="dxa"/>
            <w:vAlign w:val="bottom"/>
          </w:tcPr>
          <w:p>
            <w:pPr>
              <w:jc w:val="right"/>
              <w:ind w:right="148"/>
              <w:spacing w:after="0"/>
              <w:rPr>
                <w:sz w:val="20"/>
                <w:szCs w:val="20"/>
                <w:color w:val="auto"/>
              </w:rPr>
            </w:pPr>
            <w:r>
              <w:rPr>
                <w:rFonts w:ascii="Calibri" w:cs="Calibri" w:eastAsia="Calibri" w:hAnsi="Calibri"/>
                <w:sz w:val="14"/>
                <w:szCs w:val="14"/>
                <w:color w:val="auto"/>
              </w:rPr>
              <w:t>53,015,745</w:t>
            </w:r>
          </w:p>
        </w:tc>
        <w:tc>
          <w:tcPr>
            <w:tcW w:w="10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54,474,960</w:t>
            </w:r>
          </w:p>
        </w:tc>
        <w:tc>
          <w:tcPr>
            <w:tcW w:w="860" w:type="dxa"/>
            <w:vAlign w:val="bottom"/>
          </w:tcPr>
          <w:p>
            <w:pPr>
              <w:jc w:val="center"/>
              <w:ind w:left="268"/>
              <w:spacing w:after="0"/>
              <w:rPr>
                <w:sz w:val="20"/>
                <w:szCs w:val="20"/>
                <w:color w:val="auto"/>
              </w:rPr>
            </w:pPr>
            <w:r>
              <w:rPr>
                <w:rFonts w:ascii="Calibri" w:cs="Calibri" w:eastAsia="Calibri" w:hAnsi="Calibri"/>
                <w:sz w:val="14"/>
                <w:szCs w:val="14"/>
                <w:color w:val="auto"/>
              </w:rPr>
              <w:t>2.8%</w:t>
            </w:r>
          </w:p>
        </w:tc>
        <w:tc>
          <w:tcPr>
            <w:tcW w:w="1580" w:type="dxa"/>
            <w:vAlign w:val="bottom"/>
            <w:tcBorders>
              <w:right w:val="single" w:sz="8" w:color="auto"/>
            </w:tcBorders>
          </w:tcPr>
          <w:p>
            <w:pPr>
              <w:jc w:val="center"/>
              <w:ind w:left="248"/>
              <w:spacing w:after="0"/>
              <w:rPr>
                <w:sz w:val="20"/>
                <w:szCs w:val="20"/>
                <w:color w:val="auto"/>
              </w:rPr>
            </w:pPr>
            <w:r>
              <w:rPr>
                <w:rFonts w:ascii="Calibri" w:cs="Calibri" w:eastAsia="Calibri" w:hAnsi="Calibri"/>
                <w:sz w:val="14"/>
                <w:szCs w:val="14"/>
                <w:color w:val="auto"/>
                <w:w w:val="97"/>
              </w:rPr>
              <w:t>10.3%</w:t>
            </w:r>
          </w:p>
        </w:tc>
        <w:tc>
          <w:tcPr>
            <w:tcW w:w="840" w:type="dxa"/>
            <w:vAlign w:val="bottom"/>
          </w:tcPr>
          <w:p>
            <w:pPr>
              <w:jc w:val="center"/>
              <w:ind w:left="288"/>
              <w:spacing w:after="0"/>
              <w:rPr>
                <w:sz w:val="20"/>
                <w:szCs w:val="20"/>
                <w:color w:val="auto"/>
              </w:rPr>
            </w:pPr>
            <w:r>
              <w:rPr>
                <w:rFonts w:ascii="Calibri" w:cs="Calibri" w:eastAsia="Calibri" w:hAnsi="Calibri"/>
                <w:sz w:val="14"/>
                <w:szCs w:val="14"/>
                <w:color w:val="auto"/>
              </w:rPr>
              <w:t>60.2%</w:t>
            </w:r>
          </w:p>
        </w:tc>
        <w:tc>
          <w:tcPr>
            <w:tcW w:w="1540" w:type="dxa"/>
            <w:vAlign w:val="bottom"/>
            <w:tcBorders>
              <w:right w:val="single" w:sz="8" w:color="auto"/>
            </w:tcBorders>
          </w:tcPr>
          <w:p>
            <w:pPr>
              <w:jc w:val="center"/>
              <w:ind w:left="268"/>
              <w:spacing w:after="0"/>
              <w:rPr>
                <w:sz w:val="20"/>
                <w:szCs w:val="20"/>
                <w:color w:val="auto"/>
              </w:rPr>
            </w:pPr>
            <w:r>
              <w:rPr>
                <w:rFonts w:ascii="Calibri" w:cs="Calibri" w:eastAsia="Calibri" w:hAnsi="Calibri"/>
                <w:sz w:val="14"/>
                <w:szCs w:val="14"/>
                <w:color w:val="auto"/>
              </w:rPr>
              <w:t>39.8%</w:t>
            </w:r>
          </w:p>
        </w:tc>
      </w:tr>
      <w:tr>
        <w:trPr>
          <w:trHeight w:val="176"/>
        </w:trPr>
        <w:tc>
          <w:tcPr>
            <w:tcW w:w="2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Time deposits</w:t>
            </w:r>
          </w:p>
        </w:tc>
        <w:tc>
          <w:tcPr>
            <w:tcW w:w="1440" w:type="dxa"/>
            <w:vAlign w:val="bottom"/>
          </w:tcPr>
          <w:p>
            <w:pPr>
              <w:jc w:val="right"/>
              <w:ind w:right="148"/>
              <w:spacing w:after="0"/>
              <w:rPr>
                <w:sz w:val="20"/>
                <w:szCs w:val="20"/>
                <w:color w:val="auto"/>
              </w:rPr>
            </w:pPr>
            <w:r>
              <w:rPr>
                <w:rFonts w:ascii="Calibri" w:cs="Calibri" w:eastAsia="Calibri" w:hAnsi="Calibri"/>
                <w:sz w:val="14"/>
                <w:szCs w:val="14"/>
                <w:color w:val="auto"/>
              </w:rPr>
              <w:t>49,213,763</w:t>
            </w:r>
          </w:p>
        </w:tc>
        <w:tc>
          <w:tcPr>
            <w:tcW w:w="1280" w:type="dxa"/>
            <w:vAlign w:val="bottom"/>
          </w:tcPr>
          <w:p>
            <w:pPr>
              <w:jc w:val="right"/>
              <w:ind w:right="148"/>
              <w:spacing w:after="0"/>
              <w:rPr>
                <w:sz w:val="20"/>
                <w:szCs w:val="20"/>
                <w:color w:val="auto"/>
              </w:rPr>
            </w:pPr>
            <w:r>
              <w:rPr>
                <w:rFonts w:ascii="Calibri" w:cs="Calibri" w:eastAsia="Calibri" w:hAnsi="Calibri"/>
                <w:sz w:val="14"/>
                <w:szCs w:val="14"/>
                <w:color w:val="auto"/>
              </w:rPr>
              <w:t>43,504,883</w:t>
            </w:r>
          </w:p>
        </w:tc>
        <w:tc>
          <w:tcPr>
            <w:tcW w:w="10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42,514,849</w:t>
            </w:r>
          </w:p>
        </w:tc>
        <w:tc>
          <w:tcPr>
            <w:tcW w:w="860" w:type="dxa"/>
            <w:vAlign w:val="bottom"/>
          </w:tcPr>
          <w:p>
            <w:pPr>
              <w:jc w:val="center"/>
              <w:ind w:left="268"/>
              <w:spacing w:after="0"/>
              <w:rPr>
                <w:sz w:val="20"/>
                <w:szCs w:val="20"/>
                <w:color w:val="auto"/>
              </w:rPr>
            </w:pPr>
            <w:r>
              <w:rPr>
                <w:rFonts w:ascii="Calibri" w:cs="Calibri" w:eastAsia="Calibri" w:hAnsi="Calibri"/>
                <w:sz w:val="14"/>
                <w:szCs w:val="14"/>
                <w:color w:val="auto"/>
                <w:w w:val="99"/>
              </w:rPr>
              <w:t>-2.3%</w:t>
            </w:r>
          </w:p>
        </w:tc>
        <w:tc>
          <w:tcPr>
            <w:tcW w:w="1580" w:type="dxa"/>
            <w:vAlign w:val="bottom"/>
            <w:tcBorders>
              <w:right w:val="single" w:sz="8" w:color="auto"/>
            </w:tcBorders>
          </w:tcPr>
          <w:p>
            <w:pPr>
              <w:jc w:val="center"/>
              <w:ind w:left="248"/>
              <w:spacing w:after="0"/>
              <w:rPr>
                <w:sz w:val="20"/>
                <w:szCs w:val="20"/>
                <w:color w:val="auto"/>
              </w:rPr>
            </w:pPr>
            <w:r>
              <w:rPr>
                <w:rFonts w:ascii="Calibri" w:cs="Calibri" w:eastAsia="Calibri" w:hAnsi="Calibri"/>
                <w:sz w:val="14"/>
                <w:szCs w:val="14"/>
                <w:color w:val="auto"/>
              </w:rPr>
              <w:t>-13.6%</w:t>
            </w:r>
          </w:p>
        </w:tc>
        <w:tc>
          <w:tcPr>
            <w:tcW w:w="840" w:type="dxa"/>
            <w:vAlign w:val="bottom"/>
          </w:tcPr>
          <w:p>
            <w:pPr>
              <w:jc w:val="center"/>
              <w:ind w:left="288"/>
              <w:spacing w:after="0"/>
              <w:rPr>
                <w:sz w:val="20"/>
                <w:szCs w:val="20"/>
                <w:color w:val="auto"/>
              </w:rPr>
            </w:pPr>
            <w:r>
              <w:rPr>
                <w:rFonts w:ascii="Calibri" w:cs="Calibri" w:eastAsia="Calibri" w:hAnsi="Calibri"/>
                <w:sz w:val="14"/>
                <w:szCs w:val="14"/>
                <w:color w:val="auto"/>
              </w:rPr>
              <w:t>43.6%</w:t>
            </w:r>
          </w:p>
        </w:tc>
        <w:tc>
          <w:tcPr>
            <w:tcW w:w="1540" w:type="dxa"/>
            <w:vAlign w:val="bottom"/>
            <w:tcBorders>
              <w:right w:val="single" w:sz="8" w:color="auto"/>
            </w:tcBorders>
          </w:tcPr>
          <w:p>
            <w:pPr>
              <w:jc w:val="center"/>
              <w:ind w:left="268"/>
              <w:spacing w:after="0"/>
              <w:rPr>
                <w:sz w:val="20"/>
                <w:szCs w:val="20"/>
                <w:color w:val="auto"/>
              </w:rPr>
            </w:pPr>
            <w:r>
              <w:rPr>
                <w:rFonts w:ascii="Calibri" w:cs="Calibri" w:eastAsia="Calibri" w:hAnsi="Calibri"/>
                <w:sz w:val="14"/>
                <w:szCs w:val="14"/>
                <w:color w:val="auto"/>
              </w:rPr>
              <w:t>56.4%</w:t>
            </w:r>
          </w:p>
        </w:tc>
      </w:tr>
      <w:tr>
        <w:trPr>
          <w:trHeight w:val="175"/>
        </w:trPr>
        <w:tc>
          <w:tcPr>
            <w:tcW w:w="2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Severance indemnity deposits</w:t>
            </w:r>
          </w:p>
        </w:tc>
        <w:tc>
          <w:tcPr>
            <w:tcW w:w="1440" w:type="dxa"/>
            <w:vAlign w:val="bottom"/>
          </w:tcPr>
          <w:p>
            <w:pPr>
              <w:jc w:val="right"/>
              <w:ind w:right="148"/>
              <w:spacing w:after="0"/>
              <w:rPr>
                <w:sz w:val="20"/>
                <w:szCs w:val="20"/>
                <w:color w:val="auto"/>
              </w:rPr>
            </w:pPr>
            <w:r>
              <w:rPr>
                <w:rFonts w:ascii="Calibri" w:cs="Calibri" w:eastAsia="Calibri" w:hAnsi="Calibri"/>
                <w:sz w:val="14"/>
                <w:szCs w:val="14"/>
                <w:color w:val="auto"/>
              </w:rPr>
              <w:t>3,245,358</w:t>
            </w:r>
          </w:p>
        </w:tc>
        <w:tc>
          <w:tcPr>
            <w:tcW w:w="1280" w:type="dxa"/>
            <w:vAlign w:val="bottom"/>
          </w:tcPr>
          <w:p>
            <w:pPr>
              <w:jc w:val="right"/>
              <w:ind w:right="148"/>
              <w:spacing w:after="0"/>
              <w:rPr>
                <w:sz w:val="20"/>
                <w:szCs w:val="20"/>
                <w:color w:val="auto"/>
              </w:rPr>
            </w:pPr>
            <w:r>
              <w:rPr>
                <w:rFonts w:ascii="Calibri" w:cs="Calibri" w:eastAsia="Calibri" w:hAnsi="Calibri"/>
                <w:sz w:val="14"/>
                <w:szCs w:val="14"/>
                <w:color w:val="auto"/>
              </w:rPr>
              <w:t>3,358,408</w:t>
            </w:r>
          </w:p>
        </w:tc>
        <w:tc>
          <w:tcPr>
            <w:tcW w:w="108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2,989,705</w:t>
            </w:r>
          </w:p>
        </w:tc>
        <w:tc>
          <w:tcPr>
            <w:tcW w:w="860" w:type="dxa"/>
            <w:vAlign w:val="bottom"/>
          </w:tcPr>
          <w:p>
            <w:pPr>
              <w:jc w:val="center"/>
              <w:ind w:left="268"/>
              <w:spacing w:after="0"/>
              <w:rPr>
                <w:sz w:val="20"/>
                <w:szCs w:val="20"/>
                <w:color w:val="auto"/>
              </w:rPr>
            </w:pPr>
            <w:r>
              <w:rPr>
                <w:rFonts w:ascii="Calibri" w:cs="Calibri" w:eastAsia="Calibri" w:hAnsi="Calibri"/>
                <w:sz w:val="14"/>
                <w:szCs w:val="14"/>
                <w:color w:val="auto"/>
              </w:rPr>
              <w:t>-11.0%</w:t>
            </w:r>
          </w:p>
        </w:tc>
        <w:tc>
          <w:tcPr>
            <w:tcW w:w="1580" w:type="dxa"/>
            <w:vAlign w:val="bottom"/>
            <w:tcBorders>
              <w:right w:val="single" w:sz="8" w:color="auto"/>
            </w:tcBorders>
          </w:tcPr>
          <w:p>
            <w:pPr>
              <w:jc w:val="center"/>
              <w:ind w:left="248"/>
              <w:spacing w:after="0"/>
              <w:rPr>
                <w:sz w:val="20"/>
                <w:szCs w:val="20"/>
                <w:color w:val="auto"/>
              </w:rPr>
            </w:pPr>
            <w:r>
              <w:rPr>
                <w:rFonts w:ascii="Calibri" w:cs="Calibri" w:eastAsia="Calibri" w:hAnsi="Calibri"/>
                <w:sz w:val="14"/>
                <w:szCs w:val="14"/>
                <w:color w:val="auto"/>
              </w:rPr>
              <w:t>-7.9%</w:t>
            </w:r>
          </w:p>
        </w:tc>
        <w:tc>
          <w:tcPr>
            <w:tcW w:w="840" w:type="dxa"/>
            <w:vAlign w:val="bottom"/>
          </w:tcPr>
          <w:p>
            <w:pPr>
              <w:jc w:val="center"/>
              <w:ind w:left="288"/>
              <w:spacing w:after="0"/>
              <w:rPr>
                <w:sz w:val="20"/>
                <w:szCs w:val="20"/>
                <w:color w:val="auto"/>
              </w:rPr>
            </w:pPr>
            <w:r>
              <w:rPr>
                <w:rFonts w:ascii="Calibri" w:cs="Calibri" w:eastAsia="Calibri" w:hAnsi="Calibri"/>
                <w:sz w:val="14"/>
                <w:szCs w:val="14"/>
                <w:color w:val="auto"/>
              </w:rPr>
              <w:t>73.3%</w:t>
            </w:r>
          </w:p>
        </w:tc>
        <w:tc>
          <w:tcPr>
            <w:tcW w:w="1540" w:type="dxa"/>
            <w:vAlign w:val="bottom"/>
            <w:tcBorders>
              <w:right w:val="single" w:sz="8" w:color="auto"/>
            </w:tcBorders>
          </w:tcPr>
          <w:p>
            <w:pPr>
              <w:jc w:val="center"/>
              <w:ind w:left="268"/>
              <w:spacing w:after="0"/>
              <w:rPr>
                <w:sz w:val="20"/>
                <w:szCs w:val="20"/>
                <w:color w:val="auto"/>
              </w:rPr>
            </w:pPr>
            <w:r>
              <w:rPr>
                <w:rFonts w:ascii="Calibri" w:cs="Calibri" w:eastAsia="Calibri" w:hAnsi="Calibri"/>
                <w:sz w:val="14"/>
                <w:szCs w:val="14"/>
                <w:color w:val="auto"/>
              </w:rPr>
              <w:t>26.7%</w:t>
            </w:r>
          </w:p>
        </w:tc>
      </w:tr>
      <w:tr>
        <w:trPr>
          <w:trHeight w:val="189"/>
        </w:trPr>
        <w:tc>
          <w:tcPr>
            <w:tcW w:w="26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Interest payable</w:t>
            </w:r>
          </w:p>
        </w:tc>
        <w:tc>
          <w:tcPr>
            <w:tcW w:w="14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color w:val="auto"/>
              </w:rPr>
              <w:t>1,496,744</w:t>
            </w:r>
          </w:p>
        </w:tc>
        <w:tc>
          <w:tcPr>
            <w:tcW w:w="128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color w:val="auto"/>
              </w:rPr>
              <w:t>1,435,917</w:t>
            </w:r>
          </w:p>
        </w:tc>
        <w:tc>
          <w:tcPr>
            <w:tcW w:w="10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color w:val="auto"/>
              </w:rPr>
              <w:t>1,306,793</w:t>
            </w:r>
          </w:p>
        </w:tc>
        <w:tc>
          <w:tcPr>
            <w:tcW w:w="860" w:type="dxa"/>
            <w:vAlign w:val="bottom"/>
            <w:tcBorders>
              <w:bottom w:val="single" w:sz="8" w:color="auto"/>
            </w:tcBorders>
          </w:tcPr>
          <w:p>
            <w:pPr>
              <w:jc w:val="center"/>
              <w:ind w:left="268"/>
              <w:spacing w:after="0"/>
              <w:rPr>
                <w:sz w:val="20"/>
                <w:szCs w:val="20"/>
                <w:color w:val="auto"/>
              </w:rPr>
            </w:pPr>
            <w:r>
              <w:rPr>
                <w:rFonts w:ascii="Calibri" w:cs="Calibri" w:eastAsia="Calibri" w:hAnsi="Calibri"/>
                <w:sz w:val="14"/>
                <w:szCs w:val="14"/>
                <w:color w:val="auto"/>
                <w:w w:val="99"/>
              </w:rPr>
              <w:t>-9.0%</w:t>
            </w:r>
          </w:p>
        </w:tc>
        <w:tc>
          <w:tcPr>
            <w:tcW w:w="1580" w:type="dxa"/>
            <w:vAlign w:val="bottom"/>
            <w:tcBorders>
              <w:bottom w:val="single" w:sz="8" w:color="auto"/>
              <w:right w:val="single" w:sz="8" w:color="auto"/>
            </w:tcBorders>
          </w:tcPr>
          <w:p>
            <w:pPr>
              <w:jc w:val="center"/>
              <w:ind w:left="248"/>
              <w:spacing w:after="0"/>
              <w:rPr>
                <w:sz w:val="20"/>
                <w:szCs w:val="20"/>
                <w:color w:val="auto"/>
              </w:rPr>
            </w:pPr>
            <w:r>
              <w:rPr>
                <w:rFonts w:ascii="Calibri" w:cs="Calibri" w:eastAsia="Calibri" w:hAnsi="Calibri"/>
                <w:sz w:val="14"/>
                <w:szCs w:val="14"/>
                <w:color w:val="auto"/>
              </w:rPr>
              <w:t>-12.7%</w:t>
            </w:r>
          </w:p>
        </w:tc>
        <w:tc>
          <w:tcPr>
            <w:tcW w:w="840" w:type="dxa"/>
            <w:vAlign w:val="bottom"/>
            <w:tcBorders>
              <w:bottom w:val="single" w:sz="8" w:color="auto"/>
            </w:tcBorders>
          </w:tcPr>
          <w:p>
            <w:pPr>
              <w:jc w:val="center"/>
              <w:ind w:left="288"/>
              <w:spacing w:after="0"/>
              <w:rPr>
                <w:sz w:val="20"/>
                <w:szCs w:val="20"/>
                <w:color w:val="auto"/>
              </w:rPr>
            </w:pPr>
            <w:r>
              <w:rPr>
                <w:rFonts w:ascii="Calibri" w:cs="Calibri" w:eastAsia="Calibri" w:hAnsi="Calibri"/>
                <w:sz w:val="14"/>
                <w:szCs w:val="14"/>
                <w:color w:val="auto"/>
              </w:rPr>
              <w:t>29.4%</w:t>
            </w:r>
          </w:p>
        </w:tc>
        <w:tc>
          <w:tcPr>
            <w:tcW w:w="1540" w:type="dxa"/>
            <w:vAlign w:val="bottom"/>
            <w:tcBorders>
              <w:bottom w:val="single" w:sz="8" w:color="auto"/>
              <w:right w:val="single" w:sz="8" w:color="auto"/>
            </w:tcBorders>
          </w:tcPr>
          <w:p>
            <w:pPr>
              <w:jc w:val="center"/>
              <w:ind w:left="268"/>
              <w:spacing w:after="0"/>
              <w:rPr>
                <w:sz w:val="20"/>
                <w:szCs w:val="20"/>
                <w:color w:val="auto"/>
              </w:rPr>
            </w:pPr>
            <w:r>
              <w:rPr>
                <w:rFonts w:ascii="Calibri" w:cs="Calibri" w:eastAsia="Calibri" w:hAnsi="Calibri"/>
                <w:sz w:val="14"/>
                <w:szCs w:val="14"/>
                <w:color w:val="auto"/>
              </w:rPr>
              <w:t>70.6%</w:t>
            </w:r>
          </w:p>
        </w:tc>
      </w:tr>
      <w:tr>
        <w:trPr>
          <w:trHeight w:val="175"/>
        </w:trPr>
        <w:tc>
          <w:tcPr>
            <w:tcW w:w="2620" w:type="dxa"/>
            <w:vAlign w:val="bottom"/>
            <w:tcBorders>
              <w:left w:val="single" w:sz="8" w:color="auto"/>
              <w:bottom w:val="single" w:sz="8" w:color="auto"/>
              <w:right w:val="single" w:sz="8" w:color="auto"/>
            </w:tcBorders>
          </w:tcPr>
          <w:p>
            <w:pPr>
              <w:ind w:left="20"/>
              <w:spacing w:after="0" w:line="175" w:lineRule="exact"/>
              <w:rPr>
                <w:sz w:val="20"/>
                <w:szCs w:val="20"/>
                <w:color w:val="auto"/>
              </w:rPr>
            </w:pPr>
            <w:r>
              <w:rPr>
                <w:rFonts w:ascii="Calibri" w:cs="Calibri" w:eastAsia="Calibri" w:hAnsi="Calibri"/>
                <w:sz w:val="12"/>
                <w:szCs w:val="12"/>
                <w:b w:val="1"/>
                <w:bCs w:val="1"/>
                <w:color w:val="auto"/>
              </w:rPr>
              <w:t xml:space="preserve">Low-cost deposits </w:t>
            </w:r>
            <w:r>
              <w:rPr>
                <w:rFonts w:ascii="Calibri" w:cs="Calibri" w:eastAsia="Calibri" w:hAnsi="Calibri"/>
                <w:sz w:val="19"/>
                <w:szCs w:val="19"/>
                <w:b w:val="1"/>
                <w:bCs w:val="1"/>
                <w:color w:val="auto"/>
                <w:vertAlign w:val="superscript"/>
              </w:rPr>
              <w:t>(1)</w:t>
            </w:r>
          </w:p>
        </w:tc>
        <w:tc>
          <w:tcPr>
            <w:tcW w:w="144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94,515,670</w:t>
            </w:r>
          </w:p>
        </w:tc>
        <w:tc>
          <w:tcPr>
            <w:tcW w:w="1280" w:type="dxa"/>
            <w:vAlign w:val="bottom"/>
            <w:tcBorders>
              <w:bottom w:val="single" w:sz="8" w:color="auto"/>
            </w:tcBorders>
          </w:tcPr>
          <w:p>
            <w:pPr>
              <w:jc w:val="right"/>
              <w:ind w:right="148"/>
              <w:spacing w:after="0"/>
              <w:rPr>
                <w:sz w:val="20"/>
                <w:szCs w:val="20"/>
                <w:color w:val="auto"/>
              </w:rPr>
            </w:pPr>
            <w:r>
              <w:rPr>
                <w:rFonts w:ascii="Calibri" w:cs="Calibri" w:eastAsia="Calibri" w:hAnsi="Calibri"/>
                <w:sz w:val="14"/>
                <w:szCs w:val="14"/>
                <w:b w:val="1"/>
                <w:bCs w:val="1"/>
                <w:color w:val="auto"/>
              </w:rPr>
              <w:t>103,672,776</w:t>
            </w:r>
          </w:p>
        </w:tc>
        <w:tc>
          <w:tcPr>
            <w:tcW w:w="10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107,624,104</w:t>
            </w:r>
          </w:p>
        </w:tc>
        <w:tc>
          <w:tcPr>
            <w:tcW w:w="860" w:type="dxa"/>
            <w:vAlign w:val="bottom"/>
            <w:tcBorders>
              <w:bottom w:val="single" w:sz="8" w:color="auto"/>
            </w:tcBorders>
          </w:tcPr>
          <w:p>
            <w:pPr>
              <w:jc w:val="center"/>
              <w:ind w:left="268"/>
              <w:spacing w:after="0"/>
              <w:rPr>
                <w:sz w:val="20"/>
                <w:szCs w:val="20"/>
                <w:color w:val="auto"/>
              </w:rPr>
            </w:pPr>
            <w:r>
              <w:rPr>
                <w:rFonts w:ascii="Calibri" w:cs="Calibri" w:eastAsia="Calibri" w:hAnsi="Calibri"/>
                <w:sz w:val="14"/>
                <w:szCs w:val="14"/>
                <w:b w:val="1"/>
                <w:bCs w:val="1"/>
                <w:color w:val="auto"/>
                <w:w w:val="99"/>
              </w:rPr>
              <w:t>3.8%</w:t>
            </w:r>
          </w:p>
        </w:tc>
        <w:tc>
          <w:tcPr>
            <w:tcW w:w="1580" w:type="dxa"/>
            <w:vAlign w:val="bottom"/>
            <w:tcBorders>
              <w:bottom w:val="single" w:sz="8" w:color="auto"/>
              <w:right w:val="single" w:sz="8" w:color="auto"/>
            </w:tcBorders>
          </w:tcPr>
          <w:p>
            <w:pPr>
              <w:jc w:val="center"/>
              <w:ind w:left="248"/>
              <w:spacing w:after="0"/>
              <w:rPr>
                <w:sz w:val="20"/>
                <w:szCs w:val="20"/>
                <w:color w:val="auto"/>
              </w:rPr>
            </w:pPr>
            <w:r>
              <w:rPr>
                <w:rFonts w:ascii="Calibri" w:cs="Calibri" w:eastAsia="Calibri" w:hAnsi="Calibri"/>
                <w:sz w:val="14"/>
                <w:szCs w:val="14"/>
                <w:b w:val="1"/>
                <w:bCs w:val="1"/>
                <w:color w:val="auto"/>
              </w:rPr>
              <w:t>13.9%</w:t>
            </w:r>
          </w:p>
        </w:tc>
        <w:tc>
          <w:tcPr>
            <w:tcW w:w="840" w:type="dxa"/>
            <w:vAlign w:val="bottom"/>
            <w:tcBorders>
              <w:bottom w:val="single" w:sz="8" w:color="auto"/>
            </w:tcBorders>
          </w:tcPr>
          <w:p>
            <w:pPr>
              <w:jc w:val="center"/>
              <w:ind w:left="288"/>
              <w:spacing w:after="0"/>
              <w:rPr>
                <w:sz w:val="20"/>
                <w:szCs w:val="20"/>
                <w:color w:val="auto"/>
              </w:rPr>
            </w:pPr>
            <w:r>
              <w:rPr>
                <w:rFonts w:ascii="Calibri" w:cs="Calibri" w:eastAsia="Calibri" w:hAnsi="Calibri"/>
                <w:sz w:val="14"/>
                <w:szCs w:val="14"/>
                <w:b w:val="1"/>
                <w:bCs w:val="1"/>
                <w:color w:val="auto"/>
              </w:rPr>
              <w:t>52.4%</w:t>
            </w:r>
          </w:p>
        </w:tc>
        <w:tc>
          <w:tcPr>
            <w:tcW w:w="1540" w:type="dxa"/>
            <w:vAlign w:val="bottom"/>
            <w:tcBorders>
              <w:bottom w:val="single" w:sz="8" w:color="auto"/>
              <w:right w:val="single" w:sz="8" w:color="auto"/>
            </w:tcBorders>
          </w:tcPr>
          <w:p>
            <w:pPr>
              <w:jc w:val="center"/>
              <w:ind w:left="268"/>
              <w:spacing w:after="0"/>
              <w:rPr>
                <w:sz w:val="20"/>
                <w:szCs w:val="20"/>
                <w:color w:val="auto"/>
              </w:rPr>
            </w:pPr>
            <w:r>
              <w:rPr>
                <w:rFonts w:ascii="Calibri" w:cs="Calibri" w:eastAsia="Calibri" w:hAnsi="Calibri"/>
                <w:sz w:val="14"/>
                <w:szCs w:val="14"/>
                <w:b w:val="1"/>
                <w:bCs w:val="1"/>
                <w:color w:val="auto"/>
              </w:rPr>
              <w:t>47.6%</w:t>
            </w:r>
          </w:p>
        </w:tc>
      </w:tr>
      <w:tr>
        <w:trPr>
          <w:trHeight w:val="166"/>
        </w:trPr>
        <w:tc>
          <w:tcPr>
            <w:tcW w:w="262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b w:val="1"/>
                <w:bCs w:val="1"/>
                <w:color w:val="auto"/>
              </w:rPr>
              <w:t>Deposits and obligatons</w:t>
            </w:r>
          </w:p>
        </w:tc>
        <w:tc>
          <w:tcPr>
            <w:tcW w:w="1440" w:type="dxa"/>
            <w:vAlign w:val="bottom"/>
            <w:tcBorders>
              <w:bottom w:val="single" w:sz="8" w:color="auto"/>
            </w:tcBorders>
          </w:tcPr>
          <w:p>
            <w:pPr>
              <w:jc w:val="right"/>
              <w:ind w:right="148"/>
              <w:spacing w:after="0" w:line="166" w:lineRule="exact"/>
              <w:rPr>
                <w:sz w:val="20"/>
                <w:szCs w:val="20"/>
                <w:color w:val="auto"/>
              </w:rPr>
            </w:pPr>
            <w:r>
              <w:rPr>
                <w:rFonts w:ascii="Calibri" w:cs="Calibri" w:eastAsia="Calibri" w:hAnsi="Calibri"/>
                <w:sz w:val="14"/>
                <w:szCs w:val="14"/>
                <w:b w:val="1"/>
                <w:bCs w:val="1"/>
                <w:color w:val="auto"/>
              </w:rPr>
              <w:t>148,471,535</w:t>
            </w:r>
          </w:p>
        </w:tc>
        <w:tc>
          <w:tcPr>
            <w:tcW w:w="1280" w:type="dxa"/>
            <w:vAlign w:val="bottom"/>
            <w:tcBorders>
              <w:bottom w:val="single" w:sz="8" w:color="auto"/>
            </w:tcBorders>
          </w:tcPr>
          <w:p>
            <w:pPr>
              <w:jc w:val="right"/>
              <w:ind w:right="148"/>
              <w:spacing w:after="0" w:line="166" w:lineRule="exact"/>
              <w:rPr>
                <w:sz w:val="20"/>
                <w:szCs w:val="20"/>
                <w:color w:val="auto"/>
              </w:rPr>
            </w:pPr>
            <w:r>
              <w:rPr>
                <w:rFonts w:ascii="Calibri" w:cs="Calibri" w:eastAsia="Calibri" w:hAnsi="Calibri"/>
                <w:sz w:val="14"/>
                <w:szCs w:val="14"/>
                <w:b w:val="1"/>
                <w:bCs w:val="1"/>
                <w:color w:val="auto"/>
              </w:rPr>
              <w:t>151,971,984</w:t>
            </w:r>
          </w:p>
        </w:tc>
        <w:tc>
          <w:tcPr>
            <w:tcW w:w="1080" w:type="dxa"/>
            <w:vAlign w:val="bottom"/>
            <w:tcBorders>
              <w:bottom w:val="single" w:sz="8" w:color="auto"/>
              <w:right w:val="single" w:sz="8" w:color="auto"/>
            </w:tcBorders>
          </w:tcPr>
          <w:p>
            <w:pPr>
              <w:jc w:val="right"/>
              <w:spacing w:after="0" w:line="166" w:lineRule="exact"/>
              <w:rPr>
                <w:sz w:val="20"/>
                <w:szCs w:val="20"/>
                <w:color w:val="auto"/>
              </w:rPr>
            </w:pPr>
            <w:r>
              <w:rPr>
                <w:rFonts w:ascii="Calibri" w:cs="Calibri" w:eastAsia="Calibri" w:hAnsi="Calibri"/>
                <w:sz w:val="14"/>
                <w:szCs w:val="14"/>
                <w:b w:val="1"/>
                <w:bCs w:val="1"/>
                <w:color w:val="auto"/>
              </w:rPr>
              <w:t>154,435,451</w:t>
            </w:r>
          </w:p>
        </w:tc>
        <w:tc>
          <w:tcPr>
            <w:tcW w:w="860" w:type="dxa"/>
            <w:vAlign w:val="bottom"/>
            <w:tcBorders>
              <w:bottom w:val="single" w:sz="8" w:color="auto"/>
            </w:tcBorders>
          </w:tcPr>
          <w:p>
            <w:pPr>
              <w:jc w:val="center"/>
              <w:ind w:left="268"/>
              <w:spacing w:after="0" w:line="166" w:lineRule="exact"/>
              <w:rPr>
                <w:sz w:val="20"/>
                <w:szCs w:val="20"/>
                <w:color w:val="auto"/>
              </w:rPr>
            </w:pPr>
            <w:r>
              <w:rPr>
                <w:rFonts w:ascii="Calibri" w:cs="Calibri" w:eastAsia="Calibri" w:hAnsi="Calibri"/>
                <w:sz w:val="14"/>
                <w:szCs w:val="14"/>
                <w:b w:val="1"/>
                <w:bCs w:val="1"/>
                <w:color w:val="auto"/>
                <w:w w:val="99"/>
              </w:rPr>
              <w:t>1.6%</w:t>
            </w:r>
          </w:p>
        </w:tc>
        <w:tc>
          <w:tcPr>
            <w:tcW w:w="1580" w:type="dxa"/>
            <w:vAlign w:val="bottom"/>
            <w:tcBorders>
              <w:bottom w:val="single" w:sz="8" w:color="auto"/>
              <w:right w:val="single" w:sz="8" w:color="auto"/>
            </w:tcBorders>
          </w:tcPr>
          <w:p>
            <w:pPr>
              <w:jc w:val="center"/>
              <w:ind w:left="248"/>
              <w:spacing w:after="0" w:line="166" w:lineRule="exact"/>
              <w:rPr>
                <w:sz w:val="20"/>
                <w:szCs w:val="20"/>
                <w:color w:val="auto"/>
              </w:rPr>
            </w:pPr>
            <w:r>
              <w:rPr>
                <w:rFonts w:ascii="Calibri" w:cs="Calibri" w:eastAsia="Calibri" w:hAnsi="Calibri"/>
                <w:sz w:val="14"/>
                <w:szCs w:val="14"/>
                <w:b w:val="1"/>
                <w:bCs w:val="1"/>
                <w:color w:val="auto"/>
              </w:rPr>
              <w:t>4.0%</w:t>
            </w:r>
          </w:p>
        </w:tc>
        <w:tc>
          <w:tcPr>
            <w:tcW w:w="840" w:type="dxa"/>
            <w:vAlign w:val="bottom"/>
            <w:tcBorders>
              <w:bottom w:val="single" w:sz="8" w:color="auto"/>
            </w:tcBorders>
          </w:tcPr>
          <w:p>
            <w:pPr>
              <w:jc w:val="center"/>
              <w:ind w:left="288"/>
              <w:spacing w:after="0" w:line="166" w:lineRule="exact"/>
              <w:rPr>
                <w:sz w:val="20"/>
                <w:szCs w:val="20"/>
                <w:color w:val="auto"/>
              </w:rPr>
            </w:pPr>
            <w:r>
              <w:rPr>
                <w:rFonts w:ascii="Calibri" w:cs="Calibri" w:eastAsia="Calibri" w:hAnsi="Calibri"/>
                <w:sz w:val="14"/>
                <w:szCs w:val="14"/>
                <w:b w:val="1"/>
                <w:bCs w:val="1"/>
                <w:color w:val="auto"/>
              </w:rPr>
              <w:t>52.0%</w:t>
            </w:r>
          </w:p>
        </w:tc>
        <w:tc>
          <w:tcPr>
            <w:tcW w:w="1540" w:type="dxa"/>
            <w:vAlign w:val="bottom"/>
            <w:tcBorders>
              <w:bottom w:val="single" w:sz="8" w:color="auto"/>
              <w:right w:val="single" w:sz="8" w:color="auto"/>
            </w:tcBorders>
          </w:tcPr>
          <w:p>
            <w:pPr>
              <w:jc w:val="center"/>
              <w:ind w:left="268"/>
              <w:spacing w:after="0" w:line="166" w:lineRule="exact"/>
              <w:rPr>
                <w:sz w:val="20"/>
                <w:szCs w:val="20"/>
                <w:color w:val="auto"/>
              </w:rPr>
            </w:pPr>
            <w:r>
              <w:rPr>
                <w:rFonts w:ascii="Calibri" w:cs="Calibri" w:eastAsia="Calibri" w:hAnsi="Calibri"/>
                <w:sz w:val="14"/>
                <w:szCs w:val="14"/>
                <w:b w:val="1"/>
                <w:bCs w:val="1"/>
                <w:color w:val="auto"/>
              </w:rPr>
              <w:t>48.0%</w:t>
            </w:r>
          </w:p>
        </w:tc>
      </w:tr>
      <w:tr>
        <w:trPr>
          <w:trHeight w:val="134"/>
        </w:trPr>
        <w:tc>
          <w:tcPr>
            <w:tcW w:w="2620" w:type="dxa"/>
            <w:vAlign w:val="bottom"/>
          </w:tcPr>
          <w:p>
            <w:pPr>
              <w:spacing w:after="0" w:line="134" w:lineRule="exact"/>
              <w:rPr>
                <w:sz w:val="20"/>
                <w:szCs w:val="20"/>
                <w:color w:val="auto"/>
              </w:rPr>
            </w:pPr>
            <w:r>
              <w:rPr>
                <w:rFonts w:ascii="Calibri" w:cs="Calibri" w:eastAsia="Calibri" w:hAnsi="Calibri"/>
                <w:sz w:val="12"/>
                <w:szCs w:val="12"/>
                <w:color w:val="auto"/>
              </w:rPr>
              <w:t>(1) Includes Demand Deposits and Saving Deposits</w:t>
            </w: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QoQ, our balance for </w:t>
      </w:r>
      <w:r>
        <w:rPr>
          <w:rFonts w:ascii="Calibri" w:cs="Calibri" w:eastAsia="Calibri" w:hAnsi="Calibri"/>
          <w:sz w:val="18"/>
          <w:szCs w:val="18"/>
          <w:b w:val="1"/>
          <w:bCs w:val="1"/>
          <w:color w:val="auto"/>
        </w:rPr>
        <w:t>Total Deposits</w:t>
      </w:r>
      <w:r>
        <w:rPr>
          <w:rFonts w:ascii="Calibri" w:cs="Calibri" w:eastAsia="Calibri" w:hAnsi="Calibri"/>
          <w:sz w:val="18"/>
          <w:szCs w:val="18"/>
          <w:color w:val="auto"/>
        </w:rPr>
        <w:t xml:space="preserve"> rose 1.6% (+3.2% FX neutral) due primarily to:</w:t>
      </w:r>
    </w:p>
    <w:p>
      <w:pPr>
        <w:spacing w:after="0" w:line="204" w:lineRule="exact"/>
        <w:rPr>
          <w:sz w:val="20"/>
          <w:szCs w:val="20"/>
          <w:color w:val="auto"/>
        </w:rPr>
      </w:pPr>
    </w:p>
    <w:p>
      <w:pPr>
        <w:jc w:val="both"/>
        <w:ind w:left="840" w:hanging="346"/>
        <w:spacing w:after="0" w:line="254" w:lineRule="auto"/>
        <w:tabs>
          <w:tab w:leader="none" w:pos="840" w:val="left"/>
        </w:tabs>
        <w:numPr>
          <w:ilvl w:val="0"/>
          <w:numId w:val="25"/>
        </w:numPr>
        <w:rPr>
          <w:rFonts w:ascii="Times New Roman" w:cs="Times New Roman" w:eastAsia="Times New Roman" w:hAnsi="Times New Roman"/>
          <w:sz w:val="15"/>
          <w:szCs w:val="15"/>
          <w:color w:val="auto"/>
        </w:rPr>
      </w:pPr>
      <w:r>
        <w:rPr>
          <w:rFonts w:ascii="Calibri" w:cs="Calibri" w:eastAsia="Calibri" w:hAnsi="Calibri"/>
          <w:sz w:val="17"/>
          <w:szCs w:val="17"/>
          <w:color w:val="auto"/>
        </w:rPr>
        <w:t xml:space="preserve">A 3.8% increase in the balance for </w:t>
      </w:r>
      <w:r>
        <w:rPr>
          <w:rFonts w:ascii="Calibri" w:cs="Calibri" w:eastAsia="Calibri" w:hAnsi="Calibri"/>
          <w:sz w:val="17"/>
          <w:szCs w:val="17"/>
          <w:b w:val="1"/>
          <w:bCs w:val="1"/>
          <w:color w:val="auto"/>
        </w:rPr>
        <w:t>Low Cost Deposits</w:t>
      </w:r>
      <w:r>
        <w:rPr>
          <w:rFonts w:ascii="Calibri" w:cs="Calibri" w:eastAsia="Calibri" w:hAnsi="Calibri"/>
          <w:sz w:val="17"/>
          <w:szCs w:val="17"/>
          <w:color w:val="auto"/>
        </w:rPr>
        <w:t xml:space="preserve">. This growth was driven by a 4.9% (+6.7% FX neutral) increase in the balance of </w:t>
      </w:r>
      <w:r>
        <w:rPr>
          <w:rFonts w:ascii="Calibri" w:cs="Calibri" w:eastAsia="Calibri" w:hAnsi="Calibri"/>
          <w:sz w:val="17"/>
          <w:szCs w:val="17"/>
          <w:b w:val="1"/>
          <w:bCs w:val="1"/>
          <w:color w:val="auto"/>
        </w:rPr>
        <w:t>Demand</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Deposits </w:t>
      </w:r>
      <w:r>
        <w:rPr>
          <w:rFonts w:ascii="Calibri" w:cs="Calibri" w:eastAsia="Calibri" w:hAnsi="Calibri"/>
          <w:sz w:val="17"/>
          <w:szCs w:val="17"/>
          <w:color w:val="auto"/>
        </w:rPr>
        <w:t>and 2.8% (+4.1% FX neutral) in the balance for</w:t>
      </w:r>
      <w:r>
        <w:rPr>
          <w:rFonts w:ascii="Calibri" w:cs="Calibri" w:eastAsia="Calibri" w:hAnsi="Calibri"/>
          <w:sz w:val="17"/>
          <w:szCs w:val="17"/>
          <w:b w:val="1"/>
          <w:bCs w:val="1"/>
          <w:color w:val="auto"/>
        </w:rPr>
        <w:t xml:space="preserve"> Savings Deposits. </w:t>
      </w:r>
      <w:r>
        <w:rPr>
          <w:rFonts w:ascii="Calibri" w:cs="Calibri" w:eastAsia="Calibri" w:hAnsi="Calibri"/>
          <w:sz w:val="17"/>
          <w:szCs w:val="17"/>
          <w:color w:val="auto"/>
        </w:rPr>
        <w:t>Growth in both deposit types was driven mainly by un uptck in LC</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deposits at BCP, which was fueled primarily by infows of funds withdrawn from AFPs and to a lesser extent, by captures of transactonal deposits.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was partally ofset by:</w:t>
      </w:r>
    </w:p>
    <w:p>
      <w:pPr>
        <w:spacing w:after="0" w:line="204" w:lineRule="exact"/>
        <w:rPr>
          <w:sz w:val="20"/>
          <w:szCs w:val="20"/>
          <w:color w:val="auto"/>
        </w:rPr>
      </w:pPr>
    </w:p>
    <w:p>
      <w:pPr>
        <w:jc w:val="both"/>
        <w:ind w:left="840" w:hanging="346"/>
        <w:spacing w:after="0" w:line="235" w:lineRule="auto"/>
        <w:tabs>
          <w:tab w:leader="none" w:pos="840" w:val="left"/>
        </w:tabs>
        <w:numPr>
          <w:ilvl w:val="0"/>
          <w:numId w:val="26"/>
        </w:numPr>
        <w:rPr>
          <w:rFonts w:ascii="Times New Roman" w:cs="Times New Roman" w:eastAsia="Times New Roman" w:hAnsi="Times New Roman"/>
          <w:sz w:val="16"/>
          <w:szCs w:val="16"/>
          <w:color w:val="auto"/>
        </w:rPr>
      </w:pPr>
      <w:r>
        <w:rPr>
          <w:rFonts w:ascii="Calibri" w:cs="Calibri" w:eastAsia="Calibri" w:hAnsi="Calibri"/>
          <w:sz w:val="18"/>
          <w:szCs w:val="18"/>
          <w:color w:val="auto"/>
        </w:rPr>
        <w:t xml:space="preserve">A 2.3% reducton (-0.5% FX neutral) in the balance for </w:t>
      </w:r>
      <w:r>
        <w:rPr>
          <w:rFonts w:ascii="Calibri" w:cs="Calibri" w:eastAsia="Calibri" w:hAnsi="Calibri"/>
          <w:sz w:val="18"/>
          <w:szCs w:val="18"/>
          <w:b w:val="1"/>
          <w:bCs w:val="1"/>
          <w:color w:val="auto"/>
        </w:rPr>
        <w:t>Time Deposits</w:t>
      </w:r>
      <w:r>
        <w:rPr>
          <w:rFonts w:ascii="Calibri" w:cs="Calibri" w:eastAsia="Calibri" w:hAnsi="Calibri"/>
          <w:sz w:val="18"/>
          <w:szCs w:val="18"/>
          <w:color w:val="auto"/>
        </w:rPr>
        <w:t xml:space="preserve">. This evoluton was atributable to a decrease in LC volumes at BCP Stand-alone, which was driven by expiratons of some retail and wholesale deposits. The impact of the contracton in the </w:t>
      </w:r>
      <w:r>
        <w:rPr>
          <w:rFonts w:ascii="Calibri" w:cs="Calibri" w:eastAsia="Calibri" w:hAnsi="Calibri"/>
          <w:sz w:val="18"/>
          <w:szCs w:val="18"/>
          <w:b w:val="1"/>
          <w:bCs w:val="1"/>
          <w:color w:val="auto"/>
        </w:rPr>
        <w:t>Time deposit balance</w:t>
      </w:r>
      <w:r>
        <w:rPr>
          <w:rFonts w:ascii="Calibri" w:cs="Calibri" w:eastAsia="Calibri" w:hAnsi="Calibri"/>
          <w:sz w:val="18"/>
          <w:szCs w:val="18"/>
          <w:color w:val="auto"/>
        </w:rPr>
        <w:t xml:space="preserve"> was ofset by fund migraton to FC deposits this quarter, which was fueled by wholesale clients seeking to leverage higher rates in US Dollars.</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YoY, the balance of </w:t>
      </w:r>
      <w:r>
        <w:rPr>
          <w:rFonts w:ascii="Calibri" w:cs="Calibri" w:eastAsia="Calibri" w:hAnsi="Calibri"/>
          <w:sz w:val="18"/>
          <w:szCs w:val="18"/>
          <w:b w:val="1"/>
          <w:bCs w:val="1"/>
          <w:color w:val="auto"/>
        </w:rPr>
        <w:t>Total Deposits</w:t>
      </w:r>
      <w:r>
        <w:rPr>
          <w:rFonts w:ascii="Calibri" w:cs="Calibri" w:eastAsia="Calibri" w:hAnsi="Calibri"/>
          <w:sz w:val="18"/>
          <w:szCs w:val="18"/>
          <w:color w:val="auto"/>
        </w:rPr>
        <w:t xml:space="preserve"> grew 4.0% (+5.1% FX neutral), due to the following dynamics:</w:t>
      </w:r>
    </w:p>
    <w:p>
      <w:pPr>
        <w:spacing w:after="0" w:line="204" w:lineRule="exact"/>
        <w:rPr>
          <w:sz w:val="20"/>
          <w:szCs w:val="20"/>
          <w:color w:val="auto"/>
        </w:rPr>
      </w:pPr>
    </w:p>
    <w:p>
      <w:pPr>
        <w:jc w:val="both"/>
        <w:ind w:left="840" w:hanging="346"/>
        <w:spacing w:after="0" w:line="235" w:lineRule="auto"/>
        <w:tabs>
          <w:tab w:leader="none" w:pos="840" w:val="left"/>
        </w:tabs>
        <w:numPr>
          <w:ilvl w:val="0"/>
          <w:numId w:val="27"/>
        </w:numPr>
        <w:rPr>
          <w:rFonts w:ascii="Times New Roman" w:cs="Times New Roman" w:eastAsia="Times New Roman" w:hAnsi="Times New Roman"/>
          <w:sz w:val="16"/>
          <w:szCs w:val="16"/>
          <w:color w:val="auto"/>
        </w:rPr>
      </w:pPr>
      <w:r>
        <w:rPr>
          <w:rFonts w:ascii="Calibri" w:cs="Calibri" w:eastAsia="Calibri" w:hAnsi="Calibri"/>
          <w:sz w:val="18"/>
          <w:szCs w:val="18"/>
          <w:color w:val="auto"/>
        </w:rPr>
        <w:t xml:space="preserve">A 13.9% growth in the balance of </w:t>
      </w:r>
      <w:r>
        <w:rPr>
          <w:rFonts w:ascii="Calibri" w:cs="Calibri" w:eastAsia="Calibri" w:hAnsi="Calibri"/>
          <w:sz w:val="18"/>
          <w:szCs w:val="18"/>
          <w:b w:val="1"/>
          <w:bCs w:val="1"/>
          <w:color w:val="auto"/>
        </w:rPr>
        <w:t>Low Cost Deposits</w:t>
      </w:r>
      <w:r>
        <w:rPr>
          <w:rFonts w:ascii="Calibri" w:cs="Calibri" w:eastAsia="Calibri" w:hAnsi="Calibri"/>
          <w:sz w:val="18"/>
          <w:szCs w:val="18"/>
          <w:color w:val="auto"/>
        </w:rPr>
        <w:t xml:space="preserve"> . This evoluton was driven by a 17.8% growth (+19.1% FX neutral) in the balance of </w:t>
      </w:r>
      <w:r>
        <w:rPr>
          <w:rFonts w:ascii="Calibri" w:cs="Calibri" w:eastAsia="Calibri" w:hAnsi="Calibri"/>
          <w:sz w:val="18"/>
          <w:szCs w:val="18"/>
          <w:b w:val="1"/>
          <w:bCs w:val="1"/>
          <w:color w:val="auto"/>
        </w:rPr>
        <w:t>Demand</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 xml:space="preserve">Deposits </w:t>
      </w:r>
      <w:r>
        <w:rPr>
          <w:rFonts w:ascii="Calibri" w:cs="Calibri" w:eastAsia="Calibri" w:hAnsi="Calibri"/>
          <w:sz w:val="18"/>
          <w:szCs w:val="18"/>
          <w:color w:val="auto"/>
        </w:rPr>
        <w:t>and 10.3% (+11.3% FX neutral) in the balance of</w:t>
      </w:r>
      <w:r>
        <w:rPr>
          <w:rFonts w:ascii="Calibri" w:cs="Calibri" w:eastAsia="Calibri" w:hAnsi="Calibri"/>
          <w:sz w:val="18"/>
          <w:szCs w:val="18"/>
          <w:b w:val="1"/>
          <w:bCs w:val="1"/>
          <w:color w:val="auto"/>
        </w:rPr>
        <w:t xml:space="preserve"> Saving Deposits </w:t>
      </w:r>
      <w:r>
        <w:rPr>
          <w:rFonts w:ascii="Calibri" w:cs="Calibri" w:eastAsia="Calibri" w:hAnsi="Calibri"/>
          <w:sz w:val="18"/>
          <w:szCs w:val="18"/>
          <w:color w:val="auto"/>
        </w:rPr>
        <w:t>fueled by infows of funds withdrawn from AFPs and by captures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transactonal deposits.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was partally ofset by:</w:t>
      </w:r>
    </w:p>
    <w:p>
      <w:pPr>
        <w:spacing w:after="0" w:line="204" w:lineRule="exact"/>
        <w:rPr>
          <w:sz w:val="20"/>
          <w:szCs w:val="20"/>
          <w:color w:val="auto"/>
        </w:rPr>
      </w:pPr>
    </w:p>
    <w:p>
      <w:pPr>
        <w:ind w:left="840" w:hanging="346"/>
        <w:spacing w:after="0" w:line="235" w:lineRule="auto"/>
        <w:tabs>
          <w:tab w:leader="none" w:pos="840" w:val="left"/>
        </w:tabs>
        <w:numPr>
          <w:ilvl w:val="0"/>
          <w:numId w:val="28"/>
        </w:numPr>
        <w:rPr>
          <w:rFonts w:ascii="Times New Roman" w:cs="Times New Roman" w:eastAsia="Times New Roman" w:hAnsi="Times New Roman"/>
          <w:sz w:val="16"/>
          <w:szCs w:val="16"/>
          <w:color w:val="auto"/>
        </w:rPr>
      </w:pPr>
      <w:r>
        <w:rPr>
          <w:rFonts w:ascii="Calibri" w:cs="Calibri" w:eastAsia="Calibri" w:hAnsi="Calibri"/>
          <w:sz w:val="18"/>
          <w:szCs w:val="18"/>
          <w:color w:val="auto"/>
        </w:rPr>
        <w:t xml:space="preserve">A 13.6% reducton (-12.5% FX neutral) in </w:t>
      </w:r>
      <w:r>
        <w:rPr>
          <w:rFonts w:ascii="Calibri" w:cs="Calibri" w:eastAsia="Calibri" w:hAnsi="Calibri"/>
          <w:sz w:val="18"/>
          <w:szCs w:val="18"/>
          <w:b w:val="1"/>
          <w:bCs w:val="1"/>
          <w:color w:val="auto"/>
        </w:rPr>
        <w:t>Time Deposits</w:t>
      </w:r>
      <w:r>
        <w:rPr>
          <w:rFonts w:ascii="Calibri" w:cs="Calibri" w:eastAsia="Calibri" w:hAnsi="Calibri"/>
          <w:sz w:val="18"/>
          <w:szCs w:val="18"/>
          <w:color w:val="auto"/>
        </w:rPr>
        <w:t>; which was spurred primarily by a drop in both LC and FC deposits at BCP Stand-alone in a context of lower rates.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important to note that the proporton of low-cost deposits in our total deposit mix has registered signifcant recovery and currently represents 69.7% of total deposits (+147 bps QoQ and +603 bps YoY). Growth in low-cost deposits refects improvements in management of the deposit mix as we seek to strengthen the fnancial margin.</w:t>
      </w:r>
    </w:p>
    <w:p>
      <w:pPr>
        <w:spacing w:after="0" w:line="38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2" w:name="page23"/>
    <w:bookmarkEnd w:id="22"/>
    <w:p>
      <w:pPr>
        <w:jc w:val="right"/>
        <w:ind w:right="560"/>
        <w:spacing w:after="0"/>
        <w:tabs>
          <w:tab w:leader="none" w:pos="2160" w:val="left"/>
        </w:tabs>
        <w:rPr>
          <w:sz w:val="20"/>
          <w:szCs w:val="20"/>
          <w:color w:val="auto"/>
        </w:rPr>
      </w:pPr>
      <w:r>
        <w:rPr>
          <w:rFonts w:ascii="Calibri" w:cs="Calibri" w:eastAsia="Calibri" w:hAnsi="Calibri"/>
          <w:sz w:val="20"/>
          <w:szCs w:val="20"/>
          <w:color w:val="A6A6A6"/>
        </w:rPr>
        <w:t>|</w:t>
      </w:r>
      <w:r>
        <w:rPr>
          <w:sz w:val="20"/>
          <w:szCs w:val="20"/>
          <w:color w:val="auto"/>
        </w:rPr>
        <w:tab/>
      </w:r>
      <w:r>
        <w:rPr>
          <w:rFonts w:ascii="Calibri" w:cs="Calibri" w:eastAsia="Calibri" w:hAnsi="Calibri"/>
          <w:sz w:val="16"/>
          <w:szCs w:val="16"/>
          <w:color w:val="BFBFBF"/>
        </w:rPr>
        <w:t>Earnings Release 3Q / 24</w:t>
      </w:r>
    </w:p>
    <w:p>
      <w:pPr>
        <w:spacing w:after="0" w:line="343"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02. Deposits</w:t>
      </w:r>
    </w:p>
    <w:p>
      <w:pPr>
        <w:spacing w:after="0" w:line="18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Dollarizaton Level of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149225</wp:posOffset>
            </wp:positionV>
            <wp:extent cx="3042920" cy="16205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42920" cy="1620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-264795</wp:posOffset>
            </wp:positionV>
            <wp:extent cx="7132320" cy="720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At the end of September 2024, the dollarizaton level of Total Deposits (in quarter-end balances) held steady QoQ, situatng at 48.0%, which was below the average for the last 2 years (49.6%). This result was driven by the increase in </w:t>
      </w:r>
      <w:r>
        <w:rPr>
          <w:rFonts w:ascii="Calibri" w:cs="Calibri" w:eastAsia="Calibri" w:hAnsi="Calibri"/>
          <w:sz w:val="18"/>
          <w:szCs w:val="18"/>
          <w:b w:val="1"/>
          <w:bCs w:val="1"/>
          <w:color w:val="auto"/>
        </w:rPr>
        <w:t>Savings Deposits</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Demand Deposits</w:t>
      </w:r>
      <w:r>
        <w:rPr>
          <w:rFonts w:ascii="Calibri" w:cs="Calibri" w:eastAsia="Calibri" w:hAnsi="Calibri"/>
          <w:sz w:val="18"/>
          <w:szCs w:val="18"/>
          <w:color w:val="auto"/>
        </w:rPr>
        <w:t xml:space="preserve"> within the LC balance, which was driven by infows of funds from the recent wave of pension fund withdrawals and was ofset by a drop in </w:t>
      </w:r>
      <w:r>
        <w:rPr>
          <w:rFonts w:ascii="Calibri" w:cs="Calibri" w:eastAsia="Calibri" w:hAnsi="Calibri"/>
          <w:sz w:val="18"/>
          <w:szCs w:val="18"/>
          <w:b w:val="1"/>
          <w:bCs w:val="1"/>
          <w:color w:val="auto"/>
        </w:rPr>
        <w:t>Time Deposits</w:t>
      </w:r>
      <w:r>
        <w:rPr>
          <w:rFonts w:ascii="Calibri" w:cs="Calibri" w:eastAsia="Calibri" w:hAnsi="Calibri"/>
          <w:sz w:val="18"/>
          <w:szCs w:val="18"/>
          <w:color w:val="auto"/>
        </w:rPr>
        <w:t xml:space="preserve"> in LC balance due to a context of easing cycle in interest rates.</w:t>
      </w:r>
    </w:p>
    <w:p>
      <w:pPr>
        <w:spacing w:after="0" w:line="2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YoY</w:t>
      </w:r>
      <w:r>
        <w:rPr>
          <w:rFonts w:ascii="Calibri" w:cs="Calibri" w:eastAsia="Calibri" w:hAnsi="Calibri"/>
          <w:sz w:val="18"/>
          <w:szCs w:val="18"/>
          <w:color w:val="auto"/>
        </w:rPr>
        <w:t>, the dollarizaton level fell 86 bps afer</w:t>
      </w:r>
      <w:r>
        <w:rPr>
          <w:rFonts w:ascii="Calibri" w:cs="Calibri" w:eastAsia="Calibri" w:hAnsi="Calibri"/>
          <w:sz w:val="18"/>
          <w:szCs w:val="18"/>
          <w:b w:val="1"/>
          <w:bCs w:val="1"/>
          <w:color w:val="auto"/>
        </w:rPr>
        <w:t xml:space="preserve"> Savings Deposits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Demand Deposits </w:t>
      </w:r>
      <w:r>
        <w:rPr>
          <w:rFonts w:ascii="Calibri" w:cs="Calibri" w:eastAsia="Calibri" w:hAnsi="Calibri"/>
          <w:sz w:val="18"/>
          <w:szCs w:val="18"/>
          <w:color w:val="auto"/>
        </w:rPr>
        <w:t>reported growth in LC fueled by the dynamics seen QoQ.</w:t>
      </w:r>
    </w:p>
    <w:p>
      <w:pPr>
        <w:spacing w:after="0" w:line="200" w:lineRule="exact"/>
        <w:rPr>
          <w:sz w:val="20"/>
          <w:szCs w:val="20"/>
          <w:color w:val="auto"/>
        </w:rPr>
      </w:pPr>
    </w:p>
    <w:p>
      <w:pPr>
        <w:sectPr>
          <w:pgSz w:w="11900" w:h="16838" w:orient="portrait"/>
          <w:cols w:equalWidth="0" w:num="2">
            <w:col w:w="5120" w:space="720"/>
            <w:col w:w="5400"/>
          </w:cols>
          <w:pgMar w:left="320" w:top="348" w:right="339" w:bottom="93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Deposits by Currency and Type</w:t>
      </w:r>
    </w:p>
    <w:p>
      <w:pPr>
        <w:spacing w:after="0" w:line="7" w:lineRule="exact"/>
        <w:rPr>
          <w:sz w:val="20"/>
          <w:szCs w:val="20"/>
          <w:color w:val="auto"/>
        </w:rPr>
      </w:pPr>
    </w:p>
    <w:p>
      <w:pPr>
        <w:jc w:val="center"/>
        <w:ind w:right="40"/>
        <w:spacing w:after="0"/>
        <w:rPr>
          <w:sz w:val="20"/>
          <w:szCs w:val="20"/>
          <w:color w:val="auto"/>
        </w:rPr>
      </w:pPr>
      <w:r>
        <w:rPr>
          <w:rFonts w:ascii="Calibri" w:cs="Calibri" w:eastAsia="Calibri" w:hAnsi="Calibri"/>
          <w:sz w:val="13"/>
          <w:szCs w:val="13"/>
          <w:color w:val="auto"/>
        </w:rPr>
        <w:t>(measured at quarter-end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57785</wp:posOffset>
            </wp:positionV>
            <wp:extent cx="6249035" cy="1560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4903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Loan / Deposit Rato (L/D rato)</w:t>
      </w:r>
    </w:p>
    <w:p>
      <w:pPr>
        <w:spacing w:after="0" w:line="213" w:lineRule="exact"/>
        <w:rPr>
          <w:sz w:val="20"/>
          <w:szCs w:val="20"/>
          <w:color w:val="auto"/>
        </w:rPr>
      </w:pPr>
    </w:p>
    <w:p>
      <w:pPr>
        <w:jc w:val="both"/>
        <w:ind w:left="5840"/>
        <w:spacing w:after="0" w:line="235" w:lineRule="auto"/>
        <w:rPr>
          <w:sz w:val="20"/>
          <w:szCs w:val="20"/>
          <w:color w:val="auto"/>
        </w:rPr>
      </w:pPr>
      <w:r>
        <w:rPr>
          <w:rFonts w:ascii="Calibri" w:cs="Calibri" w:eastAsia="Calibri" w:hAnsi="Calibri"/>
          <w:sz w:val="18"/>
          <w:szCs w:val="18"/>
          <w:color w:val="auto"/>
        </w:rPr>
        <w:t>QoQ, the L/D rato dropped 510 bps at BCP and 843 bps at Mibanco. Both of these declines were driven by a drop in the loan balance and growth in low- cost deposits in LC. At BCP, the loan balance dropped on the back of a contracton in the wholesale segment. The contracton in the balance at Mibanco, in turn, refected measures to tghten lending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-668020</wp:posOffset>
            </wp:positionV>
            <wp:extent cx="2562860" cy="213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2134235"/>
                    </a:xfrm>
                    <a:prstGeom prst="rect">
                      <a:avLst/>
                    </a:prstGeom>
                    <a:noFill/>
                  </pic:spPr>
                </pic:pic>
              </a:graphicData>
            </a:graphic>
          </wp:anchor>
        </w:drawing>
      </w:r>
    </w:p>
    <w:p>
      <w:pPr>
        <w:spacing w:after="0" w:line="200" w:lineRule="exact"/>
        <w:rPr>
          <w:sz w:val="20"/>
          <w:szCs w:val="20"/>
          <w:color w:val="auto"/>
        </w:rPr>
      </w:pPr>
    </w:p>
    <w:p>
      <w:pPr>
        <w:jc w:val="both"/>
        <w:ind w:left="5840"/>
        <w:spacing w:after="0" w:line="235" w:lineRule="auto"/>
        <w:rPr>
          <w:sz w:val="20"/>
          <w:szCs w:val="20"/>
          <w:color w:val="auto"/>
        </w:rPr>
      </w:pPr>
      <w:r>
        <w:rPr>
          <w:rFonts w:ascii="Calibri" w:cs="Calibri" w:eastAsia="Calibri" w:hAnsi="Calibri"/>
          <w:sz w:val="18"/>
          <w:szCs w:val="18"/>
          <w:color w:val="auto"/>
        </w:rPr>
        <w:t>YoY, the L/D rato dropped 763 bps and 2292 bps at BCP and Mibanco respectvely. The reductons in ratos at both enttes refected a drop in loan balances and growth in deposits via the same drivers seen QoQ.</w:t>
      </w:r>
    </w:p>
    <w:p>
      <w:pPr>
        <w:spacing w:after="0" w:line="214"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In this context, the L/D rato at Credicorp stood at 92.3%.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20"/>
        <w:spacing w:after="0"/>
        <w:tabs>
          <w:tab w:leader="none" w:pos="7540" w:val="left"/>
        </w:tabs>
        <w:rPr>
          <w:sz w:val="20"/>
          <w:szCs w:val="20"/>
          <w:color w:val="auto"/>
        </w:rPr>
      </w:pPr>
      <w:r>
        <w:rPr>
          <w:rFonts w:ascii="Calibri" w:cs="Calibri" w:eastAsia="Calibri" w:hAnsi="Calibri"/>
          <w:sz w:val="18"/>
          <w:szCs w:val="18"/>
          <w:b w:val="1"/>
          <w:bCs w:val="1"/>
          <w:color w:val="auto"/>
        </w:rPr>
        <w:t>L/D Rato Local Currency</w:t>
      </w:r>
      <w:r>
        <w:rPr>
          <w:sz w:val="20"/>
          <w:szCs w:val="20"/>
          <w:color w:val="auto"/>
        </w:rPr>
        <w:tab/>
      </w:r>
      <w:r>
        <w:rPr>
          <w:rFonts w:ascii="Calibri" w:cs="Calibri" w:eastAsia="Calibri" w:hAnsi="Calibri"/>
          <w:sz w:val="17"/>
          <w:szCs w:val="17"/>
          <w:b w:val="1"/>
          <w:bCs w:val="1"/>
          <w:color w:val="auto"/>
        </w:rPr>
        <w:t>L/D Rato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143510</wp:posOffset>
            </wp:positionV>
            <wp:extent cx="6360795" cy="1748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607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930" w:gutter="0" w:footer="0" w:header="0"/>
          <w:type w:val="continuous"/>
        </w:sectPr>
      </w:pPr>
    </w:p>
    <w:bookmarkStart w:id="23" w:name="page24"/>
    <w:bookmarkEnd w:id="23"/>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02. Deposits</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Market Share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149225</wp:posOffset>
            </wp:positionV>
            <wp:extent cx="5760720" cy="2331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072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the end of August 2024, the MS of Total Deposits at BCP and Mibanco in Peru was 31.7% and 2.6% respectvely (-78 bps and -9 bps vs Sept 2023, respectvely). BCP contnues to lead the market for total deposits.</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level of low-cost deposits rose across the fnancial system in comparison to September 2023 (+14.6%). BCP Stand-alone, however, surpassed the system’s average at the end of August 2024 (+14.9%). In this context, BCP contnued to lead the low-cost market at 40.3% the end of August 2024 (+12bps vs Sep 2023). In terms of Time Deposits, the level rose across the system (+3.1% vs Aug 2023) but fell at BCP Stand-alone (-13.5% vs Sep 23). Consequently, BCP’s market share for this deposit type fell 344 bps to stand at 17.9% at the end of August 2024.</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Credicorp’s (BCP + Mibanco) share in the market for low-cost deposits stood at 41.0% at quarter-end (+12 bps with regard to September 2023).</w:t>
      </w:r>
    </w:p>
    <w:p>
      <w:pPr>
        <w:spacing w:after="0" w:line="37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 w:name="page25"/>
    <w:bookmarkEnd w:id="24"/>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03  </w:t>
      </w:r>
      <w:r>
        <w:rPr>
          <w:rFonts w:ascii="Calibri" w:cs="Calibri" w:eastAsia="Calibri" w:hAnsi="Calibri"/>
          <w:sz w:val="32"/>
          <w:szCs w:val="32"/>
          <w:color w:val="E93BAC"/>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9944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57"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QoQ, IEA increased 2.6%, fueled by growth in Cash and due from banks in a context of high market liquidity. Loans dropped over the period, driven mainly by prepayments of long-term wholesale loans. Funding increased 0.7%, driven mainly by infows from pension fund withdrawals retained as low-cost deposits in BCP. The evoluton was partally ofset by a drop in Bonds and Issued Notes following the expiraton of a bond at BCP.</w:t>
      </w:r>
    </w:p>
    <w:p>
      <w:pPr>
        <w:spacing w:after="0" w:line="219"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YoY IEAs also rose (+5.2%), spurred by growth in the balance for Cash and due from banks, and an uptck in investments afer a strategy was implemented to extend the portolio’s duraton via larger holdings of sovereign bonds. Funding registered an increase (3.2%), mainly atributable to an uptck in deposits and, to a lesser extent, to a move to assume debt obligatons and execute new bond issuances.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3.1. IEA</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80" w:type="dxa"/>
            <w:vAlign w:val="bottom"/>
            <w:tcBorders>
              <w:top w:val="single" w:sz="8" w:color="auto"/>
              <w:left w:val="single" w:sz="8" w:color="auto"/>
              <w:right w:val="single" w:sz="8" w:color="auto"/>
            </w:tcBorders>
            <w:shd w:val="clear" w:color="auto" w:fill="33CCCC"/>
          </w:tcPr>
          <w:p>
            <w:pPr>
              <w:ind w:left="20"/>
              <w:spacing w:after="0" w:line="207" w:lineRule="exact"/>
              <w:rPr>
                <w:sz w:val="20"/>
                <w:szCs w:val="20"/>
                <w:color w:val="auto"/>
              </w:rPr>
            </w:pPr>
            <w:r>
              <w:rPr>
                <w:rFonts w:ascii="Calibri" w:cs="Calibri" w:eastAsia="Calibri" w:hAnsi="Calibri"/>
                <w:sz w:val="18"/>
                <w:szCs w:val="18"/>
                <w:b w:val="1"/>
                <w:bCs w:val="1"/>
                <w:color w:val="FFFFFF"/>
              </w:rPr>
              <w:t>Interest Earning Assets</w:t>
            </w:r>
          </w:p>
        </w:tc>
        <w:tc>
          <w:tcPr>
            <w:tcW w:w="1240" w:type="dxa"/>
            <w:vAlign w:val="bottom"/>
            <w:tcBorders>
              <w:top w:val="single" w:sz="8" w:color="auto"/>
            </w:tcBorders>
            <w:shd w:val="clear" w:color="auto" w:fill="33CCCC"/>
          </w:tcPr>
          <w:p>
            <w:pPr>
              <w:spacing w:after="0"/>
              <w:rPr>
                <w:sz w:val="18"/>
                <w:szCs w:val="18"/>
                <w:color w:val="auto"/>
              </w:rPr>
            </w:pPr>
          </w:p>
        </w:tc>
        <w:tc>
          <w:tcPr>
            <w:tcW w:w="1160" w:type="dxa"/>
            <w:vAlign w:val="bottom"/>
            <w:tcBorders>
              <w:top w:val="single" w:sz="8" w:color="auto"/>
            </w:tcBorders>
            <w:shd w:val="clear" w:color="auto" w:fill="33CCCC"/>
          </w:tcPr>
          <w:p>
            <w:pPr>
              <w:jc w:val="right"/>
              <w:ind w:right="410"/>
              <w:spacing w:after="0" w:line="207" w:lineRule="exact"/>
              <w:rPr>
                <w:sz w:val="20"/>
                <w:szCs w:val="20"/>
                <w:color w:val="auto"/>
              </w:rPr>
            </w:pPr>
            <w:r>
              <w:rPr>
                <w:rFonts w:ascii="Calibri" w:cs="Calibri" w:eastAsia="Calibri" w:hAnsi="Calibri"/>
                <w:sz w:val="18"/>
                <w:szCs w:val="18"/>
                <w:b w:val="1"/>
                <w:bCs w:val="1"/>
                <w:color w:val="FFFFFF"/>
              </w:rPr>
              <w:t>As of</w:t>
            </w:r>
          </w:p>
        </w:tc>
        <w:tc>
          <w:tcPr>
            <w:tcW w:w="1040" w:type="dxa"/>
            <w:vAlign w:val="bottom"/>
            <w:tcBorders>
              <w:top w:val="single" w:sz="8" w:color="auto"/>
              <w:right w:val="single" w:sz="8" w:color="auto"/>
            </w:tcBorders>
            <w:shd w:val="clear" w:color="auto" w:fill="33CCCC"/>
          </w:tcPr>
          <w:p>
            <w:pPr>
              <w:spacing w:after="0"/>
              <w:rPr>
                <w:sz w:val="18"/>
                <w:szCs w:val="18"/>
                <w:color w:val="auto"/>
              </w:rPr>
            </w:pPr>
          </w:p>
        </w:tc>
        <w:tc>
          <w:tcPr>
            <w:tcW w:w="1300" w:type="dxa"/>
            <w:vAlign w:val="bottom"/>
            <w:tcBorders>
              <w:top w:val="single" w:sz="8" w:color="auto"/>
            </w:tcBorders>
            <w:shd w:val="clear" w:color="auto" w:fill="33CCCC"/>
          </w:tcPr>
          <w:p>
            <w:pPr>
              <w:jc w:val="right"/>
              <w:spacing w:after="0" w:line="207" w:lineRule="exact"/>
              <w:rPr>
                <w:sz w:val="20"/>
                <w:szCs w:val="20"/>
                <w:color w:val="auto"/>
              </w:rPr>
            </w:pPr>
            <w:r>
              <w:rPr>
                <w:rFonts w:ascii="Calibri" w:cs="Calibri" w:eastAsia="Calibri" w:hAnsi="Calibri"/>
                <w:sz w:val="18"/>
                <w:szCs w:val="18"/>
                <w:b w:val="1"/>
                <w:bCs w:val="1"/>
                <w:color w:val="FFFFFF"/>
              </w:rPr>
              <w:t>% change</w:t>
            </w:r>
          </w:p>
        </w:tc>
        <w:tc>
          <w:tcPr>
            <w:tcW w:w="620" w:type="dxa"/>
            <w:vAlign w:val="bottom"/>
            <w:tcBorders>
              <w:top w:val="single" w:sz="8" w:color="auto"/>
              <w:right w:val="single" w:sz="8" w:color="auto"/>
            </w:tcBorders>
            <w:shd w:val="clear" w:color="auto" w:fill="33CCCC"/>
          </w:tcPr>
          <w:p>
            <w:pPr>
              <w:spacing w:after="0"/>
              <w:rPr>
                <w:sz w:val="18"/>
                <w:szCs w:val="18"/>
                <w:color w:val="auto"/>
              </w:rPr>
            </w:pPr>
          </w:p>
        </w:tc>
      </w:tr>
      <w:tr>
        <w:trPr>
          <w:trHeight w:val="243"/>
        </w:trPr>
        <w:tc>
          <w:tcPr>
            <w:tcW w:w="5880" w:type="dxa"/>
            <w:vAlign w:val="bottom"/>
            <w:tcBorders>
              <w:left w:val="single" w:sz="8" w:color="auto"/>
              <w:bottom w:val="single" w:sz="8" w:color="33CCCC"/>
              <w:right w:val="single" w:sz="8" w:color="auto"/>
            </w:tcBorders>
            <w:shd w:val="clear" w:color="auto" w:fill="33CCCC"/>
          </w:tcPr>
          <w:p>
            <w:pPr>
              <w:ind w:left="20"/>
              <w:spacing w:after="0" w:line="215" w:lineRule="exact"/>
              <w:rPr>
                <w:sz w:val="20"/>
                <w:szCs w:val="20"/>
                <w:color w:val="auto"/>
              </w:rPr>
            </w:pPr>
            <w:r>
              <w:rPr>
                <w:rFonts w:ascii="Calibri" w:cs="Calibri" w:eastAsia="Calibri" w:hAnsi="Calibri"/>
                <w:sz w:val="18"/>
                <w:szCs w:val="18"/>
                <w:b w:val="1"/>
                <w:bCs w:val="1"/>
                <w:color w:val="FFFFFF"/>
              </w:rPr>
              <w:t>S/000</w:t>
            </w:r>
          </w:p>
        </w:tc>
        <w:tc>
          <w:tcPr>
            <w:tcW w:w="1240" w:type="dxa"/>
            <w:vAlign w:val="bottom"/>
            <w:tcBorders>
              <w:bottom w:val="single" w:sz="8" w:color="33CCCC"/>
            </w:tcBorders>
            <w:shd w:val="clear" w:color="auto" w:fill="33CCCC"/>
          </w:tcPr>
          <w:p>
            <w:pPr>
              <w:jc w:val="right"/>
              <w:ind w:right="350"/>
              <w:spacing w:after="0" w:line="215" w:lineRule="exact"/>
              <w:rPr>
                <w:sz w:val="20"/>
                <w:szCs w:val="20"/>
                <w:color w:val="auto"/>
              </w:rPr>
            </w:pPr>
            <w:r>
              <w:rPr>
                <w:rFonts w:ascii="Calibri" w:cs="Calibri" w:eastAsia="Calibri" w:hAnsi="Calibri"/>
                <w:sz w:val="18"/>
                <w:szCs w:val="18"/>
                <w:b w:val="1"/>
                <w:bCs w:val="1"/>
                <w:color w:val="FFFFFF"/>
              </w:rPr>
              <w:t>Sep 23</w:t>
            </w:r>
          </w:p>
        </w:tc>
        <w:tc>
          <w:tcPr>
            <w:tcW w:w="1160" w:type="dxa"/>
            <w:vAlign w:val="bottom"/>
            <w:tcBorders>
              <w:bottom w:val="single" w:sz="8" w:color="33CCCC"/>
            </w:tcBorders>
            <w:shd w:val="clear" w:color="auto" w:fill="33CCCC"/>
          </w:tcPr>
          <w:p>
            <w:pPr>
              <w:jc w:val="right"/>
              <w:ind w:right="390"/>
              <w:spacing w:after="0" w:line="215" w:lineRule="exact"/>
              <w:rPr>
                <w:sz w:val="20"/>
                <w:szCs w:val="20"/>
                <w:color w:val="auto"/>
              </w:rPr>
            </w:pPr>
            <w:r>
              <w:rPr>
                <w:rFonts w:ascii="Calibri" w:cs="Calibri" w:eastAsia="Calibri" w:hAnsi="Calibri"/>
                <w:sz w:val="18"/>
                <w:szCs w:val="18"/>
                <w:b w:val="1"/>
                <w:bCs w:val="1"/>
                <w:color w:val="FFFFFF"/>
              </w:rPr>
              <w:t>Jun 24</w:t>
            </w:r>
          </w:p>
        </w:tc>
        <w:tc>
          <w:tcPr>
            <w:tcW w:w="1040" w:type="dxa"/>
            <w:vAlign w:val="bottom"/>
            <w:tcBorders>
              <w:bottom w:val="single" w:sz="8" w:color="33CCCC"/>
              <w:right w:val="single" w:sz="8" w:color="auto"/>
            </w:tcBorders>
            <w:shd w:val="clear" w:color="auto" w:fill="33CCCC"/>
          </w:tcPr>
          <w:p>
            <w:pPr>
              <w:jc w:val="right"/>
              <w:ind w:right="250"/>
              <w:spacing w:after="0" w:line="215" w:lineRule="exact"/>
              <w:rPr>
                <w:sz w:val="20"/>
                <w:szCs w:val="20"/>
                <w:color w:val="auto"/>
              </w:rPr>
            </w:pPr>
            <w:r>
              <w:rPr>
                <w:rFonts w:ascii="Calibri" w:cs="Calibri" w:eastAsia="Calibri" w:hAnsi="Calibri"/>
                <w:sz w:val="18"/>
                <w:szCs w:val="18"/>
                <w:b w:val="1"/>
                <w:bCs w:val="1"/>
                <w:color w:val="FFFFFF"/>
              </w:rPr>
              <w:t>Sep 24</w:t>
            </w:r>
          </w:p>
        </w:tc>
        <w:tc>
          <w:tcPr>
            <w:tcW w:w="1300" w:type="dxa"/>
            <w:vAlign w:val="bottom"/>
            <w:tcBorders>
              <w:bottom w:val="single" w:sz="8" w:color="33CCCC"/>
            </w:tcBorders>
            <w:shd w:val="clear" w:color="auto" w:fill="33CCCC"/>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QoQ</w:t>
            </w:r>
          </w:p>
        </w:tc>
        <w:tc>
          <w:tcPr>
            <w:tcW w:w="620" w:type="dxa"/>
            <w:vAlign w:val="bottom"/>
            <w:tcBorders>
              <w:bottom w:val="single" w:sz="8" w:color="33CCCC"/>
              <w:right w:val="single" w:sz="8" w:color="auto"/>
            </w:tcBorders>
            <w:shd w:val="clear" w:color="auto" w:fill="33CCCC"/>
          </w:tcPr>
          <w:p>
            <w:pPr>
              <w:jc w:val="right"/>
              <w:ind w:right="250"/>
              <w:spacing w:after="0" w:line="215" w:lineRule="exact"/>
              <w:rPr>
                <w:sz w:val="20"/>
                <w:szCs w:val="20"/>
                <w:color w:val="auto"/>
              </w:rPr>
            </w:pPr>
            <w:r>
              <w:rPr>
                <w:rFonts w:ascii="Calibri" w:cs="Calibri" w:eastAsia="Calibri" w:hAnsi="Calibri"/>
                <w:sz w:val="18"/>
                <w:szCs w:val="18"/>
                <w:b w:val="1"/>
                <w:bCs w:val="1"/>
                <w:color w:val="FFFFFF"/>
                <w:w w:val="91"/>
              </w:rPr>
              <w:t>YoY</w:t>
            </w:r>
          </w:p>
        </w:tc>
      </w:tr>
      <w:tr>
        <w:trPr>
          <w:trHeight w:val="187"/>
        </w:trPr>
        <w:tc>
          <w:tcPr>
            <w:tcW w:w="5880" w:type="dxa"/>
            <w:vAlign w:val="bottom"/>
            <w:tcBorders>
              <w:top w:val="single" w:sz="8" w:color="auto"/>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Cash and due from banks</w:t>
            </w:r>
          </w:p>
        </w:tc>
        <w:tc>
          <w:tcPr>
            <w:tcW w:w="1240" w:type="dxa"/>
            <w:vAlign w:val="bottom"/>
            <w:tcBorders>
              <w:top w:val="single" w:sz="8" w:color="auto"/>
            </w:tcBorders>
          </w:tcPr>
          <w:p>
            <w:pPr>
              <w:jc w:val="right"/>
              <w:ind w:right="30"/>
              <w:spacing w:after="0" w:line="187" w:lineRule="exact"/>
              <w:rPr>
                <w:sz w:val="20"/>
                <w:szCs w:val="20"/>
                <w:color w:val="auto"/>
              </w:rPr>
            </w:pPr>
            <w:r>
              <w:rPr>
                <w:rFonts w:ascii="Calibri" w:cs="Calibri" w:eastAsia="Calibri" w:hAnsi="Calibri"/>
                <w:sz w:val="18"/>
                <w:szCs w:val="18"/>
                <w:color w:val="auto"/>
              </w:rPr>
              <w:t>24,907,836</w:t>
            </w:r>
          </w:p>
        </w:tc>
        <w:tc>
          <w:tcPr>
            <w:tcW w:w="1160" w:type="dxa"/>
            <w:vAlign w:val="bottom"/>
            <w:tcBorders>
              <w:top w:val="single" w:sz="8" w:color="auto"/>
            </w:tcBorders>
          </w:tcPr>
          <w:p>
            <w:pPr>
              <w:jc w:val="right"/>
              <w:ind w:right="30"/>
              <w:spacing w:after="0" w:line="187" w:lineRule="exact"/>
              <w:rPr>
                <w:sz w:val="20"/>
                <w:szCs w:val="20"/>
                <w:color w:val="auto"/>
              </w:rPr>
            </w:pPr>
            <w:r>
              <w:rPr>
                <w:rFonts w:ascii="Calibri" w:cs="Calibri" w:eastAsia="Calibri" w:hAnsi="Calibri"/>
                <w:sz w:val="18"/>
                <w:szCs w:val="18"/>
                <w:color w:val="auto"/>
              </w:rPr>
              <w:t>27,157,901</w:t>
            </w:r>
          </w:p>
        </w:tc>
        <w:tc>
          <w:tcPr>
            <w:tcW w:w="1040" w:type="dxa"/>
            <w:vAlign w:val="bottom"/>
            <w:tcBorders>
              <w:top w:val="single" w:sz="8" w:color="auto"/>
              <w:right w:val="single" w:sz="8" w:color="auto"/>
            </w:tcBorders>
          </w:tcPr>
          <w:p>
            <w:pPr>
              <w:jc w:val="right"/>
              <w:spacing w:after="0" w:line="187" w:lineRule="exact"/>
              <w:rPr>
                <w:sz w:val="20"/>
                <w:szCs w:val="20"/>
                <w:color w:val="auto"/>
              </w:rPr>
            </w:pPr>
            <w:r>
              <w:rPr>
                <w:rFonts w:ascii="Calibri" w:cs="Calibri" w:eastAsia="Calibri" w:hAnsi="Calibri"/>
                <w:sz w:val="18"/>
                <w:szCs w:val="18"/>
                <w:color w:val="auto"/>
              </w:rPr>
              <w:t>37,007,966</w:t>
            </w:r>
          </w:p>
        </w:tc>
        <w:tc>
          <w:tcPr>
            <w:tcW w:w="1300" w:type="dxa"/>
            <w:vAlign w:val="bottom"/>
            <w:tcBorders>
              <w:top w:val="single" w:sz="8" w:color="auto"/>
            </w:tcBorders>
          </w:tcPr>
          <w:p>
            <w:pPr>
              <w:jc w:val="right"/>
              <w:ind w:right="210"/>
              <w:spacing w:after="0" w:line="187" w:lineRule="exact"/>
              <w:rPr>
                <w:sz w:val="20"/>
                <w:szCs w:val="20"/>
                <w:color w:val="auto"/>
              </w:rPr>
            </w:pPr>
            <w:r>
              <w:rPr>
                <w:rFonts w:ascii="Calibri" w:cs="Calibri" w:eastAsia="Calibri" w:hAnsi="Calibri"/>
                <w:sz w:val="18"/>
                <w:szCs w:val="18"/>
                <w:color w:val="auto"/>
              </w:rPr>
              <w:t>36.3%</w:t>
            </w:r>
          </w:p>
        </w:tc>
        <w:tc>
          <w:tcPr>
            <w:tcW w:w="620" w:type="dxa"/>
            <w:vAlign w:val="bottom"/>
            <w:tcBorders>
              <w:top w:val="single" w:sz="8" w:color="auto"/>
              <w:right w:val="single" w:sz="8" w:color="auto"/>
            </w:tcBorders>
          </w:tcPr>
          <w:p>
            <w:pPr>
              <w:jc w:val="right"/>
              <w:spacing w:after="0" w:line="187" w:lineRule="exact"/>
              <w:rPr>
                <w:sz w:val="20"/>
                <w:szCs w:val="20"/>
                <w:color w:val="auto"/>
              </w:rPr>
            </w:pPr>
            <w:r>
              <w:rPr>
                <w:rFonts w:ascii="Calibri" w:cs="Calibri" w:eastAsia="Calibri" w:hAnsi="Calibri"/>
                <w:sz w:val="18"/>
                <w:szCs w:val="18"/>
                <w:color w:val="auto"/>
              </w:rPr>
              <w:t>48.6%</w:t>
            </w:r>
          </w:p>
        </w:tc>
      </w:tr>
      <w:tr>
        <w:trPr>
          <w:trHeight w:val="215"/>
        </w:trPr>
        <w:tc>
          <w:tcPr>
            <w:tcW w:w="588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Total investments</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51,116,913</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52,426,146</w:t>
            </w:r>
          </w:p>
        </w:tc>
        <w:tc>
          <w:tcPr>
            <w:tcW w:w="10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53,328,873</w:t>
            </w:r>
          </w:p>
        </w:tc>
        <w:tc>
          <w:tcPr>
            <w:tcW w:w="130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1.7%</w:t>
            </w:r>
          </w:p>
        </w:tc>
        <w:tc>
          <w:tcPr>
            <w:tcW w:w="62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w:t>
            </w:r>
          </w:p>
        </w:tc>
      </w:tr>
      <w:tr>
        <w:trPr>
          <w:trHeight w:val="216"/>
        </w:trPr>
        <w:tc>
          <w:tcPr>
            <w:tcW w:w="588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8"/>
                <w:szCs w:val="18"/>
                <w:color w:val="auto"/>
              </w:rPr>
              <w:t>Cash collateral, reverse repurchase agreements and securites borrowing</w:t>
            </w:r>
          </w:p>
        </w:tc>
        <w:tc>
          <w:tcPr>
            <w:tcW w:w="12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1,513,622</w:t>
            </w:r>
          </w:p>
        </w:tc>
        <w:tc>
          <w:tcPr>
            <w:tcW w:w="11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1,777,491</w:t>
            </w:r>
          </w:p>
        </w:tc>
        <w:tc>
          <w:tcPr>
            <w:tcW w:w="104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1,419,305</w:t>
            </w:r>
          </w:p>
        </w:tc>
        <w:tc>
          <w:tcPr>
            <w:tcW w:w="130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-20.2%</w:t>
            </w:r>
          </w:p>
        </w:tc>
        <w:tc>
          <w:tcPr>
            <w:tcW w:w="62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-6.2%</w:t>
            </w:r>
          </w:p>
        </w:tc>
      </w:tr>
      <w:tr>
        <w:trPr>
          <w:trHeight w:val="216"/>
        </w:trPr>
        <w:tc>
          <w:tcPr>
            <w:tcW w:w="588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8"/>
                <w:szCs w:val="18"/>
                <w:color w:val="auto"/>
              </w:rPr>
              <w:t>Total loans</w:t>
            </w:r>
          </w:p>
        </w:tc>
        <w:tc>
          <w:tcPr>
            <w:tcW w:w="12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145,129,260</w:t>
            </w:r>
          </w:p>
        </w:tc>
        <w:tc>
          <w:tcPr>
            <w:tcW w:w="11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146,946,546</w:t>
            </w:r>
          </w:p>
        </w:tc>
        <w:tc>
          <w:tcPr>
            <w:tcW w:w="104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142,568,785</w:t>
            </w:r>
          </w:p>
        </w:tc>
        <w:tc>
          <w:tcPr>
            <w:tcW w:w="130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-3.0%</w:t>
            </w:r>
          </w:p>
        </w:tc>
        <w:tc>
          <w:tcPr>
            <w:tcW w:w="62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-1.8%</w:t>
            </w:r>
          </w:p>
        </w:tc>
      </w:tr>
      <w:tr>
        <w:trPr>
          <w:trHeight w:val="23"/>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09"/>
        </w:trPr>
        <w:tc>
          <w:tcPr>
            <w:tcW w:w="588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Total interest earning assets</w:t>
            </w: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222,667,631</w:t>
            </w:r>
          </w:p>
        </w:tc>
        <w:tc>
          <w:tcPr>
            <w:tcW w:w="116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228,308,084</w:t>
            </w:r>
          </w:p>
        </w:tc>
        <w:tc>
          <w:tcPr>
            <w:tcW w:w="10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234,324,929</w:t>
            </w:r>
          </w:p>
        </w:tc>
        <w:tc>
          <w:tcPr>
            <w:tcW w:w="130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b w:val="1"/>
                <w:bCs w:val="1"/>
                <w:color w:val="auto"/>
              </w:rPr>
              <w:t>2.6%</w:t>
            </w:r>
          </w:p>
        </w:tc>
        <w:tc>
          <w:tcPr>
            <w:tcW w:w="62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5.2%</w:t>
            </w: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QoQ, IEA rose 2.6%, driven primarily by an increase in the balance for Cash and due from banks, which was in turn partally ofset by a drop in the loan balance. The uptck in Cash and due from banks was unfurled in a context of high market liquidity, where surpluses were capitalized through overnight deposits in BCRP. Loans fell over the period, fueled mainly by a drop in the Wholesale Banking balance due to loan prepayments during the quarter. To a lesser extent, the decline in total loans was atributable to a contracton in loan balances at Mibanco.</w:t>
      </w:r>
    </w:p>
    <w:p>
      <w:pPr>
        <w:spacing w:after="0" w:line="2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YoY, IEA increased 5.2% due to an uptck in the Cash and due from banks balance and, to a lesser extent, to growth in the investment balance. The Cash and due from banks balance grew mainly due to liquidity coming from an increase in deposits and to a lesser extent, from funding captured to antcipate forthcoming debt maturites. These liquid funds were invested in BCRP deposits to a large extent. Total investments rose as part of a strategy to increase the duraton of the portolio through larger holdings of sovereign bonds. These dynamics were partally ofset by a drop in the loan balance, which was impacted by a reducton in Mibanco’s loan portolio, as in the QoQ analysis.</w:t>
      </w: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3.2. Funding</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80" w:type="dxa"/>
            <w:vAlign w:val="bottom"/>
            <w:tcBorders>
              <w:top w:val="single" w:sz="8" w:color="auto"/>
              <w:left w:val="single" w:sz="8" w:color="auto"/>
              <w:right w:val="single" w:sz="8" w:color="auto"/>
            </w:tcBorders>
            <w:shd w:val="clear" w:color="auto" w:fill="33CCCC"/>
          </w:tcPr>
          <w:p>
            <w:pPr>
              <w:ind w:left="20"/>
              <w:spacing w:after="0" w:line="207" w:lineRule="exact"/>
              <w:rPr>
                <w:sz w:val="20"/>
                <w:szCs w:val="20"/>
                <w:color w:val="auto"/>
              </w:rPr>
            </w:pPr>
            <w:r>
              <w:rPr>
                <w:rFonts w:ascii="Calibri" w:cs="Calibri" w:eastAsia="Calibri" w:hAnsi="Calibri"/>
                <w:sz w:val="18"/>
                <w:szCs w:val="18"/>
                <w:b w:val="1"/>
                <w:bCs w:val="1"/>
                <w:color w:val="FFFFFF"/>
              </w:rPr>
              <w:t>Funding</w:t>
            </w:r>
          </w:p>
        </w:tc>
        <w:tc>
          <w:tcPr>
            <w:tcW w:w="1240" w:type="dxa"/>
            <w:vAlign w:val="bottom"/>
            <w:tcBorders>
              <w:top w:val="single" w:sz="8" w:color="auto"/>
            </w:tcBorders>
            <w:shd w:val="clear" w:color="auto" w:fill="33CCCC"/>
          </w:tcPr>
          <w:p>
            <w:pPr>
              <w:spacing w:after="0"/>
              <w:rPr>
                <w:sz w:val="18"/>
                <w:szCs w:val="18"/>
                <w:color w:val="auto"/>
              </w:rPr>
            </w:pPr>
          </w:p>
        </w:tc>
        <w:tc>
          <w:tcPr>
            <w:tcW w:w="1160" w:type="dxa"/>
            <w:vAlign w:val="bottom"/>
            <w:tcBorders>
              <w:top w:val="single" w:sz="8" w:color="auto"/>
            </w:tcBorders>
            <w:shd w:val="clear" w:color="auto" w:fill="33CCCC"/>
          </w:tcPr>
          <w:p>
            <w:pPr>
              <w:jc w:val="right"/>
              <w:ind w:right="410"/>
              <w:spacing w:after="0" w:line="207" w:lineRule="exact"/>
              <w:rPr>
                <w:sz w:val="20"/>
                <w:szCs w:val="20"/>
                <w:color w:val="auto"/>
              </w:rPr>
            </w:pPr>
            <w:r>
              <w:rPr>
                <w:rFonts w:ascii="Calibri" w:cs="Calibri" w:eastAsia="Calibri" w:hAnsi="Calibri"/>
                <w:sz w:val="18"/>
                <w:szCs w:val="18"/>
                <w:b w:val="1"/>
                <w:bCs w:val="1"/>
                <w:color w:val="FFFFFF"/>
              </w:rPr>
              <w:t>As of</w:t>
            </w:r>
          </w:p>
        </w:tc>
        <w:tc>
          <w:tcPr>
            <w:tcW w:w="1040" w:type="dxa"/>
            <w:vAlign w:val="bottom"/>
            <w:tcBorders>
              <w:top w:val="single" w:sz="8" w:color="auto"/>
              <w:right w:val="single" w:sz="8" w:color="auto"/>
            </w:tcBorders>
            <w:shd w:val="clear" w:color="auto" w:fill="33CCCC"/>
          </w:tcPr>
          <w:p>
            <w:pPr>
              <w:spacing w:after="0"/>
              <w:rPr>
                <w:sz w:val="18"/>
                <w:szCs w:val="18"/>
                <w:color w:val="auto"/>
              </w:rPr>
            </w:pPr>
          </w:p>
        </w:tc>
        <w:tc>
          <w:tcPr>
            <w:tcW w:w="1300" w:type="dxa"/>
            <w:vAlign w:val="bottom"/>
            <w:tcBorders>
              <w:top w:val="single" w:sz="8" w:color="auto"/>
            </w:tcBorders>
            <w:shd w:val="clear" w:color="auto" w:fill="33CCCC"/>
          </w:tcPr>
          <w:p>
            <w:pPr>
              <w:jc w:val="right"/>
              <w:spacing w:after="0" w:line="207" w:lineRule="exact"/>
              <w:rPr>
                <w:sz w:val="20"/>
                <w:szCs w:val="20"/>
                <w:color w:val="auto"/>
              </w:rPr>
            </w:pPr>
            <w:r>
              <w:rPr>
                <w:rFonts w:ascii="Calibri" w:cs="Calibri" w:eastAsia="Calibri" w:hAnsi="Calibri"/>
                <w:sz w:val="18"/>
                <w:szCs w:val="18"/>
                <w:b w:val="1"/>
                <w:bCs w:val="1"/>
                <w:color w:val="FFFFFF"/>
              </w:rPr>
              <w:t>% change</w:t>
            </w:r>
          </w:p>
        </w:tc>
        <w:tc>
          <w:tcPr>
            <w:tcW w:w="620" w:type="dxa"/>
            <w:vAlign w:val="bottom"/>
            <w:tcBorders>
              <w:top w:val="single" w:sz="8" w:color="auto"/>
              <w:right w:val="single" w:sz="8" w:color="auto"/>
            </w:tcBorders>
            <w:shd w:val="clear" w:color="auto" w:fill="33CCCC"/>
          </w:tcPr>
          <w:p>
            <w:pPr>
              <w:spacing w:after="0"/>
              <w:rPr>
                <w:sz w:val="18"/>
                <w:szCs w:val="18"/>
                <w:color w:val="auto"/>
              </w:rPr>
            </w:pPr>
          </w:p>
        </w:tc>
      </w:tr>
      <w:tr>
        <w:trPr>
          <w:trHeight w:val="243"/>
        </w:trPr>
        <w:tc>
          <w:tcPr>
            <w:tcW w:w="5880" w:type="dxa"/>
            <w:vAlign w:val="bottom"/>
            <w:tcBorders>
              <w:left w:val="single" w:sz="8" w:color="auto"/>
              <w:bottom w:val="single" w:sz="8" w:color="33CCCC"/>
              <w:right w:val="single" w:sz="8" w:color="auto"/>
            </w:tcBorders>
            <w:shd w:val="clear" w:color="auto" w:fill="33CCCC"/>
          </w:tcPr>
          <w:p>
            <w:pPr>
              <w:ind w:left="20"/>
              <w:spacing w:after="0" w:line="215" w:lineRule="exact"/>
              <w:rPr>
                <w:sz w:val="20"/>
                <w:szCs w:val="20"/>
                <w:color w:val="auto"/>
              </w:rPr>
            </w:pPr>
            <w:r>
              <w:rPr>
                <w:rFonts w:ascii="Calibri" w:cs="Calibri" w:eastAsia="Calibri" w:hAnsi="Calibri"/>
                <w:sz w:val="18"/>
                <w:szCs w:val="18"/>
                <w:b w:val="1"/>
                <w:bCs w:val="1"/>
                <w:color w:val="FFFFFF"/>
              </w:rPr>
              <w:t>S/000</w:t>
            </w:r>
          </w:p>
        </w:tc>
        <w:tc>
          <w:tcPr>
            <w:tcW w:w="1240" w:type="dxa"/>
            <w:vAlign w:val="bottom"/>
            <w:tcBorders>
              <w:bottom w:val="single" w:sz="8" w:color="33CCCC"/>
            </w:tcBorders>
            <w:shd w:val="clear" w:color="auto" w:fill="33CCCC"/>
          </w:tcPr>
          <w:p>
            <w:pPr>
              <w:jc w:val="right"/>
              <w:ind w:right="350"/>
              <w:spacing w:after="0" w:line="215" w:lineRule="exact"/>
              <w:rPr>
                <w:sz w:val="20"/>
                <w:szCs w:val="20"/>
                <w:color w:val="auto"/>
              </w:rPr>
            </w:pPr>
            <w:r>
              <w:rPr>
                <w:rFonts w:ascii="Calibri" w:cs="Calibri" w:eastAsia="Calibri" w:hAnsi="Calibri"/>
                <w:sz w:val="18"/>
                <w:szCs w:val="18"/>
                <w:b w:val="1"/>
                <w:bCs w:val="1"/>
                <w:color w:val="FFFFFF"/>
              </w:rPr>
              <w:t>Sep 23</w:t>
            </w:r>
          </w:p>
        </w:tc>
        <w:tc>
          <w:tcPr>
            <w:tcW w:w="1160" w:type="dxa"/>
            <w:vAlign w:val="bottom"/>
            <w:tcBorders>
              <w:bottom w:val="single" w:sz="8" w:color="33CCCC"/>
            </w:tcBorders>
            <w:shd w:val="clear" w:color="auto" w:fill="33CCCC"/>
          </w:tcPr>
          <w:p>
            <w:pPr>
              <w:jc w:val="right"/>
              <w:ind w:right="390"/>
              <w:spacing w:after="0" w:line="215" w:lineRule="exact"/>
              <w:rPr>
                <w:sz w:val="20"/>
                <w:szCs w:val="20"/>
                <w:color w:val="auto"/>
              </w:rPr>
            </w:pPr>
            <w:r>
              <w:rPr>
                <w:rFonts w:ascii="Calibri" w:cs="Calibri" w:eastAsia="Calibri" w:hAnsi="Calibri"/>
                <w:sz w:val="18"/>
                <w:szCs w:val="18"/>
                <w:b w:val="1"/>
                <w:bCs w:val="1"/>
                <w:color w:val="FFFFFF"/>
              </w:rPr>
              <w:t>Jun 24</w:t>
            </w:r>
          </w:p>
        </w:tc>
        <w:tc>
          <w:tcPr>
            <w:tcW w:w="1040" w:type="dxa"/>
            <w:vAlign w:val="bottom"/>
            <w:tcBorders>
              <w:bottom w:val="single" w:sz="8" w:color="33CCCC"/>
              <w:right w:val="single" w:sz="8" w:color="auto"/>
            </w:tcBorders>
            <w:shd w:val="clear" w:color="auto" w:fill="33CCCC"/>
          </w:tcPr>
          <w:p>
            <w:pPr>
              <w:jc w:val="right"/>
              <w:ind w:right="250"/>
              <w:spacing w:after="0" w:line="215" w:lineRule="exact"/>
              <w:rPr>
                <w:sz w:val="20"/>
                <w:szCs w:val="20"/>
                <w:color w:val="auto"/>
              </w:rPr>
            </w:pPr>
            <w:r>
              <w:rPr>
                <w:rFonts w:ascii="Calibri" w:cs="Calibri" w:eastAsia="Calibri" w:hAnsi="Calibri"/>
                <w:sz w:val="18"/>
                <w:szCs w:val="18"/>
                <w:b w:val="1"/>
                <w:bCs w:val="1"/>
                <w:color w:val="FFFFFF"/>
              </w:rPr>
              <w:t>Sep 24</w:t>
            </w:r>
          </w:p>
        </w:tc>
        <w:tc>
          <w:tcPr>
            <w:tcW w:w="1300" w:type="dxa"/>
            <w:vAlign w:val="bottom"/>
            <w:tcBorders>
              <w:bottom w:val="single" w:sz="8" w:color="33CCCC"/>
            </w:tcBorders>
            <w:shd w:val="clear" w:color="auto" w:fill="33CCCC"/>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QoQ</w:t>
            </w:r>
          </w:p>
        </w:tc>
        <w:tc>
          <w:tcPr>
            <w:tcW w:w="620" w:type="dxa"/>
            <w:vAlign w:val="bottom"/>
            <w:tcBorders>
              <w:bottom w:val="single" w:sz="8" w:color="33CCCC"/>
              <w:right w:val="single" w:sz="8" w:color="auto"/>
            </w:tcBorders>
            <w:shd w:val="clear" w:color="auto" w:fill="33CCCC"/>
          </w:tcPr>
          <w:p>
            <w:pPr>
              <w:jc w:val="right"/>
              <w:ind w:right="250"/>
              <w:spacing w:after="0" w:line="215" w:lineRule="exact"/>
              <w:rPr>
                <w:sz w:val="20"/>
                <w:szCs w:val="20"/>
                <w:color w:val="auto"/>
              </w:rPr>
            </w:pPr>
            <w:r>
              <w:rPr>
                <w:rFonts w:ascii="Calibri" w:cs="Calibri" w:eastAsia="Calibri" w:hAnsi="Calibri"/>
                <w:sz w:val="18"/>
                <w:szCs w:val="18"/>
                <w:b w:val="1"/>
                <w:bCs w:val="1"/>
                <w:color w:val="FFFFFF"/>
                <w:w w:val="91"/>
              </w:rPr>
              <w:t>YoY</w:t>
            </w:r>
          </w:p>
        </w:tc>
      </w:tr>
      <w:tr>
        <w:trPr>
          <w:trHeight w:val="187"/>
        </w:trPr>
        <w:tc>
          <w:tcPr>
            <w:tcW w:w="5880" w:type="dxa"/>
            <w:vAlign w:val="bottom"/>
            <w:tcBorders>
              <w:top w:val="single" w:sz="8" w:color="auto"/>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Deposits and obligatons</w:t>
            </w:r>
          </w:p>
        </w:tc>
        <w:tc>
          <w:tcPr>
            <w:tcW w:w="1240" w:type="dxa"/>
            <w:vAlign w:val="bottom"/>
            <w:tcBorders>
              <w:top w:val="single" w:sz="8" w:color="auto"/>
            </w:tcBorders>
          </w:tcPr>
          <w:p>
            <w:pPr>
              <w:jc w:val="right"/>
              <w:ind w:right="50"/>
              <w:spacing w:after="0" w:line="187" w:lineRule="exact"/>
              <w:rPr>
                <w:sz w:val="20"/>
                <w:szCs w:val="20"/>
                <w:color w:val="auto"/>
              </w:rPr>
            </w:pPr>
            <w:r>
              <w:rPr>
                <w:rFonts w:ascii="Calibri" w:cs="Calibri" w:eastAsia="Calibri" w:hAnsi="Calibri"/>
                <w:sz w:val="18"/>
                <w:szCs w:val="18"/>
                <w:color w:val="auto"/>
              </w:rPr>
              <w:t>148,471,535</w:t>
            </w:r>
          </w:p>
        </w:tc>
        <w:tc>
          <w:tcPr>
            <w:tcW w:w="1160" w:type="dxa"/>
            <w:vAlign w:val="bottom"/>
            <w:tcBorders>
              <w:top w:val="single" w:sz="8" w:color="auto"/>
            </w:tcBorders>
          </w:tcPr>
          <w:p>
            <w:pPr>
              <w:jc w:val="right"/>
              <w:ind w:right="30"/>
              <w:spacing w:after="0" w:line="187" w:lineRule="exact"/>
              <w:rPr>
                <w:sz w:val="20"/>
                <w:szCs w:val="20"/>
                <w:color w:val="auto"/>
              </w:rPr>
            </w:pPr>
            <w:r>
              <w:rPr>
                <w:rFonts w:ascii="Calibri" w:cs="Calibri" w:eastAsia="Calibri" w:hAnsi="Calibri"/>
                <w:sz w:val="18"/>
                <w:szCs w:val="18"/>
                <w:color w:val="auto"/>
              </w:rPr>
              <w:t>151,971,984</w:t>
            </w:r>
          </w:p>
        </w:tc>
        <w:tc>
          <w:tcPr>
            <w:tcW w:w="1040" w:type="dxa"/>
            <w:vAlign w:val="bottom"/>
            <w:tcBorders>
              <w:top w:val="single" w:sz="8" w:color="auto"/>
              <w:right w:val="single" w:sz="8" w:color="auto"/>
            </w:tcBorders>
          </w:tcPr>
          <w:p>
            <w:pPr>
              <w:jc w:val="right"/>
              <w:spacing w:after="0" w:line="187" w:lineRule="exact"/>
              <w:rPr>
                <w:sz w:val="20"/>
                <w:szCs w:val="20"/>
                <w:color w:val="auto"/>
              </w:rPr>
            </w:pPr>
            <w:r>
              <w:rPr>
                <w:rFonts w:ascii="Calibri" w:cs="Calibri" w:eastAsia="Calibri" w:hAnsi="Calibri"/>
                <w:sz w:val="18"/>
                <w:szCs w:val="18"/>
                <w:color w:val="auto"/>
              </w:rPr>
              <w:t>154,435,451</w:t>
            </w:r>
          </w:p>
        </w:tc>
        <w:tc>
          <w:tcPr>
            <w:tcW w:w="1300" w:type="dxa"/>
            <w:vAlign w:val="bottom"/>
            <w:tcBorders>
              <w:top w:val="single" w:sz="8" w:color="auto"/>
            </w:tcBorders>
          </w:tcPr>
          <w:p>
            <w:pPr>
              <w:jc w:val="right"/>
              <w:ind w:right="210"/>
              <w:spacing w:after="0" w:line="187" w:lineRule="exact"/>
              <w:rPr>
                <w:sz w:val="20"/>
                <w:szCs w:val="20"/>
                <w:color w:val="auto"/>
              </w:rPr>
            </w:pPr>
            <w:r>
              <w:rPr>
                <w:rFonts w:ascii="Calibri" w:cs="Calibri" w:eastAsia="Calibri" w:hAnsi="Calibri"/>
                <w:sz w:val="18"/>
                <w:szCs w:val="18"/>
                <w:color w:val="auto"/>
              </w:rPr>
              <w:t>1.6%</w:t>
            </w:r>
          </w:p>
        </w:tc>
        <w:tc>
          <w:tcPr>
            <w:tcW w:w="620" w:type="dxa"/>
            <w:vAlign w:val="bottom"/>
            <w:tcBorders>
              <w:top w:val="single" w:sz="8" w:color="auto"/>
              <w:right w:val="single" w:sz="8" w:color="auto"/>
            </w:tcBorders>
          </w:tcPr>
          <w:p>
            <w:pPr>
              <w:jc w:val="right"/>
              <w:spacing w:after="0" w:line="187" w:lineRule="exact"/>
              <w:rPr>
                <w:sz w:val="20"/>
                <w:szCs w:val="20"/>
                <w:color w:val="auto"/>
              </w:rPr>
            </w:pPr>
            <w:r>
              <w:rPr>
                <w:rFonts w:ascii="Calibri" w:cs="Calibri" w:eastAsia="Calibri" w:hAnsi="Calibri"/>
                <w:sz w:val="18"/>
                <w:szCs w:val="18"/>
                <w:color w:val="auto"/>
              </w:rPr>
              <w:t>4.0%</w:t>
            </w:r>
          </w:p>
        </w:tc>
      </w:tr>
      <w:tr>
        <w:trPr>
          <w:trHeight w:val="215"/>
        </w:trPr>
        <w:tc>
          <w:tcPr>
            <w:tcW w:w="588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Due to banks and correspondents</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10,493,411</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12,620,346</w:t>
            </w:r>
          </w:p>
        </w:tc>
        <w:tc>
          <w:tcPr>
            <w:tcW w:w="10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12,704,234</w:t>
            </w:r>
          </w:p>
        </w:tc>
        <w:tc>
          <w:tcPr>
            <w:tcW w:w="130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0.7%</w:t>
            </w:r>
          </w:p>
        </w:tc>
        <w:tc>
          <w:tcPr>
            <w:tcW w:w="62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21.1%</w:t>
            </w:r>
          </w:p>
        </w:tc>
      </w:tr>
      <w:tr>
        <w:trPr>
          <w:trHeight w:val="216"/>
        </w:trPr>
        <w:tc>
          <w:tcPr>
            <w:tcW w:w="588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8"/>
                <w:szCs w:val="18"/>
                <w:color w:val="auto"/>
              </w:rPr>
              <w:t>BCRP instruments</w:t>
            </w:r>
          </w:p>
        </w:tc>
        <w:tc>
          <w:tcPr>
            <w:tcW w:w="12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9,616,150</w:t>
            </w:r>
          </w:p>
        </w:tc>
        <w:tc>
          <w:tcPr>
            <w:tcW w:w="11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5,542,892</w:t>
            </w:r>
          </w:p>
        </w:tc>
        <w:tc>
          <w:tcPr>
            <w:tcW w:w="104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4,788,939</w:t>
            </w:r>
          </w:p>
        </w:tc>
        <w:tc>
          <w:tcPr>
            <w:tcW w:w="130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-13.6%</w:t>
            </w:r>
          </w:p>
        </w:tc>
        <w:tc>
          <w:tcPr>
            <w:tcW w:w="62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-50.2%</w:t>
            </w:r>
          </w:p>
        </w:tc>
      </w:tr>
      <w:tr>
        <w:trPr>
          <w:trHeight w:val="216"/>
        </w:trPr>
        <w:tc>
          <w:tcPr>
            <w:tcW w:w="588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8"/>
                <w:szCs w:val="18"/>
                <w:color w:val="auto"/>
              </w:rPr>
              <w:t>Repurchase agreements with clients and third partes</w:t>
            </w:r>
          </w:p>
        </w:tc>
        <w:tc>
          <w:tcPr>
            <w:tcW w:w="12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2,121,870</w:t>
            </w:r>
          </w:p>
        </w:tc>
        <w:tc>
          <w:tcPr>
            <w:tcW w:w="11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2,146,797</w:t>
            </w:r>
          </w:p>
        </w:tc>
        <w:tc>
          <w:tcPr>
            <w:tcW w:w="104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2,594,165</w:t>
            </w:r>
          </w:p>
        </w:tc>
        <w:tc>
          <w:tcPr>
            <w:tcW w:w="130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20.8%</w:t>
            </w:r>
          </w:p>
        </w:tc>
        <w:tc>
          <w:tcPr>
            <w:tcW w:w="62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22.3%</w:t>
            </w:r>
          </w:p>
        </w:tc>
      </w:tr>
      <w:tr>
        <w:trPr>
          <w:trHeight w:val="216"/>
        </w:trPr>
        <w:tc>
          <w:tcPr>
            <w:tcW w:w="588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8"/>
                <w:szCs w:val="18"/>
                <w:color w:val="auto"/>
              </w:rPr>
              <w:t>Bonds and notes issued</w:t>
            </w:r>
          </w:p>
        </w:tc>
        <w:tc>
          <w:tcPr>
            <w:tcW w:w="12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14,914,632</w:t>
            </w:r>
          </w:p>
        </w:tc>
        <w:tc>
          <w:tcPr>
            <w:tcW w:w="11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17,953,508</w:t>
            </w:r>
          </w:p>
        </w:tc>
        <w:tc>
          <w:tcPr>
            <w:tcW w:w="104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16,952,011</w:t>
            </w:r>
          </w:p>
        </w:tc>
        <w:tc>
          <w:tcPr>
            <w:tcW w:w="130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-5.6%</w:t>
            </w:r>
          </w:p>
        </w:tc>
        <w:tc>
          <w:tcPr>
            <w:tcW w:w="620" w:type="dxa"/>
            <w:vAlign w:val="bottom"/>
            <w:tcBorders>
              <w:right w:val="single" w:sz="8" w:color="auto"/>
            </w:tcBorders>
          </w:tcPr>
          <w:p>
            <w:pPr>
              <w:jc w:val="right"/>
              <w:spacing w:after="0" w:line="216" w:lineRule="exact"/>
              <w:rPr>
                <w:sz w:val="20"/>
                <w:szCs w:val="20"/>
                <w:color w:val="auto"/>
              </w:rPr>
            </w:pPr>
            <w:r>
              <w:rPr>
                <w:rFonts w:ascii="Calibri" w:cs="Calibri" w:eastAsia="Calibri" w:hAnsi="Calibri"/>
                <w:sz w:val="18"/>
                <w:szCs w:val="18"/>
                <w:color w:val="auto"/>
              </w:rPr>
              <w:t>13.7%</w:t>
            </w:r>
          </w:p>
        </w:tc>
      </w:tr>
      <w:tr>
        <w:trPr>
          <w:trHeight w:val="23"/>
        </w:trPr>
        <w:tc>
          <w:tcPr>
            <w:tcW w:w="58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09"/>
        </w:trPr>
        <w:tc>
          <w:tcPr>
            <w:tcW w:w="588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Total funding</w:t>
            </w: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185,617,598</w:t>
            </w:r>
          </w:p>
        </w:tc>
        <w:tc>
          <w:tcPr>
            <w:tcW w:w="116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190,235,527</w:t>
            </w:r>
          </w:p>
        </w:tc>
        <w:tc>
          <w:tcPr>
            <w:tcW w:w="10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191,474,800</w:t>
            </w:r>
          </w:p>
        </w:tc>
        <w:tc>
          <w:tcPr>
            <w:tcW w:w="130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b w:val="1"/>
                <w:bCs w:val="1"/>
                <w:color w:val="auto"/>
              </w:rPr>
              <w:t>0.7%</w:t>
            </w:r>
          </w:p>
        </w:tc>
        <w:tc>
          <w:tcPr>
            <w:tcW w:w="62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3.2%</w:t>
            </w: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QoQ, funding rose 0.7%, driven by growth in the deposit balance, which was partally ofset by a drop in the Bond balance following the expiraton of senior debt at BCP. The uptck in the deposit balance refected fows of funds to low-cost deposits at BCP, mainly from AFP withdrawals. This evoluton was partally ofset by a reducton in LC term deposit balances afer rates fell due to BCRP rate cuts.</w:t>
      </w:r>
    </w:p>
    <w:p>
      <w:pPr>
        <w:spacing w:after="0" w:line="20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YoY, funding increased 3.2%, spurred mainly by growth in the deposit balance due to the same dynamics seen QoQ. The uptck in funding was also due, albeit to a lesser extent, to growth in Due to banks and correspondents and to an increase in the Bonds and Issued Notes balance. Growth in Due to Banks was driven by specifc opportunites in debt funding in foreign currency (FC) while the uptck in the Bond and Issued Notes balance rose due to a strategy to refnance long-term debt.</w:t>
      </w:r>
    </w:p>
    <w:p>
      <w:pPr>
        <w:spacing w:after="0" w:line="3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 w:name="page26"/>
    <w:bookmarkEnd w:id="25"/>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04  </w:t>
      </w:r>
      <w:r>
        <w:rPr>
          <w:rFonts w:ascii="Calibri" w:cs="Calibri" w:eastAsia="Calibri" w:hAnsi="Calibri"/>
          <w:sz w:val="32"/>
          <w:szCs w:val="32"/>
          <w:color w:val="E93B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551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98"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In 3Q24, Net Interest Income (NII) rose 3.5% QoQ, driven by a drop in interest and similar expenses. The reducton in both these items was fueled by growth in low-cost deposits’s share of the deposit mix, which rose on the back of fund infows from pension fund withdrawals. Interest and similar income also increased, propelled mainly by the optmizaton of available funds in a context of ample liquidity.</w:t>
      </w:r>
    </w:p>
    <w:p>
      <w:pPr>
        <w:spacing w:after="0" w:line="205"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YoY, NII grew 10.3%, spurred by an uptck in Interest and Similar Income, which was driven mainly by higher income from available funds and, to a lesser extent, by growth in interest on loans due to an increase in the share of retail loans within BCP’s portolio. As was the case QoQ, a drop in Interest and Similar Expenses, fueled by a reducton in the interest expense on deposits, also contributed to NII growth.</w:t>
      </w:r>
    </w:p>
    <w:p>
      <w:pPr>
        <w:spacing w:after="0" w:line="205"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NIM rose 10 bps QoQ and 32 bps YoY to stand at 6.43%. This evoluton was atributable to efectve asset / liability management, which bolstered the yield on IEAs in a context of lower rates. The aforementoned, coupled with our strategic funding advantage, which is anchored in our solid value propositon for transactons, contributed to maintaining the upward trend in NIM.</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3760" w:type="dxa"/>
            <w:vAlign w:val="bottom"/>
            <w:tcBorders>
              <w:top w:val="single" w:sz="8" w:color="auto"/>
              <w:left w:val="single" w:sz="8" w:color="auto"/>
              <w:right w:val="single" w:sz="8" w:color="auto"/>
            </w:tcBorders>
            <w:shd w:val="clear" w:color="auto" w:fill="33CCCC"/>
          </w:tcPr>
          <w:p>
            <w:pPr>
              <w:ind w:left="20"/>
              <w:spacing w:after="0" w:line="134" w:lineRule="exact"/>
              <w:rPr>
                <w:sz w:val="20"/>
                <w:szCs w:val="20"/>
                <w:color w:val="auto"/>
              </w:rPr>
            </w:pPr>
            <w:r>
              <w:rPr>
                <w:rFonts w:ascii="Calibri" w:cs="Calibri" w:eastAsia="Calibri" w:hAnsi="Calibri"/>
                <w:sz w:val="12"/>
                <w:szCs w:val="12"/>
                <w:b w:val="1"/>
                <w:bCs w:val="1"/>
                <w:color w:val="FFFFFF"/>
              </w:rPr>
              <w:t>Net interest income</w:t>
            </w:r>
          </w:p>
        </w:tc>
        <w:tc>
          <w:tcPr>
            <w:tcW w:w="1020" w:type="dxa"/>
            <w:vAlign w:val="bottom"/>
            <w:tcBorders>
              <w:top w:val="single" w:sz="8" w:color="auto"/>
            </w:tcBorders>
            <w:shd w:val="clear" w:color="auto" w:fill="33CCCC"/>
          </w:tcPr>
          <w:p>
            <w:pPr>
              <w:spacing w:after="0"/>
              <w:rPr>
                <w:sz w:val="11"/>
                <w:szCs w:val="11"/>
                <w:color w:val="auto"/>
              </w:rPr>
            </w:pPr>
          </w:p>
        </w:tc>
        <w:tc>
          <w:tcPr>
            <w:tcW w:w="1020" w:type="dxa"/>
            <w:vAlign w:val="bottom"/>
            <w:tcBorders>
              <w:top w:val="single" w:sz="8" w:color="auto"/>
            </w:tcBorders>
            <w:shd w:val="clear" w:color="auto" w:fill="33CCCC"/>
          </w:tcPr>
          <w:p>
            <w:pPr>
              <w:jc w:val="right"/>
              <w:ind w:right="282"/>
              <w:spacing w:after="0" w:line="134" w:lineRule="exact"/>
              <w:rPr>
                <w:sz w:val="20"/>
                <w:szCs w:val="20"/>
                <w:color w:val="auto"/>
              </w:rPr>
            </w:pPr>
            <w:r>
              <w:rPr>
                <w:rFonts w:ascii="Calibri" w:cs="Calibri" w:eastAsia="Calibri" w:hAnsi="Calibri"/>
                <w:sz w:val="12"/>
                <w:szCs w:val="12"/>
                <w:b w:val="1"/>
                <w:bCs w:val="1"/>
                <w:color w:val="FFFFFF"/>
              </w:rPr>
              <w:t>Quarter</w:t>
            </w:r>
          </w:p>
        </w:tc>
        <w:tc>
          <w:tcPr>
            <w:tcW w:w="1000" w:type="dxa"/>
            <w:vAlign w:val="bottom"/>
            <w:tcBorders>
              <w:top w:val="single" w:sz="8" w:color="auto"/>
              <w:right w:val="single" w:sz="8" w:color="auto"/>
            </w:tcBorders>
            <w:shd w:val="clear" w:color="auto" w:fill="33CCCC"/>
          </w:tcPr>
          <w:p>
            <w:pPr>
              <w:spacing w:after="0"/>
              <w:rPr>
                <w:sz w:val="11"/>
                <w:szCs w:val="11"/>
                <w:color w:val="auto"/>
              </w:rPr>
            </w:pPr>
          </w:p>
        </w:tc>
        <w:tc>
          <w:tcPr>
            <w:tcW w:w="1320" w:type="dxa"/>
            <w:vAlign w:val="bottom"/>
            <w:tcBorders>
              <w:top w:val="single" w:sz="8" w:color="auto"/>
              <w:right w:val="single" w:sz="8" w:color="auto"/>
            </w:tcBorders>
            <w:gridSpan w:val="2"/>
            <w:shd w:val="clear" w:color="auto" w:fill="33CCCC"/>
          </w:tcPr>
          <w:p>
            <w:pPr>
              <w:ind w:left="420"/>
              <w:spacing w:after="0" w:line="134" w:lineRule="exact"/>
              <w:rPr>
                <w:sz w:val="20"/>
                <w:szCs w:val="20"/>
                <w:color w:val="auto"/>
              </w:rPr>
            </w:pPr>
            <w:r>
              <w:rPr>
                <w:rFonts w:ascii="Calibri" w:cs="Calibri" w:eastAsia="Calibri" w:hAnsi="Calibri"/>
                <w:sz w:val="12"/>
                <w:szCs w:val="12"/>
                <w:b w:val="1"/>
                <w:bCs w:val="1"/>
                <w:color w:val="FFFFFF"/>
              </w:rPr>
              <w:t>% change</w:t>
            </w:r>
          </w:p>
        </w:tc>
        <w:tc>
          <w:tcPr>
            <w:tcW w:w="840" w:type="dxa"/>
            <w:vAlign w:val="bottom"/>
            <w:tcBorders>
              <w:top w:val="single" w:sz="8" w:color="auto"/>
            </w:tcBorders>
            <w:shd w:val="clear" w:color="auto" w:fill="33CCCC"/>
          </w:tcPr>
          <w:p>
            <w:pPr>
              <w:spacing w:after="0"/>
              <w:rPr>
                <w:sz w:val="11"/>
                <w:szCs w:val="11"/>
                <w:color w:val="auto"/>
              </w:rPr>
            </w:pPr>
          </w:p>
        </w:tc>
        <w:tc>
          <w:tcPr>
            <w:tcW w:w="1180" w:type="dxa"/>
            <w:vAlign w:val="bottom"/>
            <w:tcBorders>
              <w:top w:val="single" w:sz="8" w:color="auto"/>
              <w:right w:val="single" w:sz="8" w:color="auto"/>
            </w:tcBorders>
            <w:shd w:val="clear" w:color="auto" w:fill="33CCCC"/>
          </w:tcPr>
          <w:p>
            <w:pPr>
              <w:jc w:val="right"/>
              <w:ind w:right="842"/>
              <w:spacing w:after="0" w:line="134" w:lineRule="exact"/>
              <w:rPr>
                <w:sz w:val="20"/>
                <w:szCs w:val="20"/>
                <w:color w:val="auto"/>
              </w:rPr>
            </w:pPr>
            <w:r>
              <w:rPr>
                <w:rFonts w:ascii="Calibri" w:cs="Calibri" w:eastAsia="Calibri" w:hAnsi="Calibri"/>
                <w:sz w:val="12"/>
                <w:szCs w:val="12"/>
                <w:b w:val="1"/>
                <w:bCs w:val="1"/>
                <w:color w:val="FFFFFF"/>
                <w:w w:val="93"/>
              </w:rPr>
              <w:t>Up to</w:t>
            </w:r>
          </w:p>
        </w:tc>
        <w:tc>
          <w:tcPr>
            <w:tcW w:w="1100" w:type="dxa"/>
            <w:vAlign w:val="bottom"/>
            <w:tcBorders>
              <w:top w:val="single" w:sz="8" w:color="auto"/>
              <w:right w:val="single" w:sz="8" w:color="auto"/>
            </w:tcBorders>
            <w:shd w:val="clear" w:color="auto" w:fill="33CCCC"/>
          </w:tcPr>
          <w:p>
            <w:pPr>
              <w:jc w:val="center"/>
              <w:spacing w:after="0" w:line="134" w:lineRule="exact"/>
              <w:rPr>
                <w:sz w:val="20"/>
                <w:szCs w:val="20"/>
                <w:color w:val="auto"/>
              </w:rPr>
            </w:pPr>
            <w:r>
              <w:rPr>
                <w:rFonts w:ascii="Calibri" w:cs="Calibri" w:eastAsia="Calibri" w:hAnsi="Calibri"/>
                <w:sz w:val="12"/>
                <w:szCs w:val="12"/>
                <w:b w:val="1"/>
                <w:bCs w:val="1"/>
                <w:color w:val="FFFFFF"/>
                <w:w w:val="99"/>
              </w:rPr>
              <w:t>% Change</w:t>
            </w:r>
          </w:p>
        </w:tc>
      </w:tr>
      <w:tr>
        <w:trPr>
          <w:trHeight w:val="144"/>
        </w:trPr>
        <w:tc>
          <w:tcPr>
            <w:tcW w:w="3760" w:type="dxa"/>
            <w:vAlign w:val="bottom"/>
            <w:tcBorders>
              <w:left w:val="single" w:sz="8" w:color="auto"/>
              <w:bottom w:val="single" w:sz="8" w:color="auto"/>
              <w:right w:val="single" w:sz="8" w:color="auto"/>
            </w:tcBorders>
            <w:shd w:val="clear" w:color="auto" w:fill="33CCCC"/>
          </w:tcPr>
          <w:p>
            <w:pPr>
              <w:ind w:left="20"/>
              <w:spacing w:after="0" w:line="138" w:lineRule="exact"/>
              <w:rPr>
                <w:sz w:val="20"/>
                <w:szCs w:val="20"/>
                <w:color w:val="auto"/>
              </w:rPr>
            </w:pPr>
            <w:r>
              <w:rPr>
                <w:rFonts w:ascii="Calibri" w:cs="Calibri" w:eastAsia="Calibri" w:hAnsi="Calibri"/>
                <w:sz w:val="12"/>
                <w:szCs w:val="12"/>
                <w:b w:val="1"/>
                <w:bCs w:val="1"/>
                <w:color w:val="FFFFFF"/>
              </w:rPr>
              <w:t>S/ 000</w:t>
            </w:r>
          </w:p>
        </w:tc>
        <w:tc>
          <w:tcPr>
            <w:tcW w:w="1020" w:type="dxa"/>
            <w:vAlign w:val="bottom"/>
            <w:tcBorders>
              <w:bottom w:val="single" w:sz="8" w:color="auto"/>
            </w:tcBorders>
            <w:shd w:val="clear" w:color="auto" w:fill="33CCCC"/>
          </w:tcPr>
          <w:p>
            <w:pPr>
              <w:jc w:val="center"/>
              <w:spacing w:after="0" w:line="138" w:lineRule="exact"/>
              <w:rPr>
                <w:sz w:val="20"/>
                <w:szCs w:val="20"/>
                <w:color w:val="auto"/>
              </w:rPr>
            </w:pPr>
            <w:r>
              <w:rPr>
                <w:rFonts w:ascii="Calibri" w:cs="Calibri" w:eastAsia="Calibri" w:hAnsi="Calibri"/>
                <w:sz w:val="12"/>
                <w:szCs w:val="12"/>
                <w:b w:val="1"/>
                <w:bCs w:val="1"/>
                <w:color w:val="FFFFFF"/>
                <w:w w:val="97"/>
              </w:rPr>
              <w:t>3Q23</w:t>
            </w:r>
          </w:p>
        </w:tc>
        <w:tc>
          <w:tcPr>
            <w:tcW w:w="1020" w:type="dxa"/>
            <w:vAlign w:val="bottom"/>
            <w:tcBorders>
              <w:bottom w:val="single" w:sz="8" w:color="auto"/>
            </w:tcBorders>
            <w:shd w:val="clear" w:color="auto" w:fill="33CCCC"/>
          </w:tcPr>
          <w:p>
            <w:pPr>
              <w:jc w:val="center"/>
              <w:ind w:right="22"/>
              <w:spacing w:after="0" w:line="138" w:lineRule="exact"/>
              <w:rPr>
                <w:sz w:val="20"/>
                <w:szCs w:val="20"/>
                <w:color w:val="auto"/>
              </w:rPr>
            </w:pPr>
            <w:r>
              <w:rPr>
                <w:rFonts w:ascii="Calibri" w:cs="Calibri" w:eastAsia="Calibri" w:hAnsi="Calibri"/>
                <w:sz w:val="12"/>
                <w:szCs w:val="12"/>
                <w:b w:val="1"/>
                <w:bCs w:val="1"/>
                <w:color w:val="FFFFFF"/>
                <w:w w:val="97"/>
              </w:rPr>
              <w:t>2Q24</w:t>
            </w:r>
          </w:p>
        </w:tc>
        <w:tc>
          <w:tcPr>
            <w:tcW w:w="1000" w:type="dxa"/>
            <w:vAlign w:val="bottom"/>
            <w:tcBorders>
              <w:bottom w:val="single" w:sz="8" w:color="auto"/>
              <w:right w:val="single" w:sz="8" w:color="auto"/>
            </w:tcBorders>
            <w:shd w:val="clear" w:color="auto" w:fill="33CCCC"/>
          </w:tcPr>
          <w:p>
            <w:pPr>
              <w:jc w:val="center"/>
              <w:ind w:right="2"/>
              <w:spacing w:after="0" w:line="138" w:lineRule="exact"/>
              <w:rPr>
                <w:sz w:val="20"/>
                <w:szCs w:val="20"/>
                <w:color w:val="auto"/>
              </w:rPr>
            </w:pPr>
            <w:r>
              <w:rPr>
                <w:rFonts w:ascii="Calibri" w:cs="Calibri" w:eastAsia="Calibri" w:hAnsi="Calibri"/>
                <w:sz w:val="12"/>
                <w:szCs w:val="12"/>
                <w:b w:val="1"/>
                <w:bCs w:val="1"/>
                <w:color w:val="FFFFFF"/>
                <w:w w:val="97"/>
              </w:rPr>
              <w:t>3Q24</w:t>
            </w:r>
          </w:p>
        </w:tc>
        <w:tc>
          <w:tcPr>
            <w:tcW w:w="620" w:type="dxa"/>
            <w:vAlign w:val="bottom"/>
            <w:tcBorders>
              <w:bottom w:val="single" w:sz="8" w:color="auto"/>
            </w:tcBorders>
            <w:shd w:val="clear" w:color="auto" w:fill="33CCCC"/>
          </w:tcPr>
          <w:p>
            <w:pPr>
              <w:jc w:val="center"/>
              <w:spacing w:after="0" w:line="138" w:lineRule="exact"/>
              <w:rPr>
                <w:sz w:val="20"/>
                <w:szCs w:val="20"/>
                <w:color w:val="auto"/>
              </w:rPr>
            </w:pPr>
            <w:r>
              <w:rPr>
                <w:rFonts w:ascii="Calibri" w:cs="Calibri" w:eastAsia="Calibri" w:hAnsi="Calibri"/>
                <w:sz w:val="12"/>
                <w:szCs w:val="12"/>
                <w:b w:val="1"/>
                <w:bCs w:val="1"/>
                <w:color w:val="FFFFFF"/>
                <w:w w:val="95"/>
              </w:rPr>
              <w:t>QoQ</w:t>
            </w:r>
          </w:p>
        </w:tc>
        <w:tc>
          <w:tcPr>
            <w:tcW w:w="700" w:type="dxa"/>
            <w:vAlign w:val="bottom"/>
            <w:tcBorders>
              <w:bottom w:val="single" w:sz="8" w:color="auto"/>
              <w:right w:val="single" w:sz="8" w:color="auto"/>
            </w:tcBorders>
            <w:shd w:val="clear" w:color="auto" w:fill="33CCCC"/>
          </w:tcPr>
          <w:p>
            <w:pPr>
              <w:jc w:val="center"/>
              <w:spacing w:after="0" w:line="138" w:lineRule="exact"/>
              <w:rPr>
                <w:sz w:val="20"/>
                <w:szCs w:val="20"/>
                <w:color w:val="auto"/>
              </w:rPr>
            </w:pPr>
            <w:r>
              <w:rPr>
                <w:rFonts w:ascii="Calibri" w:cs="Calibri" w:eastAsia="Calibri" w:hAnsi="Calibri"/>
                <w:sz w:val="12"/>
                <w:szCs w:val="12"/>
                <w:b w:val="1"/>
                <w:bCs w:val="1"/>
                <w:color w:val="FFFFFF"/>
                <w:w w:val="94"/>
              </w:rPr>
              <w:t>YoY</w:t>
            </w:r>
          </w:p>
        </w:tc>
        <w:tc>
          <w:tcPr>
            <w:tcW w:w="840" w:type="dxa"/>
            <w:vAlign w:val="bottom"/>
            <w:tcBorders>
              <w:bottom w:val="single" w:sz="8" w:color="auto"/>
            </w:tcBorders>
            <w:shd w:val="clear" w:color="auto" w:fill="33CCCC"/>
          </w:tcPr>
          <w:p>
            <w:pPr>
              <w:jc w:val="right"/>
              <w:ind w:right="142"/>
              <w:spacing w:after="0" w:line="138" w:lineRule="exact"/>
              <w:rPr>
                <w:sz w:val="20"/>
                <w:szCs w:val="20"/>
                <w:color w:val="auto"/>
              </w:rPr>
            </w:pPr>
            <w:r>
              <w:rPr>
                <w:rFonts w:ascii="Calibri" w:cs="Calibri" w:eastAsia="Calibri" w:hAnsi="Calibri"/>
                <w:sz w:val="12"/>
                <w:szCs w:val="12"/>
                <w:b w:val="1"/>
                <w:bCs w:val="1"/>
                <w:color w:val="FFFFFF"/>
              </w:rPr>
              <w:t>Sep 23</w:t>
            </w:r>
          </w:p>
        </w:tc>
        <w:tc>
          <w:tcPr>
            <w:tcW w:w="1180" w:type="dxa"/>
            <w:vAlign w:val="bottom"/>
            <w:tcBorders>
              <w:bottom w:val="single" w:sz="8" w:color="auto"/>
              <w:right w:val="single" w:sz="8" w:color="auto"/>
            </w:tcBorders>
            <w:shd w:val="clear" w:color="auto" w:fill="33CCCC"/>
          </w:tcPr>
          <w:p>
            <w:pPr>
              <w:jc w:val="right"/>
              <w:ind w:right="302"/>
              <w:spacing w:after="0" w:line="138" w:lineRule="exact"/>
              <w:rPr>
                <w:sz w:val="20"/>
                <w:szCs w:val="20"/>
                <w:color w:val="auto"/>
              </w:rPr>
            </w:pPr>
            <w:r>
              <w:rPr>
                <w:rFonts w:ascii="Calibri" w:cs="Calibri" w:eastAsia="Calibri" w:hAnsi="Calibri"/>
                <w:sz w:val="12"/>
                <w:szCs w:val="12"/>
                <w:b w:val="1"/>
                <w:bCs w:val="1"/>
                <w:color w:val="FFFFFF"/>
              </w:rPr>
              <w:t>Sep 24</w:t>
            </w:r>
          </w:p>
        </w:tc>
        <w:tc>
          <w:tcPr>
            <w:tcW w:w="1100" w:type="dxa"/>
            <w:vAlign w:val="bottom"/>
            <w:tcBorders>
              <w:bottom w:val="single" w:sz="8" w:color="auto"/>
              <w:right w:val="single" w:sz="8" w:color="auto"/>
            </w:tcBorders>
            <w:shd w:val="clear" w:color="auto" w:fill="33CCCC"/>
          </w:tcPr>
          <w:p>
            <w:pPr>
              <w:jc w:val="center"/>
              <w:spacing w:after="0" w:line="138" w:lineRule="exact"/>
              <w:rPr>
                <w:sz w:val="20"/>
                <w:szCs w:val="20"/>
                <w:color w:val="auto"/>
              </w:rPr>
            </w:pPr>
            <w:r>
              <w:rPr>
                <w:rFonts w:ascii="Calibri" w:cs="Calibri" w:eastAsia="Calibri" w:hAnsi="Calibri"/>
                <w:sz w:val="12"/>
                <w:szCs w:val="12"/>
                <w:b w:val="1"/>
                <w:bCs w:val="1"/>
                <w:color w:val="FFFFFF"/>
                <w:w w:val="95"/>
              </w:rPr>
              <w:t>Sep 24/Sep 23</w:t>
            </w:r>
          </w:p>
        </w:tc>
      </w:tr>
      <w:tr>
        <w:trPr>
          <w:trHeight w:val="120"/>
        </w:trPr>
        <w:tc>
          <w:tcPr>
            <w:tcW w:w="3760" w:type="dxa"/>
            <w:vAlign w:val="bottom"/>
            <w:tcBorders>
              <w:left w:val="single" w:sz="8" w:color="auto"/>
              <w:right w:val="single" w:sz="8" w:color="auto"/>
            </w:tcBorders>
          </w:tcPr>
          <w:p>
            <w:pPr>
              <w:ind w:left="180"/>
              <w:spacing w:after="0" w:line="120" w:lineRule="exact"/>
              <w:rPr>
                <w:sz w:val="20"/>
                <w:szCs w:val="20"/>
                <w:color w:val="auto"/>
              </w:rPr>
            </w:pPr>
            <w:r>
              <w:rPr>
                <w:rFonts w:ascii="Calibri" w:cs="Calibri" w:eastAsia="Calibri" w:hAnsi="Calibri"/>
                <w:sz w:val="12"/>
                <w:szCs w:val="12"/>
                <w:color w:val="auto"/>
              </w:rPr>
              <w:t>Interest Income</w:t>
            </w:r>
          </w:p>
        </w:tc>
        <w:tc>
          <w:tcPr>
            <w:tcW w:w="10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auto"/>
                <w:w w:val="98"/>
              </w:rPr>
              <w:t>4,819,101</w:t>
            </w:r>
          </w:p>
        </w:tc>
        <w:tc>
          <w:tcPr>
            <w:tcW w:w="1020" w:type="dxa"/>
            <w:vAlign w:val="bottom"/>
          </w:tcPr>
          <w:p>
            <w:pPr>
              <w:jc w:val="center"/>
              <w:ind w:right="2"/>
              <w:spacing w:after="0" w:line="120" w:lineRule="exact"/>
              <w:rPr>
                <w:sz w:val="20"/>
                <w:szCs w:val="20"/>
                <w:color w:val="auto"/>
              </w:rPr>
            </w:pPr>
            <w:r>
              <w:rPr>
                <w:rFonts w:ascii="Calibri" w:cs="Calibri" w:eastAsia="Calibri" w:hAnsi="Calibri"/>
                <w:sz w:val="12"/>
                <w:szCs w:val="12"/>
                <w:b w:val="1"/>
                <w:bCs w:val="1"/>
                <w:color w:val="auto"/>
                <w:w w:val="98"/>
              </w:rPr>
              <w:t>4,935,238</w:t>
            </w:r>
          </w:p>
        </w:tc>
        <w:tc>
          <w:tcPr>
            <w:tcW w:w="1000" w:type="dxa"/>
            <w:vAlign w:val="bottom"/>
            <w:tcBorders>
              <w:right w:val="single" w:sz="8" w:color="auto"/>
            </w:tcBorders>
          </w:tcPr>
          <w:p>
            <w:pPr>
              <w:jc w:val="center"/>
              <w:ind w:right="22"/>
              <w:spacing w:after="0" w:line="120" w:lineRule="exact"/>
              <w:rPr>
                <w:sz w:val="20"/>
                <w:szCs w:val="20"/>
                <w:color w:val="auto"/>
              </w:rPr>
            </w:pPr>
            <w:r>
              <w:rPr>
                <w:rFonts w:ascii="Calibri" w:cs="Calibri" w:eastAsia="Calibri" w:hAnsi="Calibri"/>
                <w:sz w:val="12"/>
                <w:szCs w:val="12"/>
                <w:b w:val="1"/>
                <w:bCs w:val="1"/>
                <w:color w:val="auto"/>
                <w:w w:val="98"/>
              </w:rPr>
              <w:t>4,995,971</w:t>
            </w:r>
          </w:p>
        </w:tc>
        <w:tc>
          <w:tcPr>
            <w:tcW w:w="6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auto"/>
                <w:w w:val="91"/>
              </w:rPr>
              <w:t>1.2%</w:t>
            </w:r>
          </w:p>
        </w:tc>
        <w:tc>
          <w:tcPr>
            <w:tcW w:w="700" w:type="dxa"/>
            <w:vAlign w:val="bottom"/>
            <w:tcBorders>
              <w:right w:val="single" w:sz="8" w:color="auto"/>
            </w:tcBorders>
          </w:tcPr>
          <w:p>
            <w:pPr>
              <w:jc w:val="center"/>
              <w:spacing w:after="0" w:line="120" w:lineRule="exact"/>
              <w:rPr>
                <w:sz w:val="20"/>
                <w:szCs w:val="20"/>
                <w:color w:val="auto"/>
              </w:rPr>
            </w:pPr>
            <w:r>
              <w:rPr>
                <w:rFonts w:ascii="Calibri" w:cs="Calibri" w:eastAsia="Calibri" w:hAnsi="Calibri"/>
                <w:sz w:val="12"/>
                <w:szCs w:val="12"/>
                <w:b w:val="1"/>
                <w:bCs w:val="1"/>
                <w:color w:val="auto"/>
                <w:w w:val="99"/>
              </w:rPr>
              <w:t>3.7%</w:t>
            </w:r>
          </w:p>
        </w:tc>
        <w:tc>
          <w:tcPr>
            <w:tcW w:w="840" w:type="dxa"/>
            <w:vAlign w:val="bottom"/>
          </w:tcPr>
          <w:p>
            <w:pPr>
              <w:jc w:val="center"/>
              <w:ind w:left="82"/>
              <w:spacing w:after="0" w:line="120" w:lineRule="exact"/>
              <w:rPr>
                <w:sz w:val="20"/>
                <w:szCs w:val="20"/>
                <w:color w:val="auto"/>
              </w:rPr>
            </w:pPr>
            <w:r>
              <w:rPr>
                <w:rFonts w:ascii="Calibri" w:cs="Calibri" w:eastAsia="Calibri" w:hAnsi="Calibri"/>
                <w:sz w:val="12"/>
                <w:szCs w:val="12"/>
                <w:b w:val="1"/>
                <w:bCs w:val="1"/>
                <w:color w:val="auto"/>
                <w:w w:val="98"/>
              </w:rPr>
              <w:t>13,928,453</w:t>
            </w:r>
          </w:p>
        </w:tc>
        <w:tc>
          <w:tcPr>
            <w:tcW w:w="1180" w:type="dxa"/>
            <w:vAlign w:val="bottom"/>
            <w:tcBorders>
              <w:right w:val="single" w:sz="8" w:color="auto"/>
            </w:tcBorders>
          </w:tcPr>
          <w:p>
            <w:pPr>
              <w:jc w:val="center"/>
              <w:ind w:left="62"/>
              <w:spacing w:after="0" w:line="120" w:lineRule="exact"/>
              <w:rPr>
                <w:sz w:val="20"/>
                <w:szCs w:val="20"/>
                <w:color w:val="auto"/>
              </w:rPr>
            </w:pPr>
            <w:r>
              <w:rPr>
                <w:rFonts w:ascii="Calibri" w:cs="Calibri" w:eastAsia="Calibri" w:hAnsi="Calibri"/>
                <w:sz w:val="12"/>
                <w:szCs w:val="12"/>
                <w:b w:val="1"/>
                <w:bCs w:val="1"/>
                <w:color w:val="auto"/>
                <w:w w:val="98"/>
              </w:rPr>
              <w:t>14,857,135</w:t>
            </w:r>
          </w:p>
        </w:tc>
        <w:tc>
          <w:tcPr>
            <w:tcW w:w="1100" w:type="dxa"/>
            <w:vAlign w:val="bottom"/>
            <w:tcBorders>
              <w:right w:val="single" w:sz="8" w:color="auto"/>
            </w:tcBorders>
          </w:tcPr>
          <w:p>
            <w:pPr>
              <w:jc w:val="center"/>
              <w:spacing w:after="0" w:line="120" w:lineRule="exact"/>
              <w:rPr>
                <w:sz w:val="20"/>
                <w:szCs w:val="20"/>
                <w:color w:val="auto"/>
              </w:rPr>
            </w:pPr>
            <w:r>
              <w:rPr>
                <w:rFonts w:ascii="Calibri" w:cs="Calibri" w:eastAsia="Calibri" w:hAnsi="Calibri"/>
                <w:sz w:val="12"/>
                <w:szCs w:val="12"/>
                <w:b w:val="1"/>
                <w:bCs w:val="1"/>
                <w:color w:val="auto"/>
                <w:w w:val="99"/>
              </w:rPr>
              <w:t>6.7%</w:t>
            </w:r>
          </w:p>
        </w:tc>
      </w:tr>
      <w:tr>
        <w:trPr>
          <w:trHeight w:val="135"/>
        </w:trPr>
        <w:tc>
          <w:tcPr>
            <w:tcW w:w="3760" w:type="dxa"/>
            <w:vAlign w:val="bottom"/>
            <w:tcBorders>
              <w:left w:val="single" w:sz="8" w:color="auto"/>
              <w:righ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Interest Expense</w:t>
            </w:r>
          </w:p>
        </w:tc>
        <w:tc>
          <w:tcPr>
            <w:tcW w:w="1020" w:type="dxa"/>
            <w:vAlign w:val="bottom"/>
          </w:tcPr>
          <w:p>
            <w:pPr>
              <w:jc w:val="center"/>
              <w:spacing w:after="0" w:line="135" w:lineRule="exact"/>
              <w:rPr>
                <w:sz w:val="20"/>
                <w:szCs w:val="20"/>
                <w:color w:val="auto"/>
              </w:rPr>
            </w:pPr>
            <w:r>
              <w:rPr>
                <w:rFonts w:ascii="Calibri" w:cs="Calibri" w:eastAsia="Calibri" w:hAnsi="Calibri"/>
                <w:sz w:val="12"/>
                <w:szCs w:val="12"/>
                <w:color w:val="auto"/>
                <w:w w:val="96"/>
              </w:rPr>
              <w:t>(1,565,058)</w:t>
            </w:r>
          </w:p>
        </w:tc>
        <w:tc>
          <w:tcPr>
            <w:tcW w:w="1020" w:type="dxa"/>
            <w:vAlign w:val="bottom"/>
          </w:tcPr>
          <w:p>
            <w:pPr>
              <w:jc w:val="center"/>
              <w:ind w:right="22"/>
              <w:spacing w:after="0" w:line="135" w:lineRule="exact"/>
              <w:rPr>
                <w:sz w:val="20"/>
                <w:szCs w:val="20"/>
                <w:color w:val="auto"/>
              </w:rPr>
            </w:pPr>
            <w:r>
              <w:rPr>
                <w:rFonts w:ascii="Calibri" w:cs="Calibri" w:eastAsia="Calibri" w:hAnsi="Calibri"/>
                <w:sz w:val="12"/>
                <w:szCs w:val="12"/>
                <w:color w:val="auto"/>
                <w:w w:val="96"/>
              </w:rPr>
              <w:t>(1,466,774)</w:t>
            </w:r>
          </w:p>
        </w:tc>
        <w:tc>
          <w:tcPr>
            <w:tcW w:w="1000" w:type="dxa"/>
            <w:vAlign w:val="bottom"/>
            <w:tcBorders>
              <w:right w:val="single" w:sz="8" w:color="auto"/>
            </w:tcBorders>
          </w:tcPr>
          <w:p>
            <w:pPr>
              <w:jc w:val="center"/>
              <w:ind w:right="2"/>
              <w:spacing w:after="0" w:line="135" w:lineRule="exact"/>
              <w:rPr>
                <w:sz w:val="20"/>
                <w:szCs w:val="20"/>
                <w:color w:val="auto"/>
              </w:rPr>
            </w:pPr>
            <w:r>
              <w:rPr>
                <w:rFonts w:ascii="Calibri" w:cs="Calibri" w:eastAsia="Calibri" w:hAnsi="Calibri"/>
                <w:sz w:val="12"/>
                <w:szCs w:val="12"/>
                <w:color w:val="auto"/>
                <w:w w:val="96"/>
              </w:rPr>
              <w:t>(1,405,221)</w:t>
            </w:r>
          </w:p>
        </w:tc>
        <w:tc>
          <w:tcPr>
            <w:tcW w:w="620" w:type="dxa"/>
            <w:vAlign w:val="bottom"/>
          </w:tcPr>
          <w:p>
            <w:pPr>
              <w:jc w:val="center"/>
              <w:spacing w:after="0" w:line="135" w:lineRule="exact"/>
              <w:rPr>
                <w:sz w:val="20"/>
                <w:szCs w:val="20"/>
                <w:color w:val="auto"/>
              </w:rPr>
            </w:pPr>
            <w:r>
              <w:rPr>
                <w:rFonts w:ascii="Calibri" w:cs="Calibri" w:eastAsia="Calibri" w:hAnsi="Calibri"/>
                <w:sz w:val="12"/>
                <w:szCs w:val="12"/>
                <w:color w:val="auto"/>
                <w:w w:val="94"/>
              </w:rPr>
              <w:t>-4.2%</w:t>
            </w:r>
          </w:p>
        </w:tc>
        <w:tc>
          <w:tcPr>
            <w:tcW w:w="7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-10.2%</w:t>
            </w:r>
          </w:p>
        </w:tc>
        <w:tc>
          <w:tcPr>
            <w:tcW w:w="84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w w:val="96"/>
              </w:rPr>
              <w:t>(4,338,165)</w:t>
            </w:r>
          </w:p>
        </w:tc>
        <w:tc>
          <w:tcPr>
            <w:tcW w:w="118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w w:val="96"/>
              </w:rPr>
              <w:t>(4,371,798)</w:t>
            </w:r>
          </w:p>
        </w:tc>
        <w:tc>
          <w:tcPr>
            <w:tcW w:w="11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0.8%</w:t>
            </w:r>
          </w:p>
        </w:tc>
      </w:tr>
      <w:tr>
        <w:trPr>
          <w:trHeight w:val="135"/>
        </w:trPr>
        <w:tc>
          <w:tcPr>
            <w:tcW w:w="3760" w:type="dxa"/>
            <w:vAlign w:val="bottom"/>
            <w:tcBorders>
              <w:left w:val="single" w:sz="8" w:color="auto"/>
              <w:right w:val="single" w:sz="8" w:color="auto"/>
            </w:tcBorders>
          </w:tcPr>
          <w:p>
            <w:pPr>
              <w:ind w:left="340"/>
              <w:spacing w:after="0" w:line="135" w:lineRule="exact"/>
              <w:rPr>
                <w:sz w:val="20"/>
                <w:szCs w:val="20"/>
                <w:color w:val="auto"/>
              </w:rPr>
            </w:pPr>
            <w:r>
              <w:rPr>
                <w:rFonts w:ascii="Calibri" w:cs="Calibri" w:eastAsia="Calibri" w:hAnsi="Calibri"/>
                <w:sz w:val="12"/>
                <w:szCs w:val="12"/>
                <w:color w:val="auto"/>
              </w:rPr>
              <w:t>Interest Expense (excluding Net Insurance Financial Expenses)</w:t>
            </w:r>
          </w:p>
        </w:tc>
        <w:tc>
          <w:tcPr>
            <w:tcW w:w="1020" w:type="dxa"/>
            <w:vAlign w:val="bottom"/>
          </w:tcPr>
          <w:p>
            <w:pPr>
              <w:jc w:val="center"/>
              <w:spacing w:after="0" w:line="135" w:lineRule="exact"/>
              <w:rPr>
                <w:sz w:val="20"/>
                <w:szCs w:val="20"/>
                <w:color w:val="auto"/>
              </w:rPr>
            </w:pPr>
            <w:r>
              <w:rPr>
                <w:rFonts w:ascii="Calibri" w:cs="Calibri" w:eastAsia="Calibri" w:hAnsi="Calibri"/>
                <w:sz w:val="12"/>
                <w:szCs w:val="12"/>
                <w:color w:val="auto"/>
                <w:w w:val="96"/>
              </w:rPr>
              <w:t>(1,448,593)</w:t>
            </w:r>
          </w:p>
        </w:tc>
        <w:tc>
          <w:tcPr>
            <w:tcW w:w="1020" w:type="dxa"/>
            <w:vAlign w:val="bottom"/>
          </w:tcPr>
          <w:p>
            <w:pPr>
              <w:jc w:val="center"/>
              <w:ind w:right="22"/>
              <w:spacing w:after="0" w:line="135" w:lineRule="exact"/>
              <w:rPr>
                <w:sz w:val="20"/>
                <w:szCs w:val="20"/>
                <w:color w:val="auto"/>
              </w:rPr>
            </w:pPr>
            <w:r>
              <w:rPr>
                <w:rFonts w:ascii="Calibri" w:cs="Calibri" w:eastAsia="Calibri" w:hAnsi="Calibri"/>
                <w:sz w:val="12"/>
                <w:szCs w:val="12"/>
                <w:color w:val="auto"/>
                <w:w w:val="96"/>
              </w:rPr>
              <w:t>(1,342,088)</w:t>
            </w:r>
          </w:p>
        </w:tc>
        <w:tc>
          <w:tcPr>
            <w:tcW w:w="1000" w:type="dxa"/>
            <w:vAlign w:val="bottom"/>
            <w:tcBorders>
              <w:right w:val="single" w:sz="8" w:color="auto"/>
            </w:tcBorders>
          </w:tcPr>
          <w:p>
            <w:pPr>
              <w:jc w:val="center"/>
              <w:ind w:right="2"/>
              <w:spacing w:after="0" w:line="135" w:lineRule="exact"/>
              <w:rPr>
                <w:sz w:val="20"/>
                <w:szCs w:val="20"/>
                <w:color w:val="auto"/>
              </w:rPr>
            </w:pPr>
            <w:r>
              <w:rPr>
                <w:rFonts w:ascii="Calibri" w:cs="Calibri" w:eastAsia="Calibri" w:hAnsi="Calibri"/>
                <w:sz w:val="12"/>
                <w:szCs w:val="12"/>
                <w:color w:val="auto"/>
                <w:w w:val="96"/>
              </w:rPr>
              <w:t>(1,276,643)</w:t>
            </w:r>
          </w:p>
        </w:tc>
        <w:tc>
          <w:tcPr>
            <w:tcW w:w="620" w:type="dxa"/>
            <w:vAlign w:val="bottom"/>
          </w:tcPr>
          <w:p>
            <w:pPr>
              <w:jc w:val="center"/>
              <w:spacing w:after="0" w:line="135" w:lineRule="exact"/>
              <w:rPr>
                <w:sz w:val="20"/>
                <w:szCs w:val="20"/>
                <w:color w:val="auto"/>
              </w:rPr>
            </w:pPr>
            <w:r>
              <w:rPr>
                <w:rFonts w:ascii="Calibri" w:cs="Calibri" w:eastAsia="Calibri" w:hAnsi="Calibri"/>
                <w:sz w:val="12"/>
                <w:szCs w:val="12"/>
                <w:color w:val="auto"/>
                <w:w w:val="94"/>
              </w:rPr>
              <w:t>-4.9%</w:t>
            </w:r>
          </w:p>
        </w:tc>
        <w:tc>
          <w:tcPr>
            <w:tcW w:w="7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-11.9%</w:t>
            </w:r>
          </w:p>
        </w:tc>
        <w:tc>
          <w:tcPr>
            <w:tcW w:w="84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w w:val="96"/>
              </w:rPr>
              <w:t>(3,990,784)</w:t>
            </w:r>
          </w:p>
        </w:tc>
        <w:tc>
          <w:tcPr>
            <w:tcW w:w="118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w w:val="96"/>
              </w:rPr>
              <w:t>(3,996,530)</w:t>
            </w:r>
          </w:p>
        </w:tc>
        <w:tc>
          <w:tcPr>
            <w:tcW w:w="11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0.1%</w:t>
            </w:r>
          </w:p>
        </w:tc>
      </w:tr>
      <w:tr>
        <w:trPr>
          <w:trHeight w:val="144"/>
        </w:trPr>
        <w:tc>
          <w:tcPr>
            <w:tcW w:w="3760" w:type="dxa"/>
            <w:vAlign w:val="bottom"/>
            <w:tcBorders>
              <w:left w:val="single" w:sz="8" w:color="auto"/>
              <w:bottom w:val="single" w:sz="8" w:color="auto"/>
              <w:right w:val="single" w:sz="8" w:color="auto"/>
            </w:tcBorders>
          </w:tcPr>
          <w:p>
            <w:pPr>
              <w:ind w:left="340"/>
              <w:spacing w:after="0" w:line="138" w:lineRule="exact"/>
              <w:rPr>
                <w:sz w:val="20"/>
                <w:szCs w:val="20"/>
                <w:color w:val="auto"/>
              </w:rPr>
            </w:pPr>
            <w:r>
              <w:rPr>
                <w:rFonts w:ascii="Calibri" w:cs="Calibri" w:eastAsia="Calibri" w:hAnsi="Calibri"/>
                <w:sz w:val="12"/>
                <w:szCs w:val="12"/>
                <w:color w:val="auto"/>
              </w:rPr>
              <w:t>Net Insurance Financial Expenses</w:t>
            </w:r>
          </w:p>
        </w:tc>
        <w:tc>
          <w:tcPr>
            <w:tcW w:w="102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8"/>
              </w:rPr>
              <w:t>(116,465)</w:t>
            </w:r>
          </w:p>
        </w:tc>
        <w:tc>
          <w:tcPr>
            <w:tcW w:w="1020" w:type="dxa"/>
            <w:vAlign w:val="bottom"/>
            <w:tcBorders>
              <w:bottom w:val="single" w:sz="8" w:color="auto"/>
            </w:tcBorders>
          </w:tcPr>
          <w:p>
            <w:pPr>
              <w:jc w:val="center"/>
              <w:ind w:right="22"/>
              <w:spacing w:after="0" w:line="138" w:lineRule="exact"/>
              <w:rPr>
                <w:sz w:val="20"/>
                <w:szCs w:val="20"/>
                <w:color w:val="auto"/>
              </w:rPr>
            </w:pPr>
            <w:r>
              <w:rPr>
                <w:rFonts w:ascii="Calibri" w:cs="Calibri" w:eastAsia="Calibri" w:hAnsi="Calibri"/>
                <w:sz w:val="12"/>
                <w:szCs w:val="12"/>
                <w:color w:val="auto"/>
                <w:w w:val="98"/>
              </w:rPr>
              <w:t>(124,686)</w:t>
            </w:r>
          </w:p>
        </w:tc>
        <w:tc>
          <w:tcPr>
            <w:tcW w:w="1000" w:type="dxa"/>
            <w:vAlign w:val="bottom"/>
            <w:tcBorders>
              <w:bottom w:val="single" w:sz="8" w:color="auto"/>
              <w:right w:val="single" w:sz="8" w:color="auto"/>
            </w:tcBorders>
          </w:tcPr>
          <w:p>
            <w:pPr>
              <w:jc w:val="center"/>
              <w:ind w:right="2"/>
              <w:spacing w:after="0" w:line="138" w:lineRule="exact"/>
              <w:rPr>
                <w:sz w:val="20"/>
                <w:szCs w:val="20"/>
                <w:color w:val="auto"/>
              </w:rPr>
            </w:pPr>
            <w:r>
              <w:rPr>
                <w:rFonts w:ascii="Calibri" w:cs="Calibri" w:eastAsia="Calibri" w:hAnsi="Calibri"/>
                <w:sz w:val="12"/>
                <w:szCs w:val="12"/>
                <w:color w:val="auto"/>
                <w:w w:val="98"/>
              </w:rPr>
              <w:t>(128,578)</w:t>
            </w:r>
          </w:p>
        </w:tc>
        <w:tc>
          <w:tcPr>
            <w:tcW w:w="62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2"/>
              </w:rPr>
              <w:t>3.1%</w:t>
            </w:r>
          </w:p>
        </w:tc>
        <w:tc>
          <w:tcPr>
            <w:tcW w:w="7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3"/>
              </w:rPr>
              <w:t>10.4%</w:t>
            </w:r>
          </w:p>
        </w:tc>
        <w:tc>
          <w:tcPr>
            <w:tcW w:w="840" w:type="dxa"/>
            <w:vAlign w:val="bottom"/>
            <w:tcBorders>
              <w:bottom w:val="single" w:sz="8" w:color="auto"/>
            </w:tcBorders>
          </w:tcPr>
          <w:p>
            <w:pPr>
              <w:jc w:val="center"/>
              <w:ind w:left="82"/>
              <w:spacing w:after="0" w:line="138" w:lineRule="exact"/>
              <w:rPr>
                <w:sz w:val="20"/>
                <w:szCs w:val="20"/>
                <w:color w:val="auto"/>
              </w:rPr>
            </w:pPr>
            <w:r>
              <w:rPr>
                <w:rFonts w:ascii="Calibri" w:cs="Calibri" w:eastAsia="Calibri" w:hAnsi="Calibri"/>
                <w:sz w:val="12"/>
                <w:szCs w:val="12"/>
                <w:color w:val="auto"/>
                <w:w w:val="98"/>
              </w:rPr>
              <w:t>(347,381)</w:t>
            </w:r>
          </w:p>
        </w:tc>
        <w:tc>
          <w:tcPr>
            <w:tcW w:w="1180" w:type="dxa"/>
            <w:vAlign w:val="bottom"/>
            <w:tcBorders>
              <w:bottom w:val="single" w:sz="8" w:color="auto"/>
              <w:right w:val="single" w:sz="8" w:color="auto"/>
            </w:tcBorders>
          </w:tcPr>
          <w:p>
            <w:pPr>
              <w:jc w:val="center"/>
              <w:ind w:left="62"/>
              <w:spacing w:after="0" w:line="138" w:lineRule="exact"/>
              <w:rPr>
                <w:sz w:val="20"/>
                <w:szCs w:val="20"/>
                <w:color w:val="auto"/>
              </w:rPr>
            </w:pPr>
            <w:r>
              <w:rPr>
                <w:rFonts w:ascii="Calibri" w:cs="Calibri" w:eastAsia="Calibri" w:hAnsi="Calibri"/>
                <w:sz w:val="12"/>
                <w:szCs w:val="12"/>
                <w:color w:val="auto"/>
                <w:w w:val="98"/>
              </w:rPr>
              <w:t>(375,268)</w:t>
            </w:r>
          </w:p>
        </w:tc>
        <w:tc>
          <w:tcPr>
            <w:tcW w:w="11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8.0%</w:t>
            </w:r>
          </w:p>
        </w:tc>
      </w:tr>
      <w:tr>
        <w:trPr>
          <w:trHeight w:val="137"/>
        </w:trPr>
        <w:tc>
          <w:tcPr>
            <w:tcW w:w="3760" w:type="dxa"/>
            <w:vAlign w:val="bottom"/>
            <w:tcBorders>
              <w:left w:val="single" w:sz="8" w:color="auto"/>
              <w:right w:val="single" w:sz="8" w:color="auto"/>
            </w:tcBorders>
          </w:tcPr>
          <w:p>
            <w:pPr>
              <w:ind w:left="180"/>
              <w:spacing w:after="0" w:line="138" w:lineRule="exact"/>
              <w:rPr>
                <w:sz w:val="20"/>
                <w:szCs w:val="20"/>
                <w:color w:val="auto"/>
              </w:rPr>
            </w:pPr>
            <w:r>
              <w:rPr>
                <w:rFonts w:ascii="Calibri" w:cs="Calibri" w:eastAsia="Calibri" w:hAnsi="Calibri"/>
                <w:sz w:val="12"/>
                <w:szCs w:val="12"/>
                <w:b w:val="1"/>
                <w:bCs w:val="1"/>
                <w:color w:val="auto"/>
              </w:rPr>
              <w:t>Net Interest Income</w:t>
            </w:r>
          </w:p>
        </w:tc>
        <w:tc>
          <w:tcPr>
            <w:tcW w:w="1020" w:type="dxa"/>
            <w:vAlign w:val="bottom"/>
          </w:tcPr>
          <w:p>
            <w:pPr>
              <w:jc w:val="center"/>
              <w:spacing w:after="0" w:line="138" w:lineRule="exact"/>
              <w:rPr>
                <w:sz w:val="20"/>
                <w:szCs w:val="20"/>
                <w:color w:val="auto"/>
              </w:rPr>
            </w:pPr>
            <w:r>
              <w:rPr>
                <w:rFonts w:ascii="Calibri" w:cs="Calibri" w:eastAsia="Calibri" w:hAnsi="Calibri"/>
                <w:sz w:val="12"/>
                <w:szCs w:val="12"/>
                <w:b w:val="1"/>
                <w:bCs w:val="1"/>
                <w:color w:val="auto"/>
                <w:w w:val="98"/>
              </w:rPr>
              <w:t>3,254,043</w:t>
            </w:r>
          </w:p>
        </w:tc>
        <w:tc>
          <w:tcPr>
            <w:tcW w:w="1020" w:type="dxa"/>
            <w:vAlign w:val="bottom"/>
          </w:tcPr>
          <w:p>
            <w:pPr>
              <w:jc w:val="center"/>
              <w:ind w:right="2"/>
              <w:spacing w:after="0" w:line="138" w:lineRule="exact"/>
              <w:rPr>
                <w:sz w:val="20"/>
                <w:szCs w:val="20"/>
                <w:color w:val="auto"/>
              </w:rPr>
            </w:pPr>
            <w:r>
              <w:rPr>
                <w:rFonts w:ascii="Calibri" w:cs="Calibri" w:eastAsia="Calibri" w:hAnsi="Calibri"/>
                <w:sz w:val="12"/>
                <w:szCs w:val="12"/>
                <w:b w:val="1"/>
                <w:bCs w:val="1"/>
                <w:color w:val="auto"/>
                <w:w w:val="98"/>
              </w:rPr>
              <w:t>3,468,464</w:t>
            </w:r>
          </w:p>
        </w:tc>
        <w:tc>
          <w:tcPr>
            <w:tcW w:w="1000" w:type="dxa"/>
            <w:vAlign w:val="bottom"/>
            <w:tcBorders>
              <w:right w:val="single" w:sz="8" w:color="auto"/>
            </w:tcBorders>
          </w:tcPr>
          <w:p>
            <w:pPr>
              <w:jc w:val="center"/>
              <w:ind w:right="22"/>
              <w:spacing w:after="0" w:line="138" w:lineRule="exact"/>
              <w:rPr>
                <w:sz w:val="20"/>
                <w:szCs w:val="20"/>
                <w:color w:val="auto"/>
              </w:rPr>
            </w:pPr>
            <w:r>
              <w:rPr>
                <w:rFonts w:ascii="Calibri" w:cs="Calibri" w:eastAsia="Calibri" w:hAnsi="Calibri"/>
                <w:sz w:val="12"/>
                <w:szCs w:val="12"/>
                <w:b w:val="1"/>
                <w:bCs w:val="1"/>
                <w:color w:val="auto"/>
                <w:w w:val="98"/>
              </w:rPr>
              <w:t>3,590,750</w:t>
            </w:r>
          </w:p>
        </w:tc>
        <w:tc>
          <w:tcPr>
            <w:tcW w:w="620" w:type="dxa"/>
            <w:vAlign w:val="bottom"/>
          </w:tcPr>
          <w:p>
            <w:pPr>
              <w:jc w:val="center"/>
              <w:spacing w:after="0" w:line="138" w:lineRule="exact"/>
              <w:rPr>
                <w:sz w:val="20"/>
                <w:szCs w:val="20"/>
                <w:color w:val="auto"/>
              </w:rPr>
            </w:pPr>
            <w:r>
              <w:rPr>
                <w:rFonts w:ascii="Calibri" w:cs="Calibri" w:eastAsia="Calibri" w:hAnsi="Calibri"/>
                <w:sz w:val="12"/>
                <w:szCs w:val="12"/>
                <w:b w:val="1"/>
                <w:bCs w:val="1"/>
                <w:color w:val="auto"/>
                <w:w w:val="91"/>
              </w:rPr>
              <w:t>3.5%</w:t>
            </w:r>
          </w:p>
        </w:tc>
        <w:tc>
          <w:tcPr>
            <w:tcW w:w="70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9"/>
              </w:rPr>
              <w:t>10.3%</w:t>
            </w:r>
          </w:p>
        </w:tc>
        <w:tc>
          <w:tcPr>
            <w:tcW w:w="840" w:type="dxa"/>
            <w:vAlign w:val="bottom"/>
          </w:tcPr>
          <w:p>
            <w:pPr>
              <w:jc w:val="center"/>
              <w:ind w:left="82"/>
              <w:spacing w:after="0" w:line="138" w:lineRule="exact"/>
              <w:rPr>
                <w:sz w:val="20"/>
                <w:szCs w:val="20"/>
                <w:color w:val="auto"/>
              </w:rPr>
            </w:pPr>
            <w:r>
              <w:rPr>
                <w:rFonts w:ascii="Calibri" w:cs="Calibri" w:eastAsia="Calibri" w:hAnsi="Calibri"/>
                <w:sz w:val="12"/>
                <w:szCs w:val="12"/>
                <w:b w:val="1"/>
                <w:bCs w:val="1"/>
                <w:color w:val="auto"/>
                <w:w w:val="94"/>
              </w:rPr>
              <w:t>9,590,288</w:t>
            </w:r>
          </w:p>
        </w:tc>
        <w:tc>
          <w:tcPr>
            <w:tcW w:w="1180" w:type="dxa"/>
            <w:vAlign w:val="bottom"/>
            <w:tcBorders>
              <w:right w:val="single" w:sz="8" w:color="auto"/>
            </w:tcBorders>
          </w:tcPr>
          <w:p>
            <w:pPr>
              <w:jc w:val="center"/>
              <w:ind w:left="62"/>
              <w:spacing w:after="0" w:line="138" w:lineRule="exact"/>
              <w:rPr>
                <w:sz w:val="20"/>
                <w:szCs w:val="20"/>
                <w:color w:val="auto"/>
              </w:rPr>
            </w:pPr>
            <w:r>
              <w:rPr>
                <w:rFonts w:ascii="Calibri" w:cs="Calibri" w:eastAsia="Calibri" w:hAnsi="Calibri"/>
                <w:sz w:val="12"/>
                <w:szCs w:val="12"/>
                <w:b w:val="1"/>
                <w:bCs w:val="1"/>
                <w:color w:val="auto"/>
                <w:w w:val="98"/>
              </w:rPr>
              <w:t>10,485,337</w:t>
            </w:r>
          </w:p>
        </w:tc>
        <w:tc>
          <w:tcPr>
            <w:tcW w:w="110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9"/>
              </w:rPr>
              <w:t>9.3%</w:t>
            </w:r>
          </w:p>
        </w:tc>
      </w:tr>
      <w:tr>
        <w:trPr>
          <w:trHeight w:val="132"/>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r>
      <w:tr>
        <w:trPr>
          <w:trHeight w:val="113"/>
        </w:trPr>
        <w:tc>
          <w:tcPr>
            <w:tcW w:w="3760" w:type="dxa"/>
            <w:vAlign w:val="bottom"/>
            <w:tcBorders>
              <w:left w:val="single" w:sz="8" w:color="auto"/>
              <w:right w:val="single" w:sz="8" w:color="auto"/>
            </w:tcBorders>
          </w:tcPr>
          <w:p>
            <w:pPr>
              <w:ind w:left="20"/>
              <w:spacing w:after="0" w:line="113" w:lineRule="exact"/>
              <w:rPr>
                <w:sz w:val="20"/>
                <w:szCs w:val="20"/>
                <w:color w:val="auto"/>
              </w:rPr>
            </w:pPr>
            <w:r>
              <w:rPr>
                <w:rFonts w:ascii="Calibri" w:cs="Calibri" w:eastAsia="Calibri" w:hAnsi="Calibri"/>
                <w:sz w:val="12"/>
                <w:szCs w:val="12"/>
                <w:b w:val="1"/>
                <w:bCs w:val="1"/>
                <w:color w:val="auto"/>
              </w:rPr>
              <w:t>Balances</w:t>
            </w: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r>
      <w:tr>
        <w:trPr>
          <w:trHeight w:val="135"/>
        </w:trPr>
        <w:tc>
          <w:tcPr>
            <w:tcW w:w="3760" w:type="dxa"/>
            <w:vAlign w:val="bottom"/>
            <w:tcBorders>
              <w:left w:val="single" w:sz="8" w:color="auto"/>
              <w:righ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Average Interest Earning Assets (IEA)</w:t>
            </w:r>
          </w:p>
        </w:tc>
        <w:tc>
          <w:tcPr>
            <w:tcW w:w="1020" w:type="dxa"/>
            <w:vAlign w:val="bottom"/>
          </w:tcPr>
          <w:p>
            <w:pPr>
              <w:jc w:val="right"/>
              <w:ind w:right="142"/>
              <w:spacing w:after="0" w:line="135" w:lineRule="exact"/>
              <w:rPr>
                <w:sz w:val="20"/>
                <w:szCs w:val="20"/>
                <w:color w:val="auto"/>
              </w:rPr>
            </w:pPr>
            <w:r>
              <w:rPr>
                <w:rFonts w:ascii="Calibri" w:cs="Calibri" w:eastAsia="Calibri" w:hAnsi="Calibri"/>
                <w:sz w:val="12"/>
                <w:szCs w:val="12"/>
                <w:color w:val="auto"/>
              </w:rPr>
              <w:t>220,724,334</w:t>
            </w:r>
          </w:p>
        </w:tc>
        <w:tc>
          <w:tcPr>
            <w:tcW w:w="1020" w:type="dxa"/>
            <w:vAlign w:val="bottom"/>
          </w:tcPr>
          <w:p>
            <w:pPr>
              <w:jc w:val="right"/>
              <w:ind w:right="162"/>
              <w:spacing w:after="0" w:line="135" w:lineRule="exact"/>
              <w:rPr>
                <w:sz w:val="20"/>
                <w:szCs w:val="20"/>
                <w:color w:val="auto"/>
              </w:rPr>
            </w:pPr>
            <w:r>
              <w:rPr>
                <w:rFonts w:ascii="Calibri" w:cs="Calibri" w:eastAsia="Calibri" w:hAnsi="Calibri"/>
                <w:sz w:val="12"/>
                <w:szCs w:val="12"/>
                <w:color w:val="auto"/>
              </w:rPr>
              <w:t>227,161,179</w:t>
            </w:r>
          </w:p>
        </w:tc>
        <w:tc>
          <w:tcPr>
            <w:tcW w:w="1000" w:type="dxa"/>
            <w:vAlign w:val="bottom"/>
            <w:tcBorders>
              <w:right w:val="single" w:sz="8" w:color="auto"/>
            </w:tcBorders>
          </w:tcPr>
          <w:p>
            <w:pPr>
              <w:jc w:val="right"/>
              <w:ind w:right="142"/>
              <w:spacing w:after="0" w:line="135" w:lineRule="exact"/>
              <w:rPr>
                <w:sz w:val="20"/>
                <w:szCs w:val="20"/>
                <w:color w:val="auto"/>
              </w:rPr>
            </w:pPr>
            <w:r>
              <w:rPr>
                <w:rFonts w:ascii="Calibri" w:cs="Calibri" w:eastAsia="Calibri" w:hAnsi="Calibri"/>
                <w:sz w:val="12"/>
                <w:szCs w:val="12"/>
                <w:color w:val="auto"/>
              </w:rPr>
              <w:t>231,316,507</w:t>
            </w:r>
          </w:p>
        </w:tc>
        <w:tc>
          <w:tcPr>
            <w:tcW w:w="620" w:type="dxa"/>
            <w:vAlign w:val="bottom"/>
          </w:tcPr>
          <w:p>
            <w:pPr>
              <w:jc w:val="center"/>
              <w:spacing w:after="0" w:line="135" w:lineRule="exact"/>
              <w:rPr>
                <w:sz w:val="20"/>
                <w:szCs w:val="20"/>
                <w:color w:val="auto"/>
              </w:rPr>
            </w:pPr>
            <w:r>
              <w:rPr>
                <w:rFonts w:ascii="Calibri" w:cs="Calibri" w:eastAsia="Calibri" w:hAnsi="Calibri"/>
                <w:sz w:val="12"/>
                <w:szCs w:val="12"/>
                <w:color w:val="auto"/>
                <w:w w:val="92"/>
              </w:rPr>
              <w:t>1.8%</w:t>
            </w:r>
          </w:p>
        </w:tc>
        <w:tc>
          <w:tcPr>
            <w:tcW w:w="7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4.8%</w:t>
            </w:r>
          </w:p>
        </w:tc>
        <w:tc>
          <w:tcPr>
            <w:tcW w:w="840" w:type="dxa"/>
            <w:vAlign w:val="bottom"/>
          </w:tcPr>
          <w:p>
            <w:pPr>
              <w:jc w:val="right"/>
              <w:spacing w:after="0" w:line="135" w:lineRule="exact"/>
              <w:rPr>
                <w:sz w:val="20"/>
                <w:szCs w:val="20"/>
                <w:color w:val="auto"/>
              </w:rPr>
            </w:pPr>
            <w:r>
              <w:rPr>
                <w:rFonts w:ascii="Calibri" w:cs="Calibri" w:eastAsia="Calibri" w:hAnsi="Calibri"/>
                <w:sz w:val="12"/>
                <w:szCs w:val="12"/>
                <w:color w:val="auto"/>
              </w:rPr>
              <w:t>222,362,151</w:t>
            </w:r>
          </w:p>
        </w:tc>
        <w:tc>
          <w:tcPr>
            <w:tcW w:w="1180" w:type="dxa"/>
            <w:vAlign w:val="bottom"/>
            <w:tcBorders>
              <w:right w:val="single" w:sz="8" w:color="auto"/>
            </w:tcBorders>
          </w:tcPr>
          <w:p>
            <w:pPr>
              <w:jc w:val="right"/>
              <w:ind w:right="142"/>
              <w:spacing w:after="0" w:line="135" w:lineRule="exact"/>
              <w:rPr>
                <w:sz w:val="20"/>
                <w:szCs w:val="20"/>
                <w:color w:val="auto"/>
              </w:rPr>
            </w:pPr>
            <w:r>
              <w:rPr>
                <w:rFonts w:ascii="Calibri" w:cs="Calibri" w:eastAsia="Calibri" w:hAnsi="Calibri"/>
                <w:sz w:val="12"/>
                <w:szCs w:val="12"/>
                <w:color w:val="auto"/>
              </w:rPr>
              <w:t>229,452,867</w:t>
            </w:r>
          </w:p>
        </w:tc>
        <w:tc>
          <w:tcPr>
            <w:tcW w:w="11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3.2%</w:t>
            </w:r>
          </w:p>
        </w:tc>
      </w:tr>
      <w:tr>
        <w:trPr>
          <w:trHeight w:val="138"/>
        </w:trPr>
        <w:tc>
          <w:tcPr>
            <w:tcW w:w="3760" w:type="dxa"/>
            <w:vAlign w:val="bottom"/>
            <w:tcBorders>
              <w:left w:val="single" w:sz="8" w:color="auto"/>
              <w:right w:val="single" w:sz="8" w:color="auto"/>
            </w:tcBorders>
          </w:tcPr>
          <w:p>
            <w:pPr>
              <w:ind w:left="180"/>
              <w:spacing w:after="0" w:line="138" w:lineRule="exact"/>
              <w:rPr>
                <w:sz w:val="20"/>
                <w:szCs w:val="20"/>
                <w:color w:val="auto"/>
              </w:rPr>
            </w:pPr>
            <w:r>
              <w:rPr>
                <w:rFonts w:ascii="Calibri" w:cs="Calibri" w:eastAsia="Calibri" w:hAnsi="Calibri"/>
                <w:sz w:val="12"/>
                <w:szCs w:val="12"/>
                <w:color w:val="auto"/>
              </w:rPr>
              <w:t>Average Funding</w:t>
            </w:r>
          </w:p>
        </w:tc>
        <w:tc>
          <w:tcPr>
            <w:tcW w:w="1020" w:type="dxa"/>
            <w:vAlign w:val="bottom"/>
          </w:tcPr>
          <w:p>
            <w:pPr>
              <w:jc w:val="center"/>
              <w:spacing w:after="0" w:line="138" w:lineRule="exact"/>
              <w:rPr>
                <w:sz w:val="20"/>
                <w:szCs w:val="20"/>
                <w:color w:val="auto"/>
              </w:rPr>
            </w:pPr>
            <w:r>
              <w:rPr>
                <w:rFonts w:ascii="Calibri" w:cs="Calibri" w:eastAsia="Calibri" w:hAnsi="Calibri"/>
                <w:sz w:val="12"/>
                <w:szCs w:val="12"/>
                <w:color w:val="auto"/>
                <w:w w:val="95"/>
              </w:rPr>
              <w:t>183,805,092</w:t>
            </w:r>
          </w:p>
        </w:tc>
        <w:tc>
          <w:tcPr>
            <w:tcW w:w="1020" w:type="dxa"/>
            <w:vAlign w:val="bottom"/>
          </w:tcPr>
          <w:p>
            <w:pPr>
              <w:jc w:val="right"/>
              <w:ind w:right="162"/>
              <w:spacing w:after="0" w:line="138" w:lineRule="exact"/>
              <w:rPr>
                <w:sz w:val="20"/>
                <w:szCs w:val="20"/>
                <w:color w:val="auto"/>
              </w:rPr>
            </w:pPr>
            <w:r>
              <w:rPr>
                <w:rFonts w:ascii="Calibri" w:cs="Calibri" w:eastAsia="Calibri" w:hAnsi="Calibri"/>
                <w:sz w:val="12"/>
                <w:szCs w:val="12"/>
                <w:color w:val="auto"/>
              </w:rPr>
              <w:t>187,904,862</w:t>
            </w:r>
          </w:p>
        </w:tc>
        <w:tc>
          <w:tcPr>
            <w:tcW w:w="1000" w:type="dxa"/>
            <w:vAlign w:val="bottom"/>
            <w:tcBorders>
              <w:right w:val="single" w:sz="8" w:color="auto"/>
            </w:tcBorders>
          </w:tcPr>
          <w:p>
            <w:pPr>
              <w:jc w:val="right"/>
              <w:ind w:right="142"/>
              <w:spacing w:after="0" w:line="138" w:lineRule="exact"/>
              <w:rPr>
                <w:sz w:val="20"/>
                <w:szCs w:val="20"/>
                <w:color w:val="auto"/>
              </w:rPr>
            </w:pPr>
            <w:r>
              <w:rPr>
                <w:rFonts w:ascii="Calibri" w:cs="Calibri" w:eastAsia="Calibri" w:hAnsi="Calibri"/>
                <w:sz w:val="12"/>
                <w:szCs w:val="12"/>
                <w:color w:val="auto"/>
              </w:rPr>
              <w:t>190,855,164</w:t>
            </w:r>
          </w:p>
        </w:tc>
        <w:tc>
          <w:tcPr>
            <w:tcW w:w="620" w:type="dxa"/>
            <w:vAlign w:val="bottom"/>
          </w:tcPr>
          <w:p>
            <w:pPr>
              <w:jc w:val="center"/>
              <w:spacing w:after="0" w:line="138" w:lineRule="exact"/>
              <w:rPr>
                <w:sz w:val="20"/>
                <w:szCs w:val="20"/>
                <w:color w:val="auto"/>
              </w:rPr>
            </w:pPr>
            <w:r>
              <w:rPr>
                <w:rFonts w:ascii="Calibri" w:cs="Calibri" w:eastAsia="Calibri" w:hAnsi="Calibri"/>
                <w:sz w:val="12"/>
                <w:szCs w:val="12"/>
                <w:color w:val="auto"/>
                <w:w w:val="92"/>
              </w:rPr>
              <w:t>1.6%</w:t>
            </w:r>
          </w:p>
        </w:tc>
        <w:tc>
          <w:tcPr>
            <w:tcW w:w="70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3.8%</w:t>
            </w:r>
          </w:p>
        </w:tc>
        <w:tc>
          <w:tcPr>
            <w:tcW w:w="840" w:type="dxa"/>
            <w:vAlign w:val="bottom"/>
          </w:tcPr>
          <w:p>
            <w:pPr>
              <w:jc w:val="right"/>
              <w:spacing w:after="0" w:line="138" w:lineRule="exact"/>
              <w:rPr>
                <w:sz w:val="20"/>
                <w:szCs w:val="20"/>
                <w:color w:val="auto"/>
              </w:rPr>
            </w:pPr>
            <w:r>
              <w:rPr>
                <w:rFonts w:ascii="Calibri" w:cs="Calibri" w:eastAsia="Calibri" w:hAnsi="Calibri"/>
                <w:sz w:val="12"/>
                <w:szCs w:val="12"/>
                <w:color w:val="auto"/>
              </w:rPr>
              <w:t>185,774,858</w:t>
            </w:r>
          </w:p>
        </w:tc>
        <w:tc>
          <w:tcPr>
            <w:tcW w:w="1180" w:type="dxa"/>
            <w:vAlign w:val="bottom"/>
            <w:tcBorders>
              <w:right w:val="single" w:sz="8" w:color="auto"/>
            </w:tcBorders>
          </w:tcPr>
          <w:p>
            <w:pPr>
              <w:jc w:val="right"/>
              <w:ind w:right="142"/>
              <w:spacing w:after="0" w:line="138" w:lineRule="exact"/>
              <w:rPr>
                <w:sz w:val="20"/>
                <w:szCs w:val="20"/>
                <w:color w:val="auto"/>
              </w:rPr>
            </w:pPr>
            <w:r>
              <w:rPr>
                <w:rFonts w:ascii="Calibri" w:cs="Calibri" w:eastAsia="Calibri" w:hAnsi="Calibri"/>
                <w:sz w:val="12"/>
                <w:szCs w:val="12"/>
                <w:color w:val="auto"/>
              </w:rPr>
              <w:t>188,110,844</w:t>
            </w:r>
          </w:p>
        </w:tc>
        <w:tc>
          <w:tcPr>
            <w:tcW w:w="110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1.3%</w:t>
            </w:r>
          </w:p>
        </w:tc>
      </w:tr>
      <w:tr>
        <w:trPr>
          <w:trHeight w:val="267"/>
        </w:trPr>
        <w:tc>
          <w:tcPr>
            <w:tcW w:w="37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Yields</w:t>
            </w: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r>
      <w:tr>
        <w:trPr>
          <w:trHeight w:val="135"/>
        </w:trPr>
        <w:tc>
          <w:tcPr>
            <w:tcW w:w="3760" w:type="dxa"/>
            <w:vAlign w:val="bottom"/>
            <w:tcBorders>
              <w:left w:val="single" w:sz="8" w:color="auto"/>
              <w:righ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Yield on IEAs</w:t>
            </w:r>
          </w:p>
        </w:tc>
        <w:tc>
          <w:tcPr>
            <w:tcW w:w="1020" w:type="dxa"/>
            <w:vAlign w:val="bottom"/>
          </w:tcPr>
          <w:p>
            <w:pPr>
              <w:jc w:val="center"/>
              <w:spacing w:after="0" w:line="135" w:lineRule="exact"/>
              <w:rPr>
                <w:sz w:val="20"/>
                <w:szCs w:val="20"/>
                <w:color w:val="auto"/>
              </w:rPr>
            </w:pPr>
            <w:r>
              <w:rPr>
                <w:rFonts w:ascii="Calibri" w:cs="Calibri" w:eastAsia="Calibri" w:hAnsi="Calibri"/>
                <w:sz w:val="12"/>
                <w:szCs w:val="12"/>
                <w:color w:val="auto"/>
              </w:rPr>
              <w:t>8.73%</w:t>
            </w:r>
          </w:p>
        </w:tc>
        <w:tc>
          <w:tcPr>
            <w:tcW w:w="1020" w:type="dxa"/>
            <w:vAlign w:val="bottom"/>
          </w:tcPr>
          <w:p>
            <w:pPr>
              <w:jc w:val="center"/>
              <w:ind w:right="22"/>
              <w:spacing w:after="0" w:line="135" w:lineRule="exact"/>
              <w:rPr>
                <w:sz w:val="20"/>
                <w:szCs w:val="20"/>
                <w:color w:val="auto"/>
              </w:rPr>
            </w:pPr>
            <w:r>
              <w:rPr>
                <w:rFonts w:ascii="Calibri" w:cs="Calibri" w:eastAsia="Calibri" w:hAnsi="Calibri"/>
                <w:sz w:val="12"/>
                <w:szCs w:val="12"/>
                <w:color w:val="auto"/>
              </w:rPr>
              <w:t>8.69%</w:t>
            </w:r>
          </w:p>
        </w:tc>
        <w:tc>
          <w:tcPr>
            <w:tcW w:w="1000" w:type="dxa"/>
            <w:vAlign w:val="bottom"/>
            <w:tcBorders>
              <w:right w:val="single" w:sz="8" w:color="auto"/>
            </w:tcBorders>
          </w:tcPr>
          <w:p>
            <w:pPr>
              <w:jc w:val="center"/>
              <w:ind w:right="2"/>
              <w:spacing w:after="0" w:line="135" w:lineRule="exact"/>
              <w:rPr>
                <w:sz w:val="20"/>
                <w:szCs w:val="20"/>
                <w:color w:val="auto"/>
              </w:rPr>
            </w:pPr>
            <w:r>
              <w:rPr>
                <w:rFonts w:ascii="Calibri" w:cs="Calibri" w:eastAsia="Calibri" w:hAnsi="Calibri"/>
                <w:sz w:val="12"/>
                <w:szCs w:val="12"/>
                <w:color w:val="auto"/>
              </w:rPr>
              <w:t>8.64%</w:t>
            </w:r>
          </w:p>
        </w:tc>
        <w:tc>
          <w:tcPr>
            <w:tcW w:w="620" w:type="dxa"/>
            <w:vAlign w:val="bottom"/>
          </w:tcPr>
          <w:p>
            <w:pPr>
              <w:jc w:val="center"/>
              <w:spacing w:after="0" w:line="135" w:lineRule="exact"/>
              <w:rPr>
                <w:sz w:val="20"/>
                <w:szCs w:val="20"/>
                <w:color w:val="auto"/>
              </w:rPr>
            </w:pPr>
            <w:r>
              <w:rPr>
                <w:rFonts w:ascii="Calibri" w:cs="Calibri" w:eastAsia="Calibri" w:hAnsi="Calibri"/>
                <w:sz w:val="12"/>
                <w:szCs w:val="12"/>
                <w:color w:val="auto"/>
              </w:rPr>
              <w:t>-5 bps</w:t>
            </w:r>
          </w:p>
        </w:tc>
        <w:tc>
          <w:tcPr>
            <w:tcW w:w="7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3"/>
              </w:rPr>
              <w:t>-9 bps</w:t>
            </w:r>
          </w:p>
        </w:tc>
        <w:tc>
          <w:tcPr>
            <w:tcW w:w="84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rPr>
              <w:t>8.35%</w:t>
            </w:r>
          </w:p>
        </w:tc>
        <w:tc>
          <w:tcPr>
            <w:tcW w:w="118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rPr>
              <w:t>8.63%</w:t>
            </w:r>
          </w:p>
        </w:tc>
        <w:tc>
          <w:tcPr>
            <w:tcW w:w="11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9"/>
              </w:rPr>
              <w:t>28 bps</w:t>
            </w:r>
          </w:p>
        </w:tc>
      </w:tr>
      <w:tr>
        <w:trPr>
          <w:trHeight w:val="135"/>
        </w:trPr>
        <w:tc>
          <w:tcPr>
            <w:tcW w:w="3760" w:type="dxa"/>
            <w:vAlign w:val="bottom"/>
            <w:tcBorders>
              <w:left w:val="single" w:sz="8" w:color="auto"/>
              <w:righ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Cost of Funds</w:t>
            </w:r>
            <w:r>
              <w:rPr>
                <w:rFonts w:ascii="Calibri" w:cs="Calibri" w:eastAsia="Calibri" w:hAnsi="Calibri"/>
                <w:sz w:val="9"/>
                <w:szCs w:val="9"/>
                <w:color w:val="auto"/>
              </w:rPr>
              <w:t>(1)</w:t>
            </w:r>
          </w:p>
        </w:tc>
        <w:tc>
          <w:tcPr>
            <w:tcW w:w="1020" w:type="dxa"/>
            <w:vAlign w:val="bottom"/>
          </w:tcPr>
          <w:p>
            <w:pPr>
              <w:jc w:val="center"/>
              <w:spacing w:after="0" w:line="135" w:lineRule="exact"/>
              <w:rPr>
                <w:sz w:val="20"/>
                <w:szCs w:val="20"/>
                <w:color w:val="auto"/>
              </w:rPr>
            </w:pPr>
            <w:r>
              <w:rPr>
                <w:rFonts w:ascii="Calibri" w:cs="Calibri" w:eastAsia="Calibri" w:hAnsi="Calibri"/>
                <w:sz w:val="12"/>
                <w:szCs w:val="12"/>
                <w:color w:val="auto"/>
              </w:rPr>
              <w:t>3.15%</w:t>
            </w:r>
          </w:p>
        </w:tc>
        <w:tc>
          <w:tcPr>
            <w:tcW w:w="1020" w:type="dxa"/>
            <w:vAlign w:val="bottom"/>
          </w:tcPr>
          <w:p>
            <w:pPr>
              <w:jc w:val="center"/>
              <w:ind w:right="22"/>
              <w:spacing w:after="0" w:line="135" w:lineRule="exact"/>
              <w:rPr>
                <w:sz w:val="20"/>
                <w:szCs w:val="20"/>
                <w:color w:val="auto"/>
              </w:rPr>
            </w:pPr>
            <w:r>
              <w:rPr>
                <w:rFonts w:ascii="Calibri" w:cs="Calibri" w:eastAsia="Calibri" w:hAnsi="Calibri"/>
                <w:sz w:val="12"/>
                <w:szCs w:val="12"/>
                <w:color w:val="auto"/>
              </w:rPr>
              <w:t>2.86%</w:t>
            </w:r>
          </w:p>
        </w:tc>
        <w:tc>
          <w:tcPr>
            <w:tcW w:w="1000" w:type="dxa"/>
            <w:vAlign w:val="bottom"/>
            <w:tcBorders>
              <w:right w:val="single" w:sz="8" w:color="auto"/>
            </w:tcBorders>
          </w:tcPr>
          <w:p>
            <w:pPr>
              <w:jc w:val="center"/>
              <w:ind w:right="2"/>
              <w:spacing w:after="0" w:line="135" w:lineRule="exact"/>
              <w:rPr>
                <w:sz w:val="20"/>
                <w:szCs w:val="20"/>
                <w:color w:val="auto"/>
              </w:rPr>
            </w:pPr>
            <w:r>
              <w:rPr>
                <w:rFonts w:ascii="Calibri" w:cs="Calibri" w:eastAsia="Calibri" w:hAnsi="Calibri"/>
                <w:sz w:val="12"/>
                <w:szCs w:val="12"/>
                <w:color w:val="auto"/>
              </w:rPr>
              <w:t>2.68%</w:t>
            </w:r>
          </w:p>
        </w:tc>
        <w:tc>
          <w:tcPr>
            <w:tcW w:w="620" w:type="dxa"/>
            <w:vAlign w:val="bottom"/>
          </w:tcPr>
          <w:p>
            <w:pPr>
              <w:jc w:val="center"/>
              <w:spacing w:after="0" w:line="135" w:lineRule="exact"/>
              <w:rPr>
                <w:sz w:val="20"/>
                <w:szCs w:val="20"/>
                <w:color w:val="auto"/>
              </w:rPr>
            </w:pPr>
            <w:r>
              <w:rPr>
                <w:rFonts w:ascii="Calibri" w:cs="Calibri" w:eastAsia="Calibri" w:hAnsi="Calibri"/>
                <w:sz w:val="12"/>
                <w:szCs w:val="12"/>
                <w:color w:val="auto"/>
                <w:w w:val="94"/>
              </w:rPr>
              <w:t>-18 bps</w:t>
            </w:r>
          </w:p>
        </w:tc>
        <w:tc>
          <w:tcPr>
            <w:tcW w:w="7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-47 bps</w:t>
            </w:r>
          </w:p>
        </w:tc>
        <w:tc>
          <w:tcPr>
            <w:tcW w:w="84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rPr>
              <w:t>2.86%</w:t>
            </w:r>
          </w:p>
        </w:tc>
        <w:tc>
          <w:tcPr>
            <w:tcW w:w="118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rPr>
              <w:t>2.83%</w:t>
            </w:r>
          </w:p>
        </w:tc>
        <w:tc>
          <w:tcPr>
            <w:tcW w:w="11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3"/>
              </w:rPr>
              <w:t>-3 bps</w:t>
            </w:r>
          </w:p>
        </w:tc>
      </w:tr>
      <w:tr>
        <w:trPr>
          <w:trHeight w:val="135"/>
        </w:trPr>
        <w:tc>
          <w:tcPr>
            <w:tcW w:w="3760" w:type="dxa"/>
            <w:vAlign w:val="bottom"/>
            <w:tcBorders>
              <w:left w:val="single" w:sz="8" w:color="auto"/>
              <w:right w:val="single" w:sz="8" w:color="auto"/>
            </w:tcBorders>
          </w:tcPr>
          <w:p>
            <w:pPr>
              <w:ind w:left="180"/>
              <w:spacing w:after="0" w:line="135" w:lineRule="exact"/>
              <w:rPr>
                <w:sz w:val="20"/>
                <w:szCs w:val="20"/>
                <w:color w:val="auto"/>
              </w:rPr>
            </w:pPr>
            <w:r>
              <w:rPr>
                <w:rFonts w:ascii="Calibri" w:cs="Calibri" w:eastAsia="Calibri" w:hAnsi="Calibri"/>
                <w:sz w:val="12"/>
                <w:szCs w:val="12"/>
                <w:b w:val="1"/>
                <w:bCs w:val="1"/>
                <w:color w:val="auto"/>
              </w:rPr>
              <w:t>Net Interest Margin (NIM)</w:t>
            </w:r>
            <w:r>
              <w:rPr>
                <w:rFonts w:ascii="Calibri" w:cs="Calibri" w:eastAsia="Calibri" w:hAnsi="Calibri"/>
                <w:sz w:val="9"/>
                <w:szCs w:val="9"/>
                <w:b w:val="1"/>
                <w:bCs w:val="1"/>
                <w:color w:val="auto"/>
              </w:rPr>
              <w:t>(1)</w:t>
            </w:r>
          </w:p>
        </w:tc>
        <w:tc>
          <w:tcPr>
            <w:tcW w:w="1020" w:type="dxa"/>
            <w:vAlign w:val="bottom"/>
          </w:tcPr>
          <w:p>
            <w:pPr>
              <w:jc w:val="center"/>
              <w:spacing w:after="0" w:line="135" w:lineRule="exact"/>
              <w:rPr>
                <w:sz w:val="20"/>
                <w:szCs w:val="20"/>
                <w:color w:val="auto"/>
              </w:rPr>
            </w:pPr>
            <w:r>
              <w:rPr>
                <w:rFonts w:ascii="Calibri" w:cs="Calibri" w:eastAsia="Calibri" w:hAnsi="Calibri"/>
                <w:sz w:val="12"/>
                <w:szCs w:val="12"/>
                <w:b w:val="1"/>
                <w:bCs w:val="1"/>
                <w:color w:val="auto"/>
                <w:w w:val="99"/>
              </w:rPr>
              <w:t>6.11%</w:t>
            </w:r>
          </w:p>
        </w:tc>
        <w:tc>
          <w:tcPr>
            <w:tcW w:w="1020" w:type="dxa"/>
            <w:vAlign w:val="bottom"/>
          </w:tcPr>
          <w:p>
            <w:pPr>
              <w:jc w:val="center"/>
              <w:ind w:right="22"/>
              <w:spacing w:after="0" w:line="135" w:lineRule="exact"/>
              <w:rPr>
                <w:sz w:val="20"/>
                <w:szCs w:val="20"/>
                <w:color w:val="auto"/>
              </w:rPr>
            </w:pPr>
            <w:r>
              <w:rPr>
                <w:rFonts w:ascii="Calibri" w:cs="Calibri" w:eastAsia="Calibri" w:hAnsi="Calibri"/>
                <w:sz w:val="12"/>
                <w:szCs w:val="12"/>
                <w:b w:val="1"/>
                <w:bCs w:val="1"/>
                <w:color w:val="auto"/>
                <w:w w:val="99"/>
              </w:rPr>
              <w:t>6.33%</w:t>
            </w:r>
          </w:p>
        </w:tc>
        <w:tc>
          <w:tcPr>
            <w:tcW w:w="1000" w:type="dxa"/>
            <w:vAlign w:val="bottom"/>
            <w:tcBorders>
              <w:right w:val="single" w:sz="8" w:color="auto"/>
            </w:tcBorders>
          </w:tcPr>
          <w:p>
            <w:pPr>
              <w:jc w:val="center"/>
              <w:ind w:right="2"/>
              <w:spacing w:after="0" w:line="135" w:lineRule="exact"/>
              <w:rPr>
                <w:sz w:val="20"/>
                <w:szCs w:val="20"/>
                <w:color w:val="auto"/>
              </w:rPr>
            </w:pPr>
            <w:r>
              <w:rPr>
                <w:rFonts w:ascii="Calibri" w:cs="Calibri" w:eastAsia="Calibri" w:hAnsi="Calibri"/>
                <w:sz w:val="12"/>
                <w:szCs w:val="12"/>
                <w:b w:val="1"/>
                <w:bCs w:val="1"/>
                <w:color w:val="auto"/>
                <w:w w:val="99"/>
              </w:rPr>
              <w:t>6.43%</w:t>
            </w:r>
          </w:p>
        </w:tc>
        <w:tc>
          <w:tcPr>
            <w:tcW w:w="620" w:type="dxa"/>
            <w:vAlign w:val="bottom"/>
          </w:tcPr>
          <w:p>
            <w:pPr>
              <w:jc w:val="center"/>
              <w:spacing w:after="0" w:line="135" w:lineRule="exact"/>
              <w:rPr>
                <w:sz w:val="20"/>
                <w:szCs w:val="20"/>
                <w:color w:val="auto"/>
              </w:rPr>
            </w:pPr>
            <w:r>
              <w:rPr>
                <w:rFonts w:ascii="Calibri" w:cs="Calibri" w:eastAsia="Calibri" w:hAnsi="Calibri"/>
                <w:sz w:val="12"/>
                <w:szCs w:val="12"/>
                <w:b w:val="1"/>
                <w:bCs w:val="1"/>
                <w:color w:val="auto"/>
                <w:w w:val="91"/>
              </w:rPr>
              <w:t>10 bps</w:t>
            </w:r>
          </w:p>
        </w:tc>
        <w:tc>
          <w:tcPr>
            <w:tcW w:w="7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32 bps</w:t>
            </w:r>
          </w:p>
        </w:tc>
        <w:tc>
          <w:tcPr>
            <w:tcW w:w="840" w:type="dxa"/>
            <w:vAlign w:val="bottom"/>
          </w:tcPr>
          <w:p>
            <w:pPr>
              <w:jc w:val="center"/>
              <w:ind w:left="82"/>
              <w:spacing w:after="0" w:line="135" w:lineRule="exact"/>
              <w:rPr>
                <w:sz w:val="20"/>
                <w:szCs w:val="20"/>
                <w:color w:val="auto"/>
              </w:rPr>
            </w:pPr>
            <w:r>
              <w:rPr>
                <w:rFonts w:ascii="Calibri" w:cs="Calibri" w:eastAsia="Calibri" w:hAnsi="Calibri"/>
                <w:sz w:val="12"/>
                <w:szCs w:val="12"/>
                <w:b w:val="1"/>
                <w:bCs w:val="1"/>
                <w:color w:val="auto"/>
                <w:w w:val="99"/>
              </w:rPr>
              <w:t>5.96%</w:t>
            </w:r>
          </w:p>
        </w:tc>
        <w:tc>
          <w:tcPr>
            <w:tcW w:w="118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b w:val="1"/>
                <w:bCs w:val="1"/>
                <w:color w:val="auto"/>
                <w:w w:val="99"/>
              </w:rPr>
              <w:t>6.31%</w:t>
            </w:r>
          </w:p>
        </w:tc>
        <w:tc>
          <w:tcPr>
            <w:tcW w:w="110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35 bps</w:t>
            </w:r>
          </w:p>
        </w:tc>
      </w:tr>
      <w:tr>
        <w:trPr>
          <w:trHeight w:val="144"/>
        </w:trPr>
        <w:tc>
          <w:tcPr>
            <w:tcW w:w="3760" w:type="dxa"/>
            <w:vAlign w:val="bottom"/>
            <w:tcBorders>
              <w:left w:val="single" w:sz="8" w:color="auto"/>
              <w:bottom w:val="single" w:sz="8" w:color="auto"/>
              <w:right w:val="single" w:sz="8" w:color="auto"/>
            </w:tcBorders>
          </w:tcPr>
          <w:p>
            <w:pPr>
              <w:ind w:left="180"/>
              <w:spacing w:after="0" w:line="138" w:lineRule="exact"/>
              <w:rPr>
                <w:sz w:val="20"/>
                <w:szCs w:val="20"/>
                <w:color w:val="auto"/>
              </w:rPr>
            </w:pPr>
            <w:r>
              <w:rPr>
                <w:rFonts w:ascii="Calibri" w:cs="Calibri" w:eastAsia="Calibri" w:hAnsi="Calibri"/>
                <w:sz w:val="12"/>
                <w:szCs w:val="12"/>
                <w:b w:val="1"/>
                <w:bCs w:val="1"/>
                <w:color w:val="auto"/>
              </w:rPr>
              <w:t>Risk-Adjusted Net Interest Margin</w:t>
            </w:r>
            <w:r>
              <w:rPr>
                <w:rFonts w:ascii="Calibri" w:cs="Calibri" w:eastAsia="Calibri" w:hAnsi="Calibri"/>
                <w:sz w:val="9"/>
                <w:szCs w:val="9"/>
                <w:b w:val="1"/>
                <w:bCs w:val="1"/>
                <w:color w:val="auto"/>
              </w:rPr>
              <w:t>(1)</w:t>
            </w:r>
          </w:p>
        </w:tc>
        <w:tc>
          <w:tcPr>
            <w:tcW w:w="102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9"/>
              </w:rPr>
              <w:t>4.45%</w:t>
            </w:r>
          </w:p>
        </w:tc>
        <w:tc>
          <w:tcPr>
            <w:tcW w:w="1020" w:type="dxa"/>
            <w:vAlign w:val="bottom"/>
            <w:tcBorders>
              <w:bottom w:val="single" w:sz="8" w:color="auto"/>
            </w:tcBorders>
          </w:tcPr>
          <w:p>
            <w:pPr>
              <w:jc w:val="center"/>
              <w:ind w:right="22"/>
              <w:spacing w:after="0" w:line="138" w:lineRule="exact"/>
              <w:rPr>
                <w:sz w:val="20"/>
                <w:szCs w:val="20"/>
                <w:color w:val="auto"/>
              </w:rPr>
            </w:pPr>
            <w:r>
              <w:rPr>
                <w:rFonts w:ascii="Calibri" w:cs="Calibri" w:eastAsia="Calibri" w:hAnsi="Calibri"/>
                <w:sz w:val="12"/>
                <w:szCs w:val="12"/>
                <w:b w:val="1"/>
                <w:bCs w:val="1"/>
                <w:color w:val="auto"/>
                <w:w w:val="99"/>
              </w:rPr>
              <w:t>4.40%</w:t>
            </w:r>
          </w:p>
        </w:tc>
        <w:tc>
          <w:tcPr>
            <w:tcW w:w="1000" w:type="dxa"/>
            <w:vAlign w:val="bottom"/>
            <w:tcBorders>
              <w:bottom w:val="single" w:sz="8" w:color="auto"/>
              <w:right w:val="single" w:sz="8" w:color="auto"/>
            </w:tcBorders>
          </w:tcPr>
          <w:p>
            <w:pPr>
              <w:jc w:val="center"/>
              <w:ind w:right="2"/>
              <w:spacing w:after="0" w:line="138" w:lineRule="exact"/>
              <w:rPr>
                <w:sz w:val="20"/>
                <w:szCs w:val="20"/>
                <w:color w:val="auto"/>
              </w:rPr>
            </w:pPr>
            <w:r>
              <w:rPr>
                <w:rFonts w:ascii="Calibri" w:cs="Calibri" w:eastAsia="Calibri" w:hAnsi="Calibri"/>
                <w:sz w:val="12"/>
                <w:szCs w:val="12"/>
                <w:b w:val="1"/>
                <w:bCs w:val="1"/>
                <w:color w:val="auto"/>
                <w:w w:val="99"/>
              </w:rPr>
              <w:t>4.93%</w:t>
            </w:r>
          </w:p>
        </w:tc>
        <w:tc>
          <w:tcPr>
            <w:tcW w:w="62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1"/>
              </w:rPr>
              <w:t>53 bps</w:t>
            </w:r>
          </w:p>
        </w:tc>
        <w:tc>
          <w:tcPr>
            <w:tcW w:w="7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8"/>
              </w:rPr>
              <w:t>48 bps</w:t>
            </w:r>
          </w:p>
        </w:tc>
        <w:tc>
          <w:tcPr>
            <w:tcW w:w="840" w:type="dxa"/>
            <w:vAlign w:val="bottom"/>
            <w:tcBorders>
              <w:bottom w:val="single" w:sz="8" w:color="auto"/>
            </w:tcBorders>
          </w:tcPr>
          <w:p>
            <w:pPr>
              <w:jc w:val="center"/>
              <w:ind w:left="82"/>
              <w:spacing w:after="0" w:line="138" w:lineRule="exact"/>
              <w:rPr>
                <w:sz w:val="20"/>
                <w:szCs w:val="20"/>
                <w:color w:val="auto"/>
              </w:rPr>
            </w:pPr>
            <w:r>
              <w:rPr>
                <w:rFonts w:ascii="Calibri" w:cs="Calibri" w:eastAsia="Calibri" w:hAnsi="Calibri"/>
                <w:sz w:val="12"/>
                <w:szCs w:val="12"/>
                <w:b w:val="1"/>
                <w:bCs w:val="1"/>
                <w:color w:val="auto"/>
                <w:w w:val="99"/>
              </w:rPr>
              <w:t>4.49%</w:t>
            </w:r>
          </w:p>
        </w:tc>
        <w:tc>
          <w:tcPr>
            <w:tcW w:w="1180" w:type="dxa"/>
            <w:vAlign w:val="bottom"/>
            <w:tcBorders>
              <w:bottom w:val="single" w:sz="8" w:color="auto"/>
              <w:right w:val="single" w:sz="8" w:color="auto"/>
            </w:tcBorders>
          </w:tcPr>
          <w:p>
            <w:pPr>
              <w:jc w:val="center"/>
              <w:ind w:left="62"/>
              <w:spacing w:after="0" w:line="138" w:lineRule="exact"/>
              <w:rPr>
                <w:sz w:val="20"/>
                <w:szCs w:val="20"/>
                <w:color w:val="auto"/>
              </w:rPr>
            </w:pPr>
            <w:r>
              <w:rPr>
                <w:rFonts w:ascii="Calibri" w:cs="Calibri" w:eastAsia="Calibri" w:hAnsi="Calibri"/>
                <w:sz w:val="12"/>
                <w:szCs w:val="12"/>
                <w:b w:val="1"/>
                <w:bCs w:val="1"/>
                <w:color w:val="auto"/>
                <w:w w:val="99"/>
              </w:rPr>
              <w:t>4.70%</w:t>
            </w:r>
          </w:p>
        </w:tc>
        <w:tc>
          <w:tcPr>
            <w:tcW w:w="11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8"/>
              </w:rPr>
              <w:t>21 bps</w:t>
            </w:r>
          </w:p>
        </w:tc>
      </w:tr>
      <w:tr>
        <w:trPr>
          <w:trHeight w:val="120"/>
        </w:trPr>
        <w:tc>
          <w:tcPr>
            <w:tcW w:w="3760" w:type="dxa"/>
            <w:vAlign w:val="bottom"/>
            <w:tcBorders>
              <w:left w:val="single" w:sz="8" w:color="auto"/>
              <w:right w:val="single" w:sz="8" w:color="auto"/>
            </w:tcBorders>
          </w:tcPr>
          <w:p>
            <w:pPr>
              <w:ind w:left="180"/>
              <w:spacing w:after="0" w:line="120" w:lineRule="exact"/>
              <w:rPr>
                <w:sz w:val="20"/>
                <w:szCs w:val="20"/>
                <w:color w:val="auto"/>
              </w:rPr>
            </w:pPr>
            <w:r>
              <w:rPr>
                <w:rFonts w:ascii="Calibri" w:cs="Calibri" w:eastAsia="Calibri" w:hAnsi="Calibri"/>
                <w:sz w:val="12"/>
                <w:szCs w:val="12"/>
                <w:b w:val="1"/>
                <w:bCs w:val="1"/>
                <w:color w:val="auto"/>
              </w:rPr>
              <w:t>Peru's Reference Rate</w:t>
            </w:r>
          </w:p>
        </w:tc>
        <w:tc>
          <w:tcPr>
            <w:tcW w:w="10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auto"/>
                <w:w w:val="99"/>
              </w:rPr>
              <w:t>7.50%</w:t>
            </w:r>
          </w:p>
        </w:tc>
        <w:tc>
          <w:tcPr>
            <w:tcW w:w="1020" w:type="dxa"/>
            <w:vAlign w:val="bottom"/>
          </w:tcPr>
          <w:p>
            <w:pPr>
              <w:jc w:val="center"/>
              <w:ind w:right="22"/>
              <w:spacing w:after="0" w:line="120" w:lineRule="exact"/>
              <w:rPr>
                <w:sz w:val="20"/>
                <w:szCs w:val="20"/>
                <w:color w:val="auto"/>
              </w:rPr>
            </w:pPr>
            <w:r>
              <w:rPr>
                <w:rFonts w:ascii="Calibri" w:cs="Calibri" w:eastAsia="Calibri" w:hAnsi="Calibri"/>
                <w:sz w:val="12"/>
                <w:szCs w:val="12"/>
                <w:b w:val="1"/>
                <w:bCs w:val="1"/>
                <w:color w:val="auto"/>
                <w:w w:val="99"/>
              </w:rPr>
              <w:t>5.75%</w:t>
            </w:r>
          </w:p>
        </w:tc>
        <w:tc>
          <w:tcPr>
            <w:tcW w:w="1000" w:type="dxa"/>
            <w:vAlign w:val="bottom"/>
            <w:tcBorders>
              <w:right w:val="single" w:sz="8" w:color="auto"/>
            </w:tcBorders>
          </w:tcPr>
          <w:p>
            <w:pPr>
              <w:jc w:val="center"/>
              <w:ind w:right="2"/>
              <w:spacing w:after="0" w:line="120" w:lineRule="exact"/>
              <w:rPr>
                <w:sz w:val="20"/>
                <w:szCs w:val="20"/>
                <w:color w:val="auto"/>
              </w:rPr>
            </w:pPr>
            <w:r>
              <w:rPr>
                <w:rFonts w:ascii="Calibri" w:cs="Calibri" w:eastAsia="Calibri" w:hAnsi="Calibri"/>
                <w:sz w:val="12"/>
                <w:szCs w:val="12"/>
                <w:b w:val="1"/>
                <w:bCs w:val="1"/>
                <w:color w:val="auto"/>
                <w:w w:val="99"/>
              </w:rPr>
              <w:t>5.25%</w:t>
            </w:r>
          </w:p>
        </w:tc>
        <w:tc>
          <w:tcPr>
            <w:tcW w:w="620" w:type="dxa"/>
            <w:vAlign w:val="bottom"/>
          </w:tcPr>
          <w:p>
            <w:pPr>
              <w:jc w:val="center"/>
              <w:spacing w:after="0" w:line="120" w:lineRule="exact"/>
              <w:rPr>
                <w:sz w:val="20"/>
                <w:szCs w:val="20"/>
                <w:color w:val="auto"/>
              </w:rPr>
            </w:pPr>
            <w:r>
              <w:rPr>
                <w:rFonts w:ascii="Calibri" w:cs="Calibri" w:eastAsia="Calibri" w:hAnsi="Calibri"/>
                <w:sz w:val="12"/>
                <w:szCs w:val="12"/>
                <w:b w:val="1"/>
                <w:bCs w:val="1"/>
                <w:color w:val="auto"/>
                <w:w w:val="93"/>
              </w:rPr>
              <w:t>-50 bps</w:t>
            </w:r>
          </w:p>
        </w:tc>
        <w:tc>
          <w:tcPr>
            <w:tcW w:w="700" w:type="dxa"/>
            <w:vAlign w:val="bottom"/>
            <w:tcBorders>
              <w:right w:val="single" w:sz="8" w:color="auto"/>
            </w:tcBorders>
          </w:tcPr>
          <w:p>
            <w:pPr>
              <w:jc w:val="center"/>
              <w:spacing w:after="0" w:line="120" w:lineRule="exact"/>
              <w:rPr>
                <w:sz w:val="20"/>
                <w:szCs w:val="20"/>
                <w:color w:val="auto"/>
              </w:rPr>
            </w:pPr>
            <w:r>
              <w:rPr>
                <w:rFonts w:ascii="Calibri" w:cs="Calibri" w:eastAsia="Calibri" w:hAnsi="Calibri"/>
                <w:sz w:val="12"/>
                <w:szCs w:val="12"/>
                <w:b w:val="1"/>
                <w:bCs w:val="1"/>
                <w:color w:val="auto"/>
                <w:w w:val="94"/>
              </w:rPr>
              <w:t>-225 bps</w:t>
            </w:r>
          </w:p>
        </w:tc>
        <w:tc>
          <w:tcPr>
            <w:tcW w:w="840" w:type="dxa"/>
            <w:vAlign w:val="bottom"/>
          </w:tcPr>
          <w:p>
            <w:pPr>
              <w:jc w:val="center"/>
              <w:ind w:left="82"/>
              <w:spacing w:after="0" w:line="120" w:lineRule="exact"/>
              <w:rPr>
                <w:sz w:val="20"/>
                <w:szCs w:val="20"/>
                <w:color w:val="auto"/>
              </w:rPr>
            </w:pPr>
            <w:r>
              <w:rPr>
                <w:rFonts w:ascii="Calibri" w:cs="Calibri" w:eastAsia="Calibri" w:hAnsi="Calibri"/>
                <w:sz w:val="12"/>
                <w:szCs w:val="12"/>
                <w:b w:val="1"/>
                <w:bCs w:val="1"/>
                <w:color w:val="auto"/>
                <w:w w:val="99"/>
              </w:rPr>
              <w:t>7.50%</w:t>
            </w:r>
          </w:p>
        </w:tc>
        <w:tc>
          <w:tcPr>
            <w:tcW w:w="1180" w:type="dxa"/>
            <w:vAlign w:val="bottom"/>
            <w:tcBorders>
              <w:right w:val="single" w:sz="8" w:color="auto"/>
            </w:tcBorders>
          </w:tcPr>
          <w:p>
            <w:pPr>
              <w:jc w:val="center"/>
              <w:ind w:left="62"/>
              <w:spacing w:after="0" w:line="120" w:lineRule="exact"/>
              <w:rPr>
                <w:sz w:val="20"/>
                <w:szCs w:val="20"/>
                <w:color w:val="auto"/>
              </w:rPr>
            </w:pPr>
            <w:r>
              <w:rPr>
                <w:rFonts w:ascii="Calibri" w:cs="Calibri" w:eastAsia="Calibri" w:hAnsi="Calibri"/>
                <w:sz w:val="12"/>
                <w:szCs w:val="12"/>
                <w:b w:val="1"/>
                <w:bCs w:val="1"/>
                <w:color w:val="auto"/>
                <w:w w:val="99"/>
              </w:rPr>
              <w:t>5.25%</w:t>
            </w:r>
          </w:p>
        </w:tc>
        <w:tc>
          <w:tcPr>
            <w:tcW w:w="1100" w:type="dxa"/>
            <w:vAlign w:val="bottom"/>
            <w:tcBorders>
              <w:right w:val="single" w:sz="8" w:color="auto"/>
            </w:tcBorders>
          </w:tcPr>
          <w:p>
            <w:pPr>
              <w:jc w:val="center"/>
              <w:spacing w:after="0" w:line="120" w:lineRule="exact"/>
              <w:rPr>
                <w:sz w:val="20"/>
                <w:szCs w:val="20"/>
                <w:color w:val="auto"/>
              </w:rPr>
            </w:pPr>
            <w:r>
              <w:rPr>
                <w:rFonts w:ascii="Calibri" w:cs="Calibri" w:eastAsia="Calibri" w:hAnsi="Calibri"/>
                <w:sz w:val="12"/>
                <w:szCs w:val="12"/>
                <w:b w:val="1"/>
                <w:bCs w:val="1"/>
                <w:color w:val="auto"/>
                <w:w w:val="94"/>
              </w:rPr>
              <w:t>-225 bps</w:t>
            </w:r>
          </w:p>
        </w:tc>
      </w:tr>
      <w:tr>
        <w:trPr>
          <w:trHeight w:val="144"/>
        </w:trPr>
        <w:tc>
          <w:tcPr>
            <w:tcW w:w="3760" w:type="dxa"/>
            <w:vAlign w:val="bottom"/>
            <w:tcBorders>
              <w:left w:val="single" w:sz="8" w:color="auto"/>
              <w:bottom w:val="single" w:sz="8" w:color="auto"/>
              <w:right w:val="single" w:sz="8" w:color="auto"/>
            </w:tcBorders>
          </w:tcPr>
          <w:p>
            <w:pPr>
              <w:ind w:left="180"/>
              <w:spacing w:after="0" w:line="138" w:lineRule="exact"/>
              <w:rPr>
                <w:sz w:val="20"/>
                <w:szCs w:val="20"/>
                <w:color w:val="auto"/>
              </w:rPr>
            </w:pPr>
            <w:r>
              <w:rPr>
                <w:rFonts w:ascii="Calibri" w:cs="Calibri" w:eastAsia="Calibri" w:hAnsi="Calibri"/>
                <w:sz w:val="12"/>
                <w:szCs w:val="12"/>
                <w:b w:val="1"/>
                <w:bCs w:val="1"/>
                <w:color w:val="auto"/>
              </w:rPr>
              <w:t>FED funds rate</w:t>
            </w:r>
          </w:p>
        </w:tc>
        <w:tc>
          <w:tcPr>
            <w:tcW w:w="102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9"/>
              </w:rPr>
              <w:t>5.50%</w:t>
            </w:r>
          </w:p>
        </w:tc>
        <w:tc>
          <w:tcPr>
            <w:tcW w:w="1020" w:type="dxa"/>
            <w:vAlign w:val="bottom"/>
            <w:tcBorders>
              <w:bottom w:val="single" w:sz="8" w:color="auto"/>
            </w:tcBorders>
          </w:tcPr>
          <w:p>
            <w:pPr>
              <w:jc w:val="center"/>
              <w:ind w:right="22"/>
              <w:spacing w:after="0" w:line="138" w:lineRule="exact"/>
              <w:rPr>
                <w:sz w:val="20"/>
                <w:szCs w:val="20"/>
                <w:color w:val="auto"/>
              </w:rPr>
            </w:pPr>
            <w:r>
              <w:rPr>
                <w:rFonts w:ascii="Calibri" w:cs="Calibri" w:eastAsia="Calibri" w:hAnsi="Calibri"/>
                <w:sz w:val="12"/>
                <w:szCs w:val="12"/>
                <w:b w:val="1"/>
                <w:bCs w:val="1"/>
                <w:color w:val="auto"/>
                <w:w w:val="99"/>
              </w:rPr>
              <w:t>5.50%</w:t>
            </w:r>
          </w:p>
        </w:tc>
        <w:tc>
          <w:tcPr>
            <w:tcW w:w="1000" w:type="dxa"/>
            <w:vAlign w:val="bottom"/>
            <w:tcBorders>
              <w:bottom w:val="single" w:sz="8" w:color="auto"/>
              <w:right w:val="single" w:sz="8" w:color="auto"/>
            </w:tcBorders>
          </w:tcPr>
          <w:p>
            <w:pPr>
              <w:jc w:val="center"/>
              <w:ind w:right="2"/>
              <w:spacing w:after="0" w:line="138" w:lineRule="exact"/>
              <w:rPr>
                <w:sz w:val="20"/>
                <w:szCs w:val="20"/>
                <w:color w:val="auto"/>
              </w:rPr>
            </w:pPr>
            <w:r>
              <w:rPr>
                <w:rFonts w:ascii="Calibri" w:cs="Calibri" w:eastAsia="Calibri" w:hAnsi="Calibri"/>
                <w:sz w:val="12"/>
                <w:szCs w:val="12"/>
                <w:b w:val="1"/>
                <w:bCs w:val="1"/>
                <w:color w:val="auto"/>
                <w:w w:val="99"/>
              </w:rPr>
              <w:t>5.00%</w:t>
            </w:r>
          </w:p>
        </w:tc>
        <w:tc>
          <w:tcPr>
            <w:tcW w:w="62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3"/>
              </w:rPr>
              <w:t>-50 bps</w:t>
            </w:r>
          </w:p>
        </w:tc>
        <w:tc>
          <w:tcPr>
            <w:tcW w:w="7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9"/>
              </w:rPr>
              <w:t>-50 bps</w:t>
            </w:r>
          </w:p>
        </w:tc>
        <w:tc>
          <w:tcPr>
            <w:tcW w:w="840" w:type="dxa"/>
            <w:vAlign w:val="bottom"/>
            <w:tcBorders>
              <w:bottom w:val="single" w:sz="8" w:color="auto"/>
            </w:tcBorders>
          </w:tcPr>
          <w:p>
            <w:pPr>
              <w:jc w:val="center"/>
              <w:ind w:left="82"/>
              <w:spacing w:after="0" w:line="138" w:lineRule="exact"/>
              <w:rPr>
                <w:sz w:val="20"/>
                <w:szCs w:val="20"/>
                <w:color w:val="auto"/>
              </w:rPr>
            </w:pPr>
            <w:r>
              <w:rPr>
                <w:rFonts w:ascii="Calibri" w:cs="Calibri" w:eastAsia="Calibri" w:hAnsi="Calibri"/>
                <w:sz w:val="12"/>
                <w:szCs w:val="12"/>
                <w:b w:val="1"/>
                <w:bCs w:val="1"/>
                <w:color w:val="auto"/>
                <w:w w:val="99"/>
              </w:rPr>
              <w:t>5.50%</w:t>
            </w:r>
          </w:p>
        </w:tc>
        <w:tc>
          <w:tcPr>
            <w:tcW w:w="1180" w:type="dxa"/>
            <w:vAlign w:val="bottom"/>
            <w:tcBorders>
              <w:bottom w:val="single" w:sz="8" w:color="auto"/>
              <w:right w:val="single" w:sz="8" w:color="auto"/>
            </w:tcBorders>
          </w:tcPr>
          <w:p>
            <w:pPr>
              <w:jc w:val="center"/>
              <w:ind w:left="62"/>
              <w:spacing w:after="0" w:line="138" w:lineRule="exact"/>
              <w:rPr>
                <w:sz w:val="20"/>
                <w:szCs w:val="20"/>
                <w:color w:val="auto"/>
              </w:rPr>
            </w:pPr>
            <w:r>
              <w:rPr>
                <w:rFonts w:ascii="Calibri" w:cs="Calibri" w:eastAsia="Calibri" w:hAnsi="Calibri"/>
                <w:sz w:val="12"/>
                <w:szCs w:val="12"/>
                <w:b w:val="1"/>
                <w:bCs w:val="1"/>
                <w:color w:val="auto"/>
                <w:w w:val="99"/>
              </w:rPr>
              <w:t>5.00%</w:t>
            </w:r>
          </w:p>
        </w:tc>
        <w:tc>
          <w:tcPr>
            <w:tcW w:w="11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9"/>
              </w:rPr>
              <w:t>-50 bps</w:t>
            </w:r>
          </w:p>
        </w:tc>
      </w:tr>
    </w:tbl>
    <w:p>
      <w:pPr>
        <w:spacing w:after="0" w:line="200" w:lineRule="auto"/>
        <w:rPr>
          <w:sz w:val="20"/>
          <w:szCs w:val="20"/>
          <w:color w:val="auto"/>
        </w:rPr>
      </w:pPr>
      <w:r>
        <w:rPr>
          <w:rFonts w:ascii="Calibri" w:cs="Calibri" w:eastAsia="Calibri" w:hAnsi="Calibri"/>
          <w:sz w:val="12"/>
          <w:szCs w:val="12"/>
          <w:color w:val="auto"/>
        </w:rPr>
        <w:t>(1) For further detail on the new NIM calculaton due to IFRS17, please refer to Annex 12.7</w:t>
      </w:r>
    </w:p>
    <w:p>
      <w:pPr>
        <w:spacing w:after="0" w:line="1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QoQ, Net interest income (NII) rose 3.5%, fueled mainly by a drop in interest and similar expenses. This decline was fueled by a sharp increase in low-cost deposits, as retail clients decided to maintain infows from pension fund withdrawals in the Individuals segment. The share of low-cost deposits in the mix rose this quarter, which drove down the funding cost through a drop in the weight of more expensive funding alternatves such as tme deposits.</w:t>
      </w:r>
    </w:p>
    <w:p>
      <w:pPr>
        <w:spacing w:after="0" w:line="21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To a lesser extent, the reducton in the interest expenses was fueled by lower expenses for Due to banks and correspondents, partcularly in local currency, which refected the negatve pricing efect generated by BCRP’s rate cut. Interest and similar income, in turn, reported growth of 1.2% QoQ, driven mainly by the positve volume efect created by sharp growth in available funds, mainly in foreign currency, which were optmized via O/N deposits at BCRP. Income from securites also contributed to growth in interest and similar income, but to a lesser extent. Loans contracted over the period but nonetheless registered a marginal increase in interest income due to a positve mix efect, given that the drop was concentrated in wholesale loans, which generate lower margins.</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YoY, NII increased 10.3% afer Interest and similar income rose 3.7% YoY. This evoluton was driven primarily by growth in income from available funds, which was atributable to a positve volume efect, and secondarily, by an increase in income on loans, which refected an uptck in retail loans’ share of total loans. Lastly, interest on securites also contributed to growth in Interest and similar income and refected the fruits of BCP’s strategy to increase the duraton of its investment portolio. Interest and similar expenses dropped 10.2%, driven by growth in volume of low-cost deposits, which was fueled by the same factors as those seen QoQ. Additonally, BCRP’s reference rate cuts led to a decrease in interest expenses for Due to banks and Correspondents in local currency. This was partally ofset by growth in interest expense on Bonds and notes issued, which was fueled by BCP debt issuances this year.</w:t>
      </w:r>
    </w:p>
    <w:p>
      <w:pPr>
        <w:spacing w:after="0" w:line="2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YTD, NII was up 9.3% versus the print in 3Q24, driven by Interest and similar income, which rose mainly on the back of a positve loan pricing efect, in line with improvements in risk valuaton for pricing in the SME-Pyme and Credit Card segments. Interest and similar expenses were impacted by a reducton in interest expenses on deposits, which refected the fact that low-cost deposits accounted for a larger proporton of the funding structure YTD.</w:t>
      </w:r>
    </w:p>
    <w:p>
      <w:pPr>
        <w:spacing w:after="0" w:line="35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 w:name="page27"/>
    <w:bookmarkEnd w:id="26"/>
    <w:p>
      <w:pPr>
        <w:jc w:val="right"/>
        <w:ind w:right="1100"/>
        <w:spacing w:after="0"/>
        <w:tabs>
          <w:tab w:leader="none" w:pos="7180" w:val="left"/>
          <w:tab w:leader="none" w:pos="248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04. Net Interest Income (NII)</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-121920</wp:posOffset>
            </wp:positionV>
            <wp:extent cx="2811780" cy="1551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11780" cy="1551305"/>
                    </a:xfrm>
                    <a:prstGeom prst="rect">
                      <a:avLst/>
                    </a:prstGeom>
                    <a:noFill/>
                  </pic:spPr>
                </pic:pic>
              </a:graphicData>
            </a:graphic>
          </wp:anchor>
        </w:drawing>
      </w:r>
    </w:p>
    <w:p>
      <w:pPr>
        <w:spacing w:after="0" w:line="184" w:lineRule="exact"/>
        <w:rPr>
          <w:sz w:val="20"/>
          <w:szCs w:val="20"/>
          <w:color w:val="auto"/>
        </w:rPr>
      </w:pPr>
    </w:p>
    <w:p>
      <w:pPr>
        <w:jc w:val="both"/>
        <w:ind w:right="5840"/>
        <w:spacing w:after="0" w:line="235" w:lineRule="auto"/>
        <w:rPr>
          <w:sz w:val="20"/>
          <w:szCs w:val="20"/>
          <w:color w:val="auto"/>
        </w:rPr>
      </w:pPr>
      <w:r>
        <w:rPr>
          <w:rFonts w:ascii="Calibri" w:cs="Calibri" w:eastAsia="Calibri" w:hAnsi="Calibri"/>
          <w:sz w:val="18"/>
          <w:szCs w:val="18"/>
          <w:color w:val="auto"/>
        </w:rPr>
        <w:t>NIM rose 10 bps QoQ to stand at 6.43%. This evoluton was driven primarily by a reducton in the funding cost and refected the shif toward an increase in low-cost deposits’ weight in the deposit mix via infows of funds from pension fund withdrawals. The yield on IEAs dropped 5 bps QoQ, given that the contracton in loans led to a lower-yield IEA mix; this impact was atenuated by moves to optmize liquidity surpluses.</w:t>
      </w:r>
    </w:p>
    <w:p>
      <w:pPr>
        <w:spacing w:after="0" w:line="208" w:lineRule="exact"/>
        <w:rPr>
          <w:sz w:val="20"/>
          <w:szCs w:val="20"/>
          <w:color w:val="auto"/>
        </w:rPr>
      </w:pPr>
    </w:p>
    <w:p>
      <w:pPr>
        <w:jc w:val="both"/>
        <w:ind w:right="5840"/>
        <w:spacing w:after="0" w:line="235" w:lineRule="auto"/>
        <w:rPr>
          <w:sz w:val="20"/>
          <w:szCs w:val="20"/>
          <w:color w:val="auto"/>
        </w:rPr>
      </w:pPr>
      <w:r>
        <w:rPr>
          <w:rFonts w:ascii="Calibri" w:cs="Calibri" w:eastAsia="Calibri" w:hAnsi="Calibri"/>
          <w:sz w:val="18"/>
          <w:szCs w:val="18"/>
          <w:color w:val="auto"/>
        </w:rPr>
        <w:t>Our management of interest rate risk allowed us to maintain a solid IEA yield while the QoQ drop of 18 bps in the cost of funding supported the upward trend in NIM. Risk-adjusted NIM rose 53 bps, driven by a reducton in provisions in a context marked by an improvement in client payment capacites.</w:t>
      </w:r>
    </w:p>
    <w:p>
      <w:pPr>
        <w:spacing w:after="0" w:line="2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Dynamics of Net Interest Margins by Currency</w:t>
      </w:r>
    </w:p>
    <w:p>
      <w:pPr>
        <w:sectPr>
          <w:pgSz w:w="11900" w:h="16838" w:orient="portrait"/>
          <w:cols w:equalWidth="0" w:num="1">
            <w:col w:w="11240"/>
          </w:cols>
          <w:pgMar w:left="320" w:top="348" w:right="339" w:bottom="1440" w:gutter="0" w:footer="0" w:header="0"/>
        </w:sect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44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1"/>
                <w:szCs w:val="11"/>
                <w:b w:val="1"/>
                <w:bCs w:val="1"/>
                <w:color w:val="FFFFFF"/>
              </w:rPr>
              <w:t>Interest Income / IEA</w:t>
            </w:r>
          </w:p>
        </w:tc>
        <w:tc>
          <w:tcPr>
            <w:tcW w:w="540" w:type="dxa"/>
            <w:vAlign w:val="bottom"/>
            <w:tcBorders>
              <w:top w:val="single" w:sz="8" w:color="auto"/>
            </w:tcBorders>
            <w:shd w:val="clear" w:color="auto" w:fill="33CCCC"/>
          </w:tcPr>
          <w:p>
            <w:pPr>
              <w:spacing w:after="0"/>
              <w:rPr>
                <w:sz w:val="12"/>
                <w:szCs w:val="12"/>
                <w:color w:val="auto"/>
              </w:rPr>
            </w:pPr>
          </w:p>
        </w:tc>
        <w:tc>
          <w:tcPr>
            <w:tcW w:w="60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8"/>
              </w:rPr>
              <w:t>3Q23</w:t>
            </w:r>
          </w:p>
        </w:tc>
        <w:tc>
          <w:tcPr>
            <w:tcW w:w="580" w:type="dxa"/>
            <w:vAlign w:val="bottom"/>
            <w:tcBorders>
              <w:top w:val="single" w:sz="8" w:color="auto"/>
              <w:right w:val="single" w:sz="8" w:color="auto"/>
            </w:tcBorders>
            <w:shd w:val="clear" w:color="auto" w:fill="33CCCC"/>
          </w:tcPr>
          <w:p>
            <w:pPr>
              <w:spacing w:after="0"/>
              <w:rPr>
                <w:sz w:val="12"/>
                <w:szCs w:val="12"/>
                <w:color w:val="auto"/>
              </w:rPr>
            </w:pPr>
          </w:p>
        </w:tc>
        <w:tc>
          <w:tcPr>
            <w:tcW w:w="660" w:type="dxa"/>
            <w:vAlign w:val="bottom"/>
            <w:tcBorders>
              <w:top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8"/>
              </w:rPr>
              <w:t>2Q24</w:t>
            </w:r>
          </w:p>
        </w:tc>
        <w:tc>
          <w:tcPr>
            <w:tcW w:w="640" w:type="dxa"/>
            <w:vAlign w:val="bottom"/>
            <w:tcBorders>
              <w:top w:val="single" w:sz="8" w:color="auto"/>
              <w:right w:val="single" w:sz="8" w:color="auto"/>
            </w:tcBorders>
            <w:shd w:val="clear" w:color="auto" w:fill="33CCCC"/>
          </w:tcPr>
          <w:p>
            <w:pPr>
              <w:spacing w:after="0"/>
              <w:rPr>
                <w:sz w:val="12"/>
                <w:szCs w:val="12"/>
                <w:color w:val="auto"/>
              </w:rPr>
            </w:pPr>
          </w:p>
        </w:tc>
        <w:tc>
          <w:tcPr>
            <w:tcW w:w="660" w:type="dxa"/>
            <w:vAlign w:val="bottom"/>
            <w:tcBorders>
              <w:top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8"/>
              </w:rPr>
              <w:t>3Q24</w:t>
            </w:r>
          </w:p>
        </w:tc>
        <w:tc>
          <w:tcPr>
            <w:tcW w:w="640" w:type="dxa"/>
            <w:vAlign w:val="bottom"/>
            <w:tcBorders>
              <w:top w:val="single" w:sz="8" w:color="auto"/>
              <w:right w:val="single" w:sz="8" w:color="auto"/>
            </w:tcBorders>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44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540" w:type="dxa"/>
            <w:vAlign w:val="bottom"/>
            <w:vMerge w:val="restart"/>
            <w:shd w:val="clear" w:color="auto" w:fill="33CCCC"/>
          </w:tcPr>
          <w:p>
            <w:pPr>
              <w:ind w:left="80"/>
              <w:spacing w:after="0" w:line="129" w:lineRule="exact"/>
              <w:rPr>
                <w:sz w:val="20"/>
                <w:szCs w:val="20"/>
                <w:color w:val="auto"/>
              </w:rPr>
            </w:pPr>
            <w:r>
              <w:rPr>
                <w:rFonts w:ascii="Calibri" w:cs="Calibri" w:eastAsia="Calibri" w:hAnsi="Calibri"/>
                <w:sz w:val="11"/>
                <w:szCs w:val="11"/>
                <w:b w:val="1"/>
                <w:bCs w:val="1"/>
                <w:color w:val="FFFFFF"/>
              </w:rPr>
              <w:t>Average</w:t>
            </w:r>
          </w:p>
        </w:tc>
        <w:tc>
          <w:tcPr>
            <w:tcW w:w="600" w:type="dxa"/>
            <w:vAlign w:val="bottom"/>
            <w:shd w:val="clear" w:color="auto" w:fill="33CCCC"/>
          </w:tcPr>
          <w:p>
            <w:pPr>
              <w:spacing w:after="0"/>
              <w:rPr>
                <w:sz w:val="5"/>
                <w:szCs w:val="5"/>
                <w:color w:val="auto"/>
              </w:rPr>
            </w:pPr>
          </w:p>
        </w:tc>
        <w:tc>
          <w:tcPr>
            <w:tcW w:w="580" w:type="dxa"/>
            <w:vAlign w:val="bottom"/>
            <w:tcBorders>
              <w:right w:val="single" w:sz="8" w:color="auto"/>
            </w:tcBorders>
            <w:shd w:val="clear" w:color="auto" w:fill="33CCCC"/>
          </w:tcPr>
          <w:p>
            <w:pPr>
              <w:spacing w:after="0"/>
              <w:rPr>
                <w:sz w:val="5"/>
                <w:szCs w:val="5"/>
                <w:color w:val="auto"/>
              </w:rPr>
            </w:pPr>
          </w:p>
        </w:tc>
        <w:tc>
          <w:tcPr>
            <w:tcW w:w="660" w:type="dxa"/>
            <w:vAlign w:val="bottom"/>
            <w:vMerge w:val="restart"/>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660" w:type="dxa"/>
            <w:vAlign w:val="bottom"/>
            <w:vMerge w:val="restart"/>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1"/>
                <w:szCs w:val="11"/>
                <w:b w:val="1"/>
                <w:bCs w:val="1"/>
                <w:color w:val="FFFFFF"/>
              </w:rPr>
              <w:t>S/ millions</w:t>
            </w:r>
          </w:p>
        </w:tc>
        <w:tc>
          <w:tcPr>
            <w:tcW w:w="540" w:type="dxa"/>
            <w:vAlign w:val="bottom"/>
            <w:vMerge w:val="continue"/>
            <w:shd w:val="clear" w:color="auto" w:fill="33CCCC"/>
          </w:tcPr>
          <w:p>
            <w:pPr>
              <w:spacing w:after="0"/>
              <w:rPr>
                <w:sz w:val="5"/>
                <w:szCs w:val="5"/>
                <w:color w:val="auto"/>
              </w:rPr>
            </w:pPr>
          </w:p>
        </w:tc>
        <w:tc>
          <w:tcPr>
            <w:tcW w:w="600" w:type="dxa"/>
            <w:vAlign w:val="bottom"/>
            <w:shd w:val="clear" w:color="auto" w:fill="33CCCC"/>
          </w:tcPr>
          <w:p>
            <w:pPr>
              <w:spacing w:after="0"/>
              <w:rPr>
                <w:sz w:val="5"/>
                <w:szCs w:val="5"/>
                <w:color w:val="auto"/>
              </w:rPr>
            </w:pPr>
          </w:p>
        </w:tc>
        <w:tc>
          <w:tcPr>
            <w:tcW w:w="580" w:type="dxa"/>
            <w:vAlign w:val="bottom"/>
            <w:tcBorders>
              <w:right w:val="single" w:sz="8" w:color="auto"/>
            </w:tcBorders>
            <w:shd w:val="clear" w:color="auto" w:fill="33CCCC"/>
          </w:tcPr>
          <w:p>
            <w:pPr>
              <w:spacing w:after="0"/>
              <w:rPr>
                <w:sz w:val="5"/>
                <w:szCs w:val="5"/>
                <w:color w:val="auto"/>
              </w:rPr>
            </w:pPr>
          </w:p>
        </w:tc>
        <w:tc>
          <w:tcPr>
            <w:tcW w:w="660" w:type="dxa"/>
            <w:vAlign w:val="bottom"/>
            <w:vMerge w:val="continue"/>
            <w:shd w:val="clear" w:color="auto" w:fill="33CCCC"/>
          </w:tcPr>
          <w:p>
            <w:pPr>
              <w:spacing w:after="0"/>
              <w:rPr>
                <w:sz w:val="5"/>
                <w:szCs w:val="5"/>
                <w:color w:val="auto"/>
              </w:rPr>
            </w:pP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660" w:type="dxa"/>
            <w:vAlign w:val="bottom"/>
            <w:vMerge w:val="continue"/>
            <w:shd w:val="clear" w:color="auto" w:fill="33CCCC"/>
          </w:tcPr>
          <w:p>
            <w:pPr>
              <w:spacing w:after="0"/>
              <w:rPr>
                <w:sz w:val="5"/>
                <w:szCs w:val="5"/>
                <w:color w:val="auto"/>
              </w:rPr>
            </w:pP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540" w:type="dxa"/>
            <w:vAlign w:val="bottom"/>
            <w:vMerge w:val="restart"/>
            <w:shd w:val="clear" w:color="auto" w:fill="33CCCC"/>
          </w:tcPr>
          <w:p>
            <w:pPr>
              <w:ind w:left="80"/>
              <w:spacing w:after="0"/>
              <w:rPr>
                <w:sz w:val="20"/>
                <w:szCs w:val="20"/>
                <w:color w:val="auto"/>
              </w:rPr>
            </w:pPr>
            <w:r>
              <w:rPr>
                <w:rFonts w:ascii="Calibri" w:cs="Calibri" w:eastAsia="Calibri" w:hAnsi="Calibri"/>
                <w:sz w:val="11"/>
                <w:szCs w:val="11"/>
                <w:b w:val="1"/>
                <w:bCs w:val="1"/>
                <w:color w:val="FFFFFF"/>
              </w:rPr>
              <w:t>Balance</w:t>
            </w:r>
          </w:p>
        </w:tc>
        <w:tc>
          <w:tcPr>
            <w:tcW w:w="60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Income</w:t>
            </w:r>
          </w:p>
        </w:tc>
        <w:tc>
          <w:tcPr>
            <w:tcW w:w="580" w:type="dxa"/>
            <w:vAlign w:val="bottom"/>
            <w:tcBorders>
              <w:right w:val="single" w:sz="8" w:color="auto"/>
            </w:tcBorders>
            <w:vMerge w:val="restart"/>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Yields</w:t>
            </w:r>
          </w:p>
        </w:tc>
        <w:tc>
          <w:tcPr>
            <w:tcW w:w="660" w:type="dxa"/>
            <w:vAlign w:val="bottom"/>
            <w:vMerge w:val="restart"/>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Balance</w:t>
            </w:r>
          </w:p>
        </w:tc>
        <w:tc>
          <w:tcPr>
            <w:tcW w:w="68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Income</w:t>
            </w:r>
          </w:p>
        </w:tc>
        <w:tc>
          <w:tcPr>
            <w:tcW w:w="640" w:type="dxa"/>
            <w:vAlign w:val="bottom"/>
            <w:tcBorders>
              <w:right w:val="single" w:sz="8" w:color="auto"/>
            </w:tcBorders>
            <w:vMerge w:val="restart"/>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Yields</w:t>
            </w:r>
          </w:p>
        </w:tc>
        <w:tc>
          <w:tcPr>
            <w:tcW w:w="660" w:type="dxa"/>
            <w:vAlign w:val="bottom"/>
            <w:vMerge w:val="restart"/>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Balance</w:t>
            </w:r>
          </w:p>
        </w:tc>
        <w:tc>
          <w:tcPr>
            <w:tcW w:w="68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4"/>
              </w:rPr>
              <w:t>Income</w:t>
            </w:r>
          </w:p>
        </w:tc>
        <w:tc>
          <w:tcPr>
            <w:tcW w:w="640" w:type="dxa"/>
            <w:vAlign w:val="bottom"/>
            <w:tcBorders>
              <w:right w:val="single" w:sz="8" w:color="auto"/>
            </w:tcBorders>
            <w:vMerge w:val="restart"/>
            <w:shd w:val="clear" w:color="auto" w:fill="33CCCC"/>
          </w:tcPr>
          <w:p>
            <w:pPr>
              <w:ind w:left="180"/>
              <w:spacing w:after="0"/>
              <w:rPr>
                <w:sz w:val="20"/>
                <w:szCs w:val="20"/>
                <w:color w:val="auto"/>
              </w:rPr>
            </w:pPr>
            <w:r>
              <w:rPr>
                <w:rFonts w:ascii="Calibri" w:cs="Calibri" w:eastAsia="Calibri" w:hAnsi="Calibri"/>
                <w:sz w:val="11"/>
                <w:szCs w:val="11"/>
                <w:b w:val="1"/>
                <w:bCs w:val="1"/>
                <w:color w:val="FFFFFF"/>
              </w:rPr>
              <w:t>Yields</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bottom w:val="single" w:sz="8" w:color="33CCCC"/>
              <w:right w:val="single" w:sz="8" w:color="auto"/>
            </w:tcBorders>
            <w:shd w:val="clear" w:color="auto" w:fill="33CCCC"/>
          </w:tcPr>
          <w:p>
            <w:pPr>
              <w:spacing w:after="0"/>
              <w:rPr>
                <w:sz w:val="8"/>
                <w:szCs w:val="8"/>
                <w:color w:val="auto"/>
              </w:rPr>
            </w:pPr>
          </w:p>
        </w:tc>
        <w:tc>
          <w:tcPr>
            <w:tcW w:w="540" w:type="dxa"/>
            <w:vAlign w:val="bottom"/>
            <w:tcBorders>
              <w:bottom w:val="single" w:sz="8" w:color="33CCCC"/>
            </w:tcBorders>
            <w:vMerge w:val="continue"/>
            <w:shd w:val="clear" w:color="auto" w:fill="33CCCC"/>
          </w:tcPr>
          <w:p>
            <w:pPr>
              <w:spacing w:after="0"/>
              <w:rPr>
                <w:sz w:val="8"/>
                <w:szCs w:val="8"/>
                <w:color w:val="auto"/>
              </w:rPr>
            </w:pPr>
          </w:p>
        </w:tc>
        <w:tc>
          <w:tcPr>
            <w:tcW w:w="600" w:type="dxa"/>
            <w:vAlign w:val="bottom"/>
            <w:tcBorders>
              <w:bottom w:val="single" w:sz="8" w:color="33CCCC"/>
            </w:tcBorders>
            <w:vMerge w:val="continue"/>
            <w:shd w:val="clear" w:color="auto" w:fill="33CCCC"/>
          </w:tcPr>
          <w:p>
            <w:pPr>
              <w:spacing w:after="0"/>
              <w:rPr>
                <w:sz w:val="8"/>
                <w:szCs w:val="8"/>
                <w:color w:val="auto"/>
              </w:rPr>
            </w:pPr>
          </w:p>
        </w:tc>
        <w:tc>
          <w:tcPr>
            <w:tcW w:w="580" w:type="dxa"/>
            <w:vAlign w:val="bottom"/>
            <w:tcBorders>
              <w:bottom w:val="single" w:sz="8" w:color="33CCCC"/>
              <w:right w:val="single" w:sz="8" w:color="auto"/>
            </w:tcBorders>
            <w:vMerge w:val="continue"/>
            <w:shd w:val="clear" w:color="auto" w:fill="33CCCC"/>
          </w:tcPr>
          <w:p>
            <w:pPr>
              <w:spacing w:after="0"/>
              <w:rPr>
                <w:sz w:val="8"/>
                <w:szCs w:val="8"/>
                <w:color w:val="auto"/>
              </w:rPr>
            </w:pPr>
          </w:p>
        </w:tc>
        <w:tc>
          <w:tcPr>
            <w:tcW w:w="660" w:type="dxa"/>
            <w:vAlign w:val="bottom"/>
            <w:tcBorders>
              <w:bottom w:val="single" w:sz="8" w:color="33CCCC"/>
            </w:tcBorders>
            <w:vMerge w:val="continue"/>
            <w:shd w:val="clear" w:color="auto" w:fill="33CCCC"/>
          </w:tcPr>
          <w:p>
            <w:pPr>
              <w:spacing w:after="0"/>
              <w:rPr>
                <w:sz w:val="8"/>
                <w:szCs w:val="8"/>
                <w:color w:val="auto"/>
              </w:rPr>
            </w:pPr>
          </w:p>
        </w:tc>
        <w:tc>
          <w:tcPr>
            <w:tcW w:w="680" w:type="dxa"/>
            <w:vAlign w:val="bottom"/>
            <w:tcBorders>
              <w:bottom w:val="single" w:sz="8" w:color="33CCCC"/>
            </w:tcBorders>
            <w:vMerge w:val="continue"/>
            <w:shd w:val="clear" w:color="auto" w:fill="33CCCC"/>
          </w:tcPr>
          <w:p>
            <w:pPr>
              <w:spacing w:after="0"/>
              <w:rPr>
                <w:sz w:val="8"/>
                <w:szCs w:val="8"/>
                <w:color w:val="auto"/>
              </w:rPr>
            </w:pPr>
          </w:p>
        </w:tc>
        <w:tc>
          <w:tcPr>
            <w:tcW w:w="640" w:type="dxa"/>
            <w:vAlign w:val="bottom"/>
            <w:tcBorders>
              <w:bottom w:val="single" w:sz="8" w:color="33CCCC"/>
              <w:right w:val="single" w:sz="8" w:color="auto"/>
            </w:tcBorders>
            <w:vMerge w:val="continue"/>
            <w:shd w:val="clear" w:color="auto" w:fill="33CCCC"/>
          </w:tcPr>
          <w:p>
            <w:pPr>
              <w:spacing w:after="0"/>
              <w:rPr>
                <w:sz w:val="8"/>
                <w:szCs w:val="8"/>
                <w:color w:val="auto"/>
              </w:rPr>
            </w:pPr>
          </w:p>
        </w:tc>
        <w:tc>
          <w:tcPr>
            <w:tcW w:w="660" w:type="dxa"/>
            <w:vAlign w:val="bottom"/>
            <w:tcBorders>
              <w:bottom w:val="single" w:sz="8" w:color="33CCCC"/>
            </w:tcBorders>
            <w:vMerge w:val="continue"/>
            <w:shd w:val="clear" w:color="auto" w:fill="33CCCC"/>
          </w:tcPr>
          <w:p>
            <w:pPr>
              <w:spacing w:after="0"/>
              <w:rPr>
                <w:sz w:val="8"/>
                <w:szCs w:val="8"/>
                <w:color w:val="auto"/>
              </w:rPr>
            </w:pPr>
          </w:p>
        </w:tc>
        <w:tc>
          <w:tcPr>
            <w:tcW w:w="680" w:type="dxa"/>
            <w:vAlign w:val="bottom"/>
            <w:tcBorders>
              <w:bottom w:val="single" w:sz="8" w:color="33CCCC"/>
            </w:tcBorders>
            <w:vMerge w:val="continue"/>
            <w:shd w:val="clear" w:color="auto" w:fill="33CCCC"/>
          </w:tcPr>
          <w:p>
            <w:pPr>
              <w:spacing w:after="0"/>
              <w:rPr>
                <w:sz w:val="8"/>
                <w:szCs w:val="8"/>
                <w:color w:val="auto"/>
              </w:rPr>
            </w:pPr>
          </w:p>
        </w:tc>
        <w:tc>
          <w:tcPr>
            <w:tcW w:w="640" w:type="dxa"/>
            <w:vAlign w:val="bottom"/>
            <w:tcBorders>
              <w:bottom w:val="single" w:sz="8" w:color="33CCCC"/>
              <w:right w:val="single" w:sz="8" w:color="auto"/>
            </w:tcBorders>
            <w:vMerge w:val="continue"/>
            <w:shd w:val="clear" w:color="auto" w:fill="33CCC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40" w:type="dxa"/>
            <w:vAlign w:val="bottom"/>
            <w:tcBorders>
              <w:top w:val="single" w:sz="8" w:color="auto"/>
              <w:left w:val="single" w:sz="8" w:color="auto"/>
              <w:right w:val="single" w:sz="8" w:color="auto"/>
            </w:tcBorders>
          </w:tcPr>
          <w:p>
            <w:pPr>
              <w:ind w:left="20"/>
              <w:spacing w:after="0" w:line="121" w:lineRule="exact"/>
              <w:rPr>
                <w:sz w:val="20"/>
                <w:szCs w:val="20"/>
                <w:color w:val="auto"/>
              </w:rPr>
            </w:pPr>
            <w:r>
              <w:rPr>
                <w:rFonts w:ascii="Calibri" w:cs="Calibri" w:eastAsia="Calibri" w:hAnsi="Calibri"/>
                <w:sz w:val="11"/>
                <w:szCs w:val="11"/>
                <w:color w:val="auto"/>
              </w:rPr>
              <w:t>Cash and equivalents</w:t>
            </w:r>
          </w:p>
        </w:tc>
        <w:tc>
          <w:tcPr>
            <w:tcW w:w="54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7"/>
              </w:rPr>
              <w:t>25,472</w:t>
            </w:r>
          </w:p>
        </w:tc>
        <w:tc>
          <w:tcPr>
            <w:tcW w:w="60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290</w:t>
            </w:r>
          </w:p>
        </w:tc>
        <w:tc>
          <w:tcPr>
            <w:tcW w:w="58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4.6%</w:t>
            </w:r>
          </w:p>
        </w:tc>
        <w:tc>
          <w:tcPr>
            <w:tcW w:w="66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7"/>
              </w:rPr>
              <w:t>29,146</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320</w:t>
            </w:r>
          </w:p>
        </w:tc>
        <w:tc>
          <w:tcPr>
            <w:tcW w:w="64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1"/>
              </w:rPr>
              <w:t>4.4%</w:t>
            </w:r>
          </w:p>
        </w:tc>
        <w:tc>
          <w:tcPr>
            <w:tcW w:w="66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7"/>
              </w:rPr>
              <w:t>32,083</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365</w:t>
            </w:r>
          </w:p>
        </w:tc>
        <w:tc>
          <w:tcPr>
            <w:tcW w:w="64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4.6%</w:t>
            </w:r>
          </w:p>
        </w:tc>
        <w:tc>
          <w:tcPr>
            <w:tcW w:w="0" w:type="dxa"/>
            <w:vAlign w:val="bottom"/>
          </w:tcPr>
          <w:p>
            <w:pPr>
              <w:spacing w:after="0"/>
              <w:rPr>
                <w:sz w:val="1"/>
                <w:szCs w:val="1"/>
                <w:color w:val="auto"/>
              </w:rPr>
            </w:pPr>
          </w:p>
        </w:tc>
      </w:tr>
      <w:tr>
        <w:trPr>
          <w:trHeight w:val="129"/>
        </w:trPr>
        <w:tc>
          <w:tcPr>
            <w:tcW w:w="1440" w:type="dxa"/>
            <w:vAlign w:val="bottom"/>
            <w:tcBorders>
              <w:left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Other IEA</w:t>
            </w:r>
          </w:p>
        </w:tc>
        <w:tc>
          <w:tcPr>
            <w:tcW w:w="540" w:type="dxa"/>
            <w:vAlign w:val="bottom"/>
          </w:tcPr>
          <w:p>
            <w:pPr>
              <w:jc w:val="center"/>
              <w:spacing w:after="0" w:line="129" w:lineRule="exact"/>
              <w:rPr>
                <w:sz w:val="20"/>
                <w:szCs w:val="20"/>
                <w:color w:val="auto"/>
              </w:rPr>
            </w:pPr>
            <w:r>
              <w:rPr>
                <w:rFonts w:ascii="Calibri" w:cs="Calibri" w:eastAsia="Calibri" w:hAnsi="Calibri"/>
                <w:sz w:val="11"/>
                <w:szCs w:val="11"/>
                <w:color w:val="auto"/>
                <w:w w:val="95"/>
              </w:rPr>
              <w:t>1,688</w:t>
            </w:r>
          </w:p>
        </w:tc>
        <w:tc>
          <w:tcPr>
            <w:tcW w:w="600" w:type="dxa"/>
            <w:vAlign w:val="bottom"/>
          </w:tcPr>
          <w:p>
            <w:pPr>
              <w:jc w:val="center"/>
              <w:spacing w:after="0" w:line="129" w:lineRule="exact"/>
              <w:rPr>
                <w:sz w:val="20"/>
                <w:szCs w:val="20"/>
                <w:color w:val="auto"/>
              </w:rPr>
            </w:pPr>
            <w:r>
              <w:rPr>
                <w:rFonts w:ascii="Calibri" w:cs="Calibri" w:eastAsia="Calibri" w:hAnsi="Calibri"/>
                <w:sz w:val="11"/>
                <w:szCs w:val="11"/>
                <w:color w:val="auto"/>
                <w:w w:val="89"/>
              </w:rPr>
              <w:t>24</w:t>
            </w:r>
          </w:p>
        </w:tc>
        <w:tc>
          <w:tcPr>
            <w:tcW w:w="58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5.7%</w:t>
            </w:r>
          </w:p>
        </w:tc>
        <w:tc>
          <w:tcPr>
            <w:tcW w:w="660" w:type="dxa"/>
            <w:vAlign w:val="bottom"/>
          </w:tcPr>
          <w:p>
            <w:pPr>
              <w:jc w:val="center"/>
              <w:spacing w:after="0" w:line="129" w:lineRule="exact"/>
              <w:rPr>
                <w:sz w:val="20"/>
                <w:szCs w:val="20"/>
                <w:color w:val="auto"/>
              </w:rPr>
            </w:pPr>
            <w:r>
              <w:rPr>
                <w:rFonts w:ascii="Calibri" w:cs="Calibri" w:eastAsia="Calibri" w:hAnsi="Calibri"/>
                <w:sz w:val="11"/>
                <w:szCs w:val="11"/>
                <w:color w:val="auto"/>
              </w:rPr>
              <w:t>1,652</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w w:val="89"/>
              </w:rPr>
              <w:t>26</w:t>
            </w:r>
          </w:p>
        </w:tc>
        <w:tc>
          <w:tcPr>
            <w:tcW w:w="64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1"/>
              </w:rPr>
              <w:t>6.3%</w:t>
            </w:r>
          </w:p>
        </w:tc>
        <w:tc>
          <w:tcPr>
            <w:tcW w:w="660" w:type="dxa"/>
            <w:vAlign w:val="bottom"/>
          </w:tcPr>
          <w:p>
            <w:pPr>
              <w:jc w:val="center"/>
              <w:spacing w:after="0" w:line="129" w:lineRule="exact"/>
              <w:rPr>
                <w:sz w:val="20"/>
                <w:szCs w:val="20"/>
                <w:color w:val="auto"/>
              </w:rPr>
            </w:pPr>
            <w:r>
              <w:rPr>
                <w:rFonts w:ascii="Calibri" w:cs="Calibri" w:eastAsia="Calibri" w:hAnsi="Calibri"/>
                <w:sz w:val="11"/>
                <w:szCs w:val="11"/>
                <w:color w:val="auto"/>
                <w:w w:val="95"/>
              </w:rPr>
              <w:t>1,598</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rPr>
              <w:t>26</w:t>
            </w:r>
          </w:p>
        </w:tc>
        <w:tc>
          <w:tcPr>
            <w:tcW w:w="64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6.5%</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Investments</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7"/>
              </w:rPr>
              <w:t>49,577</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652</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5.3%</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7"/>
              </w:rPr>
              <w:t>52,491</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668</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5.1%</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7"/>
              </w:rPr>
              <w:t>52,877</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681</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5.2%</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Loans</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9"/>
              </w:rPr>
              <w:t>143,987</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3,853</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10.7%</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3"/>
              </w:rPr>
              <w:t>143,873</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3,922</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10.9%</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9"/>
              </w:rPr>
              <w:t>144,757</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3,924</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10.8%</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Structural</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9"/>
              </w:rPr>
              <w:t>139,427</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3,822</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11.0%</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3"/>
              </w:rPr>
              <w:t>140,584</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3,884</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11.1%</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9"/>
              </w:rPr>
              <w:t>141,077</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3,872</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11.0%</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Government Programs</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5"/>
              </w:rPr>
              <w:t>4,560</w:t>
            </w:r>
          </w:p>
        </w:tc>
        <w:tc>
          <w:tcPr>
            <w:tcW w:w="600" w:type="dxa"/>
            <w:vAlign w:val="bottom"/>
          </w:tcPr>
          <w:p>
            <w:pPr>
              <w:jc w:val="center"/>
              <w:spacing w:after="0"/>
              <w:rPr>
                <w:sz w:val="20"/>
                <w:szCs w:val="20"/>
                <w:color w:val="auto"/>
              </w:rPr>
            </w:pPr>
            <w:r>
              <w:rPr>
                <w:rFonts w:ascii="Calibri" w:cs="Calibri" w:eastAsia="Calibri" w:hAnsi="Calibri"/>
                <w:sz w:val="11"/>
                <w:szCs w:val="11"/>
                <w:color w:val="auto"/>
                <w:w w:val="89"/>
              </w:rPr>
              <w:t>31</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2.7%</w:t>
            </w:r>
          </w:p>
        </w:tc>
        <w:tc>
          <w:tcPr>
            <w:tcW w:w="660" w:type="dxa"/>
            <w:vAlign w:val="bottom"/>
          </w:tcPr>
          <w:p>
            <w:pPr>
              <w:jc w:val="center"/>
              <w:spacing w:after="0"/>
              <w:rPr>
                <w:sz w:val="20"/>
                <w:szCs w:val="20"/>
                <w:color w:val="auto"/>
              </w:rPr>
            </w:pPr>
            <w:r>
              <w:rPr>
                <w:rFonts w:ascii="Calibri" w:cs="Calibri" w:eastAsia="Calibri" w:hAnsi="Calibri"/>
                <w:sz w:val="11"/>
                <w:szCs w:val="11"/>
                <w:color w:val="auto"/>
              </w:rPr>
              <w:t>3,294</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89"/>
              </w:rPr>
              <w:t>37</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4.5%</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5"/>
              </w:rPr>
              <w:t>3,681</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52</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5.7%</w:t>
            </w:r>
          </w:p>
        </w:tc>
        <w:tc>
          <w:tcPr>
            <w:tcW w:w="0" w:type="dxa"/>
            <w:vAlign w:val="bottom"/>
          </w:tcPr>
          <w:p>
            <w:pPr>
              <w:spacing w:after="0"/>
              <w:rPr>
                <w:sz w:val="1"/>
                <w:szCs w:val="1"/>
                <w:color w:val="auto"/>
              </w:rPr>
            </w:pPr>
          </w:p>
        </w:tc>
      </w:tr>
      <w:tr>
        <w:trPr>
          <w:trHeight w:val="28"/>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44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Calibri" w:cs="Calibri" w:eastAsia="Calibri" w:hAnsi="Calibri"/>
                <w:sz w:val="11"/>
                <w:szCs w:val="11"/>
                <w:b w:val="1"/>
                <w:bCs w:val="1"/>
                <w:color w:val="auto"/>
              </w:rPr>
              <w:t>Total IEA</w:t>
            </w:r>
          </w:p>
        </w:tc>
        <w:tc>
          <w:tcPr>
            <w:tcW w:w="54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220,724</w:t>
            </w:r>
          </w:p>
        </w:tc>
        <w:tc>
          <w:tcPr>
            <w:tcW w:w="6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4,819</w:t>
            </w:r>
          </w:p>
        </w:tc>
        <w:tc>
          <w:tcPr>
            <w:tcW w:w="58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8.7%</w:t>
            </w:r>
          </w:p>
        </w:tc>
        <w:tc>
          <w:tcPr>
            <w:tcW w:w="6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3"/>
              </w:rPr>
              <w:t>227,162</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4,936</w:t>
            </w:r>
          </w:p>
        </w:tc>
        <w:tc>
          <w:tcPr>
            <w:tcW w:w="6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0"/>
              </w:rPr>
              <w:t>8.7%</w:t>
            </w:r>
          </w:p>
        </w:tc>
        <w:tc>
          <w:tcPr>
            <w:tcW w:w="6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231,315</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5"/>
              </w:rPr>
              <w:t>4,996</w:t>
            </w:r>
          </w:p>
        </w:tc>
        <w:tc>
          <w:tcPr>
            <w:tcW w:w="6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8.6%</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IEA (LC)</w:t>
            </w:r>
          </w:p>
        </w:tc>
        <w:tc>
          <w:tcPr>
            <w:tcW w:w="5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57.7%</w:t>
            </w:r>
          </w:p>
        </w:tc>
        <w:tc>
          <w:tcPr>
            <w:tcW w:w="6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71.3%</w:t>
            </w:r>
          </w:p>
        </w:tc>
        <w:tc>
          <w:tcPr>
            <w:tcW w:w="5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10.8%</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57.4%</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69.4%</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10.5%</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55.7%</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68.8%</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10.7%</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IEA (FC)</w:t>
            </w:r>
          </w:p>
        </w:tc>
        <w:tc>
          <w:tcPr>
            <w:tcW w:w="5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42.3%</w:t>
            </w:r>
          </w:p>
        </w:tc>
        <w:tc>
          <w:tcPr>
            <w:tcW w:w="6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28.7%</w:t>
            </w:r>
          </w:p>
        </w:tc>
        <w:tc>
          <w:tcPr>
            <w:tcW w:w="5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5.9%</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42.6%</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30.6%</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6.2%</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44.3%</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31.2%</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6.1%</w:t>
            </w:r>
          </w:p>
        </w:tc>
        <w:tc>
          <w:tcPr>
            <w:tcW w:w="0" w:type="dxa"/>
            <w:vAlign w:val="bottom"/>
          </w:tcPr>
          <w:p>
            <w:pPr>
              <w:spacing w:after="0"/>
              <w:rPr>
                <w:sz w:val="1"/>
                <w:szCs w:val="1"/>
                <w:color w:val="auto"/>
              </w:rPr>
            </w:pPr>
          </w:p>
        </w:tc>
      </w:tr>
      <w:tr>
        <w:trPr>
          <w:trHeight w:val="133"/>
        </w:trPr>
        <w:tc>
          <w:tcPr>
            <w:tcW w:w="1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1"/>
                <w:szCs w:val="11"/>
                <w:b w:val="1"/>
                <w:bCs w:val="1"/>
                <w:color w:val="FFFFFF"/>
              </w:rPr>
              <w:t>Interest Expense / Funding</w:t>
            </w:r>
          </w:p>
        </w:tc>
        <w:tc>
          <w:tcPr>
            <w:tcW w:w="540" w:type="dxa"/>
            <w:vAlign w:val="bottom"/>
            <w:shd w:val="clear" w:color="auto" w:fill="33CCCC"/>
          </w:tcPr>
          <w:p>
            <w:pPr>
              <w:spacing w:after="0"/>
              <w:rPr>
                <w:sz w:val="10"/>
                <w:szCs w:val="10"/>
                <w:color w:val="auto"/>
              </w:rPr>
            </w:pPr>
          </w:p>
        </w:tc>
        <w:tc>
          <w:tcPr>
            <w:tcW w:w="600" w:type="dxa"/>
            <w:vAlign w:val="bottom"/>
            <w:shd w:val="clear" w:color="auto" w:fill="33CCCC"/>
          </w:tcPr>
          <w:p>
            <w:pPr>
              <w:jc w:val="center"/>
              <w:spacing w:after="0" w:line="121" w:lineRule="exact"/>
              <w:rPr>
                <w:sz w:val="20"/>
                <w:szCs w:val="20"/>
                <w:color w:val="auto"/>
              </w:rPr>
            </w:pPr>
            <w:r>
              <w:rPr>
                <w:rFonts w:ascii="Calibri" w:cs="Calibri" w:eastAsia="Calibri" w:hAnsi="Calibri"/>
                <w:sz w:val="11"/>
                <w:szCs w:val="11"/>
                <w:b w:val="1"/>
                <w:bCs w:val="1"/>
                <w:color w:val="FFFFFF"/>
                <w:w w:val="98"/>
              </w:rPr>
              <w:t>3Q23</w:t>
            </w:r>
          </w:p>
        </w:tc>
        <w:tc>
          <w:tcPr>
            <w:tcW w:w="580" w:type="dxa"/>
            <w:vAlign w:val="bottom"/>
            <w:tcBorders>
              <w:right w:val="single" w:sz="8" w:color="auto"/>
            </w:tcBorders>
            <w:shd w:val="clear" w:color="auto" w:fill="33CCCC"/>
          </w:tcPr>
          <w:p>
            <w:pPr>
              <w:spacing w:after="0"/>
              <w:rPr>
                <w:sz w:val="10"/>
                <w:szCs w:val="10"/>
                <w:color w:val="auto"/>
              </w:rPr>
            </w:pPr>
          </w:p>
        </w:tc>
        <w:tc>
          <w:tcPr>
            <w:tcW w:w="660" w:type="dxa"/>
            <w:vAlign w:val="bottom"/>
            <w:shd w:val="clear" w:color="auto" w:fill="33CCCC"/>
          </w:tcPr>
          <w:p>
            <w:pPr>
              <w:spacing w:after="0"/>
              <w:rPr>
                <w:sz w:val="10"/>
                <w:szCs w:val="10"/>
                <w:color w:val="auto"/>
              </w:rPr>
            </w:pPr>
          </w:p>
        </w:tc>
        <w:tc>
          <w:tcPr>
            <w:tcW w:w="680" w:type="dxa"/>
            <w:vAlign w:val="bottom"/>
            <w:shd w:val="clear" w:color="auto" w:fill="33CCCC"/>
          </w:tcPr>
          <w:p>
            <w:pPr>
              <w:jc w:val="center"/>
              <w:spacing w:after="0" w:line="121" w:lineRule="exact"/>
              <w:rPr>
                <w:sz w:val="20"/>
                <w:szCs w:val="20"/>
                <w:color w:val="auto"/>
              </w:rPr>
            </w:pPr>
            <w:r>
              <w:rPr>
                <w:rFonts w:ascii="Calibri" w:cs="Calibri" w:eastAsia="Calibri" w:hAnsi="Calibri"/>
                <w:sz w:val="11"/>
                <w:szCs w:val="11"/>
                <w:b w:val="1"/>
                <w:bCs w:val="1"/>
                <w:color w:val="FFFFFF"/>
                <w:w w:val="98"/>
              </w:rPr>
              <w:t>2Q24</w:t>
            </w:r>
          </w:p>
        </w:tc>
        <w:tc>
          <w:tcPr>
            <w:tcW w:w="640" w:type="dxa"/>
            <w:vAlign w:val="bottom"/>
            <w:tcBorders>
              <w:right w:val="single" w:sz="8" w:color="auto"/>
            </w:tcBorders>
            <w:shd w:val="clear" w:color="auto" w:fill="33CCCC"/>
          </w:tcPr>
          <w:p>
            <w:pPr>
              <w:spacing w:after="0"/>
              <w:rPr>
                <w:sz w:val="10"/>
                <w:szCs w:val="10"/>
                <w:color w:val="auto"/>
              </w:rPr>
            </w:pPr>
          </w:p>
        </w:tc>
        <w:tc>
          <w:tcPr>
            <w:tcW w:w="660" w:type="dxa"/>
            <w:vAlign w:val="bottom"/>
            <w:shd w:val="clear" w:color="auto" w:fill="33CCCC"/>
          </w:tcPr>
          <w:p>
            <w:pPr>
              <w:spacing w:after="0"/>
              <w:rPr>
                <w:sz w:val="10"/>
                <w:szCs w:val="10"/>
                <w:color w:val="auto"/>
              </w:rPr>
            </w:pPr>
          </w:p>
        </w:tc>
        <w:tc>
          <w:tcPr>
            <w:tcW w:w="680" w:type="dxa"/>
            <w:vAlign w:val="bottom"/>
            <w:shd w:val="clear" w:color="auto" w:fill="33CCCC"/>
          </w:tcPr>
          <w:p>
            <w:pPr>
              <w:jc w:val="center"/>
              <w:spacing w:after="0" w:line="121" w:lineRule="exact"/>
              <w:rPr>
                <w:sz w:val="20"/>
                <w:szCs w:val="20"/>
                <w:color w:val="auto"/>
              </w:rPr>
            </w:pPr>
            <w:r>
              <w:rPr>
                <w:rFonts w:ascii="Calibri" w:cs="Calibri" w:eastAsia="Calibri" w:hAnsi="Calibri"/>
                <w:sz w:val="11"/>
                <w:szCs w:val="11"/>
                <w:b w:val="1"/>
                <w:bCs w:val="1"/>
                <w:color w:val="FFFFFF"/>
                <w:w w:val="98"/>
              </w:rPr>
              <w:t>3Q24</w:t>
            </w:r>
          </w:p>
        </w:tc>
        <w:tc>
          <w:tcPr>
            <w:tcW w:w="64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44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540" w:type="dxa"/>
            <w:vAlign w:val="bottom"/>
            <w:vMerge w:val="restart"/>
            <w:shd w:val="clear" w:color="auto" w:fill="33CCCC"/>
          </w:tcPr>
          <w:p>
            <w:pPr>
              <w:ind w:left="80"/>
              <w:spacing w:after="0" w:line="129" w:lineRule="exact"/>
              <w:rPr>
                <w:sz w:val="20"/>
                <w:szCs w:val="20"/>
                <w:color w:val="auto"/>
              </w:rPr>
            </w:pPr>
            <w:r>
              <w:rPr>
                <w:rFonts w:ascii="Calibri" w:cs="Calibri" w:eastAsia="Calibri" w:hAnsi="Calibri"/>
                <w:sz w:val="11"/>
                <w:szCs w:val="11"/>
                <w:b w:val="1"/>
                <w:bCs w:val="1"/>
                <w:color w:val="FFFFFF"/>
              </w:rPr>
              <w:t>Average</w:t>
            </w:r>
          </w:p>
        </w:tc>
        <w:tc>
          <w:tcPr>
            <w:tcW w:w="600" w:type="dxa"/>
            <w:vAlign w:val="bottom"/>
            <w:shd w:val="clear" w:color="auto" w:fill="33CCCC"/>
          </w:tcPr>
          <w:p>
            <w:pPr>
              <w:spacing w:after="0"/>
              <w:rPr>
                <w:sz w:val="5"/>
                <w:szCs w:val="5"/>
                <w:color w:val="auto"/>
              </w:rPr>
            </w:pPr>
          </w:p>
        </w:tc>
        <w:tc>
          <w:tcPr>
            <w:tcW w:w="580" w:type="dxa"/>
            <w:vAlign w:val="bottom"/>
            <w:tcBorders>
              <w:right w:val="single" w:sz="8" w:color="auto"/>
            </w:tcBorders>
            <w:shd w:val="clear" w:color="auto" w:fill="33CCCC"/>
          </w:tcPr>
          <w:p>
            <w:pPr>
              <w:spacing w:after="0"/>
              <w:rPr>
                <w:sz w:val="5"/>
                <w:szCs w:val="5"/>
                <w:color w:val="auto"/>
              </w:rPr>
            </w:pPr>
          </w:p>
        </w:tc>
        <w:tc>
          <w:tcPr>
            <w:tcW w:w="660" w:type="dxa"/>
            <w:vAlign w:val="bottom"/>
            <w:vMerge w:val="restart"/>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660" w:type="dxa"/>
            <w:vAlign w:val="bottom"/>
            <w:vMerge w:val="restart"/>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Calibri" w:cs="Calibri" w:eastAsia="Calibri" w:hAnsi="Calibri"/>
                <w:sz w:val="11"/>
                <w:szCs w:val="11"/>
                <w:b w:val="1"/>
                <w:bCs w:val="1"/>
                <w:color w:val="FFFFFF"/>
              </w:rPr>
              <w:t>S/ millions</w:t>
            </w:r>
          </w:p>
        </w:tc>
        <w:tc>
          <w:tcPr>
            <w:tcW w:w="540" w:type="dxa"/>
            <w:vAlign w:val="bottom"/>
            <w:vMerge w:val="continue"/>
            <w:shd w:val="clear" w:color="auto" w:fill="33CCCC"/>
          </w:tcPr>
          <w:p>
            <w:pPr>
              <w:spacing w:after="0"/>
              <w:rPr>
                <w:sz w:val="5"/>
                <w:szCs w:val="5"/>
                <w:color w:val="auto"/>
              </w:rPr>
            </w:pPr>
          </w:p>
        </w:tc>
        <w:tc>
          <w:tcPr>
            <w:tcW w:w="600" w:type="dxa"/>
            <w:vAlign w:val="bottom"/>
            <w:shd w:val="clear" w:color="auto" w:fill="33CCCC"/>
          </w:tcPr>
          <w:p>
            <w:pPr>
              <w:spacing w:after="0"/>
              <w:rPr>
                <w:sz w:val="5"/>
                <w:szCs w:val="5"/>
                <w:color w:val="auto"/>
              </w:rPr>
            </w:pPr>
          </w:p>
        </w:tc>
        <w:tc>
          <w:tcPr>
            <w:tcW w:w="580" w:type="dxa"/>
            <w:vAlign w:val="bottom"/>
            <w:tcBorders>
              <w:right w:val="single" w:sz="8" w:color="auto"/>
            </w:tcBorders>
            <w:shd w:val="clear" w:color="auto" w:fill="33CCCC"/>
          </w:tcPr>
          <w:p>
            <w:pPr>
              <w:spacing w:after="0"/>
              <w:rPr>
                <w:sz w:val="5"/>
                <w:szCs w:val="5"/>
                <w:color w:val="auto"/>
              </w:rPr>
            </w:pPr>
          </w:p>
        </w:tc>
        <w:tc>
          <w:tcPr>
            <w:tcW w:w="660" w:type="dxa"/>
            <w:vAlign w:val="bottom"/>
            <w:vMerge w:val="continue"/>
            <w:shd w:val="clear" w:color="auto" w:fill="33CCCC"/>
          </w:tcPr>
          <w:p>
            <w:pPr>
              <w:spacing w:after="0"/>
              <w:rPr>
                <w:sz w:val="5"/>
                <w:szCs w:val="5"/>
                <w:color w:val="auto"/>
              </w:rPr>
            </w:pP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660" w:type="dxa"/>
            <w:vAlign w:val="bottom"/>
            <w:vMerge w:val="continue"/>
            <w:shd w:val="clear" w:color="auto" w:fill="33CCCC"/>
          </w:tcPr>
          <w:p>
            <w:pPr>
              <w:spacing w:after="0"/>
              <w:rPr>
                <w:sz w:val="5"/>
                <w:szCs w:val="5"/>
                <w:color w:val="auto"/>
              </w:rPr>
            </w:pPr>
          </w:p>
        </w:tc>
        <w:tc>
          <w:tcPr>
            <w:tcW w:w="680" w:type="dxa"/>
            <w:vAlign w:val="bottom"/>
            <w:shd w:val="clear" w:color="auto" w:fill="33CCCC"/>
          </w:tcPr>
          <w:p>
            <w:pPr>
              <w:spacing w:after="0"/>
              <w:rPr>
                <w:sz w:val="5"/>
                <w:szCs w:val="5"/>
                <w:color w:val="auto"/>
              </w:rPr>
            </w:pPr>
          </w:p>
        </w:tc>
        <w:tc>
          <w:tcPr>
            <w:tcW w:w="640" w:type="dxa"/>
            <w:vAlign w:val="bottom"/>
            <w:tcBorders>
              <w:right w:val="single" w:sz="8" w:color="auto"/>
            </w:tcBorders>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540" w:type="dxa"/>
            <w:vAlign w:val="bottom"/>
            <w:vMerge w:val="restart"/>
            <w:shd w:val="clear" w:color="auto" w:fill="33CCCC"/>
          </w:tcPr>
          <w:p>
            <w:pPr>
              <w:ind w:left="80"/>
              <w:spacing w:after="0"/>
              <w:rPr>
                <w:sz w:val="20"/>
                <w:szCs w:val="20"/>
                <w:color w:val="auto"/>
              </w:rPr>
            </w:pPr>
            <w:r>
              <w:rPr>
                <w:rFonts w:ascii="Calibri" w:cs="Calibri" w:eastAsia="Calibri" w:hAnsi="Calibri"/>
                <w:sz w:val="11"/>
                <w:szCs w:val="11"/>
                <w:b w:val="1"/>
                <w:bCs w:val="1"/>
                <w:color w:val="FFFFFF"/>
              </w:rPr>
              <w:t>Balance</w:t>
            </w:r>
          </w:p>
        </w:tc>
        <w:tc>
          <w:tcPr>
            <w:tcW w:w="60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Expense</w:t>
            </w:r>
          </w:p>
        </w:tc>
        <w:tc>
          <w:tcPr>
            <w:tcW w:w="580" w:type="dxa"/>
            <w:vAlign w:val="bottom"/>
            <w:tcBorders>
              <w:right w:val="single" w:sz="8" w:color="auto"/>
            </w:tcBorders>
            <w:vMerge w:val="restart"/>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Yields</w:t>
            </w:r>
          </w:p>
        </w:tc>
        <w:tc>
          <w:tcPr>
            <w:tcW w:w="660" w:type="dxa"/>
            <w:vAlign w:val="bottom"/>
            <w:vMerge w:val="restart"/>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Balance</w:t>
            </w:r>
          </w:p>
        </w:tc>
        <w:tc>
          <w:tcPr>
            <w:tcW w:w="68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Expense</w:t>
            </w:r>
          </w:p>
        </w:tc>
        <w:tc>
          <w:tcPr>
            <w:tcW w:w="640" w:type="dxa"/>
            <w:vAlign w:val="bottom"/>
            <w:tcBorders>
              <w:right w:val="single" w:sz="8" w:color="auto"/>
            </w:tcBorders>
            <w:vMerge w:val="restart"/>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Yields</w:t>
            </w:r>
          </w:p>
        </w:tc>
        <w:tc>
          <w:tcPr>
            <w:tcW w:w="660" w:type="dxa"/>
            <w:vAlign w:val="bottom"/>
            <w:vMerge w:val="restart"/>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Balance</w:t>
            </w:r>
          </w:p>
        </w:tc>
        <w:tc>
          <w:tcPr>
            <w:tcW w:w="680" w:type="dxa"/>
            <w:vAlign w:val="bottom"/>
            <w:vMerge w:val="restart"/>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5"/>
              </w:rPr>
              <w:t>Expense</w:t>
            </w:r>
          </w:p>
        </w:tc>
        <w:tc>
          <w:tcPr>
            <w:tcW w:w="640" w:type="dxa"/>
            <w:vAlign w:val="bottom"/>
            <w:tcBorders>
              <w:right w:val="single" w:sz="8" w:color="auto"/>
            </w:tcBorders>
            <w:vMerge w:val="restart"/>
            <w:shd w:val="clear" w:color="auto" w:fill="33CCCC"/>
          </w:tcPr>
          <w:p>
            <w:pPr>
              <w:ind w:left="180"/>
              <w:spacing w:after="0"/>
              <w:rPr>
                <w:sz w:val="20"/>
                <w:szCs w:val="20"/>
                <w:color w:val="auto"/>
              </w:rPr>
            </w:pPr>
            <w:r>
              <w:rPr>
                <w:rFonts w:ascii="Calibri" w:cs="Calibri" w:eastAsia="Calibri" w:hAnsi="Calibri"/>
                <w:sz w:val="11"/>
                <w:szCs w:val="11"/>
                <w:b w:val="1"/>
                <w:bCs w:val="1"/>
                <w:color w:val="FFFFFF"/>
              </w:rPr>
              <w:t>Yields</w:t>
            </w:r>
          </w:p>
        </w:tc>
        <w:tc>
          <w:tcPr>
            <w:tcW w:w="0" w:type="dxa"/>
            <w:vAlign w:val="bottom"/>
          </w:tcPr>
          <w:p>
            <w:pPr>
              <w:spacing w:after="0"/>
              <w:rPr>
                <w:sz w:val="1"/>
                <w:szCs w:val="1"/>
                <w:color w:val="auto"/>
              </w:rPr>
            </w:pPr>
          </w:p>
        </w:tc>
      </w:tr>
      <w:tr>
        <w:trPr>
          <w:trHeight w:val="95"/>
        </w:trPr>
        <w:tc>
          <w:tcPr>
            <w:tcW w:w="1440" w:type="dxa"/>
            <w:vAlign w:val="bottom"/>
            <w:tcBorders>
              <w:left w:val="single" w:sz="8" w:color="auto"/>
              <w:bottom w:val="single" w:sz="8" w:color="33CCCC"/>
              <w:right w:val="single" w:sz="8" w:color="auto"/>
            </w:tcBorders>
            <w:shd w:val="clear" w:color="auto" w:fill="33CCCC"/>
          </w:tcPr>
          <w:p>
            <w:pPr>
              <w:spacing w:after="0"/>
              <w:rPr>
                <w:sz w:val="8"/>
                <w:szCs w:val="8"/>
                <w:color w:val="auto"/>
              </w:rPr>
            </w:pPr>
          </w:p>
        </w:tc>
        <w:tc>
          <w:tcPr>
            <w:tcW w:w="540" w:type="dxa"/>
            <w:vAlign w:val="bottom"/>
            <w:tcBorders>
              <w:bottom w:val="single" w:sz="8" w:color="33CCCC"/>
            </w:tcBorders>
            <w:vMerge w:val="continue"/>
            <w:shd w:val="clear" w:color="auto" w:fill="33CCCC"/>
          </w:tcPr>
          <w:p>
            <w:pPr>
              <w:spacing w:after="0"/>
              <w:rPr>
                <w:sz w:val="8"/>
                <w:szCs w:val="8"/>
                <w:color w:val="auto"/>
              </w:rPr>
            </w:pPr>
          </w:p>
        </w:tc>
        <w:tc>
          <w:tcPr>
            <w:tcW w:w="600" w:type="dxa"/>
            <w:vAlign w:val="bottom"/>
            <w:tcBorders>
              <w:bottom w:val="single" w:sz="8" w:color="33CCCC"/>
            </w:tcBorders>
            <w:vMerge w:val="continue"/>
            <w:shd w:val="clear" w:color="auto" w:fill="33CCCC"/>
          </w:tcPr>
          <w:p>
            <w:pPr>
              <w:spacing w:after="0"/>
              <w:rPr>
                <w:sz w:val="8"/>
                <w:szCs w:val="8"/>
                <w:color w:val="auto"/>
              </w:rPr>
            </w:pPr>
          </w:p>
        </w:tc>
        <w:tc>
          <w:tcPr>
            <w:tcW w:w="580" w:type="dxa"/>
            <w:vAlign w:val="bottom"/>
            <w:tcBorders>
              <w:bottom w:val="single" w:sz="8" w:color="33CCCC"/>
              <w:right w:val="single" w:sz="8" w:color="auto"/>
            </w:tcBorders>
            <w:vMerge w:val="continue"/>
            <w:shd w:val="clear" w:color="auto" w:fill="33CCCC"/>
          </w:tcPr>
          <w:p>
            <w:pPr>
              <w:spacing w:after="0"/>
              <w:rPr>
                <w:sz w:val="8"/>
                <w:szCs w:val="8"/>
                <w:color w:val="auto"/>
              </w:rPr>
            </w:pPr>
          </w:p>
        </w:tc>
        <w:tc>
          <w:tcPr>
            <w:tcW w:w="660" w:type="dxa"/>
            <w:vAlign w:val="bottom"/>
            <w:tcBorders>
              <w:bottom w:val="single" w:sz="8" w:color="33CCCC"/>
            </w:tcBorders>
            <w:vMerge w:val="continue"/>
            <w:shd w:val="clear" w:color="auto" w:fill="33CCCC"/>
          </w:tcPr>
          <w:p>
            <w:pPr>
              <w:spacing w:after="0"/>
              <w:rPr>
                <w:sz w:val="8"/>
                <w:szCs w:val="8"/>
                <w:color w:val="auto"/>
              </w:rPr>
            </w:pPr>
          </w:p>
        </w:tc>
        <w:tc>
          <w:tcPr>
            <w:tcW w:w="680" w:type="dxa"/>
            <w:vAlign w:val="bottom"/>
            <w:tcBorders>
              <w:bottom w:val="single" w:sz="8" w:color="33CCCC"/>
            </w:tcBorders>
            <w:vMerge w:val="continue"/>
            <w:shd w:val="clear" w:color="auto" w:fill="33CCCC"/>
          </w:tcPr>
          <w:p>
            <w:pPr>
              <w:spacing w:after="0"/>
              <w:rPr>
                <w:sz w:val="8"/>
                <w:szCs w:val="8"/>
                <w:color w:val="auto"/>
              </w:rPr>
            </w:pPr>
          </w:p>
        </w:tc>
        <w:tc>
          <w:tcPr>
            <w:tcW w:w="640" w:type="dxa"/>
            <w:vAlign w:val="bottom"/>
            <w:tcBorders>
              <w:bottom w:val="single" w:sz="8" w:color="33CCCC"/>
              <w:right w:val="single" w:sz="8" w:color="auto"/>
            </w:tcBorders>
            <w:vMerge w:val="continue"/>
            <w:shd w:val="clear" w:color="auto" w:fill="33CCCC"/>
          </w:tcPr>
          <w:p>
            <w:pPr>
              <w:spacing w:after="0"/>
              <w:rPr>
                <w:sz w:val="8"/>
                <w:szCs w:val="8"/>
                <w:color w:val="auto"/>
              </w:rPr>
            </w:pPr>
          </w:p>
        </w:tc>
        <w:tc>
          <w:tcPr>
            <w:tcW w:w="660" w:type="dxa"/>
            <w:vAlign w:val="bottom"/>
            <w:tcBorders>
              <w:bottom w:val="single" w:sz="8" w:color="33CCCC"/>
            </w:tcBorders>
            <w:vMerge w:val="continue"/>
            <w:shd w:val="clear" w:color="auto" w:fill="33CCCC"/>
          </w:tcPr>
          <w:p>
            <w:pPr>
              <w:spacing w:after="0"/>
              <w:rPr>
                <w:sz w:val="8"/>
                <w:szCs w:val="8"/>
                <w:color w:val="auto"/>
              </w:rPr>
            </w:pPr>
          </w:p>
        </w:tc>
        <w:tc>
          <w:tcPr>
            <w:tcW w:w="680" w:type="dxa"/>
            <w:vAlign w:val="bottom"/>
            <w:tcBorders>
              <w:bottom w:val="single" w:sz="8" w:color="33CCCC"/>
            </w:tcBorders>
            <w:vMerge w:val="continue"/>
            <w:shd w:val="clear" w:color="auto" w:fill="33CCCC"/>
          </w:tcPr>
          <w:p>
            <w:pPr>
              <w:spacing w:after="0"/>
              <w:rPr>
                <w:sz w:val="8"/>
                <w:szCs w:val="8"/>
                <w:color w:val="auto"/>
              </w:rPr>
            </w:pPr>
          </w:p>
        </w:tc>
        <w:tc>
          <w:tcPr>
            <w:tcW w:w="640" w:type="dxa"/>
            <w:vAlign w:val="bottom"/>
            <w:tcBorders>
              <w:bottom w:val="single" w:sz="8" w:color="33CCCC"/>
              <w:right w:val="single" w:sz="8" w:color="auto"/>
            </w:tcBorders>
            <w:vMerge w:val="continue"/>
            <w:shd w:val="clear" w:color="auto" w:fill="33CCC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40" w:type="dxa"/>
            <w:vAlign w:val="bottom"/>
            <w:tcBorders>
              <w:top w:val="single" w:sz="8" w:color="auto"/>
              <w:left w:val="single" w:sz="8" w:color="auto"/>
              <w:right w:val="single" w:sz="8" w:color="auto"/>
            </w:tcBorders>
          </w:tcPr>
          <w:p>
            <w:pPr>
              <w:ind w:left="20"/>
              <w:spacing w:after="0" w:line="121" w:lineRule="exact"/>
              <w:rPr>
                <w:sz w:val="20"/>
                <w:szCs w:val="20"/>
                <w:color w:val="auto"/>
              </w:rPr>
            </w:pPr>
            <w:r>
              <w:rPr>
                <w:rFonts w:ascii="Calibri" w:cs="Calibri" w:eastAsia="Calibri" w:hAnsi="Calibri"/>
                <w:sz w:val="11"/>
                <w:szCs w:val="11"/>
                <w:color w:val="auto"/>
              </w:rPr>
              <w:t>Deposits</w:t>
            </w:r>
          </w:p>
        </w:tc>
        <w:tc>
          <w:tcPr>
            <w:tcW w:w="54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9"/>
              </w:rPr>
              <w:t>145,930</w:t>
            </w:r>
          </w:p>
        </w:tc>
        <w:tc>
          <w:tcPr>
            <w:tcW w:w="60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860</w:t>
            </w:r>
          </w:p>
        </w:tc>
        <w:tc>
          <w:tcPr>
            <w:tcW w:w="58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2.4%</w:t>
            </w:r>
          </w:p>
        </w:tc>
        <w:tc>
          <w:tcPr>
            <w:tcW w:w="66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3"/>
              </w:rPr>
              <w:t>149,914</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738</w:t>
            </w:r>
          </w:p>
        </w:tc>
        <w:tc>
          <w:tcPr>
            <w:tcW w:w="64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1"/>
              </w:rPr>
              <w:t>2.0%</w:t>
            </w:r>
          </w:p>
        </w:tc>
        <w:tc>
          <w:tcPr>
            <w:tcW w:w="66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9"/>
              </w:rPr>
              <w:t>153,203</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678</w:t>
            </w:r>
          </w:p>
        </w:tc>
        <w:tc>
          <w:tcPr>
            <w:tcW w:w="64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1.8%</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BCRP + Due to Banks</w:t>
            </w:r>
          </w:p>
        </w:tc>
        <w:tc>
          <w:tcPr>
            <w:tcW w:w="540" w:type="dxa"/>
            <w:vAlign w:val="bottom"/>
          </w:tcPr>
          <w:p>
            <w:pPr>
              <w:jc w:val="center"/>
              <w:spacing w:after="0" w:line="129" w:lineRule="exact"/>
              <w:rPr>
                <w:sz w:val="20"/>
                <w:szCs w:val="20"/>
                <w:color w:val="auto"/>
              </w:rPr>
            </w:pPr>
            <w:r>
              <w:rPr>
                <w:rFonts w:ascii="Calibri" w:cs="Calibri" w:eastAsia="Calibri" w:hAnsi="Calibri"/>
                <w:sz w:val="11"/>
                <w:szCs w:val="11"/>
                <w:color w:val="auto"/>
                <w:w w:val="97"/>
              </w:rPr>
              <w:t>20,973</w:t>
            </w:r>
          </w:p>
        </w:tc>
        <w:tc>
          <w:tcPr>
            <w:tcW w:w="600" w:type="dxa"/>
            <w:vAlign w:val="bottom"/>
          </w:tcPr>
          <w:p>
            <w:pPr>
              <w:jc w:val="center"/>
              <w:spacing w:after="0" w:line="129" w:lineRule="exact"/>
              <w:rPr>
                <w:sz w:val="20"/>
                <w:szCs w:val="20"/>
                <w:color w:val="auto"/>
              </w:rPr>
            </w:pPr>
            <w:r>
              <w:rPr>
                <w:rFonts w:ascii="Calibri" w:cs="Calibri" w:eastAsia="Calibri" w:hAnsi="Calibri"/>
                <w:sz w:val="11"/>
                <w:szCs w:val="11"/>
                <w:color w:val="auto"/>
              </w:rPr>
              <w:t>326</w:t>
            </w:r>
          </w:p>
        </w:tc>
        <w:tc>
          <w:tcPr>
            <w:tcW w:w="58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6.2%</w:t>
            </w:r>
          </w:p>
        </w:tc>
        <w:tc>
          <w:tcPr>
            <w:tcW w:w="660" w:type="dxa"/>
            <w:vAlign w:val="bottom"/>
          </w:tcPr>
          <w:p>
            <w:pPr>
              <w:jc w:val="center"/>
              <w:spacing w:after="0" w:line="129" w:lineRule="exact"/>
              <w:rPr>
                <w:sz w:val="20"/>
                <w:szCs w:val="20"/>
                <w:color w:val="auto"/>
              </w:rPr>
            </w:pPr>
            <w:r>
              <w:rPr>
                <w:rFonts w:ascii="Calibri" w:cs="Calibri" w:eastAsia="Calibri" w:hAnsi="Calibri"/>
                <w:sz w:val="11"/>
                <w:szCs w:val="11"/>
                <w:color w:val="auto"/>
                <w:w w:val="97"/>
              </w:rPr>
              <w:t>17,851</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w w:val="95"/>
              </w:rPr>
              <w:t>268</w:t>
            </w:r>
          </w:p>
        </w:tc>
        <w:tc>
          <w:tcPr>
            <w:tcW w:w="64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1"/>
              </w:rPr>
              <w:t>6.0%</w:t>
            </w:r>
          </w:p>
        </w:tc>
        <w:tc>
          <w:tcPr>
            <w:tcW w:w="660" w:type="dxa"/>
            <w:vAlign w:val="bottom"/>
          </w:tcPr>
          <w:p>
            <w:pPr>
              <w:jc w:val="center"/>
              <w:spacing w:after="0" w:line="129" w:lineRule="exact"/>
              <w:rPr>
                <w:sz w:val="20"/>
                <w:szCs w:val="20"/>
                <w:color w:val="auto"/>
              </w:rPr>
            </w:pPr>
            <w:r>
              <w:rPr>
                <w:rFonts w:ascii="Calibri" w:cs="Calibri" w:eastAsia="Calibri" w:hAnsi="Calibri"/>
                <w:sz w:val="11"/>
                <w:szCs w:val="11"/>
                <w:color w:val="auto"/>
                <w:w w:val="97"/>
              </w:rPr>
              <w:t>17,828</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w w:val="95"/>
              </w:rPr>
              <w:t>262</w:t>
            </w:r>
          </w:p>
        </w:tc>
        <w:tc>
          <w:tcPr>
            <w:tcW w:w="64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5.9%</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Bonds and Notes</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7"/>
              </w:rPr>
              <w:t>14,575</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150</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4.1%</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7"/>
              </w:rPr>
              <w:t>17,747</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200</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4.5%</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7"/>
              </w:rPr>
              <w:t>17,453</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201</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4.6%</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Others</w:t>
            </w:r>
          </w:p>
        </w:tc>
        <w:tc>
          <w:tcPr>
            <w:tcW w:w="540" w:type="dxa"/>
            <w:vAlign w:val="bottom"/>
          </w:tcPr>
          <w:p>
            <w:pPr>
              <w:jc w:val="center"/>
              <w:spacing w:after="0"/>
              <w:rPr>
                <w:sz w:val="20"/>
                <w:szCs w:val="20"/>
                <w:color w:val="auto"/>
              </w:rPr>
            </w:pPr>
            <w:r>
              <w:rPr>
                <w:rFonts w:ascii="Calibri" w:cs="Calibri" w:eastAsia="Calibri" w:hAnsi="Calibri"/>
                <w:sz w:val="11"/>
                <w:szCs w:val="11"/>
                <w:color w:val="auto"/>
                <w:w w:val="95"/>
              </w:rPr>
              <w:t>2,328</w:t>
            </w:r>
          </w:p>
        </w:tc>
        <w:tc>
          <w:tcPr>
            <w:tcW w:w="600" w:type="dxa"/>
            <w:vAlign w:val="bottom"/>
          </w:tcPr>
          <w:p>
            <w:pPr>
              <w:jc w:val="center"/>
              <w:spacing w:after="0"/>
              <w:rPr>
                <w:sz w:val="20"/>
                <w:szCs w:val="20"/>
                <w:color w:val="auto"/>
              </w:rPr>
            </w:pPr>
            <w:r>
              <w:rPr>
                <w:rFonts w:ascii="Calibri" w:cs="Calibri" w:eastAsia="Calibri" w:hAnsi="Calibri"/>
                <w:sz w:val="11"/>
                <w:szCs w:val="11"/>
                <w:color w:val="auto"/>
              </w:rPr>
              <w:t>230</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39.5%</w:t>
            </w:r>
          </w:p>
        </w:tc>
        <w:tc>
          <w:tcPr>
            <w:tcW w:w="660" w:type="dxa"/>
            <w:vAlign w:val="bottom"/>
          </w:tcPr>
          <w:p>
            <w:pPr>
              <w:jc w:val="center"/>
              <w:spacing w:after="0"/>
              <w:rPr>
                <w:sz w:val="20"/>
                <w:szCs w:val="20"/>
                <w:color w:val="auto"/>
              </w:rPr>
            </w:pPr>
            <w:r>
              <w:rPr>
                <w:rFonts w:ascii="Calibri" w:cs="Calibri" w:eastAsia="Calibri" w:hAnsi="Calibri"/>
                <w:sz w:val="11"/>
                <w:szCs w:val="11"/>
                <w:color w:val="auto"/>
              </w:rPr>
              <w:t>2,392</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261</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43.6%</w:t>
            </w:r>
          </w:p>
        </w:tc>
        <w:tc>
          <w:tcPr>
            <w:tcW w:w="660" w:type="dxa"/>
            <w:vAlign w:val="bottom"/>
          </w:tcPr>
          <w:p>
            <w:pPr>
              <w:jc w:val="center"/>
              <w:spacing w:after="0"/>
              <w:rPr>
                <w:sz w:val="20"/>
                <w:szCs w:val="20"/>
                <w:color w:val="auto"/>
              </w:rPr>
            </w:pPr>
            <w:r>
              <w:rPr>
                <w:rFonts w:ascii="Calibri" w:cs="Calibri" w:eastAsia="Calibri" w:hAnsi="Calibri"/>
                <w:sz w:val="11"/>
                <w:szCs w:val="11"/>
                <w:color w:val="auto"/>
                <w:w w:val="95"/>
              </w:rPr>
              <w:t>2,371</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264</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44.6%</w:t>
            </w:r>
          </w:p>
        </w:tc>
        <w:tc>
          <w:tcPr>
            <w:tcW w:w="0" w:type="dxa"/>
            <w:vAlign w:val="bottom"/>
          </w:tcPr>
          <w:p>
            <w:pPr>
              <w:spacing w:after="0"/>
              <w:rPr>
                <w:sz w:val="1"/>
                <w:szCs w:val="1"/>
                <w:color w:val="auto"/>
              </w:rPr>
            </w:pPr>
          </w:p>
        </w:tc>
      </w:tr>
      <w:tr>
        <w:trPr>
          <w:trHeight w:val="28"/>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44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Calibri" w:cs="Calibri" w:eastAsia="Calibri" w:hAnsi="Calibri"/>
                <w:sz w:val="11"/>
                <w:szCs w:val="11"/>
                <w:b w:val="1"/>
                <w:bCs w:val="1"/>
                <w:color w:val="auto"/>
              </w:rPr>
              <w:t>Total Funding</w:t>
            </w:r>
          </w:p>
        </w:tc>
        <w:tc>
          <w:tcPr>
            <w:tcW w:w="54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183,806</w:t>
            </w:r>
          </w:p>
        </w:tc>
        <w:tc>
          <w:tcPr>
            <w:tcW w:w="6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1,566</w:t>
            </w:r>
          </w:p>
        </w:tc>
        <w:tc>
          <w:tcPr>
            <w:tcW w:w="58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3.4%</w:t>
            </w:r>
          </w:p>
        </w:tc>
        <w:tc>
          <w:tcPr>
            <w:tcW w:w="6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3"/>
              </w:rPr>
              <w:t>187,904</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1,467</w:t>
            </w:r>
          </w:p>
        </w:tc>
        <w:tc>
          <w:tcPr>
            <w:tcW w:w="6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0"/>
              </w:rPr>
              <w:t>3.1%</w:t>
            </w:r>
          </w:p>
        </w:tc>
        <w:tc>
          <w:tcPr>
            <w:tcW w:w="6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190,855</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5"/>
              </w:rPr>
              <w:t>1,405</w:t>
            </w:r>
          </w:p>
        </w:tc>
        <w:tc>
          <w:tcPr>
            <w:tcW w:w="6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2.9%</w:t>
            </w:r>
          </w:p>
        </w:tc>
        <w:tc>
          <w:tcPr>
            <w:tcW w:w="0" w:type="dxa"/>
            <w:vAlign w:val="bottom"/>
          </w:tcPr>
          <w:p>
            <w:pPr>
              <w:spacing w:after="0"/>
              <w:rPr>
                <w:sz w:val="1"/>
                <w:szCs w:val="1"/>
                <w:color w:val="auto"/>
              </w:rPr>
            </w:pPr>
          </w:p>
        </w:tc>
      </w:tr>
      <w:tr>
        <w:trPr>
          <w:trHeight w:val="129"/>
        </w:trPr>
        <w:tc>
          <w:tcPr>
            <w:tcW w:w="144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Funding (LC)</w:t>
            </w:r>
          </w:p>
        </w:tc>
        <w:tc>
          <w:tcPr>
            <w:tcW w:w="5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50.9%</w:t>
            </w:r>
          </w:p>
        </w:tc>
        <w:tc>
          <w:tcPr>
            <w:tcW w:w="6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59.8%</w:t>
            </w:r>
          </w:p>
        </w:tc>
        <w:tc>
          <w:tcPr>
            <w:tcW w:w="5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4.0%</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49.5%</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51.7%</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3.3%</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49.3%</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48.6%</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2.9%</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Funding (FC)</w:t>
            </w:r>
          </w:p>
        </w:tc>
        <w:tc>
          <w:tcPr>
            <w:tcW w:w="5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49.1%</w:t>
            </w:r>
          </w:p>
        </w:tc>
        <w:tc>
          <w:tcPr>
            <w:tcW w:w="6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40.2%</w:t>
            </w:r>
          </w:p>
        </w:tc>
        <w:tc>
          <w:tcPr>
            <w:tcW w:w="5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2.8%</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50.5%</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48.3%</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3.0%</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50.7%</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51.4%</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3.0%</w:t>
            </w:r>
          </w:p>
        </w:tc>
        <w:tc>
          <w:tcPr>
            <w:tcW w:w="0" w:type="dxa"/>
            <w:vAlign w:val="bottom"/>
          </w:tcPr>
          <w:p>
            <w:pPr>
              <w:spacing w:after="0"/>
              <w:rPr>
                <w:sz w:val="1"/>
                <w:szCs w:val="1"/>
                <w:color w:val="auto"/>
              </w:rPr>
            </w:pPr>
          </w:p>
        </w:tc>
      </w:tr>
      <w:tr>
        <w:trPr>
          <w:trHeight w:val="133"/>
        </w:trPr>
        <w:tc>
          <w:tcPr>
            <w:tcW w:w="1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4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Calibri" w:cs="Calibri" w:eastAsia="Calibri" w:hAnsi="Calibri"/>
                <w:sz w:val="11"/>
                <w:szCs w:val="11"/>
                <w:b w:val="1"/>
                <w:bCs w:val="1"/>
                <w:color w:val="auto"/>
              </w:rPr>
              <w:t>NIM</w:t>
            </w:r>
          </w:p>
        </w:tc>
        <w:tc>
          <w:tcPr>
            <w:tcW w:w="54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220,724</w:t>
            </w:r>
          </w:p>
        </w:tc>
        <w:tc>
          <w:tcPr>
            <w:tcW w:w="6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3,253</w:t>
            </w:r>
          </w:p>
        </w:tc>
        <w:tc>
          <w:tcPr>
            <w:tcW w:w="58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5.9%</w:t>
            </w:r>
          </w:p>
        </w:tc>
        <w:tc>
          <w:tcPr>
            <w:tcW w:w="6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3"/>
              </w:rPr>
              <w:t>227,162</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3,469</w:t>
            </w:r>
          </w:p>
        </w:tc>
        <w:tc>
          <w:tcPr>
            <w:tcW w:w="6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0"/>
              </w:rPr>
              <w:t>6.1%</w:t>
            </w:r>
          </w:p>
        </w:tc>
        <w:tc>
          <w:tcPr>
            <w:tcW w:w="6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231,315</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5"/>
              </w:rPr>
              <w:t>3,591</w:t>
            </w:r>
          </w:p>
        </w:tc>
        <w:tc>
          <w:tcPr>
            <w:tcW w:w="6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6.2%</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NIM (LC)</w:t>
            </w:r>
          </w:p>
        </w:tc>
        <w:tc>
          <w:tcPr>
            <w:tcW w:w="5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57.7%</w:t>
            </w:r>
          </w:p>
        </w:tc>
        <w:tc>
          <w:tcPr>
            <w:tcW w:w="6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76.8%</w:t>
            </w:r>
          </w:p>
        </w:tc>
        <w:tc>
          <w:tcPr>
            <w:tcW w:w="5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7.9%</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57.4%</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76.9%</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8.2%</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55.7%</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76.8%</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8.6%</w:t>
            </w:r>
          </w:p>
        </w:tc>
        <w:tc>
          <w:tcPr>
            <w:tcW w:w="0" w:type="dxa"/>
            <w:vAlign w:val="bottom"/>
          </w:tcPr>
          <w:p>
            <w:pPr>
              <w:spacing w:after="0"/>
              <w:rPr>
                <w:sz w:val="1"/>
                <w:szCs w:val="1"/>
                <w:color w:val="auto"/>
              </w:rPr>
            </w:pPr>
          </w:p>
        </w:tc>
      </w:tr>
      <w:tr>
        <w:trPr>
          <w:trHeight w:val="129"/>
        </w:trPr>
        <w:tc>
          <w:tcPr>
            <w:tcW w:w="144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NIM (FC)</w:t>
            </w:r>
          </w:p>
        </w:tc>
        <w:tc>
          <w:tcPr>
            <w:tcW w:w="5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42.3%</w:t>
            </w:r>
          </w:p>
        </w:tc>
        <w:tc>
          <w:tcPr>
            <w:tcW w:w="6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23.2%</w:t>
            </w:r>
          </w:p>
        </w:tc>
        <w:tc>
          <w:tcPr>
            <w:tcW w:w="5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3.2%</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42.6%</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23.1%</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3.3%</w:t>
            </w:r>
          </w:p>
        </w:tc>
        <w:tc>
          <w:tcPr>
            <w:tcW w:w="66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44.3%</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23.2%</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0"/>
        </w:trPr>
        <w:tc>
          <w:tcPr>
            <w:tcW w:w="680" w:type="dxa"/>
            <w:vAlign w:val="bottom"/>
            <w:tcBorders>
              <w:top w:val="single" w:sz="8" w:color="auto"/>
              <w:left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Sep 23</w:t>
            </w:r>
          </w:p>
        </w:tc>
        <w:tc>
          <w:tcPr>
            <w:tcW w:w="640" w:type="dxa"/>
            <w:vAlign w:val="bottom"/>
            <w:tcBorders>
              <w:top w:val="single" w:sz="8" w:color="auto"/>
              <w:right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spacing w:after="0"/>
              <w:rPr>
                <w:sz w:val="12"/>
                <w:szCs w:val="12"/>
                <w:color w:val="auto"/>
              </w:rPr>
            </w:pPr>
          </w:p>
        </w:tc>
        <w:tc>
          <w:tcPr>
            <w:tcW w:w="700" w:type="dxa"/>
            <w:vAlign w:val="bottom"/>
            <w:tcBorders>
              <w:top w:val="single" w:sz="8" w:color="auto"/>
            </w:tcBorders>
            <w:shd w:val="clear" w:color="auto" w:fill="33CCCC"/>
          </w:tcPr>
          <w:p>
            <w:pPr>
              <w:jc w:val="center"/>
              <w:ind w:right="6"/>
              <w:spacing w:after="0"/>
              <w:rPr>
                <w:sz w:val="20"/>
                <w:szCs w:val="20"/>
                <w:color w:val="auto"/>
              </w:rPr>
            </w:pPr>
            <w:r>
              <w:rPr>
                <w:rFonts w:ascii="Calibri" w:cs="Calibri" w:eastAsia="Calibri" w:hAnsi="Calibri"/>
                <w:sz w:val="11"/>
                <w:szCs w:val="11"/>
                <w:b w:val="1"/>
                <w:bCs w:val="1"/>
                <w:color w:val="FFFFFF"/>
                <w:w w:val="92"/>
              </w:rPr>
              <w:t>Sep 24</w:t>
            </w:r>
          </w:p>
        </w:tc>
        <w:tc>
          <w:tcPr>
            <w:tcW w:w="640" w:type="dxa"/>
            <w:vAlign w:val="bottom"/>
            <w:tcBorders>
              <w:top w:val="single" w:sz="8" w:color="auto"/>
              <w:right w:val="single" w:sz="8" w:color="auto"/>
            </w:tcBorders>
            <w:shd w:val="clear" w:color="auto" w:fill="33CCCC"/>
          </w:tcPr>
          <w:p>
            <w:pPr>
              <w:spacing w:after="0"/>
              <w:rPr>
                <w:sz w:val="12"/>
                <w:szCs w:val="12"/>
                <w:color w:val="auto"/>
              </w:rPr>
            </w:pPr>
          </w:p>
        </w:tc>
      </w:tr>
      <w:tr>
        <w:trPr>
          <w:trHeight w:val="128"/>
        </w:trPr>
        <w:tc>
          <w:tcPr>
            <w:tcW w:w="680" w:type="dxa"/>
            <w:vAlign w:val="bottom"/>
            <w:tcBorders>
              <w:left w:val="single" w:sz="8" w:color="auto"/>
            </w:tcBorders>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680" w:type="dxa"/>
            <w:vAlign w:val="bottom"/>
            <w:shd w:val="clear" w:color="auto" w:fill="33CCCC"/>
          </w:tcPr>
          <w:p>
            <w:pPr>
              <w:spacing w:after="0"/>
              <w:rPr>
                <w:sz w:val="11"/>
                <w:szCs w:val="11"/>
                <w:color w:val="auto"/>
              </w:rPr>
            </w:pPr>
          </w:p>
        </w:tc>
        <w:tc>
          <w:tcPr>
            <w:tcW w:w="640" w:type="dxa"/>
            <w:vAlign w:val="bottom"/>
            <w:tcBorders>
              <w:right w:val="single" w:sz="8" w:color="auto"/>
            </w:tcBorders>
            <w:shd w:val="clear" w:color="auto" w:fill="33CCCC"/>
          </w:tcPr>
          <w:p>
            <w:pPr>
              <w:spacing w:after="0"/>
              <w:rPr>
                <w:sz w:val="11"/>
                <w:szCs w:val="11"/>
                <w:color w:val="auto"/>
              </w:rPr>
            </w:pPr>
          </w:p>
        </w:tc>
        <w:tc>
          <w:tcPr>
            <w:tcW w:w="680" w:type="dxa"/>
            <w:vAlign w:val="bottom"/>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700" w:type="dxa"/>
            <w:vAlign w:val="bottom"/>
            <w:shd w:val="clear" w:color="auto" w:fill="33CCCC"/>
          </w:tcPr>
          <w:p>
            <w:pPr>
              <w:spacing w:after="0"/>
              <w:rPr>
                <w:sz w:val="11"/>
                <w:szCs w:val="11"/>
                <w:color w:val="auto"/>
              </w:rPr>
            </w:pPr>
          </w:p>
        </w:tc>
        <w:tc>
          <w:tcPr>
            <w:tcW w:w="640" w:type="dxa"/>
            <w:vAlign w:val="bottom"/>
            <w:tcBorders>
              <w:right w:val="single" w:sz="8" w:color="auto"/>
            </w:tcBorders>
            <w:shd w:val="clear" w:color="auto" w:fill="33CCCC"/>
          </w:tcPr>
          <w:p>
            <w:pPr>
              <w:spacing w:after="0"/>
              <w:rPr>
                <w:sz w:val="11"/>
                <w:szCs w:val="11"/>
                <w:color w:val="auto"/>
              </w:rPr>
            </w:pPr>
          </w:p>
        </w:tc>
      </w:tr>
      <w:tr>
        <w:trPr>
          <w:trHeight w:val="168"/>
        </w:trPr>
        <w:tc>
          <w:tcPr>
            <w:tcW w:w="680" w:type="dxa"/>
            <w:vAlign w:val="bottom"/>
            <w:tcBorders>
              <w:left w:val="single" w:sz="8" w:color="auto"/>
              <w:bottom w:val="single" w:sz="8" w:color="33CCCC"/>
            </w:tcBorders>
            <w:shd w:val="clear" w:color="auto" w:fill="33CCCC"/>
          </w:tcPr>
          <w:p>
            <w:pPr>
              <w:ind w:left="180"/>
              <w:spacing w:after="0"/>
              <w:rPr>
                <w:sz w:val="20"/>
                <w:szCs w:val="20"/>
                <w:color w:val="auto"/>
              </w:rPr>
            </w:pPr>
            <w:r>
              <w:rPr>
                <w:rFonts w:ascii="Calibri" w:cs="Calibri" w:eastAsia="Calibri" w:hAnsi="Calibri"/>
                <w:sz w:val="11"/>
                <w:szCs w:val="11"/>
                <w:b w:val="1"/>
                <w:bCs w:val="1"/>
                <w:color w:val="FFFFFF"/>
              </w:rPr>
              <w:t>Balance</w:t>
            </w:r>
          </w:p>
        </w:tc>
        <w:tc>
          <w:tcPr>
            <w:tcW w:w="680" w:type="dxa"/>
            <w:vAlign w:val="bottom"/>
            <w:tcBorders>
              <w:bottom w:val="single" w:sz="8" w:color="33CCCC"/>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Income</w:t>
            </w:r>
          </w:p>
        </w:tc>
        <w:tc>
          <w:tcPr>
            <w:tcW w:w="640" w:type="dxa"/>
            <w:vAlign w:val="bottom"/>
            <w:tcBorders>
              <w:bottom w:val="single" w:sz="8" w:color="33CCCC"/>
              <w:right w:val="single" w:sz="8" w:color="auto"/>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Yields</w:t>
            </w:r>
          </w:p>
        </w:tc>
        <w:tc>
          <w:tcPr>
            <w:tcW w:w="680" w:type="dxa"/>
            <w:vAlign w:val="bottom"/>
            <w:tcBorders>
              <w:bottom w:val="single" w:sz="8" w:color="33CCCC"/>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Balance</w:t>
            </w:r>
          </w:p>
        </w:tc>
        <w:tc>
          <w:tcPr>
            <w:tcW w:w="7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Income</w:t>
            </w:r>
          </w:p>
        </w:tc>
        <w:tc>
          <w:tcPr>
            <w:tcW w:w="640" w:type="dxa"/>
            <w:vAlign w:val="bottom"/>
            <w:tcBorders>
              <w:bottom w:val="single" w:sz="8" w:color="33CCCC"/>
              <w:right w:val="single" w:sz="8" w:color="auto"/>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Yields</w:t>
            </w:r>
          </w:p>
        </w:tc>
      </w:tr>
      <w:tr>
        <w:trPr>
          <w:trHeight w:val="120"/>
        </w:trPr>
        <w:tc>
          <w:tcPr>
            <w:tcW w:w="680" w:type="dxa"/>
            <w:vAlign w:val="bottom"/>
            <w:tcBorders>
              <w:top w:val="single" w:sz="8" w:color="auto"/>
              <w:left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7"/>
              </w:rPr>
              <w:t>25,903</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854</w:t>
            </w:r>
          </w:p>
        </w:tc>
        <w:tc>
          <w:tcPr>
            <w:tcW w:w="64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1"/>
              </w:rPr>
              <w:t>4.4%</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7"/>
              </w:rPr>
              <w:t>31,494</w:t>
            </w:r>
          </w:p>
        </w:tc>
        <w:tc>
          <w:tcPr>
            <w:tcW w:w="70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1,019</w:t>
            </w:r>
          </w:p>
        </w:tc>
        <w:tc>
          <w:tcPr>
            <w:tcW w:w="640" w:type="dxa"/>
            <w:vAlign w:val="bottom"/>
            <w:tcBorders>
              <w:top w:val="single" w:sz="8" w:color="auto"/>
              <w:right w:val="single" w:sz="8" w:color="auto"/>
            </w:tcBorders>
          </w:tcPr>
          <w:p>
            <w:pPr>
              <w:jc w:val="center"/>
              <w:ind w:right="6"/>
              <w:spacing w:after="0" w:line="121" w:lineRule="exact"/>
              <w:rPr>
                <w:sz w:val="20"/>
                <w:szCs w:val="20"/>
                <w:color w:val="auto"/>
              </w:rPr>
            </w:pPr>
            <w:r>
              <w:rPr>
                <w:rFonts w:ascii="Calibri" w:cs="Calibri" w:eastAsia="Calibri" w:hAnsi="Calibri"/>
                <w:sz w:val="11"/>
                <w:szCs w:val="11"/>
                <w:color w:val="auto"/>
              </w:rPr>
              <w:t>4.3%</w:t>
            </w:r>
          </w:p>
        </w:tc>
      </w:tr>
      <w:tr>
        <w:trPr>
          <w:trHeight w:val="129"/>
        </w:trPr>
        <w:tc>
          <w:tcPr>
            <w:tcW w:w="680" w:type="dxa"/>
            <w:vAlign w:val="bottom"/>
            <w:tcBorders>
              <w:left w:val="single" w:sz="8" w:color="auto"/>
            </w:tcBorders>
          </w:tcPr>
          <w:p>
            <w:pPr>
              <w:jc w:val="center"/>
              <w:spacing w:after="0" w:line="129" w:lineRule="exact"/>
              <w:rPr>
                <w:sz w:val="20"/>
                <w:szCs w:val="20"/>
                <w:color w:val="auto"/>
              </w:rPr>
            </w:pPr>
            <w:r>
              <w:rPr>
                <w:rFonts w:ascii="Calibri" w:cs="Calibri" w:eastAsia="Calibri" w:hAnsi="Calibri"/>
                <w:sz w:val="11"/>
                <w:szCs w:val="11"/>
                <w:color w:val="auto"/>
              </w:rPr>
              <w:t>1,308</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w w:val="89"/>
              </w:rPr>
              <w:t>58</w:t>
            </w:r>
          </w:p>
        </w:tc>
        <w:tc>
          <w:tcPr>
            <w:tcW w:w="64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1"/>
              </w:rPr>
              <w:t>5.9%</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w w:val="95"/>
              </w:rPr>
              <w:t>1,415</w:t>
            </w:r>
          </w:p>
        </w:tc>
        <w:tc>
          <w:tcPr>
            <w:tcW w:w="700" w:type="dxa"/>
            <w:vAlign w:val="bottom"/>
          </w:tcPr>
          <w:p>
            <w:pPr>
              <w:jc w:val="center"/>
              <w:spacing w:after="0" w:line="129" w:lineRule="exact"/>
              <w:rPr>
                <w:sz w:val="20"/>
                <w:szCs w:val="20"/>
                <w:color w:val="auto"/>
              </w:rPr>
            </w:pPr>
            <w:r>
              <w:rPr>
                <w:rFonts w:ascii="Calibri" w:cs="Calibri" w:eastAsia="Calibri" w:hAnsi="Calibri"/>
                <w:sz w:val="11"/>
                <w:szCs w:val="11"/>
                <w:color w:val="auto"/>
                <w:w w:val="89"/>
              </w:rPr>
              <w:t>80</w:t>
            </w:r>
          </w:p>
        </w:tc>
        <w:tc>
          <w:tcPr>
            <w:tcW w:w="640" w:type="dxa"/>
            <w:vAlign w:val="bottom"/>
            <w:tcBorders>
              <w:right w:val="single" w:sz="8" w:color="auto"/>
            </w:tcBorders>
          </w:tcPr>
          <w:p>
            <w:pPr>
              <w:jc w:val="center"/>
              <w:ind w:right="6"/>
              <w:spacing w:after="0" w:line="129" w:lineRule="exact"/>
              <w:rPr>
                <w:sz w:val="20"/>
                <w:szCs w:val="20"/>
                <w:color w:val="auto"/>
              </w:rPr>
            </w:pPr>
            <w:r>
              <w:rPr>
                <w:rFonts w:ascii="Calibri" w:cs="Calibri" w:eastAsia="Calibri" w:hAnsi="Calibri"/>
                <w:sz w:val="11"/>
                <w:szCs w:val="11"/>
                <w:color w:val="auto"/>
              </w:rPr>
              <w:t>7.5%</w:t>
            </w:r>
          </w:p>
        </w:tc>
      </w:tr>
      <w:tr>
        <w:trPr>
          <w:trHeight w:val="135"/>
        </w:trPr>
        <w:tc>
          <w:tcPr>
            <w:tcW w:w="6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w w:val="97"/>
              </w:rPr>
              <w:t>48,274</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1,880</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5.2%</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52,772</w:t>
            </w:r>
          </w:p>
        </w:tc>
        <w:tc>
          <w:tcPr>
            <w:tcW w:w="700" w:type="dxa"/>
            <w:vAlign w:val="bottom"/>
          </w:tcPr>
          <w:p>
            <w:pPr>
              <w:jc w:val="center"/>
              <w:spacing w:after="0"/>
              <w:rPr>
                <w:sz w:val="20"/>
                <w:szCs w:val="20"/>
                <w:color w:val="auto"/>
              </w:rPr>
            </w:pPr>
            <w:r>
              <w:rPr>
                <w:rFonts w:ascii="Calibri" w:cs="Calibri" w:eastAsia="Calibri" w:hAnsi="Calibri"/>
                <w:sz w:val="11"/>
                <w:szCs w:val="11"/>
                <w:color w:val="auto"/>
                <w:w w:val="95"/>
              </w:rPr>
              <w:t>2,042</w:t>
            </w:r>
          </w:p>
        </w:tc>
        <w:tc>
          <w:tcPr>
            <w:tcW w:w="64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5.2%</w:t>
            </w:r>
          </w:p>
        </w:tc>
      </w:tr>
      <w:tr>
        <w:trPr>
          <w:trHeight w:val="135"/>
        </w:trPr>
        <w:tc>
          <w:tcPr>
            <w:tcW w:w="6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w w:val="93"/>
              </w:rPr>
              <w:t>146,877</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11,137</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10.1%</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143,773</w:t>
            </w:r>
          </w:p>
        </w:tc>
        <w:tc>
          <w:tcPr>
            <w:tcW w:w="700" w:type="dxa"/>
            <w:vAlign w:val="bottom"/>
          </w:tcPr>
          <w:p>
            <w:pPr>
              <w:jc w:val="center"/>
              <w:spacing w:after="0"/>
              <w:rPr>
                <w:sz w:val="20"/>
                <w:szCs w:val="20"/>
                <w:color w:val="auto"/>
              </w:rPr>
            </w:pPr>
            <w:r>
              <w:rPr>
                <w:rFonts w:ascii="Calibri" w:cs="Calibri" w:eastAsia="Calibri" w:hAnsi="Calibri"/>
                <w:sz w:val="11"/>
                <w:szCs w:val="11"/>
                <w:color w:val="auto"/>
                <w:w w:val="97"/>
              </w:rPr>
              <w:t>11,715</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10.9%</w:t>
            </w:r>
          </w:p>
        </w:tc>
      </w:tr>
      <w:tr>
        <w:trPr>
          <w:trHeight w:val="135"/>
        </w:trPr>
        <w:tc>
          <w:tcPr>
            <w:tcW w:w="6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w w:val="93"/>
              </w:rPr>
              <w:t>140,032</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11,028</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10.5%</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9"/>
              </w:rPr>
              <w:t>188,744</w:t>
            </w:r>
          </w:p>
        </w:tc>
        <w:tc>
          <w:tcPr>
            <w:tcW w:w="700" w:type="dxa"/>
            <w:vAlign w:val="bottom"/>
          </w:tcPr>
          <w:p>
            <w:pPr>
              <w:jc w:val="center"/>
              <w:spacing w:after="0"/>
              <w:rPr>
                <w:sz w:val="20"/>
                <w:szCs w:val="20"/>
                <w:color w:val="auto"/>
              </w:rPr>
            </w:pPr>
            <w:r>
              <w:rPr>
                <w:rFonts w:ascii="Calibri" w:cs="Calibri" w:eastAsia="Calibri" w:hAnsi="Calibri"/>
                <w:sz w:val="11"/>
                <w:szCs w:val="11"/>
                <w:color w:val="auto"/>
                <w:w w:val="97"/>
              </w:rPr>
              <w:t>13,139</w:t>
            </w:r>
          </w:p>
        </w:tc>
        <w:tc>
          <w:tcPr>
            <w:tcW w:w="64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9.3%</w:t>
            </w:r>
          </w:p>
        </w:tc>
      </w:tr>
      <w:tr>
        <w:trPr>
          <w:trHeight w:val="135"/>
        </w:trPr>
        <w:tc>
          <w:tcPr>
            <w:tcW w:w="6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rPr>
              <w:t>6,845</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109</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2.1%</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3,695</w:t>
            </w:r>
          </w:p>
        </w:tc>
        <w:tc>
          <w:tcPr>
            <w:tcW w:w="700" w:type="dxa"/>
            <w:vAlign w:val="bottom"/>
          </w:tcPr>
          <w:p>
            <w:pPr>
              <w:jc w:val="center"/>
              <w:spacing w:after="0"/>
              <w:rPr>
                <w:sz w:val="20"/>
                <w:szCs w:val="20"/>
                <w:color w:val="auto"/>
              </w:rPr>
            </w:pPr>
            <w:r>
              <w:rPr>
                <w:rFonts w:ascii="Calibri" w:cs="Calibri" w:eastAsia="Calibri" w:hAnsi="Calibri"/>
                <w:sz w:val="11"/>
                <w:szCs w:val="11"/>
                <w:color w:val="auto"/>
                <w:w w:val="95"/>
              </w:rPr>
              <w:t>128</w:t>
            </w:r>
          </w:p>
        </w:tc>
        <w:tc>
          <w:tcPr>
            <w:tcW w:w="64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4.6%</w:t>
            </w:r>
          </w:p>
        </w:tc>
      </w:tr>
      <w:tr>
        <w:trPr>
          <w:trHeight w:val="28"/>
        </w:trPr>
        <w:tc>
          <w:tcPr>
            <w:tcW w:w="68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r>
        <w:trPr>
          <w:trHeight w:val="124"/>
        </w:trPr>
        <w:tc>
          <w:tcPr>
            <w:tcW w:w="680" w:type="dxa"/>
            <w:vAlign w:val="bottom"/>
            <w:tcBorders>
              <w:left w:val="single" w:sz="8" w:color="auto"/>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222,362</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7"/>
              </w:rPr>
              <w:t>13,929</w:t>
            </w:r>
          </w:p>
        </w:tc>
        <w:tc>
          <w:tcPr>
            <w:tcW w:w="64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b w:val="1"/>
                <w:bCs w:val="1"/>
                <w:color w:val="auto"/>
                <w:w w:val="99"/>
              </w:rPr>
              <w:t>8.4%</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229,454</w:t>
            </w:r>
          </w:p>
        </w:tc>
        <w:tc>
          <w:tcPr>
            <w:tcW w:w="7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7"/>
              </w:rPr>
              <w:t>14,856</w:t>
            </w:r>
          </w:p>
        </w:tc>
        <w:tc>
          <w:tcPr>
            <w:tcW w:w="64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b w:val="1"/>
                <w:bCs w:val="1"/>
                <w:color w:val="auto"/>
                <w:w w:val="99"/>
              </w:rPr>
              <w:t>8.6%</w:t>
            </w:r>
          </w:p>
        </w:tc>
      </w:tr>
      <w:tr>
        <w:trPr>
          <w:trHeight w:val="128"/>
        </w:trPr>
        <w:tc>
          <w:tcPr>
            <w:tcW w:w="680" w:type="dxa"/>
            <w:vAlign w:val="bottom"/>
            <w:tcBorders>
              <w:left w:val="single" w:sz="8" w:color="auto"/>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57.2%</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71.3%</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10.4%</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56.3%</w:t>
            </w:r>
          </w:p>
        </w:tc>
        <w:tc>
          <w:tcPr>
            <w:tcW w:w="7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69.4%</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10.6%</w:t>
            </w:r>
          </w:p>
        </w:tc>
      </w:tr>
      <w:tr>
        <w:trPr>
          <w:trHeight w:val="128"/>
        </w:trPr>
        <w:tc>
          <w:tcPr>
            <w:tcW w:w="680" w:type="dxa"/>
            <w:vAlign w:val="bottom"/>
            <w:tcBorders>
              <w:left w:val="single" w:sz="8" w:color="auto"/>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42.8%</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28.7%</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5.6%</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43.7%</w:t>
            </w:r>
          </w:p>
        </w:tc>
        <w:tc>
          <w:tcPr>
            <w:tcW w:w="7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30.6%</w:t>
            </w:r>
          </w:p>
        </w:tc>
        <w:tc>
          <w:tcPr>
            <w:tcW w:w="64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6.0%</w:t>
            </w:r>
          </w:p>
        </w:tc>
      </w:tr>
      <w:tr>
        <w:trPr>
          <w:trHeight w:val="133"/>
        </w:trPr>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20"/>
        </w:trPr>
        <w:tc>
          <w:tcPr>
            <w:tcW w:w="680" w:type="dxa"/>
            <w:vAlign w:val="bottom"/>
            <w:tcBorders>
              <w:left w:val="single" w:sz="8" w:color="auto"/>
            </w:tcBorders>
            <w:shd w:val="clear" w:color="auto" w:fill="33CCCC"/>
          </w:tcPr>
          <w:p>
            <w:pPr>
              <w:spacing w:after="0"/>
              <w:rPr>
                <w:sz w:val="10"/>
                <w:szCs w:val="10"/>
                <w:color w:val="auto"/>
              </w:rPr>
            </w:pPr>
          </w:p>
        </w:tc>
        <w:tc>
          <w:tcPr>
            <w:tcW w:w="680" w:type="dxa"/>
            <w:vAlign w:val="bottom"/>
            <w:shd w:val="clear" w:color="auto" w:fill="33CCCC"/>
          </w:tcPr>
          <w:p>
            <w:pPr>
              <w:ind w:left="160"/>
              <w:spacing w:after="0" w:line="121" w:lineRule="exact"/>
              <w:rPr>
                <w:sz w:val="20"/>
                <w:szCs w:val="20"/>
                <w:color w:val="auto"/>
              </w:rPr>
            </w:pPr>
            <w:r>
              <w:rPr>
                <w:rFonts w:ascii="Calibri" w:cs="Calibri" w:eastAsia="Calibri" w:hAnsi="Calibri"/>
                <w:sz w:val="11"/>
                <w:szCs w:val="11"/>
                <w:b w:val="1"/>
                <w:bCs w:val="1"/>
                <w:color w:val="FFFFFF"/>
              </w:rPr>
              <w:t>Sep 23</w:t>
            </w:r>
          </w:p>
        </w:tc>
        <w:tc>
          <w:tcPr>
            <w:tcW w:w="640" w:type="dxa"/>
            <w:vAlign w:val="bottom"/>
            <w:tcBorders>
              <w:right w:val="single" w:sz="8" w:color="auto"/>
            </w:tcBorders>
            <w:shd w:val="clear" w:color="auto" w:fill="33CCCC"/>
          </w:tcPr>
          <w:p>
            <w:pPr>
              <w:spacing w:after="0"/>
              <w:rPr>
                <w:sz w:val="10"/>
                <w:szCs w:val="10"/>
                <w:color w:val="auto"/>
              </w:rPr>
            </w:pPr>
          </w:p>
        </w:tc>
        <w:tc>
          <w:tcPr>
            <w:tcW w:w="680" w:type="dxa"/>
            <w:vAlign w:val="bottom"/>
            <w:shd w:val="clear" w:color="auto" w:fill="33CCCC"/>
          </w:tcPr>
          <w:p>
            <w:pPr>
              <w:spacing w:after="0"/>
              <w:rPr>
                <w:sz w:val="10"/>
                <w:szCs w:val="10"/>
                <w:color w:val="auto"/>
              </w:rPr>
            </w:pPr>
          </w:p>
        </w:tc>
        <w:tc>
          <w:tcPr>
            <w:tcW w:w="700" w:type="dxa"/>
            <w:vAlign w:val="bottom"/>
            <w:shd w:val="clear" w:color="auto" w:fill="33CCCC"/>
          </w:tcPr>
          <w:p>
            <w:pPr>
              <w:jc w:val="center"/>
              <w:ind w:right="6"/>
              <w:spacing w:after="0" w:line="121" w:lineRule="exact"/>
              <w:rPr>
                <w:sz w:val="20"/>
                <w:szCs w:val="20"/>
                <w:color w:val="auto"/>
              </w:rPr>
            </w:pPr>
            <w:r>
              <w:rPr>
                <w:rFonts w:ascii="Calibri" w:cs="Calibri" w:eastAsia="Calibri" w:hAnsi="Calibri"/>
                <w:sz w:val="11"/>
                <w:szCs w:val="11"/>
                <w:b w:val="1"/>
                <w:bCs w:val="1"/>
                <w:color w:val="FFFFFF"/>
                <w:w w:val="92"/>
              </w:rPr>
              <w:t>Sep 24</w:t>
            </w:r>
          </w:p>
        </w:tc>
        <w:tc>
          <w:tcPr>
            <w:tcW w:w="640" w:type="dxa"/>
            <w:vAlign w:val="bottom"/>
            <w:tcBorders>
              <w:right w:val="single" w:sz="8" w:color="auto"/>
            </w:tcBorders>
            <w:shd w:val="clear" w:color="auto" w:fill="33CCCC"/>
          </w:tcPr>
          <w:p>
            <w:pPr>
              <w:spacing w:after="0"/>
              <w:rPr>
                <w:sz w:val="10"/>
                <w:szCs w:val="10"/>
                <w:color w:val="auto"/>
              </w:rPr>
            </w:pPr>
          </w:p>
        </w:tc>
      </w:tr>
      <w:tr>
        <w:trPr>
          <w:trHeight w:val="128"/>
        </w:trPr>
        <w:tc>
          <w:tcPr>
            <w:tcW w:w="680" w:type="dxa"/>
            <w:vAlign w:val="bottom"/>
            <w:tcBorders>
              <w:left w:val="single" w:sz="8" w:color="auto"/>
            </w:tcBorders>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680" w:type="dxa"/>
            <w:vAlign w:val="bottom"/>
            <w:shd w:val="clear" w:color="auto" w:fill="33CCCC"/>
          </w:tcPr>
          <w:p>
            <w:pPr>
              <w:spacing w:after="0"/>
              <w:rPr>
                <w:sz w:val="11"/>
                <w:szCs w:val="11"/>
                <w:color w:val="auto"/>
              </w:rPr>
            </w:pPr>
          </w:p>
        </w:tc>
        <w:tc>
          <w:tcPr>
            <w:tcW w:w="640" w:type="dxa"/>
            <w:vAlign w:val="bottom"/>
            <w:tcBorders>
              <w:right w:val="single" w:sz="8" w:color="auto"/>
            </w:tcBorders>
            <w:shd w:val="clear" w:color="auto" w:fill="33CCCC"/>
          </w:tcPr>
          <w:p>
            <w:pPr>
              <w:spacing w:after="0"/>
              <w:rPr>
                <w:sz w:val="11"/>
                <w:szCs w:val="11"/>
                <w:color w:val="auto"/>
              </w:rPr>
            </w:pPr>
          </w:p>
        </w:tc>
        <w:tc>
          <w:tcPr>
            <w:tcW w:w="680" w:type="dxa"/>
            <w:vAlign w:val="bottom"/>
            <w:shd w:val="clear" w:color="auto" w:fill="33CCCC"/>
          </w:tcPr>
          <w:p>
            <w:pPr>
              <w:ind w:left="160"/>
              <w:spacing w:after="0" w:line="129" w:lineRule="exact"/>
              <w:rPr>
                <w:sz w:val="20"/>
                <w:szCs w:val="20"/>
                <w:color w:val="auto"/>
              </w:rPr>
            </w:pPr>
            <w:r>
              <w:rPr>
                <w:rFonts w:ascii="Calibri" w:cs="Calibri" w:eastAsia="Calibri" w:hAnsi="Calibri"/>
                <w:sz w:val="11"/>
                <w:szCs w:val="11"/>
                <w:b w:val="1"/>
                <w:bCs w:val="1"/>
                <w:color w:val="FFFFFF"/>
              </w:rPr>
              <w:t>Average</w:t>
            </w:r>
          </w:p>
        </w:tc>
        <w:tc>
          <w:tcPr>
            <w:tcW w:w="700" w:type="dxa"/>
            <w:vAlign w:val="bottom"/>
            <w:shd w:val="clear" w:color="auto" w:fill="33CCCC"/>
          </w:tcPr>
          <w:p>
            <w:pPr>
              <w:spacing w:after="0"/>
              <w:rPr>
                <w:sz w:val="11"/>
                <w:szCs w:val="11"/>
                <w:color w:val="auto"/>
              </w:rPr>
            </w:pPr>
          </w:p>
        </w:tc>
        <w:tc>
          <w:tcPr>
            <w:tcW w:w="640" w:type="dxa"/>
            <w:vAlign w:val="bottom"/>
            <w:tcBorders>
              <w:right w:val="single" w:sz="8" w:color="auto"/>
            </w:tcBorders>
            <w:shd w:val="clear" w:color="auto" w:fill="33CCCC"/>
          </w:tcPr>
          <w:p>
            <w:pPr>
              <w:spacing w:after="0"/>
              <w:rPr>
                <w:sz w:val="11"/>
                <w:szCs w:val="11"/>
                <w:color w:val="auto"/>
              </w:rPr>
            </w:pPr>
          </w:p>
        </w:tc>
      </w:tr>
      <w:tr>
        <w:trPr>
          <w:trHeight w:val="168"/>
        </w:trPr>
        <w:tc>
          <w:tcPr>
            <w:tcW w:w="680" w:type="dxa"/>
            <w:vAlign w:val="bottom"/>
            <w:tcBorders>
              <w:left w:val="single" w:sz="8" w:color="auto"/>
              <w:bottom w:val="single" w:sz="8" w:color="33CCCC"/>
            </w:tcBorders>
            <w:shd w:val="clear" w:color="auto" w:fill="33CCCC"/>
          </w:tcPr>
          <w:p>
            <w:pPr>
              <w:ind w:left="180"/>
              <w:spacing w:after="0"/>
              <w:rPr>
                <w:sz w:val="20"/>
                <w:szCs w:val="20"/>
                <w:color w:val="auto"/>
              </w:rPr>
            </w:pPr>
            <w:r>
              <w:rPr>
                <w:rFonts w:ascii="Calibri" w:cs="Calibri" w:eastAsia="Calibri" w:hAnsi="Calibri"/>
                <w:sz w:val="11"/>
                <w:szCs w:val="11"/>
                <w:b w:val="1"/>
                <w:bCs w:val="1"/>
                <w:color w:val="FFFFFF"/>
              </w:rPr>
              <w:t>Balance</w:t>
            </w:r>
          </w:p>
        </w:tc>
        <w:tc>
          <w:tcPr>
            <w:tcW w:w="680" w:type="dxa"/>
            <w:vAlign w:val="bottom"/>
            <w:tcBorders>
              <w:bottom w:val="single" w:sz="8" w:color="33CCCC"/>
            </w:tcBorders>
            <w:shd w:val="clear" w:color="auto" w:fill="33CCCC"/>
          </w:tcPr>
          <w:p>
            <w:pPr>
              <w:ind w:left="140"/>
              <w:spacing w:after="0"/>
              <w:rPr>
                <w:sz w:val="20"/>
                <w:szCs w:val="20"/>
                <w:color w:val="auto"/>
              </w:rPr>
            </w:pPr>
            <w:r>
              <w:rPr>
                <w:rFonts w:ascii="Calibri" w:cs="Calibri" w:eastAsia="Calibri" w:hAnsi="Calibri"/>
                <w:sz w:val="11"/>
                <w:szCs w:val="11"/>
                <w:b w:val="1"/>
                <w:bCs w:val="1"/>
                <w:color w:val="FFFFFF"/>
              </w:rPr>
              <w:t>Expense</w:t>
            </w:r>
          </w:p>
        </w:tc>
        <w:tc>
          <w:tcPr>
            <w:tcW w:w="640" w:type="dxa"/>
            <w:vAlign w:val="bottom"/>
            <w:tcBorders>
              <w:bottom w:val="single" w:sz="8" w:color="33CCCC"/>
              <w:right w:val="single" w:sz="8" w:color="auto"/>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Yields</w:t>
            </w:r>
          </w:p>
        </w:tc>
        <w:tc>
          <w:tcPr>
            <w:tcW w:w="680" w:type="dxa"/>
            <w:vAlign w:val="bottom"/>
            <w:tcBorders>
              <w:bottom w:val="single" w:sz="8" w:color="33CCCC"/>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Balance</w:t>
            </w:r>
          </w:p>
        </w:tc>
        <w:tc>
          <w:tcPr>
            <w:tcW w:w="7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Expense</w:t>
            </w:r>
          </w:p>
        </w:tc>
        <w:tc>
          <w:tcPr>
            <w:tcW w:w="640" w:type="dxa"/>
            <w:vAlign w:val="bottom"/>
            <w:tcBorders>
              <w:bottom w:val="single" w:sz="8" w:color="33CCCC"/>
              <w:right w:val="single" w:sz="8" w:color="auto"/>
            </w:tcBorders>
            <w:shd w:val="clear" w:color="auto" w:fill="33CCCC"/>
          </w:tcPr>
          <w:p>
            <w:pPr>
              <w:ind w:left="160"/>
              <w:spacing w:after="0"/>
              <w:rPr>
                <w:sz w:val="20"/>
                <w:szCs w:val="20"/>
                <w:color w:val="auto"/>
              </w:rPr>
            </w:pPr>
            <w:r>
              <w:rPr>
                <w:rFonts w:ascii="Calibri" w:cs="Calibri" w:eastAsia="Calibri" w:hAnsi="Calibri"/>
                <w:sz w:val="11"/>
                <w:szCs w:val="11"/>
                <w:b w:val="1"/>
                <w:bCs w:val="1"/>
                <w:color w:val="FFFFFF"/>
              </w:rPr>
              <w:t>Yields</w:t>
            </w:r>
          </w:p>
        </w:tc>
      </w:tr>
      <w:tr>
        <w:trPr>
          <w:trHeight w:val="120"/>
        </w:trPr>
        <w:tc>
          <w:tcPr>
            <w:tcW w:w="680" w:type="dxa"/>
            <w:vAlign w:val="bottom"/>
            <w:tcBorders>
              <w:top w:val="single" w:sz="8" w:color="auto"/>
              <w:left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3"/>
              </w:rPr>
              <w:t>147,746</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rPr>
              <w:t>2,314</w:t>
            </w:r>
          </w:p>
        </w:tc>
        <w:tc>
          <w:tcPr>
            <w:tcW w:w="640" w:type="dxa"/>
            <w:vAlign w:val="bottom"/>
            <w:tcBorders>
              <w:top w:val="single" w:sz="8" w:color="auto"/>
              <w:right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1"/>
              </w:rPr>
              <w:t>2.1%</w:t>
            </w:r>
          </w:p>
        </w:tc>
        <w:tc>
          <w:tcPr>
            <w:tcW w:w="68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9"/>
              </w:rPr>
              <w:t>151,070</w:t>
            </w:r>
          </w:p>
        </w:tc>
        <w:tc>
          <w:tcPr>
            <w:tcW w:w="700" w:type="dxa"/>
            <w:vAlign w:val="bottom"/>
            <w:tcBorders>
              <w:top w:val="single" w:sz="8" w:color="auto"/>
            </w:tcBorders>
          </w:tcPr>
          <w:p>
            <w:pPr>
              <w:jc w:val="center"/>
              <w:spacing w:after="0" w:line="121" w:lineRule="exact"/>
              <w:rPr>
                <w:sz w:val="20"/>
                <w:szCs w:val="20"/>
                <w:color w:val="auto"/>
              </w:rPr>
            </w:pPr>
            <w:r>
              <w:rPr>
                <w:rFonts w:ascii="Calibri" w:cs="Calibri" w:eastAsia="Calibri" w:hAnsi="Calibri"/>
                <w:sz w:val="11"/>
                <w:szCs w:val="11"/>
                <w:color w:val="auto"/>
                <w:w w:val="95"/>
              </w:rPr>
              <w:t>2,195</w:t>
            </w:r>
          </w:p>
        </w:tc>
        <w:tc>
          <w:tcPr>
            <w:tcW w:w="640" w:type="dxa"/>
            <w:vAlign w:val="bottom"/>
            <w:tcBorders>
              <w:top w:val="single" w:sz="8" w:color="auto"/>
              <w:right w:val="single" w:sz="8" w:color="auto"/>
            </w:tcBorders>
          </w:tcPr>
          <w:p>
            <w:pPr>
              <w:jc w:val="center"/>
              <w:ind w:right="6"/>
              <w:spacing w:after="0" w:line="121" w:lineRule="exact"/>
              <w:rPr>
                <w:sz w:val="20"/>
                <w:szCs w:val="20"/>
                <w:color w:val="auto"/>
              </w:rPr>
            </w:pPr>
            <w:r>
              <w:rPr>
                <w:rFonts w:ascii="Calibri" w:cs="Calibri" w:eastAsia="Calibri" w:hAnsi="Calibri"/>
                <w:sz w:val="11"/>
                <w:szCs w:val="11"/>
                <w:color w:val="auto"/>
              </w:rPr>
              <w:t>1.9%</w:t>
            </w:r>
          </w:p>
        </w:tc>
      </w:tr>
      <w:tr>
        <w:trPr>
          <w:trHeight w:val="128"/>
        </w:trPr>
        <w:tc>
          <w:tcPr>
            <w:tcW w:w="680" w:type="dxa"/>
            <w:vAlign w:val="bottom"/>
            <w:tcBorders>
              <w:lef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7"/>
              </w:rPr>
              <w:t>20,173</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rPr>
              <w:t>861</w:t>
            </w:r>
          </w:p>
        </w:tc>
        <w:tc>
          <w:tcPr>
            <w:tcW w:w="64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1"/>
              </w:rPr>
              <w:t>5.7%</w:t>
            </w:r>
          </w:p>
        </w:tc>
        <w:tc>
          <w:tcPr>
            <w:tcW w:w="680" w:type="dxa"/>
            <w:vAlign w:val="bottom"/>
          </w:tcPr>
          <w:p>
            <w:pPr>
              <w:jc w:val="center"/>
              <w:spacing w:after="0" w:line="129" w:lineRule="exact"/>
              <w:rPr>
                <w:sz w:val="20"/>
                <w:szCs w:val="20"/>
                <w:color w:val="auto"/>
              </w:rPr>
            </w:pPr>
            <w:r>
              <w:rPr>
                <w:rFonts w:ascii="Calibri" w:cs="Calibri" w:eastAsia="Calibri" w:hAnsi="Calibri"/>
                <w:sz w:val="11"/>
                <w:szCs w:val="11"/>
                <w:color w:val="auto"/>
                <w:w w:val="97"/>
              </w:rPr>
              <w:t>18,617</w:t>
            </w:r>
          </w:p>
        </w:tc>
        <w:tc>
          <w:tcPr>
            <w:tcW w:w="700" w:type="dxa"/>
            <w:vAlign w:val="bottom"/>
          </w:tcPr>
          <w:p>
            <w:pPr>
              <w:jc w:val="center"/>
              <w:spacing w:after="0" w:line="129" w:lineRule="exact"/>
              <w:rPr>
                <w:sz w:val="20"/>
                <w:szCs w:val="20"/>
                <w:color w:val="auto"/>
              </w:rPr>
            </w:pPr>
            <w:r>
              <w:rPr>
                <w:rFonts w:ascii="Calibri" w:cs="Calibri" w:eastAsia="Calibri" w:hAnsi="Calibri"/>
                <w:sz w:val="11"/>
                <w:szCs w:val="11"/>
                <w:color w:val="auto"/>
                <w:w w:val="95"/>
              </w:rPr>
              <w:t>794</w:t>
            </w:r>
          </w:p>
        </w:tc>
        <w:tc>
          <w:tcPr>
            <w:tcW w:w="640" w:type="dxa"/>
            <w:vAlign w:val="bottom"/>
            <w:tcBorders>
              <w:right w:val="single" w:sz="8" w:color="auto"/>
            </w:tcBorders>
          </w:tcPr>
          <w:p>
            <w:pPr>
              <w:jc w:val="center"/>
              <w:ind w:right="6"/>
              <w:spacing w:after="0" w:line="129" w:lineRule="exact"/>
              <w:rPr>
                <w:sz w:val="20"/>
                <w:szCs w:val="20"/>
                <w:color w:val="auto"/>
              </w:rPr>
            </w:pPr>
            <w:r>
              <w:rPr>
                <w:rFonts w:ascii="Calibri" w:cs="Calibri" w:eastAsia="Calibri" w:hAnsi="Calibri"/>
                <w:sz w:val="11"/>
                <w:szCs w:val="11"/>
                <w:color w:val="auto"/>
              </w:rPr>
              <w:t>5.7%</w:t>
            </w:r>
          </w:p>
        </w:tc>
      </w:tr>
      <w:tr>
        <w:trPr>
          <w:trHeight w:val="135"/>
        </w:trPr>
        <w:tc>
          <w:tcPr>
            <w:tcW w:w="6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w w:val="97"/>
              </w:rPr>
              <w:t>15,961</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481</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4.0%</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7"/>
              </w:rPr>
              <w:t>15,773</w:t>
            </w:r>
          </w:p>
        </w:tc>
        <w:tc>
          <w:tcPr>
            <w:tcW w:w="700" w:type="dxa"/>
            <w:vAlign w:val="bottom"/>
          </w:tcPr>
          <w:p>
            <w:pPr>
              <w:jc w:val="center"/>
              <w:spacing w:after="0"/>
              <w:rPr>
                <w:sz w:val="20"/>
                <w:szCs w:val="20"/>
                <w:color w:val="auto"/>
              </w:rPr>
            </w:pPr>
            <w:r>
              <w:rPr>
                <w:rFonts w:ascii="Calibri" w:cs="Calibri" w:eastAsia="Calibri" w:hAnsi="Calibri"/>
                <w:sz w:val="11"/>
                <w:szCs w:val="11"/>
                <w:color w:val="auto"/>
                <w:w w:val="95"/>
              </w:rPr>
              <w:t>598</w:t>
            </w:r>
          </w:p>
        </w:tc>
        <w:tc>
          <w:tcPr>
            <w:tcW w:w="64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5.1%</w:t>
            </w:r>
          </w:p>
        </w:tc>
      </w:tr>
      <w:tr>
        <w:trPr>
          <w:trHeight w:val="135"/>
        </w:trPr>
        <w:tc>
          <w:tcPr>
            <w:tcW w:w="680" w:type="dxa"/>
            <w:vAlign w:val="bottom"/>
            <w:tcBorders>
              <w:left w:val="single" w:sz="8" w:color="auto"/>
            </w:tcBorders>
          </w:tcPr>
          <w:p>
            <w:pPr>
              <w:jc w:val="center"/>
              <w:spacing w:after="0"/>
              <w:rPr>
                <w:sz w:val="20"/>
                <w:szCs w:val="20"/>
                <w:color w:val="auto"/>
              </w:rPr>
            </w:pPr>
            <w:r>
              <w:rPr>
                <w:rFonts w:ascii="Calibri" w:cs="Calibri" w:eastAsia="Calibri" w:hAnsi="Calibri"/>
                <w:sz w:val="11"/>
                <w:szCs w:val="11"/>
                <w:color w:val="auto"/>
              </w:rPr>
              <w:t>1,896</w:t>
            </w:r>
          </w:p>
        </w:tc>
        <w:tc>
          <w:tcPr>
            <w:tcW w:w="680" w:type="dxa"/>
            <w:vAlign w:val="bottom"/>
          </w:tcPr>
          <w:p>
            <w:pPr>
              <w:jc w:val="center"/>
              <w:spacing w:after="0"/>
              <w:rPr>
                <w:sz w:val="20"/>
                <w:szCs w:val="20"/>
                <w:color w:val="auto"/>
              </w:rPr>
            </w:pPr>
            <w:r>
              <w:rPr>
                <w:rFonts w:ascii="Calibri" w:cs="Calibri" w:eastAsia="Calibri" w:hAnsi="Calibri"/>
                <w:sz w:val="11"/>
                <w:szCs w:val="11"/>
                <w:color w:val="auto"/>
              </w:rPr>
              <w:t>681</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47.9%</w:t>
            </w:r>
          </w:p>
        </w:tc>
        <w:tc>
          <w:tcPr>
            <w:tcW w:w="680" w:type="dxa"/>
            <w:vAlign w:val="bottom"/>
          </w:tcPr>
          <w:p>
            <w:pPr>
              <w:jc w:val="center"/>
              <w:spacing w:after="0"/>
              <w:rPr>
                <w:sz w:val="20"/>
                <w:szCs w:val="20"/>
                <w:color w:val="auto"/>
              </w:rPr>
            </w:pPr>
            <w:r>
              <w:rPr>
                <w:rFonts w:ascii="Calibri" w:cs="Calibri" w:eastAsia="Calibri" w:hAnsi="Calibri"/>
                <w:sz w:val="11"/>
                <w:szCs w:val="11"/>
                <w:color w:val="auto"/>
                <w:w w:val="95"/>
              </w:rPr>
              <w:t>2,651</w:t>
            </w:r>
          </w:p>
        </w:tc>
        <w:tc>
          <w:tcPr>
            <w:tcW w:w="700" w:type="dxa"/>
            <w:vAlign w:val="bottom"/>
          </w:tcPr>
          <w:p>
            <w:pPr>
              <w:jc w:val="center"/>
              <w:spacing w:after="0"/>
              <w:rPr>
                <w:sz w:val="20"/>
                <w:szCs w:val="20"/>
                <w:color w:val="auto"/>
              </w:rPr>
            </w:pPr>
            <w:r>
              <w:rPr>
                <w:rFonts w:ascii="Calibri" w:cs="Calibri" w:eastAsia="Calibri" w:hAnsi="Calibri"/>
                <w:sz w:val="11"/>
                <w:szCs w:val="11"/>
                <w:color w:val="auto"/>
                <w:w w:val="95"/>
              </w:rPr>
              <w:t>785</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39.5%</w:t>
            </w:r>
          </w:p>
        </w:tc>
      </w:tr>
      <w:tr>
        <w:trPr>
          <w:trHeight w:val="28"/>
        </w:trPr>
        <w:tc>
          <w:tcPr>
            <w:tcW w:w="68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r>
        <w:trPr>
          <w:trHeight w:val="124"/>
        </w:trPr>
        <w:tc>
          <w:tcPr>
            <w:tcW w:w="680" w:type="dxa"/>
            <w:vAlign w:val="bottom"/>
            <w:tcBorders>
              <w:left w:val="single" w:sz="8" w:color="auto"/>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185,776</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4,337</w:t>
            </w:r>
          </w:p>
        </w:tc>
        <w:tc>
          <w:tcPr>
            <w:tcW w:w="64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b w:val="1"/>
                <w:bCs w:val="1"/>
                <w:color w:val="auto"/>
                <w:w w:val="99"/>
              </w:rPr>
              <w:t>3.1%</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188,111</w:t>
            </w:r>
          </w:p>
        </w:tc>
        <w:tc>
          <w:tcPr>
            <w:tcW w:w="7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5"/>
              </w:rPr>
              <w:t>4,372</w:t>
            </w:r>
          </w:p>
        </w:tc>
        <w:tc>
          <w:tcPr>
            <w:tcW w:w="64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b w:val="1"/>
                <w:bCs w:val="1"/>
                <w:color w:val="auto"/>
                <w:w w:val="99"/>
              </w:rPr>
              <w:t>3.1%</w:t>
            </w:r>
          </w:p>
        </w:tc>
      </w:tr>
      <w:tr>
        <w:trPr>
          <w:trHeight w:val="129"/>
        </w:trPr>
        <w:tc>
          <w:tcPr>
            <w:tcW w:w="680" w:type="dxa"/>
            <w:vAlign w:val="bottom"/>
            <w:tcBorders>
              <w:left w:val="single" w:sz="8" w:color="auto"/>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50.6%</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59.0%</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3.6%</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49.3%</w:t>
            </w:r>
          </w:p>
        </w:tc>
        <w:tc>
          <w:tcPr>
            <w:tcW w:w="7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50.8%</w:t>
            </w:r>
          </w:p>
        </w:tc>
        <w:tc>
          <w:tcPr>
            <w:tcW w:w="64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3.2%</w:t>
            </w:r>
          </w:p>
        </w:tc>
      </w:tr>
      <w:tr>
        <w:trPr>
          <w:trHeight w:val="128"/>
        </w:trPr>
        <w:tc>
          <w:tcPr>
            <w:tcW w:w="680" w:type="dxa"/>
            <w:vAlign w:val="bottom"/>
            <w:tcBorders>
              <w:left w:val="single" w:sz="8" w:color="auto"/>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49.4%</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41.0%</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2.6%</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50.7%</w:t>
            </w:r>
          </w:p>
        </w:tc>
        <w:tc>
          <w:tcPr>
            <w:tcW w:w="7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49.2%</w:t>
            </w:r>
          </w:p>
        </w:tc>
        <w:tc>
          <w:tcPr>
            <w:tcW w:w="64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3.0%</w:t>
            </w:r>
          </w:p>
        </w:tc>
      </w:tr>
      <w:tr>
        <w:trPr>
          <w:trHeight w:val="133"/>
        </w:trPr>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25"/>
        </w:trPr>
        <w:tc>
          <w:tcPr>
            <w:tcW w:w="680" w:type="dxa"/>
            <w:vAlign w:val="bottom"/>
            <w:tcBorders>
              <w:left w:val="single" w:sz="8" w:color="auto"/>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222,362</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9,592</w:t>
            </w:r>
          </w:p>
        </w:tc>
        <w:tc>
          <w:tcPr>
            <w:tcW w:w="64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b w:val="1"/>
                <w:bCs w:val="1"/>
                <w:color w:val="auto"/>
                <w:w w:val="99"/>
              </w:rPr>
              <w:t>5.8%</w:t>
            </w:r>
          </w:p>
        </w:tc>
        <w:tc>
          <w:tcPr>
            <w:tcW w:w="68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9"/>
              </w:rPr>
              <w:t>229,454</w:t>
            </w:r>
          </w:p>
        </w:tc>
        <w:tc>
          <w:tcPr>
            <w:tcW w:w="7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7"/>
              </w:rPr>
              <w:t>10,484</w:t>
            </w:r>
          </w:p>
        </w:tc>
        <w:tc>
          <w:tcPr>
            <w:tcW w:w="64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b w:val="1"/>
                <w:bCs w:val="1"/>
                <w:color w:val="auto"/>
                <w:w w:val="99"/>
              </w:rPr>
              <w:t>6.1%</w:t>
            </w:r>
          </w:p>
        </w:tc>
      </w:tr>
      <w:tr>
        <w:trPr>
          <w:trHeight w:val="128"/>
        </w:trPr>
        <w:tc>
          <w:tcPr>
            <w:tcW w:w="680" w:type="dxa"/>
            <w:vAlign w:val="bottom"/>
            <w:tcBorders>
              <w:left w:val="single" w:sz="8" w:color="auto"/>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57.2%</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76.9%</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7.7%</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56.3%</w:t>
            </w:r>
          </w:p>
        </w:tc>
        <w:tc>
          <w:tcPr>
            <w:tcW w:w="7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77.1%</w:t>
            </w:r>
          </w:p>
        </w:tc>
        <w:tc>
          <w:tcPr>
            <w:tcW w:w="64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8.4%</w:t>
            </w:r>
          </w:p>
        </w:tc>
      </w:tr>
      <w:tr>
        <w:trPr>
          <w:trHeight w:val="129"/>
        </w:trPr>
        <w:tc>
          <w:tcPr>
            <w:tcW w:w="680" w:type="dxa"/>
            <w:vAlign w:val="bottom"/>
            <w:tcBorders>
              <w:left w:val="single" w:sz="8" w:color="auto"/>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42.8%</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23.1%</w:t>
            </w:r>
          </w:p>
        </w:tc>
        <w:tc>
          <w:tcPr>
            <w:tcW w:w="6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3.1%</w:t>
            </w:r>
          </w:p>
        </w:tc>
        <w:tc>
          <w:tcPr>
            <w:tcW w:w="6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43.7%</w:t>
            </w:r>
          </w:p>
        </w:tc>
        <w:tc>
          <w:tcPr>
            <w:tcW w:w="7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22.9%</w:t>
            </w:r>
          </w:p>
        </w:tc>
        <w:tc>
          <w:tcPr>
            <w:tcW w:w="64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3.2%</w:t>
            </w:r>
          </w:p>
        </w:tc>
      </w:tr>
    </w:tbl>
    <w:p>
      <w:pPr>
        <w:spacing w:after="0" w:line="1" w:lineRule="exact"/>
        <w:rPr>
          <w:sz w:val="20"/>
          <w:szCs w:val="20"/>
          <w:color w:val="auto"/>
        </w:rPr>
      </w:pPr>
    </w:p>
    <w:p>
      <w:pPr>
        <w:sectPr>
          <w:pgSz w:w="11900" w:h="16838" w:orient="portrait"/>
          <w:cols w:equalWidth="0" w:num="2">
            <w:col w:w="7120" w:space="100"/>
            <w:col w:w="4020"/>
          </w:cols>
          <w:pgMar w:left="320" w:top="348" w:right="339" w:bottom="1440" w:gutter="0" w:footer="0" w:header="0"/>
          <w:type w:val="continuous"/>
        </w:sectPr>
      </w:pPr>
    </w:p>
    <w:p>
      <w:pPr>
        <w:spacing w:after="0" w:line="200" w:lineRule="auto"/>
        <w:rPr>
          <w:sz w:val="20"/>
          <w:szCs w:val="20"/>
          <w:color w:val="auto"/>
        </w:rPr>
      </w:pPr>
      <w:r>
        <w:rPr>
          <w:rFonts w:ascii="Calibri" w:cs="Calibri" w:eastAsia="Calibri" w:hAnsi="Calibri"/>
          <w:sz w:val="12"/>
          <w:szCs w:val="12"/>
          <w:color w:val="auto"/>
        </w:rPr>
        <w:t>(1) Unlike the NIM fgure calculated according to the formula in Appendix 12.7, the NIM presented in this table includes “Financial Expense associated with the insurance and reinsurance actvity, net”.</w:t>
      </w: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QoQ Analysis</w:t>
      </w:r>
    </w:p>
    <w:p>
      <w:pPr>
        <w:spacing w:after="0" w:line="20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QoQ, </w:t>
      </w:r>
      <w:r>
        <w:rPr>
          <w:rFonts w:ascii="Calibri" w:cs="Calibri" w:eastAsia="Calibri" w:hAnsi="Calibri"/>
          <w:sz w:val="18"/>
          <w:szCs w:val="18"/>
          <w:b w:val="1"/>
          <w:bCs w:val="1"/>
          <w:color w:val="auto"/>
        </w:rPr>
        <w:t>Net Interest Income (NII)</w:t>
      </w:r>
      <w:r>
        <w:rPr>
          <w:rFonts w:ascii="Calibri" w:cs="Calibri" w:eastAsia="Calibri" w:hAnsi="Calibri"/>
          <w:sz w:val="18"/>
          <w:szCs w:val="18"/>
          <w:color w:val="auto"/>
        </w:rPr>
        <w:t xml:space="preserve"> increased 3.5%, driven by growth in both LC and FC. IEAs in LC represented 55.7% of total IEAs at quarter-end and accounted for 76.8% of Net interest Income generated in 3Q24.</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Local Currency Dynamics (LC)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NII </w:t>
      </w:r>
      <w:r>
        <w:rPr>
          <w:rFonts w:ascii="Calibri" w:cs="Calibri" w:eastAsia="Calibri" w:hAnsi="Calibri"/>
          <w:sz w:val="18"/>
          <w:szCs w:val="18"/>
          <w:color w:val="auto"/>
        </w:rPr>
        <w:t>in</w:t>
      </w:r>
      <w:r>
        <w:rPr>
          <w:rFonts w:ascii="Calibri" w:cs="Calibri" w:eastAsia="Calibri" w:hAnsi="Calibri"/>
          <w:sz w:val="18"/>
          <w:szCs w:val="18"/>
          <w:b w:val="1"/>
          <w:bCs w:val="1"/>
          <w:color w:val="auto"/>
        </w:rPr>
        <w:t xml:space="preserve"> LC </w:t>
      </w:r>
      <w:r>
        <w:rPr>
          <w:rFonts w:ascii="Calibri" w:cs="Calibri" w:eastAsia="Calibri" w:hAnsi="Calibri"/>
          <w:sz w:val="18"/>
          <w:szCs w:val="18"/>
          <w:color w:val="auto"/>
        </w:rPr>
        <w:t>rose 3.4%, driven by a drop in interest expenses through:</w:t>
      </w:r>
    </w:p>
    <w:p>
      <w:pPr>
        <w:ind w:left="840" w:hanging="346"/>
        <w:spacing w:after="0" w:line="235" w:lineRule="auto"/>
        <w:tabs>
          <w:tab w:leader="none" w:pos="8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Growth in low-cost deposits’ share of total funding, which rose mainly on the back of fund infows from pension fund withdrawals.</w:t>
      </w:r>
    </w:p>
    <w:p>
      <w:pPr>
        <w:spacing w:after="0" w:line="1" w:lineRule="exact"/>
        <w:rPr>
          <w:rFonts w:ascii="Calibri" w:cs="Calibri" w:eastAsia="Calibri" w:hAnsi="Calibri"/>
          <w:sz w:val="18"/>
          <w:szCs w:val="18"/>
          <w:color w:val="auto"/>
        </w:rPr>
      </w:pPr>
    </w:p>
    <w:p>
      <w:pPr>
        <w:ind w:left="840" w:hanging="346"/>
        <w:spacing w:after="0" w:line="235" w:lineRule="auto"/>
        <w:tabs>
          <w:tab w:leader="none" w:pos="8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Drop in expenses in the BCRP and banks line due to (i) a downward pricing efect on debt obligatons due to BCRP rate cuts and (ii) a decrease in the balance of BCRP repos, given that no auctons were held for these instruments in a context marked by ample liquidity system-wide.</w:t>
      </w:r>
    </w:p>
    <w:p>
      <w:pPr>
        <w:ind w:left="840" w:hanging="346"/>
        <w:spacing w:after="0" w:line="235" w:lineRule="auto"/>
        <w:tabs>
          <w:tab w:leader="none" w:pos="8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Reducton in expenses on bonds following the expiraton of senior debt in LC at BCP.</w:t>
      </w:r>
    </w:p>
    <w:p>
      <w:pPr>
        <w:spacing w:after="0" w:line="38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27" w:name="page28"/>
    <w:bookmarkEnd w:id="27"/>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04. Net Interest Income (NII)</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color w:val="auto"/>
        </w:rPr>
        <w:t>In the aforementoned scenario, the implicit funding rate in LC dropped 36 bps to stand at 2.9%.</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Interest income in LC rose slightly, fueled by an uptck in investments under a strategy to increase the portolio’s duraton.</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 Dynamics (FC)</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NII </w:t>
      </w:r>
      <w:r>
        <w:rPr>
          <w:rFonts w:ascii="Calibri" w:cs="Calibri" w:eastAsia="Calibri" w:hAnsi="Calibri"/>
          <w:sz w:val="18"/>
          <w:szCs w:val="18"/>
          <w:color w:val="auto"/>
        </w:rPr>
        <w:t>in</w:t>
      </w:r>
      <w:r>
        <w:rPr>
          <w:rFonts w:ascii="Calibri" w:cs="Calibri" w:eastAsia="Calibri" w:hAnsi="Calibri"/>
          <w:sz w:val="18"/>
          <w:szCs w:val="18"/>
          <w:b w:val="1"/>
          <w:bCs w:val="1"/>
          <w:color w:val="auto"/>
        </w:rPr>
        <w:t xml:space="preserve"> FC </w:t>
      </w:r>
      <w:r>
        <w:rPr>
          <w:rFonts w:ascii="Calibri" w:cs="Calibri" w:eastAsia="Calibri" w:hAnsi="Calibri"/>
          <w:sz w:val="18"/>
          <w:szCs w:val="18"/>
          <w:color w:val="auto"/>
        </w:rPr>
        <w:t>rose 3.9% QoQ due to the following dynamics: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income increased 3.0% QoQ. This advance was driven mainly by growth in available funds afer liquidity surpluses were invested in BCRP deposits, which, in turn, boosted income through a volume efect. This result ofset an increase in interest expenses, which rose 2.1% QoQ on the back of expenses for a subordinated bond issuance in September. It is important to note that although expenses for BCRP and banks were up this quarter (due to an increase in debt obligatons), the corresponding funds were deployed tactcally in arbitrage strategies, which generated a net gain.</w:t>
      </w: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YoY Analysis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YoY, </w:t>
      </w:r>
      <w:r>
        <w:rPr>
          <w:rFonts w:ascii="Calibri" w:cs="Calibri" w:eastAsia="Calibri" w:hAnsi="Calibri"/>
          <w:sz w:val="18"/>
          <w:szCs w:val="18"/>
          <w:b w:val="1"/>
          <w:bCs w:val="1"/>
          <w:color w:val="auto"/>
        </w:rPr>
        <w:t>NII</w:t>
      </w:r>
      <w:r>
        <w:rPr>
          <w:rFonts w:ascii="Calibri" w:cs="Calibri" w:eastAsia="Calibri" w:hAnsi="Calibri"/>
          <w:sz w:val="18"/>
          <w:szCs w:val="18"/>
          <w:color w:val="auto"/>
        </w:rPr>
        <w:t xml:space="preserve"> rose 10.3%, driven by NII in both LC and FC:</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Local Currency Dynamics (MN)</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NII </w:t>
      </w:r>
      <w:r>
        <w:rPr>
          <w:rFonts w:ascii="Calibri" w:cs="Calibri" w:eastAsia="Calibri" w:hAnsi="Calibri"/>
          <w:sz w:val="18"/>
          <w:szCs w:val="18"/>
          <w:color w:val="auto"/>
        </w:rPr>
        <w:t>in</w:t>
      </w:r>
      <w:r>
        <w:rPr>
          <w:rFonts w:ascii="Calibri" w:cs="Calibri" w:eastAsia="Calibri" w:hAnsi="Calibri"/>
          <w:sz w:val="18"/>
          <w:szCs w:val="18"/>
          <w:b w:val="1"/>
          <w:bCs w:val="1"/>
          <w:color w:val="auto"/>
        </w:rPr>
        <w:t xml:space="preserve"> LC </w:t>
      </w:r>
      <w:r>
        <w:rPr>
          <w:rFonts w:ascii="Calibri" w:cs="Calibri" w:eastAsia="Calibri" w:hAnsi="Calibri"/>
          <w:sz w:val="18"/>
          <w:szCs w:val="18"/>
          <w:color w:val="auto"/>
        </w:rPr>
        <w:t>rose 10.3% YoY, fueled by:</w:t>
      </w:r>
    </w:p>
    <w:p>
      <w:pPr>
        <w:spacing w:after="0" w:line="20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Low-cost deposits rose in a context marked by ample liquidity, which impacted on the deposits mix and leading to downward pressures on the cost of funding. To a lesser extent, interest expenses on BCRP and Due to Banks dropped due to a decline in local interest rates (downward pricing efect) and to the expiraton of BCRP repos (downward volume efect). In this context, interest expenses fell 27.1% YoY while the funding cost dropped from 4.0% to 2.9%.</w:t>
      </w:r>
    </w:p>
    <w:p>
      <w:pPr>
        <w:spacing w:after="0" w:line="1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income remained relatvely stable (+0.1% YoY) given that the increase in the volume of IEAs (+1.2% YoY) was driven by a change in the mix, where a drop in loans, the highest-yielding asset, negatvely impacted proftability. In this context, the yield on IEA fell 12 bps.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 Dynamics (FC)</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b w:val="1"/>
          <w:bCs w:val="1"/>
          <w:color w:val="auto"/>
        </w:rPr>
        <w:t>NII</w:t>
      </w:r>
      <w:r>
        <w:rPr>
          <w:rFonts w:ascii="Calibri" w:cs="Calibri" w:eastAsia="Calibri" w:hAnsi="Calibri"/>
          <w:sz w:val="18"/>
          <w:szCs w:val="18"/>
          <w:color w:val="auto"/>
        </w:rPr>
        <w:t xml:space="preserve"> in </w:t>
      </w:r>
      <w:r>
        <w:rPr>
          <w:rFonts w:ascii="Calibri" w:cs="Calibri" w:eastAsia="Calibri" w:hAnsi="Calibri"/>
          <w:sz w:val="18"/>
          <w:szCs w:val="18"/>
          <w:b w:val="1"/>
          <w:bCs w:val="1"/>
          <w:color w:val="auto"/>
        </w:rPr>
        <w:t>FC</w:t>
      </w:r>
      <w:r>
        <w:rPr>
          <w:rFonts w:ascii="Calibri" w:cs="Calibri" w:eastAsia="Calibri" w:hAnsi="Calibri"/>
          <w:sz w:val="18"/>
          <w:szCs w:val="18"/>
          <w:color w:val="auto"/>
        </w:rPr>
        <w:t xml:space="preserve"> rose 10.5% YoY due to:</w:t>
      </w:r>
    </w:p>
    <w:p>
      <w:pPr>
        <w:spacing w:after="0" w:line="20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Average IEA in FC increased 9.7% YoY. The main factor behind this evoluton was growth in the volume of available funds, which was optmized via O/N deposits in BCRP. Growth in income from loans also bolstered the YoY result, albeit to a lesser extent, through an uptck in volumes in Corporate Banking at BCP and BCP Bolivia. Interest income in FC rose 12.5% YoY, driven primarily by a volume efect. Consequently, the yield on IEAs increased 15 bps to 6.1%.</w:t>
      </w:r>
    </w:p>
    <w:p>
      <w:pPr>
        <w:spacing w:after="0" w:line="1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Funding increased 7.3% YoY, fueled primarily by debt issuances at BCP this year and secondarily by an uptck in debt obligatons. These dynamics led the cost of the funding mix to rise despite growth in low-cost deposits. In this context, interest expenses rose 14.8% YoY and the cost of funding in FC increased from 2.8% to 3.0%.</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YTD Analysis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As of September, </w:t>
      </w:r>
      <w:r>
        <w:rPr>
          <w:rFonts w:ascii="Calibri" w:cs="Calibri" w:eastAsia="Calibri" w:hAnsi="Calibri"/>
          <w:sz w:val="18"/>
          <w:szCs w:val="18"/>
          <w:b w:val="1"/>
          <w:bCs w:val="1"/>
          <w:color w:val="auto"/>
        </w:rPr>
        <w:t>NII</w:t>
      </w:r>
      <w:r>
        <w:rPr>
          <w:rFonts w:ascii="Calibri" w:cs="Calibri" w:eastAsia="Calibri" w:hAnsi="Calibri"/>
          <w:sz w:val="18"/>
          <w:szCs w:val="18"/>
          <w:color w:val="auto"/>
        </w:rPr>
        <w:t xml:space="preserve"> had grown 9.3%, driven by an increase in NII in LC and FC.</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Dynamics in Local Currency (LC)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NII </w:t>
      </w:r>
      <w:r>
        <w:rPr>
          <w:rFonts w:ascii="Calibri" w:cs="Calibri" w:eastAsia="Calibri" w:hAnsi="Calibri"/>
          <w:sz w:val="18"/>
          <w:szCs w:val="18"/>
          <w:color w:val="auto"/>
        </w:rPr>
        <w:t>in</w:t>
      </w:r>
      <w:r>
        <w:rPr>
          <w:rFonts w:ascii="Calibri" w:cs="Calibri" w:eastAsia="Calibri" w:hAnsi="Calibri"/>
          <w:sz w:val="18"/>
          <w:szCs w:val="18"/>
          <w:b w:val="1"/>
          <w:bCs w:val="1"/>
          <w:color w:val="auto"/>
        </w:rPr>
        <w:t xml:space="preserve"> LC </w:t>
      </w:r>
      <w:r>
        <w:rPr>
          <w:rFonts w:ascii="Calibri" w:cs="Calibri" w:eastAsia="Calibri" w:hAnsi="Calibri"/>
          <w:sz w:val="18"/>
          <w:szCs w:val="18"/>
          <w:color w:val="auto"/>
        </w:rPr>
        <w:t>rose 9.6% YTD due to:</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YTD, interest income has risen 3.8% due to an uptck in income from loans, which was driven primarily by SME-Pyme and credit cards, where signifcant eforts have been made to maintain adequate risk pricing. To a lesser extent, investments also contributed to growth in income via an increase in volumes. A drop in expenses also drove NII growth over the period (albeit to a lesser extent than income factors), primarily through a mix efect, where low-cost deposits gained terrain, and secondarily via a drop in the funding volume in BCRP and banks.</w:t>
      </w:r>
    </w:p>
    <w:p>
      <w:pPr>
        <w:spacing w:after="0" w:line="3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 w:name="page29"/>
    <w:bookmarkEnd w:id="28"/>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04. Net Interest Income (NII)</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Dynamics in Foreign Currency (FC)</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NII </w:t>
      </w:r>
      <w:r>
        <w:rPr>
          <w:rFonts w:ascii="Calibri" w:cs="Calibri" w:eastAsia="Calibri" w:hAnsi="Calibri"/>
          <w:sz w:val="18"/>
          <w:szCs w:val="18"/>
          <w:color w:val="auto"/>
        </w:rPr>
        <w:t>in</w:t>
      </w:r>
      <w:r>
        <w:rPr>
          <w:rFonts w:ascii="Calibri" w:cs="Calibri" w:eastAsia="Calibri" w:hAnsi="Calibri"/>
          <w:sz w:val="18"/>
          <w:szCs w:val="18"/>
          <w:b w:val="1"/>
          <w:bCs w:val="1"/>
          <w:color w:val="auto"/>
        </w:rPr>
        <w:t xml:space="preserve"> FC </w:t>
      </w:r>
      <w:r>
        <w:rPr>
          <w:rFonts w:ascii="Calibri" w:cs="Calibri" w:eastAsia="Calibri" w:hAnsi="Calibri"/>
          <w:sz w:val="18"/>
          <w:szCs w:val="18"/>
          <w:color w:val="auto"/>
        </w:rPr>
        <w:t>increased 8.1% YTD due to the following dynamics: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YTD, interest income in FC rose 13.8%. This evoluton was atributable, as was the case YoY, to growth in loans, primarily via Corporate Banking at BCP and BCP Bolivia. Growth in Cash and equivalents income, which was propelled by a volume efect, also contributed to the YTD result, albeit to a lesser extent. Interest expenses grew 21.0%, given that the increase in the volumes of Due to banks, and Bonds and note, which are a relatvely more expensive sources of funding, outpaced the growth registered in deposits.</w:t>
      </w:r>
    </w:p>
    <w:p>
      <w:pPr>
        <w:spacing w:after="0" w:line="3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 w:name="page30"/>
    <w:bookmarkEnd w:id="29"/>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05  </w:t>
      </w:r>
      <w:r>
        <w:rPr>
          <w:rFonts w:ascii="Calibri" w:cs="Calibri" w:eastAsia="Calibri" w:hAnsi="Calibri"/>
          <w:sz w:val="32"/>
          <w:szCs w:val="32"/>
          <w:color w:val="E93BAC"/>
        </w:rPr>
        <w:t>Portolio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405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57"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Credicorp’s NPL portolio contracted, driven mainly by BCP Stand-alone and Mibanco. Despite the improvement, the level remains high and above our appette. It is important to note that we reached a turning point this quarter, partcularly in the segments that have been the most impacted in the recent credit cycle: Individuals and the structural SME-Pyme portolio at BCP Stand-alone and the loan portolio at Mibanco.</w:t>
      </w:r>
    </w:p>
    <w:p>
      <w:pPr>
        <w:spacing w:after="0" w:line="219"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QoQ, the drop in NPLs at BCP was fueled mainly by debt repayments in Wholesale Banking and Individuals, in a context of higher liquidity fueled by pension fund withdrawals, and by a drop in overdue loans in SME-Pyme. At Mibanco, the reducton in NPLs was driven by a decrease in overdue loans, which was atributable to stricter originaton guidelines, improvements in collectons management and eforts to provide facilites. The NPL rato fell 12 bps QoQ to stand at 5.9% at quarter-end. The QoQ reducton in provisions was fueled primarily by BCP, on the back of improvements mainly in payment performance in Individuals and SME- Pyme. At Mibanco, provisions fell due to improvements in payment performance, which refected the positve impact of improvements in debt collecton management.</w:t>
      </w:r>
    </w:p>
    <w:p>
      <w:pPr>
        <w:spacing w:after="0" w:line="230"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auto"/>
        </w:rPr>
        <w:t>5.1</w:t>
        <w:tab/>
        <w:t>Portolio Quality</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Quality of Total Loans (in quarter-end balances)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Loan Portolio Quality and Delinquency ratos</w:t>
            </w:r>
          </w:p>
        </w:tc>
        <w:tc>
          <w:tcPr>
            <w:tcW w:w="1380" w:type="dxa"/>
            <w:vAlign w:val="bottom"/>
            <w:tcBorders>
              <w:top w:val="single" w:sz="8" w:color="auto"/>
            </w:tcBorders>
            <w:shd w:val="clear" w:color="auto" w:fill="33CCCC"/>
          </w:tcPr>
          <w:p>
            <w:pPr>
              <w:spacing w:after="0"/>
              <w:rPr>
                <w:sz w:val="15"/>
                <w:szCs w:val="15"/>
                <w:color w:val="auto"/>
              </w:rPr>
            </w:pPr>
          </w:p>
        </w:tc>
        <w:tc>
          <w:tcPr>
            <w:tcW w:w="13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As of</w:t>
            </w:r>
          </w:p>
        </w:tc>
        <w:tc>
          <w:tcPr>
            <w:tcW w:w="1380" w:type="dxa"/>
            <w:vAlign w:val="bottom"/>
            <w:tcBorders>
              <w:top w:val="single" w:sz="8" w:color="auto"/>
              <w:right w:val="single" w:sz="8" w:color="auto"/>
            </w:tcBorders>
            <w:shd w:val="clear" w:color="auto" w:fill="33CCCC"/>
          </w:tcPr>
          <w:p>
            <w:pPr>
              <w:spacing w:after="0"/>
              <w:rPr>
                <w:sz w:val="15"/>
                <w:szCs w:val="15"/>
                <w:color w:val="auto"/>
              </w:rPr>
            </w:pPr>
          </w:p>
        </w:tc>
        <w:tc>
          <w:tcPr>
            <w:tcW w:w="960" w:type="dxa"/>
            <w:vAlign w:val="bottom"/>
            <w:tcBorders>
              <w:top w:val="single" w:sz="8" w:color="auto"/>
            </w:tcBorders>
            <w:shd w:val="clear" w:color="auto" w:fill="33CCCC"/>
          </w:tcPr>
          <w:p>
            <w:pPr>
              <w:spacing w:after="0"/>
              <w:rPr>
                <w:sz w:val="15"/>
                <w:szCs w:val="15"/>
                <w:color w:val="auto"/>
              </w:rPr>
            </w:pPr>
          </w:p>
        </w:tc>
        <w:tc>
          <w:tcPr>
            <w:tcW w:w="162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3"/>
                <w:szCs w:val="13"/>
                <w:b w:val="1"/>
                <w:bCs w:val="1"/>
                <w:color w:val="FFFFFF"/>
              </w:rPr>
              <w:t>% change</w:t>
            </w:r>
          </w:p>
        </w:tc>
      </w:tr>
      <w:tr>
        <w:trPr>
          <w:trHeight w:val="197"/>
        </w:trPr>
        <w:tc>
          <w:tcPr>
            <w:tcW w:w="4520" w:type="dxa"/>
            <w:vAlign w:val="bottom"/>
            <w:tcBorders>
              <w:left w:val="single" w:sz="8" w:color="auto"/>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S/000</w:t>
            </w:r>
          </w:p>
        </w:tc>
        <w:tc>
          <w:tcPr>
            <w:tcW w:w="1380" w:type="dxa"/>
            <w:vAlign w:val="bottom"/>
            <w:tcBorders>
              <w:bottom w:val="single" w:sz="8" w:color="33CCCC"/>
            </w:tcBorders>
            <w:shd w:val="clear" w:color="auto" w:fill="33CCCC"/>
          </w:tcPr>
          <w:p>
            <w:pPr>
              <w:ind w:left="500"/>
              <w:spacing w:after="0"/>
              <w:rPr>
                <w:sz w:val="20"/>
                <w:szCs w:val="20"/>
                <w:color w:val="auto"/>
              </w:rPr>
            </w:pPr>
            <w:r>
              <w:rPr>
                <w:rFonts w:ascii="Calibri" w:cs="Calibri" w:eastAsia="Calibri" w:hAnsi="Calibri"/>
                <w:sz w:val="13"/>
                <w:szCs w:val="13"/>
                <w:b w:val="1"/>
                <w:bCs w:val="1"/>
                <w:color w:val="FFFFFF"/>
              </w:rPr>
              <w:t>Sep 23</w:t>
            </w:r>
          </w:p>
        </w:tc>
        <w:tc>
          <w:tcPr>
            <w:tcW w:w="13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Jun 24</w:t>
            </w:r>
          </w:p>
        </w:tc>
        <w:tc>
          <w:tcPr>
            <w:tcW w:w="1380" w:type="dxa"/>
            <w:vAlign w:val="bottom"/>
            <w:tcBorders>
              <w:bottom w:val="single" w:sz="8" w:color="33CCCC"/>
              <w:right w:val="single" w:sz="8" w:color="auto"/>
            </w:tcBorders>
            <w:shd w:val="clear" w:color="auto" w:fill="33CCCC"/>
          </w:tcPr>
          <w:p>
            <w:pPr>
              <w:ind w:left="500"/>
              <w:spacing w:after="0"/>
              <w:rPr>
                <w:sz w:val="20"/>
                <w:szCs w:val="20"/>
                <w:color w:val="auto"/>
              </w:rPr>
            </w:pPr>
            <w:r>
              <w:rPr>
                <w:rFonts w:ascii="Calibri" w:cs="Calibri" w:eastAsia="Calibri" w:hAnsi="Calibri"/>
                <w:sz w:val="13"/>
                <w:szCs w:val="13"/>
                <w:b w:val="1"/>
                <w:bCs w:val="1"/>
                <w:color w:val="FFFFFF"/>
              </w:rPr>
              <w:t>Sep 24</w:t>
            </w:r>
          </w:p>
        </w:tc>
        <w:tc>
          <w:tcPr>
            <w:tcW w:w="960" w:type="dxa"/>
            <w:vAlign w:val="bottom"/>
            <w:tcBorders>
              <w:bottom w:val="single" w:sz="8" w:color="33CCCC"/>
            </w:tcBorders>
            <w:shd w:val="clear" w:color="auto" w:fill="33CCCC"/>
          </w:tcPr>
          <w:p>
            <w:pPr>
              <w:jc w:val="center"/>
              <w:ind w:left="353"/>
              <w:spacing w:after="0"/>
              <w:rPr>
                <w:sz w:val="20"/>
                <w:szCs w:val="20"/>
                <w:color w:val="auto"/>
              </w:rPr>
            </w:pPr>
            <w:r>
              <w:rPr>
                <w:rFonts w:ascii="Calibri" w:cs="Calibri" w:eastAsia="Calibri" w:hAnsi="Calibri"/>
                <w:sz w:val="13"/>
                <w:szCs w:val="13"/>
                <w:b w:val="1"/>
                <w:bCs w:val="1"/>
                <w:color w:val="FFFFFF"/>
              </w:rPr>
              <w:t>QoQ</w:t>
            </w:r>
          </w:p>
        </w:tc>
        <w:tc>
          <w:tcPr>
            <w:tcW w:w="1620" w:type="dxa"/>
            <w:vAlign w:val="bottom"/>
            <w:tcBorders>
              <w:bottom w:val="single" w:sz="8" w:color="33CCCC"/>
              <w:right w:val="single" w:sz="8" w:color="auto"/>
            </w:tcBorders>
            <w:shd w:val="clear" w:color="auto" w:fill="33CCCC"/>
          </w:tcPr>
          <w:p>
            <w:pPr>
              <w:jc w:val="center"/>
              <w:ind w:left="313"/>
              <w:spacing w:after="0"/>
              <w:rPr>
                <w:sz w:val="20"/>
                <w:szCs w:val="20"/>
                <w:color w:val="auto"/>
              </w:rPr>
            </w:pPr>
            <w:r>
              <w:rPr>
                <w:rFonts w:ascii="Calibri" w:cs="Calibri" w:eastAsia="Calibri" w:hAnsi="Calibri"/>
                <w:sz w:val="13"/>
                <w:szCs w:val="13"/>
                <w:b w:val="1"/>
                <w:bCs w:val="1"/>
                <w:color w:val="FFFFFF"/>
                <w:w w:val="97"/>
              </w:rPr>
              <w:t>YoY</w:t>
            </w:r>
          </w:p>
        </w:tc>
      </w:tr>
      <w:tr>
        <w:trPr>
          <w:trHeight w:val="163"/>
        </w:trPr>
        <w:tc>
          <w:tcPr>
            <w:tcW w:w="4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loans (Quarter-end balance)</w:t>
            </w:r>
          </w:p>
        </w:tc>
        <w:tc>
          <w:tcPr>
            <w:tcW w:w="138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145,129,260</w:t>
            </w:r>
          </w:p>
        </w:tc>
        <w:tc>
          <w:tcPr>
            <w:tcW w:w="138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146,946,546</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142,568,785</w:t>
            </w:r>
          </w:p>
        </w:tc>
        <w:tc>
          <w:tcPr>
            <w:tcW w:w="960" w:type="dxa"/>
            <w:vAlign w:val="bottom"/>
            <w:tcBorders>
              <w:top w:val="single" w:sz="8" w:color="auto"/>
              <w:bottom w:val="single" w:sz="8" w:color="auto"/>
            </w:tcBorders>
          </w:tcPr>
          <w:p>
            <w:pPr>
              <w:jc w:val="center"/>
              <w:ind w:left="333"/>
              <w:spacing w:after="0"/>
              <w:rPr>
                <w:sz w:val="20"/>
                <w:szCs w:val="20"/>
                <w:color w:val="auto"/>
              </w:rPr>
            </w:pPr>
            <w:r>
              <w:rPr>
                <w:rFonts w:ascii="Calibri" w:cs="Calibri" w:eastAsia="Calibri" w:hAnsi="Calibri"/>
                <w:sz w:val="13"/>
                <w:szCs w:val="13"/>
                <w:b w:val="1"/>
                <w:bCs w:val="1"/>
                <w:color w:val="auto"/>
              </w:rPr>
              <w:t>-3.0%</w:t>
            </w:r>
          </w:p>
        </w:tc>
        <w:tc>
          <w:tcPr>
            <w:tcW w:w="1620" w:type="dxa"/>
            <w:vAlign w:val="bottom"/>
            <w:tcBorders>
              <w:top w:val="single" w:sz="8" w:color="auto"/>
              <w:bottom w:val="single" w:sz="8" w:color="auto"/>
              <w:right w:val="single" w:sz="8" w:color="auto"/>
            </w:tcBorders>
          </w:tcPr>
          <w:p>
            <w:pPr>
              <w:jc w:val="center"/>
              <w:ind w:left="313"/>
              <w:spacing w:after="0"/>
              <w:rPr>
                <w:sz w:val="20"/>
                <w:szCs w:val="20"/>
                <w:color w:val="auto"/>
              </w:rPr>
            </w:pPr>
            <w:r>
              <w:rPr>
                <w:rFonts w:ascii="Calibri" w:cs="Calibri" w:eastAsia="Calibri" w:hAnsi="Calibri"/>
                <w:sz w:val="13"/>
                <w:szCs w:val="13"/>
                <w:b w:val="1"/>
                <w:bCs w:val="1"/>
                <w:color w:val="auto"/>
              </w:rPr>
              <w:t>-1.8%</w:t>
            </w:r>
          </w:p>
        </w:tc>
      </w:tr>
      <w:tr>
        <w:trPr>
          <w:trHeight w:val="16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Write-ofs</w:t>
            </w:r>
          </w:p>
        </w:tc>
        <w:tc>
          <w:tcPr>
            <w:tcW w:w="138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1,018,084</w:t>
            </w:r>
          </w:p>
        </w:tc>
        <w:tc>
          <w:tcPr>
            <w:tcW w:w="138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994,556</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923,946</w:t>
            </w:r>
          </w:p>
        </w:tc>
        <w:tc>
          <w:tcPr>
            <w:tcW w:w="960" w:type="dxa"/>
            <w:vAlign w:val="bottom"/>
            <w:tcBorders>
              <w:bottom w:val="single" w:sz="8" w:color="auto"/>
            </w:tcBorders>
          </w:tcPr>
          <w:p>
            <w:pPr>
              <w:jc w:val="center"/>
              <w:ind w:left="333"/>
              <w:spacing w:after="0"/>
              <w:rPr>
                <w:sz w:val="20"/>
                <w:szCs w:val="20"/>
                <w:color w:val="auto"/>
              </w:rPr>
            </w:pPr>
            <w:r>
              <w:rPr>
                <w:rFonts w:ascii="Calibri" w:cs="Calibri" w:eastAsia="Calibri" w:hAnsi="Calibri"/>
                <w:sz w:val="13"/>
                <w:szCs w:val="13"/>
                <w:color w:val="auto"/>
              </w:rPr>
              <w:t>-7.1%</w:t>
            </w:r>
          </w:p>
        </w:tc>
        <w:tc>
          <w:tcPr>
            <w:tcW w:w="1620" w:type="dxa"/>
            <w:vAlign w:val="bottom"/>
            <w:tcBorders>
              <w:bottom w:val="single" w:sz="8" w:color="auto"/>
              <w:right w:val="single" w:sz="8" w:color="auto"/>
            </w:tcBorders>
          </w:tcPr>
          <w:p>
            <w:pPr>
              <w:jc w:val="center"/>
              <w:ind w:left="333"/>
              <w:spacing w:after="0"/>
              <w:rPr>
                <w:sz w:val="20"/>
                <w:szCs w:val="20"/>
                <w:color w:val="auto"/>
              </w:rPr>
            </w:pPr>
            <w:r>
              <w:rPr>
                <w:rFonts w:ascii="Calibri" w:cs="Calibri" w:eastAsia="Calibri" w:hAnsi="Calibri"/>
                <w:sz w:val="13"/>
                <w:szCs w:val="13"/>
                <w:color w:val="auto"/>
              </w:rPr>
              <w:t>-9.2%</w:t>
            </w:r>
          </w:p>
        </w:tc>
      </w:tr>
      <w:tr>
        <w:trPr>
          <w:trHeight w:val="159"/>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Internal overdue loans (IOLs)</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6,406,345</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6,230,761</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6,026,341</w:t>
            </w:r>
          </w:p>
        </w:tc>
        <w:tc>
          <w:tcPr>
            <w:tcW w:w="960" w:type="dxa"/>
            <w:vAlign w:val="bottom"/>
          </w:tcPr>
          <w:p>
            <w:pPr>
              <w:jc w:val="center"/>
              <w:ind w:left="333"/>
              <w:spacing w:after="0"/>
              <w:rPr>
                <w:sz w:val="20"/>
                <w:szCs w:val="20"/>
                <w:color w:val="auto"/>
              </w:rPr>
            </w:pPr>
            <w:r>
              <w:rPr>
                <w:rFonts w:ascii="Calibri" w:cs="Calibri" w:eastAsia="Calibri" w:hAnsi="Calibri"/>
                <w:sz w:val="13"/>
                <w:szCs w:val="13"/>
                <w:color w:val="auto"/>
              </w:rPr>
              <w:t>-3.3%</w:t>
            </w:r>
          </w:p>
        </w:tc>
        <w:tc>
          <w:tcPr>
            <w:tcW w:w="1620" w:type="dxa"/>
            <w:vAlign w:val="bottom"/>
            <w:tcBorders>
              <w:right w:val="single" w:sz="8" w:color="auto"/>
            </w:tcBorders>
          </w:tcPr>
          <w:p>
            <w:pPr>
              <w:jc w:val="center"/>
              <w:ind w:left="333"/>
              <w:spacing w:after="0"/>
              <w:rPr>
                <w:sz w:val="20"/>
                <w:szCs w:val="20"/>
                <w:color w:val="auto"/>
              </w:rPr>
            </w:pPr>
            <w:r>
              <w:rPr>
                <w:rFonts w:ascii="Calibri" w:cs="Calibri" w:eastAsia="Calibri" w:hAnsi="Calibri"/>
                <w:sz w:val="13"/>
                <w:szCs w:val="13"/>
                <w:color w:val="auto"/>
              </w:rPr>
              <w:t>-5.9%</w:t>
            </w:r>
          </w:p>
        </w:tc>
      </w:tr>
      <w:tr>
        <w:trPr>
          <w:trHeight w:val="170"/>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Internal overdue loans over 90-days</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4,874,960</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4,760,837</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4,851,591</w:t>
            </w:r>
          </w:p>
        </w:tc>
        <w:tc>
          <w:tcPr>
            <w:tcW w:w="960" w:type="dxa"/>
            <w:vAlign w:val="bottom"/>
          </w:tcPr>
          <w:p>
            <w:pPr>
              <w:jc w:val="center"/>
              <w:ind w:left="333"/>
              <w:spacing w:after="0"/>
              <w:rPr>
                <w:sz w:val="20"/>
                <w:szCs w:val="20"/>
                <w:color w:val="auto"/>
              </w:rPr>
            </w:pPr>
            <w:r>
              <w:rPr>
                <w:rFonts w:ascii="Calibri" w:cs="Calibri" w:eastAsia="Calibri" w:hAnsi="Calibri"/>
                <w:sz w:val="13"/>
                <w:szCs w:val="13"/>
                <w:color w:val="auto"/>
              </w:rPr>
              <w:t>1.9%</w:t>
            </w:r>
          </w:p>
        </w:tc>
        <w:tc>
          <w:tcPr>
            <w:tcW w:w="1620" w:type="dxa"/>
            <w:vAlign w:val="bottom"/>
            <w:tcBorders>
              <w:right w:val="single" w:sz="8" w:color="auto"/>
            </w:tcBorders>
          </w:tcPr>
          <w:p>
            <w:pPr>
              <w:jc w:val="center"/>
              <w:ind w:left="333"/>
              <w:spacing w:after="0"/>
              <w:rPr>
                <w:sz w:val="20"/>
                <w:szCs w:val="20"/>
                <w:color w:val="auto"/>
              </w:rPr>
            </w:pPr>
            <w:r>
              <w:rPr>
                <w:rFonts w:ascii="Calibri" w:cs="Calibri" w:eastAsia="Calibri" w:hAnsi="Calibri"/>
                <w:sz w:val="13"/>
                <w:szCs w:val="13"/>
                <w:color w:val="auto"/>
              </w:rPr>
              <w:t>-0.5%</w:t>
            </w:r>
          </w:p>
        </w:tc>
      </w:tr>
      <w:tr>
        <w:trPr>
          <w:trHeight w:val="176"/>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Refnanced loans</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2,253,098</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2,555,135</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2,333,814</w:t>
            </w:r>
          </w:p>
        </w:tc>
        <w:tc>
          <w:tcPr>
            <w:tcW w:w="960" w:type="dxa"/>
            <w:vAlign w:val="bottom"/>
          </w:tcPr>
          <w:p>
            <w:pPr>
              <w:jc w:val="center"/>
              <w:ind w:left="333"/>
              <w:spacing w:after="0"/>
              <w:rPr>
                <w:sz w:val="20"/>
                <w:szCs w:val="20"/>
                <w:color w:val="auto"/>
              </w:rPr>
            </w:pPr>
            <w:r>
              <w:rPr>
                <w:rFonts w:ascii="Calibri" w:cs="Calibri" w:eastAsia="Calibri" w:hAnsi="Calibri"/>
                <w:sz w:val="13"/>
                <w:szCs w:val="13"/>
                <w:color w:val="auto"/>
              </w:rPr>
              <w:t>-8.7%</w:t>
            </w:r>
          </w:p>
        </w:tc>
        <w:tc>
          <w:tcPr>
            <w:tcW w:w="1620" w:type="dxa"/>
            <w:vAlign w:val="bottom"/>
            <w:tcBorders>
              <w:right w:val="single" w:sz="8" w:color="auto"/>
            </w:tcBorders>
          </w:tcPr>
          <w:p>
            <w:pPr>
              <w:jc w:val="center"/>
              <w:ind w:left="333"/>
              <w:spacing w:after="0"/>
              <w:rPr>
                <w:sz w:val="20"/>
                <w:szCs w:val="20"/>
                <w:color w:val="auto"/>
              </w:rPr>
            </w:pPr>
            <w:r>
              <w:rPr>
                <w:rFonts w:ascii="Calibri" w:cs="Calibri" w:eastAsia="Calibri" w:hAnsi="Calibri"/>
                <w:sz w:val="13"/>
                <w:szCs w:val="13"/>
                <w:color w:val="auto"/>
              </w:rPr>
              <w:t>3.6%</w:t>
            </w:r>
          </w:p>
        </w:tc>
      </w:tr>
      <w:tr>
        <w:trPr>
          <w:trHeight w:val="176"/>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Non-performing loans (NPLs)</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8,659,443</w:t>
            </w:r>
          </w:p>
        </w:tc>
        <w:tc>
          <w:tcPr>
            <w:tcW w:w="1380" w:type="dxa"/>
            <w:vAlign w:val="bottom"/>
          </w:tcPr>
          <w:p>
            <w:pPr>
              <w:jc w:val="center"/>
              <w:spacing w:after="0"/>
              <w:rPr>
                <w:sz w:val="20"/>
                <w:szCs w:val="20"/>
                <w:color w:val="auto"/>
              </w:rPr>
            </w:pPr>
            <w:r>
              <w:rPr>
                <w:rFonts w:ascii="Calibri" w:cs="Calibri" w:eastAsia="Calibri" w:hAnsi="Calibri"/>
                <w:sz w:val="13"/>
                <w:szCs w:val="13"/>
                <w:color w:val="auto"/>
              </w:rPr>
              <w:t>8,785,896</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8,360,155</w:t>
            </w:r>
          </w:p>
        </w:tc>
        <w:tc>
          <w:tcPr>
            <w:tcW w:w="960" w:type="dxa"/>
            <w:vAlign w:val="bottom"/>
          </w:tcPr>
          <w:p>
            <w:pPr>
              <w:jc w:val="center"/>
              <w:ind w:left="333"/>
              <w:spacing w:after="0"/>
              <w:rPr>
                <w:sz w:val="20"/>
                <w:szCs w:val="20"/>
                <w:color w:val="auto"/>
              </w:rPr>
            </w:pPr>
            <w:r>
              <w:rPr>
                <w:rFonts w:ascii="Calibri" w:cs="Calibri" w:eastAsia="Calibri" w:hAnsi="Calibri"/>
                <w:sz w:val="13"/>
                <w:szCs w:val="13"/>
                <w:color w:val="auto"/>
              </w:rPr>
              <w:t>-4.8%</w:t>
            </w:r>
          </w:p>
        </w:tc>
        <w:tc>
          <w:tcPr>
            <w:tcW w:w="1620" w:type="dxa"/>
            <w:vAlign w:val="bottom"/>
            <w:tcBorders>
              <w:right w:val="single" w:sz="8" w:color="auto"/>
            </w:tcBorders>
          </w:tcPr>
          <w:p>
            <w:pPr>
              <w:jc w:val="center"/>
              <w:ind w:left="333"/>
              <w:spacing w:after="0"/>
              <w:rPr>
                <w:sz w:val="20"/>
                <w:szCs w:val="20"/>
                <w:color w:val="auto"/>
              </w:rPr>
            </w:pPr>
            <w:r>
              <w:rPr>
                <w:rFonts w:ascii="Calibri" w:cs="Calibri" w:eastAsia="Calibri" w:hAnsi="Calibri"/>
                <w:sz w:val="13"/>
                <w:szCs w:val="13"/>
                <w:color w:val="auto"/>
              </w:rPr>
              <w:t>-3.5%</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153"/>
        </w:trPr>
        <w:tc>
          <w:tcPr>
            <w:tcW w:w="4520" w:type="dxa"/>
            <w:vAlign w:val="bottom"/>
            <w:tcBorders>
              <w:left w:val="single" w:sz="8" w:color="auto"/>
              <w:right w:val="single" w:sz="8" w:color="auto"/>
            </w:tcBorders>
          </w:tcPr>
          <w:p>
            <w:pPr>
              <w:ind w:left="20"/>
              <w:spacing w:after="0" w:line="153" w:lineRule="exact"/>
              <w:rPr>
                <w:sz w:val="20"/>
                <w:szCs w:val="20"/>
                <w:color w:val="auto"/>
              </w:rPr>
            </w:pPr>
            <w:r>
              <w:rPr>
                <w:rFonts w:ascii="Calibri" w:cs="Calibri" w:eastAsia="Calibri" w:hAnsi="Calibri"/>
                <w:sz w:val="13"/>
                <w:szCs w:val="13"/>
                <w:b w:val="1"/>
                <w:bCs w:val="1"/>
                <w:color w:val="auto"/>
              </w:rPr>
              <w:t>IOL rato</w:t>
            </w:r>
          </w:p>
        </w:tc>
        <w:tc>
          <w:tcPr>
            <w:tcW w:w="1380" w:type="dxa"/>
            <w:vAlign w:val="bottom"/>
          </w:tcPr>
          <w:p>
            <w:pPr>
              <w:jc w:val="center"/>
              <w:spacing w:after="0" w:line="153" w:lineRule="exact"/>
              <w:rPr>
                <w:sz w:val="20"/>
                <w:szCs w:val="20"/>
                <w:color w:val="auto"/>
              </w:rPr>
            </w:pPr>
            <w:r>
              <w:rPr>
                <w:rFonts w:ascii="Calibri" w:cs="Calibri" w:eastAsia="Calibri" w:hAnsi="Calibri"/>
                <w:sz w:val="13"/>
                <w:szCs w:val="13"/>
                <w:b w:val="1"/>
                <w:bCs w:val="1"/>
                <w:color w:val="auto"/>
              </w:rPr>
              <w:t>4.4%</w:t>
            </w:r>
          </w:p>
        </w:tc>
        <w:tc>
          <w:tcPr>
            <w:tcW w:w="1380" w:type="dxa"/>
            <w:vAlign w:val="bottom"/>
          </w:tcPr>
          <w:p>
            <w:pPr>
              <w:jc w:val="center"/>
              <w:spacing w:after="0" w:line="153" w:lineRule="exact"/>
              <w:rPr>
                <w:sz w:val="20"/>
                <w:szCs w:val="20"/>
                <w:color w:val="auto"/>
              </w:rPr>
            </w:pPr>
            <w:r>
              <w:rPr>
                <w:rFonts w:ascii="Calibri" w:cs="Calibri" w:eastAsia="Calibri" w:hAnsi="Calibri"/>
                <w:sz w:val="13"/>
                <w:szCs w:val="13"/>
                <w:b w:val="1"/>
                <w:bCs w:val="1"/>
                <w:color w:val="auto"/>
              </w:rPr>
              <w:t>4.2%</w:t>
            </w:r>
          </w:p>
        </w:tc>
        <w:tc>
          <w:tcPr>
            <w:tcW w:w="138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b w:val="1"/>
                <w:bCs w:val="1"/>
                <w:color w:val="auto"/>
              </w:rPr>
              <w:t>4.2%</w:t>
            </w:r>
          </w:p>
        </w:tc>
        <w:tc>
          <w:tcPr>
            <w:tcW w:w="960" w:type="dxa"/>
            <w:vAlign w:val="bottom"/>
          </w:tcPr>
          <w:p>
            <w:pPr>
              <w:jc w:val="center"/>
              <w:ind w:left="353"/>
              <w:spacing w:after="0" w:line="153" w:lineRule="exact"/>
              <w:rPr>
                <w:sz w:val="20"/>
                <w:szCs w:val="20"/>
                <w:color w:val="auto"/>
              </w:rPr>
            </w:pPr>
            <w:r>
              <w:rPr>
                <w:rFonts w:ascii="Calibri" w:cs="Calibri" w:eastAsia="Calibri" w:hAnsi="Calibri"/>
                <w:sz w:val="13"/>
                <w:szCs w:val="13"/>
                <w:b w:val="1"/>
                <w:bCs w:val="1"/>
                <w:color w:val="auto"/>
              </w:rPr>
              <w:t>-1 bps</w:t>
            </w:r>
          </w:p>
        </w:tc>
        <w:tc>
          <w:tcPr>
            <w:tcW w:w="1620" w:type="dxa"/>
            <w:vAlign w:val="bottom"/>
            <w:tcBorders>
              <w:right w:val="single" w:sz="8" w:color="auto"/>
            </w:tcBorders>
          </w:tcPr>
          <w:p>
            <w:pPr>
              <w:jc w:val="center"/>
              <w:ind w:left="313"/>
              <w:spacing w:after="0" w:line="153" w:lineRule="exact"/>
              <w:rPr>
                <w:sz w:val="20"/>
                <w:szCs w:val="20"/>
                <w:color w:val="auto"/>
              </w:rPr>
            </w:pPr>
            <w:r>
              <w:rPr>
                <w:rFonts w:ascii="Calibri" w:cs="Calibri" w:eastAsia="Calibri" w:hAnsi="Calibri"/>
                <w:sz w:val="13"/>
                <w:szCs w:val="13"/>
                <w:b w:val="1"/>
                <w:bCs w:val="1"/>
                <w:color w:val="auto"/>
              </w:rPr>
              <w:t>-18 bps</w:t>
            </w:r>
          </w:p>
        </w:tc>
      </w:tr>
      <w:tr>
        <w:trPr>
          <w:trHeight w:val="170"/>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IOL over 90-days rato</w:t>
            </w:r>
          </w:p>
        </w:tc>
        <w:tc>
          <w:tcPr>
            <w:tcW w:w="1380" w:type="dxa"/>
            <w:vAlign w:val="bottom"/>
          </w:tcPr>
          <w:p>
            <w:pPr>
              <w:jc w:val="center"/>
              <w:spacing w:after="0"/>
              <w:rPr>
                <w:sz w:val="20"/>
                <w:szCs w:val="20"/>
                <w:color w:val="auto"/>
              </w:rPr>
            </w:pPr>
            <w:r>
              <w:rPr>
                <w:rFonts w:ascii="Calibri" w:cs="Calibri" w:eastAsia="Calibri" w:hAnsi="Calibri"/>
                <w:sz w:val="13"/>
                <w:szCs w:val="13"/>
                <w:b w:val="1"/>
                <w:bCs w:val="1"/>
                <w:color w:val="auto"/>
              </w:rPr>
              <w:t>3.4%</w:t>
            </w:r>
          </w:p>
        </w:tc>
        <w:tc>
          <w:tcPr>
            <w:tcW w:w="1380" w:type="dxa"/>
            <w:vAlign w:val="bottom"/>
          </w:tcPr>
          <w:p>
            <w:pPr>
              <w:jc w:val="center"/>
              <w:spacing w:after="0"/>
              <w:rPr>
                <w:sz w:val="20"/>
                <w:szCs w:val="20"/>
                <w:color w:val="auto"/>
              </w:rPr>
            </w:pPr>
            <w:r>
              <w:rPr>
                <w:rFonts w:ascii="Calibri" w:cs="Calibri" w:eastAsia="Calibri" w:hAnsi="Calibri"/>
                <w:sz w:val="13"/>
                <w:szCs w:val="13"/>
                <w:b w:val="1"/>
                <w:bCs w:val="1"/>
                <w:color w:val="auto"/>
              </w:rPr>
              <w:t>3.2%</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3.4%</w:t>
            </w:r>
          </w:p>
        </w:tc>
        <w:tc>
          <w:tcPr>
            <w:tcW w:w="960" w:type="dxa"/>
            <w:vAlign w:val="bottom"/>
          </w:tcPr>
          <w:p>
            <w:pPr>
              <w:jc w:val="center"/>
              <w:ind w:left="333"/>
              <w:spacing w:after="0"/>
              <w:rPr>
                <w:sz w:val="20"/>
                <w:szCs w:val="20"/>
                <w:color w:val="auto"/>
              </w:rPr>
            </w:pPr>
            <w:r>
              <w:rPr>
                <w:rFonts w:ascii="Calibri" w:cs="Calibri" w:eastAsia="Calibri" w:hAnsi="Calibri"/>
                <w:sz w:val="13"/>
                <w:szCs w:val="13"/>
                <w:b w:val="1"/>
                <w:bCs w:val="1"/>
                <w:color w:val="auto"/>
              </w:rPr>
              <w:t>16 bps</w:t>
            </w:r>
          </w:p>
        </w:tc>
        <w:tc>
          <w:tcPr>
            <w:tcW w:w="1620" w:type="dxa"/>
            <w:vAlign w:val="bottom"/>
            <w:tcBorders>
              <w:right w:val="single" w:sz="8" w:color="auto"/>
            </w:tcBorders>
          </w:tcPr>
          <w:p>
            <w:pPr>
              <w:jc w:val="center"/>
              <w:ind w:left="333"/>
              <w:spacing w:after="0"/>
              <w:rPr>
                <w:sz w:val="20"/>
                <w:szCs w:val="20"/>
                <w:color w:val="auto"/>
              </w:rPr>
            </w:pPr>
            <w:r>
              <w:rPr>
                <w:rFonts w:ascii="Calibri" w:cs="Calibri" w:eastAsia="Calibri" w:hAnsi="Calibri"/>
                <w:sz w:val="13"/>
                <w:szCs w:val="13"/>
                <w:b w:val="1"/>
                <w:bCs w:val="1"/>
                <w:color w:val="auto"/>
              </w:rPr>
              <w:t>4 bps</w:t>
            </w:r>
          </w:p>
        </w:tc>
      </w:tr>
      <w:tr>
        <w:trPr>
          <w:trHeight w:val="175"/>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NPL rato</w:t>
            </w:r>
          </w:p>
        </w:tc>
        <w:tc>
          <w:tcPr>
            <w:tcW w:w="1380" w:type="dxa"/>
            <w:vAlign w:val="bottom"/>
          </w:tcPr>
          <w:p>
            <w:pPr>
              <w:jc w:val="center"/>
              <w:spacing w:after="0"/>
              <w:rPr>
                <w:sz w:val="20"/>
                <w:szCs w:val="20"/>
                <w:color w:val="auto"/>
              </w:rPr>
            </w:pPr>
            <w:r>
              <w:rPr>
                <w:rFonts w:ascii="Calibri" w:cs="Calibri" w:eastAsia="Calibri" w:hAnsi="Calibri"/>
                <w:sz w:val="13"/>
                <w:szCs w:val="13"/>
                <w:b w:val="1"/>
                <w:bCs w:val="1"/>
                <w:color w:val="auto"/>
              </w:rPr>
              <w:t>6.0%</w:t>
            </w:r>
          </w:p>
        </w:tc>
        <w:tc>
          <w:tcPr>
            <w:tcW w:w="1380" w:type="dxa"/>
            <w:vAlign w:val="bottom"/>
          </w:tcPr>
          <w:p>
            <w:pPr>
              <w:jc w:val="center"/>
              <w:spacing w:after="0"/>
              <w:rPr>
                <w:sz w:val="20"/>
                <w:szCs w:val="20"/>
                <w:color w:val="auto"/>
              </w:rPr>
            </w:pPr>
            <w:r>
              <w:rPr>
                <w:rFonts w:ascii="Calibri" w:cs="Calibri" w:eastAsia="Calibri" w:hAnsi="Calibri"/>
                <w:sz w:val="13"/>
                <w:szCs w:val="13"/>
                <w:b w:val="1"/>
                <w:bCs w:val="1"/>
                <w:color w:val="auto"/>
              </w:rPr>
              <w:t>6.0%</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5.9%</w:t>
            </w:r>
          </w:p>
        </w:tc>
        <w:tc>
          <w:tcPr>
            <w:tcW w:w="960" w:type="dxa"/>
            <w:vAlign w:val="bottom"/>
          </w:tcPr>
          <w:p>
            <w:pPr>
              <w:jc w:val="center"/>
              <w:ind w:left="333"/>
              <w:spacing w:after="0"/>
              <w:rPr>
                <w:sz w:val="20"/>
                <w:szCs w:val="20"/>
                <w:color w:val="auto"/>
              </w:rPr>
            </w:pPr>
            <w:r>
              <w:rPr>
                <w:rFonts w:ascii="Calibri" w:cs="Calibri" w:eastAsia="Calibri" w:hAnsi="Calibri"/>
                <w:sz w:val="13"/>
                <w:szCs w:val="13"/>
                <w:b w:val="1"/>
                <w:bCs w:val="1"/>
                <w:color w:val="auto"/>
              </w:rPr>
              <w:t>-12 bps</w:t>
            </w:r>
          </w:p>
        </w:tc>
        <w:tc>
          <w:tcPr>
            <w:tcW w:w="1620" w:type="dxa"/>
            <w:vAlign w:val="bottom"/>
            <w:tcBorders>
              <w:right w:val="single" w:sz="8" w:color="auto"/>
            </w:tcBorders>
          </w:tcPr>
          <w:p>
            <w:pPr>
              <w:jc w:val="center"/>
              <w:ind w:left="313"/>
              <w:spacing w:after="0"/>
              <w:rPr>
                <w:sz w:val="20"/>
                <w:szCs w:val="20"/>
                <w:color w:val="auto"/>
              </w:rPr>
            </w:pPr>
            <w:r>
              <w:rPr>
                <w:rFonts w:ascii="Calibri" w:cs="Calibri" w:eastAsia="Calibri" w:hAnsi="Calibri"/>
                <w:sz w:val="13"/>
                <w:szCs w:val="13"/>
                <w:b w:val="1"/>
                <w:bCs w:val="1"/>
                <w:color w:val="auto"/>
              </w:rPr>
              <w:t>-11 bps</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color w:val="auto"/>
        </w:rPr>
        <w:t xml:space="preserve">QoQ, </w:t>
      </w:r>
      <w:r>
        <w:rPr>
          <w:rFonts w:ascii="Calibri" w:cs="Calibri" w:eastAsia="Calibri" w:hAnsi="Calibri"/>
          <w:sz w:val="18"/>
          <w:szCs w:val="18"/>
          <w:color w:val="auto"/>
        </w:rPr>
        <w:t>the balance for the NPL portolio dropped 4.8%, led primarily by</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and secondarily by</w:t>
      </w:r>
      <w:r>
        <w:rPr>
          <w:rFonts w:ascii="Calibri" w:cs="Calibri" w:eastAsia="Calibri" w:hAnsi="Calibri"/>
          <w:sz w:val="18"/>
          <w:szCs w:val="18"/>
          <w:b w:val="1"/>
          <w:bCs w:val="1"/>
          <w:color w:val="auto"/>
        </w:rPr>
        <w:t xml:space="preserve"> Mibanco</w:t>
      </w:r>
      <w:r>
        <w:rPr>
          <w:rFonts w:ascii="Calibri" w:cs="Calibri" w:eastAsia="Calibri" w:hAnsi="Calibri"/>
          <w:sz w:val="18"/>
          <w:szCs w:val="18"/>
          <w:color w:val="auto"/>
        </w:rPr>
        <w:t>. Write-ofs, which are stll at high levels,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have fallen 7.1% driven mainly by newer and healthier vintages that increased their weight within the loan portolio at </w:t>
      </w:r>
      <w:r>
        <w:rPr>
          <w:rFonts w:ascii="Calibri" w:cs="Calibri" w:eastAsia="Calibri" w:hAnsi="Calibri"/>
          <w:sz w:val="18"/>
          <w:szCs w:val="18"/>
          <w:b w:val="1"/>
          <w:bCs w:val="1"/>
          <w:color w:val="auto"/>
        </w:rPr>
        <w:t>SMEs</w:t>
      </w:r>
      <w:r>
        <w:rPr>
          <w:rFonts w:ascii="Calibri" w:cs="Calibri" w:eastAsia="Calibri" w:hAnsi="Calibri"/>
          <w:sz w:val="18"/>
          <w:szCs w:val="18"/>
          <w:color w:val="auto"/>
        </w:rPr>
        <w:t>.</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QoQ, </w:t>
      </w:r>
      <w:r>
        <w:rPr>
          <w:rFonts w:ascii="Calibri" w:cs="Calibri" w:eastAsia="Calibri" w:hAnsi="Calibri"/>
          <w:sz w:val="18"/>
          <w:szCs w:val="18"/>
          <w:color w:val="auto"/>
        </w:rPr>
        <w:t>at</w:t>
      </w:r>
      <w:r>
        <w:rPr>
          <w:rFonts w:ascii="Calibri" w:cs="Calibri" w:eastAsia="Calibri" w:hAnsi="Calibri"/>
          <w:sz w:val="18"/>
          <w:szCs w:val="18"/>
          <w:b w:val="1"/>
          <w:bCs w:val="1"/>
          <w:color w:val="auto"/>
        </w:rPr>
        <w:t xml:space="preserve"> BCP Stand-alone</w:t>
      </w:r>
      <w:r>
        <w:rPr>
          <w:rFonts w:ascii="Calibri" w:cs="Calibri" w:eastAsia="Calibri" w:hAnsi="Calibri"/>
          <w:sz w:val="18"/>
          <w:szCs w:val="18"/>
          <w:color w:val="auto"/>
        </w:rPr>
        <w:t>, the NPL level fell due primarily to (i)</w:t>
      </w:r>
      <w:r>
        <w:rPr>
          <w:rFonts w:ascii="Calibri" w:cs="Calibri" w:eastAsia="Calibri" w:hAnsi="Calibri"/>
          <w:sz w:val="18"/>
          <w:szCs w:val="18"/>
          <w:b w:val="1"/>
          <w:bCs w:val="1"/>
          <w:color w:val="auto"/>
        </w:rPr>
        <w:t xml:space="preserve"> Wholesale Banking</w:t>
      </w:r>
      <w:r>
        <w:rPr>
          <w:rFonts w:ascii="Calibri" w:cs="Calibri" w:eastAsia="Calibri" w:hAnsi="Calibri"/>
          <w:sz w:val="18"/>
          <w:szCs w:val="18"/>
          <w:color w:val="auto"/>
        </w:rPr>
        <w:t>, afer a client in the refnanced Corporate portolio from the commercial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real estate sector paid its debt; (ii) </w:t>
      </w:r>
      <w:r>
        <w:rPr>
          <w:rFonts w:ascii="Calibri" w:cs="Calibri" w:eastAsia="Calibri" w:hAnsi="Calibri"/>
          <w:sz w:val="18"/>
          <w:szCs w:val="18"/>
          <w:b w:val="1"/>
          <w:bCs w:val="1"/>
          <w:color w:val="auto"/>
        </w:rPr>
        <w:t>Consumer</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Credit Cards,</w:t>
      </w:r>
      <w:r>
        <w:rPr>
          <w:rFonts w:ascii="Calibri" w:cs="Calibri" w:eastAsia="Calibri" w:hAnsi="Calibri"/>
          <w:sz w:val="18"/>
          <w:szCs w:val="18"/>
          <w:color w:val="auto"/>
        </w:rPr>
        <w:t xml:space="preserve"> fueled by improvements in originaton, monitoring, collectons and rescheduling processes and by clients who leveraged excess liquidity from pension funds withdrawals to make repayments; and (iii)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fueled by a drop in overdue loans, which was mainly concentrated in clients with smaller tckets (&lt; s/ 90 thousand) and higher-risk loans. At </w:t>
      </w:r>
      <w:r>
        <w:rPr>
          <w:rFonts w:ascii="Calibri" w:cs="Calibri" w:eastAsia="Calibri" w:hAnsi="Calibri"/>
          <w:sz w:val="18"/>
          <w:szCs w:val="18"/>
          <w:b w:val="1"/>
          <w:bCs w:val="1"/>
          <w:color w:val="auto"/>
        </w:rPr>
        <w:t>Mibanco</w:t>
      </w:r>
      <w:r>
        <w:rPr>
          <w:rFonts w:ascii="Calibri" w:cs="Calibri" w:eastAsia="Calibri" w:hAnsi="Calibri"/>
          <w:sz w:val="18"/>
          <w:szCs w:val="18"/>
          <w:color w:val="auto"/>
        </w:rPr>
        <w:t>, the drop in the NPL level was driven by a reducton in overdue loans, which was fueled primarily by improvements in debt collecton management and by the debt facilites rolled out in June and July of this year.</w:t>
      </w:r>
    </w:p>
    <w:p>
      <w:pPr>
        <w:spacing w:after="0" w:line="2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YoY</w:t>
      </w:r>
      <w:r>
        <w:rPr>
          <w:rFonts w:ascii="Calibri" w:cs="Calibri" w:eastAsia="Calibri" w:hAnsi="Calibri"/>
          <w:sz w:val="18"/>
          <w:szCs w:val="18"/>
          <w:color w:val="auto"/>
        </w:rPr>
        <w:t>, the NPL balance fell 3.5%. This decrease was driven mainly by</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and partally ofset by the evoluton at</w:t>
      </w:r>
      <w:r>
        <w:rPr>
          <w:rFonts w:ascii="Calibri" w:cs="Calibri" w:eastAsia="Calibri" w:hAnsi="Calibri"/>
          <w:sz w:val="18"/>
          <w:szCs w:val="18"/>
          <w:b w:val="1"/>
          <w:bCs w:val="1"/>
          <w:color w:val="auto"/>
        </w:rPr>
        <w:t xml:space="preserve"> Mibanco</w:t>
      </w:r>
      <w:r>
        <w:rPr>
          <w:rFonts w:ascii="Calibri" w:cs="Calibri" w:eastAsia="Calibri" w:hAnsi="Calibri"/>
          <w:sz w:val="18"/>
          <w:szCs w:val="18"/>
          <w:color w:val="auto"/>
        </w:rPr>
        <w:t xml:space="preserve">. The reducton in write-ofs (-9.2%) was driven by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Consumer</w:t>
      </w:r>
      <w:r>
        <w:rPr>
          <w:rFonts w:ascii="Calibri" w:cs="Calibri" w:eastAsia="Calibri" w:hAnsi="Calibri"/>
          <w:sz w:val="18"/>
          <w:szCs w:val="18"/>
          <w:color w:val="auto"/>
        </w:rPr>
        <w:t>, mainly through a beter performance of new vintages.</w:t>
      </w:r>
    </w:p>
    <w:p>
      <w:pPr>
        <w:spacing w:after="0" w:line="20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the decline in the NPL balance was driven by the following segments: (i)</w:t>
      </w:r>
      <w:r>
        <w:rPr>
          <w:rFonts w:ascii="Calibri" w:cs="Calibri" w:eastAsia="Calibri" w:hAnsi="Calibri"/>
          <w:sz w:val="17"/>
          <w:szCs w:val="17"/>
          <w:b w:val="1"/>
          <w:bCs w:val="1"/>
          <w:color w:val="auto"/>
        </w:rPr>
        <w:t xml:space="preserve"> Wholesale Banking, </w:t>
      </w:r>
      <w:r>
        <w:rPr>
          <w:rFonts w:ascii="Calibri" w:cs="Calibri" w:eastAsia="Calibri" w:hAnsi="Calibri"/>
          <w:sz w:val="17"/>
          <w:szCs w:val="17"/>
          <w:color w:val="auto"/>
        </w:rPr>
        <w:t>due to debt payment by two specifc</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clients in the corporate portolio and (ii)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due to an increase in honoring of Reactva guarantees. If we exclude this efect, the NPL balance for </w:t>
      </w:r>
      <w:r>
        <w:rPr>
          <w:rFonts w:ascii="Calibri" w:cs="Calibri" w:eastAsia="Calibri" w:hAnsi="Calibri"/>
          <w:sz w:val="17"/>
          <w:szCs w:val="17"/>
          <w:b w:val="1"/>
          <w:bCs w:val="1"/>
          <w:color w:val="auto"/>
        </w:rPr>
        <w:t xml:space="preserve">SME-Pyme </w:t>
      </w:r>
      <w:r>
        <w:rPr>
          <w:rFonts w:ascii="Calibri" w:cs="Calibri" w:eastAsia="Calibri" w:hAnsi="Calibri"/>
          <w:sz w:val="17"/>
          <w:szCs w:val="17"/>
          <w:color w:val="auto"/>
        </w:rPr>
        <w:t>rises, driven mainly by growth in the judicial recovery portolio, which was in turn associated with clients that reprogrammed loans during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pandemic. It is important to note that the loans held by those clients are backed by ample guarantees. The aforementoned evoluton was partally ofset by growth in the NPL balance for (i) </w:t>
      </w:r>
      <w:r>
        <w:rPr>
          <w:rFonts w:ascii="Calibri" w:cs="Calibri" w:eastAsia="Calibri" w:hAnsi="Calibri"/>
          <w:sz w:val="17"/>
          <w:szCs w:val="17"/>
          <w:b w:val="1"/>
          <w:bCs w:val="1"/>
          <w:color w:val="auto"/>
        </w:rPr>
        <w:t>Consumer</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Credit Cards,</w:t>
      </w:r>
      <w:r>
        <w:rPr>
          <w:rFonts w:ascii="Calibri" w:cs="Calibri" w:eastAsia="Calibri" w:hAnsi="Calibri"/>
          <w:sz w:val="17"/>
          <w:szCs w:val="17"/>
          <w:color w:val="auto"/>
        </w:rPr>
        <w:t xml:space="preserve"> which was spurred by growth in NPLs of vulnerable clients who are highly leveraged and lack stable employment; and (ii) </w:t>
      </w:r>
      <w:r>
        <w:rPr>
          <w:rFonts w:ascii="Calibri" w:cs="Calibri" w:eastAsia="Calibri" w:hAnsi="Calibri"/>
          <w:sz w:val="17"/>
          <w:szCs w:val="17"/>
          <w:b w:val="1"/>
          <w:bCs w:val="1"/>
          <w:color w:val="auto"/>
        </w:rPr>
        <w:t>Mortgage</w:t>
      </w:r>
      <w:r>
        <w:rPr>
          <w:rFonts w:ascii="Calibri" w:cs="Calibri" w:eastAsia="Calibri" w:hAnsi="Calibri"/>
          <w:sz w:val="17"/>
          <w:szCs w:val="17"/>
          <w:color w:val="auto"/>
        </w:rPr>
        <w:t>, due to growth in overdue loans among clients who have already registered delinquency for other consumer products.</w:t>
      </w:r>
    </w:p>
    <w:p>
      <w:pPr>
        <w:spacing w:after="0" w:line="37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 w:name="page31"/>
    <w:bookmarkEnd w:id="30"/>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05. Portolio Quality and Provisions</w:t>
      </w:r>
    </w:p>
    <w:p>
      <w:pPr>
        <w:spacing w:after="0" w:line="216" w:lineRule="exact"/>
        <w:rPr>
          <w:sz w:val="20"/>
          <w:szCs w:val="20"/>
          <w:color w:val="auto"/>
        </w:rPr>
      </w:pPr>
    </w:p>
    <w:p>
      <w:pPr>
        <w:ind w:left="1800"/>
        <w:spacing w:after="0"/>
        <w:rPr>
          <w:sz w:val="20"/>
          <w:szCs w:val="20"/>
          <w:color w:val="auto"/>
        </w:rPr>
      </w:pPr>
      <w:r>
        <w:rPr>
          <w:rFonts w:ascii="Calibri" w:cs="Calibri" w:eastAsia="Calibri" w:hAnsi="Calibri"/>
          <w:sz w:val="18"/>
          <w:szCs w:val="18"/>
          <w:b w:val="1"/>
          <w:bCs w:val="1"/>
          <w:color w:val="auto"/>
        </w:rPr>
        <w:t>NPL Rato for Total Loans</w:t>
      </w:r>
    </w:p>
    <w:p>
      <w:pPr>
        <w:spacing w:after="0" w:line="1" w:lineRule="exact"/>
        <w:rPr>
          <w:sz w:val="20"/>
          <w:szCs w:val="20"/>
          <w:color w:val="auto"/>
        </w:rPr>
      </w:pPr>
    </w:p>
    <w:p>
      <w:pPr>
        <w:jc w:val="both"/>
        <w:ind w:left="5840"/>
        <w:spacing w:after="0" w:line="235" w:lineRule="auto"/>
        <w:rPr>
          <w:sz w:val="20"/>
          <w:szCs w:val="20"/>
          <w:color w:val="auto"/>
        </w:rPr>
      </w:pPr>
      <w:r>
        <w:rPr>
          <w:rFonts w:ascii="Calibri" w:cs="Calibri" w:eastAsia="Calibri" w:hAnsi="Calibri"/>
          <w:sz w:val="18"/>
          <w:szCs w:val="18"/>
          <w:color w:val="auto"/>
        </w:rPr>
        <w:t xml:space="preserve">The NPL Rato at Credicorp dropped 12 bps </w:t>
      </w:r>
      <w:r>
        <w:rPr>
          <w:rFonts w:ascii="Calibri" w:cs="Calibri" w:eastAsia="Calibri" w:hAnsi="Calibri"/>
          <w:sz w:val="18"/>
          <w:szCs w:val="18"/>
          <w:b w:val="1"/>
          <w:bCs w:val="1"/>
          <w:color w:val="auto"/>
        </w:rPr>
        <w:t>QoQ</w:t>
      </w:r>
      <w:r>
        <w:rPr>
          <w:rFonts w:ascii="Calibri" w:cs="Calibri" w:eastAsia="Calibri" w:hAnsi="Calibri"/>
          <w:sz w:val="18"/>
          <w:szCs w:val="18"/>
          <w:color w:val="auto"/>
        </w:rPr>
        <w:t xml:space="preserve"> and stood at 5.9%. This decline was driven by the same dynamics that drove the evoluton of NPLs and was partally ofset by a drop in loan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-394970</wp:posOffset>
            </wp:positionV>
            <wp:extent cx="3042920" cy="16205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42920" cy="1620520"/>
                    </a:xfrm>
                    <a:prstGeom prst="rect">
                      <a:avLst/>
                    </a:prstGeom>
                    <a:noFill/>
                  </pic:spPr>
                </pic:pic>
              </a:graphicData>
            </a:graphic>
          </wp:anchor>
        </w:drawing>
      </w:r>
    </w:p>
    <w:p>
      <w:pPr>
        <w:spacing w:after="0" w:line="153" w:lineRule="exact"/>
        <w:rPr>
          <w:sz w:val="20"/>
          <w:szCs w:val="20"/>
          <w:color w:val="auto"/>
        </w:rPr>
      </w:pPr>
    </w:p>
    <w:p>
      <w:pPr>
        <w:jc w:val="center"/>
        <w:ind w:left="5020"/>
        <w:spacing w:after="0"/>
        <w:rPr>
          <w:sz w:val="20"/>
          <w:szCs w:val="20"/>
          <w:color w:val="auto"/>
        </w:rPr>
      </w:pPr>
      <w:r>
        <w:rPr>
          <w:rFonts w:ascii="Calibri" w:cs="Calibri" w:eastAsia="Calibri" w:hAnsi="Calibri"/>
          <w:sz w:val="18"/>
          <w:szCs w:val="18"/>
          <w:b w:val="1"/>
          <w:bCs w:val="1"/>
          <w:color w:val="auto"/>
        </w:rPr>
        <w:t>If we analyze the QoQ evoluton of the NPL Rato by subsidiary,</w:t>
      </w:r>
    </w:p>
    <w:p>
      <w:pPr>
        <w:spacing w:after="0" w:line="217" w:lineRule="exact"/>
        <w:rPr>
          <w:sz w:val="20"/>
          <w:szCs w:val="20"/>
          <w:color w:val="auto"/>
        </w:rPr>
      </w:pPr>
    </w:p>
    <w:p>
      <w:pPr>
        <w:jc w:val="both"/>
        <w:ind w:left="58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b w:val="1"/>
          <w:bCs w:val="1"/>
          <w:color w:val="auto"/>
        </w:rPr>
        <w:t>BCP Stand-alone,</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color w:val="auto"/>
        </w:rPr>
        <w:t>where the NPL Rato dropped 11 bps. In the case of</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b w:val="1"/>
          <w:bCs w:val="1"/>
          <w:color w:val="auto"/>
        </w:rPr>
        <w:t xml:space="preserve">Wholesale Banking, SME-Pyme, Consumer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Credit Cards, </w:t>
      </w:r>
      <w:r>
        <w:rPr>
          <w:rFonts w:ascii="Calibri" w:cs="Calibri" w:eastAsia="Calibri" w:hAnsi="Calibri"/>
          <w:sz w:val="18"/>
          <w:szCs w:val="18"/>
          <w:color w:val="auto"/>
        </w:rPr>
        <w:t>the reducton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 the rato was fueled by a decrease in NPL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hanging="392"/>
        <w:spacing w:after="0"/>
        <w:tabs>
          <w:tab w:leader="none" w:pos="400" w:val="left"/>
        </w:tabs>
        <w:numPr>
          <w:ilvl w:val="0"/>
          <w:numId w:val="30"/>
        </w:numPr>
        <w:rPr>
          <w:rFonts w:ascii="Calibri" w:cs="Calibri" w:eastAsia="Calibri" w:hAnsi="Calibri"/>
          <w:sz w:val="18"/>
          <w:szCs w:val="18"/>
          <w:color w:val="auto"/>
        </w:rPr>
      </w:pPr>
      <w:r>
        <w:rPr>
          <w:rFonts w:ascii="Calibri" w:cs="Calibri" w:eastAsia="Calibri" w:hAnsi="Calibri"/>
          <w:sz w:val="18"/>
          <w:szCs w:val="18"/>
          <w:b w:val="1"/>
          <w:bCs w:val="1"/>
          <w:color w:val="auto"/>
        </w:rPr>
        <w:t>Mibanco</w:t>
      </w:r>
      <w:r>
        <w:rPr>
          <w:rFonts w:ascii="Calibri" w:cs="Calibri" w:eastAsia="Calibri" w:hAnsi="Calibri"/>
          <w:sz w:val="18"/>
          <w:szCs w:val="18"/>
          <w:color w:val="auto"/>
        </w:rPr>
        <w:t>, where the NPL Rato fell 29 bps due to a decrease in NPL volumes.</w:t>
      </w:r>
    </w:p>
    <w:p>
      <w:pPr>
        <w:spacing w:after="0" w:line="74" w:lineRule="exact"/>
        <w:rPr>
          <w:rFonts w:ascii="Calibri" w:cs="Calibri" w:eastAsia="Calibri" w:hAnsi="Calibri"/>
          <w:sz w:val="18"/>
          <w:szCs w:val="18"/>
          <w:color w:val="auto"/>
        </w:rPr>
      </w:pPr>
    </w:p>
    <w:p>
      <w:pPr>
        <w:ind w:left="1340"/>
        <w:spacing w:after="0"/>
        <w:rPr>
          <w:rFonts w:ascii="Calibri" w:cs="Calibri" w:eastAsia="Calibri" w:hAnsi="Calibri"/>
          <w:sz w:val="18"/>
          <w:szCs w:val="18"/>
          <w:color w:val="auto"/>
        </w:rPr>
      </w:pPr>
      <w:r>
        <w:rPr>
          <w:rFonts w:ascii="Calibri" w:cs="Calibri" w:eastAsia="Calibri" w:hAnsi="Calibri"/>
          <w:sz w:val="18"/>
          <w:szCs w:val="18"/>
          <w:b w:val="1"/>
          <w:bCs w:val="1"/>
          <w:color w:val="auto"/>
        </w:rPr>
        <w:t xml:space="preserve">NPL Rato for Total Loans at BCP </w:t>
      </w:r>
      <w:r>
        <w:rPr>
          <w:rFonts w:ascii="Calibri" w:cs="Calibri" w:eastAsia="Calibri" w:hAnsi="Calibri"/>
          <w:sz w:val="29"/>
          <w:szCs w:val="29"/>
          <w:b w:val="1"/>
          <w:bCs w:val="1"/>
          <w:color w:val="auto"/>
          <w:vertAlign w:val="superscript"/>
        </w:rPr>
        <w:t>(1)</w:t>
      </w:r>
    </w:p>
    <w:p>
      <w:pPr>
        <w:jc w:val="both"/>
        <w:ind w:left="5840"/>
        <w:spacing w:after="0" w:line="222" w:lineRule="auto"/>
        <w:rPr>
          <w:sz w:val="20"/>
          <w:szCs w:val="20"/>
          <w:color w:val="auto"/>
        </w:rPr>
      </w:pPr>
      <w:r>
        <w:rPr>
          <w:rFonts w:ascii="Calibri" w:cs="Calibri" w:eastAsia="Calibri" w:hAnsi="Calibri"/>
          <w:sz w:val="18"/>
          <w:szCs w:val="18"/>
          <w:color w:val="auto"/>
        </w:rPr>
        <w:t xml:space="preserve">Credicorp’s NPL Rato dropped 11 bps </w:t>
      </w:r>
      <w:r>
        <w:rPr>
          <w:rFonts w:ascii="Calibri" w:cs="Calibri" w:eastAsia="Calibri" w:hAnsi="Calibri"/>
          <w:sz w:val="18"/>
          <w:szCs w:val="18"/>
          <w:b w:val="1"/>
          <w:bCs w:val="1"/>
          <w:color w:val="auto"/>
        </w:rPr>
        <w:t>YoY</w:t>
      </w:r>
      <w:r>
        <w:rPr>
          <w:rFonts w:ascii="Calibri" w:cs="Calibri" w:eastAsia="Calibri" w:hAnsi="Calibri"/>
          <w:sz w:val="18"/>
          <w:szCs w:val="18"/>
          <w:color w:val="auto"/>
        </w:rPr>
        <w:t xml:space="preserve"> to stand at 5.9%. This decline was driven by the same dynamics that drove the </w:t>
      </w:r>
      <w:r>
        <w:rPr>
          <w:rFonts w:ascii="Calibri" w:cs="Calibri" w:eastAsia="Calibri" w:hAnsi="Calibri"/>
          <w:sz w:val="18"/>
          <w:szCs w:val="18"/>
          <w:b w:val="1"/>
          <w:bCs w:val="1"/>
          <w:color w:val="auto"/>
        </w:rPr>
        <w:t>YoY</w:t>
      </w:r>
      <w:r>
        <w:rPr>
          <w:rFonts w:ascii="Calibri" w:cs="Calibri" w:eastAsia="Calibri" w:hAnsi="Calibri"/>
          <w:sz w:val="18"/>
          <w:szCs w:val="18"/>
          <w:color w:val="auto"/>
        </w:rPr>
        <w:t xml:space="preserve"> evoluton of NPLs and was partally ofset by a drop in loan volumes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-257810</wp:posOffset>
            </wp:positionV>
            <wp:extent cx="3008630" cy="1834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08630" cy="1834515"/>
                    </a:xfrm>
                    <a:prstGeom prst="rect">
                      <a:avLst/>
                    </a:prstGeom>
                    <a:noFill/>
                  </pic:spPr>
                </pic:pic>
              </a:graphicData>
            </a:graphic>
          </wp:anchor>
        </w:drawing>
      </w:r>
    </w:p>
    <w:p>
      <w:pPr>
        <w:spacing w:after="0" w:line="153" w:lineRule="exact"/>
        <w:rPr>
          <w:sz w:val="20"/>
          <w:szCs w:val="20"/>
          <w:color w:val="auto"/>
        </w:rPr>
      </w:pPr>
    </w:p>
    <w:p>
      <w:pPr>
        <w:ind w:left="5840"/>
        <w:spacing w:after="0"/>
        <w:rPr>
          <w:sz w:val="20"/>
          <w:szCs w:val="20"/>
          <w:color w:val="auto"/>
        </w:rPr>
      </w:pPr>
      <w:r>
        <w:rPr>
          <w:rFonts w:ascii="Calibri" w:cs="Calibri" w:eastAsia="Calibri" w:hAnsi="Calibri"/>
          <w:sz w:val="18"/>
          <w:szCs w:val="18"/>
          <w:b w:val="1"/>
          <w:bCs w:val="1"/>
          <w:color w:val="auto"/>
        </w:rPr>
        <w:t>If we analyze the YoY evoluton of the NPL Rato by Subsidiary, we see:</w:t>
      </w:r>
    </w:p>
    <w:p>
      <w:pPr>
        <w:spacing w:after="0" w:line="217" w:lineRule="exact"/>
        <w:rPr>
          <w:sz w:val="20"/>
          <w:szCs w:val="20"/>
          <w:color w:val="auto"/>
        </w:rPr>
      </w:pPr>
    </w:p>
    <w:p>
      <w:pPr>
        <w:jc w:val="both"/>
        <w:ind w:left="584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 </w:t>
      </w:r>
      <w:r>
        <w:rPr>
          <w:rFonts w:ascii="Calibri" w:cs="Calibri" w:eastAsia="Calibri" w:hAnsi="Calibri"/>
          <w:sz w:val="17"/>
          <w:szCs w:val="17"/>
          <w:b w:val="1"/>
          <w:bCs w:val="1"/>
          <w:color w:val="auto"/>
        </w:rPr>
        <w:t>BCP Stand-alone,</w:t>
      </w:r>
      <w:r>
        <w:rPr>
          <w:rFonts w:ascii="Times New Roman" w:cs="Times New Roman" w:eastAsia="Times New Roman" w:hAnsi="Times New Roman"/>
          <w:sz w:val="17"/>
          <w:szCs w:val="17"/>
          <w:b w:val="1"/>
          <w:bCs w:val="1"/>
          <w:color w:val="auto"/>
        </w:rPr>
        <w:t xml:space="preserve"> </w:t>
      </w:r>
      <w:r>
        <w:rPr>
          <w:rFonts w:ascii="Calibri" w:cs="Calibri" w:eastAsia="Calibri" w:hAnsi="Calibri"/>
          <w:sz w:val="17"/>
          <w:szCs w:val="17"/>
          <w:color w:val="auto"/>
        </w:rPr>
        <w:t>where the NPL rato fell 20 bps. In the case of</w:t>
      </w:r>
      <w:r>
        <w:rPr>
          <w:rFonts w:ascii="Times New Roman" w:cs="Times New Roman" w:eastAsia="Times New Roman" w:hAnsi="Times New Roman"/>
          <w:sz w:val="17"/>
          <w:szCs w:val="17"/>
          <w:b w:val="1"/>
          <w:bCs w:val="1"/>
          <w:color w:val="auto"/>
        </w:rPr>
        <w:t xml:space="preserve"> </w:t>
      </w:r>
      <w:r>
        <w:rPr>
          <w:rFonts w:ascii="Calibri" w:cs="Calibri" w:eastAsia="Calibri" w:hAnsi="Calibri"/>
          <w:sz w:val="17"/>
          <w:szCs w:val="17"/>
          <w:b w:val="1"/>
          <w:bCs w:val="1"/>
          <w:color w:val="auto"/>
        </w:rPr>
        <w:t xml:space="preserve">Wholesale Banking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Small Businesses (SME-Pyme and SME-Business), </w:t>
      </w:r>
      <w:r>
        <w:rPr>
          <w:rFonts w:ascii="Calibri" w:cs="Calibri" w:eastAsia="Calibri" w:hAnsi="Calibri"/>
          <w:sz w:val="17"/>
          <w:szCs w:val="17"/>
          <w:color w:val="auto"/>
        </w:rPr>
        <w:t>the reducton in the NPL rato was fueled by a drop in NPL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0" w:hanging="392"/>
        <w:spacing w:after="0"/>
        <w:tabs>
          <w:tab w:leader="none" w:pos="400" w:val="left"/>
        </w:tabs>
        <w:numPr>
          <w:ilvl w:val="0"/>
          <w:numId w:val="31"/>
        </w:numPr>
        <w:rPr>
          <w:rFonts w:ascii="Calibri" w:cs="Calibri" w:eastAsia="Calibri" w:hAnsi="Calibri"/>
          <w:sz w:val="18"/>
          <w:szCs w:val="18"/>
          <w:color w:val="auto"/>
        </w:rPr>
      </w:pPr>
      <w:r>
        <w:rPr>
          <w:rFonts w:ascii="Calibri" w:cs="Calibri" w:eastAsia="Calibri" w:hAnsi="Calibri"/>
          <w:sz w:val="18"/>
          <w:szCs w:val="18"/>
          <w:b w:val="1"/>
          <w:bCs w:val="1"/>
          <w:color w:val="auto"/>
        </w:rPr>
        <w:t>Mibanco</w:t>
      </w:r>
      <w:r>
        <w:rPr>
          <w:rFonts w:ascii="Calibri" w:cs="Calibri" w:eastAsia="Calibri" w:hAnsi="Calibri"/>
          <w:sz w:val="18"/>
          <w:szCs w:val="18"/>
          <w:color w:val="auto"/>
        </w:rPr>
        <w:t>, where the NPL Rato rose 91 bps, spurred primarily by a contracton in the loan portolio and to a lesser extent, by growth in NPL volumes.</w:t>
      </w:r>
    </w:p>
    <w:p>
      <w:pPr>
        <w:spacing w:after="0" w:line="172" w:lineRule="exact"/>
        <w:rPr>
          <w:sz w:val="20"/>
          <w:szCs w:val="20"/>
          <w:color w:val="auto"/>
        </w:rPr>
      </w:pPr>
    </w:p>
    <w:p>
      <w:pPr>
        <w:spacing w:after="0"/>
        <w:tabs>
          <w:tab w:leader="none" w:pos="380" w:val="left"/>
        </w:tabs>
        <w:rPr>
          <w:sz w:val="20"/>
          <w:szCs w:val="20"/>
          <w:color w:val="auto"/>
        </w:rPr>
      </w:pPr>
      <w:r>
        <w:rPr>
          <w:rFonts w:ascii="Calibri" w:cs="Calibri" w:eastAsia="Calibri" w:hAnsi="Calibri"/>
          <w:sz w:val="18"/>
          <w:szCs w:val="18"/>
          <w:b w:val="1"/>
          <w:bCs w:val="1"/>
          <w:color w:val="auto"/>
        </w:rPr>
        <w:t>5.1</w:t>
      </w:r>
      <w:r>
        <w:rPr>
          <w:sz w:val="20"/>
          <w:szCs w:val="20"/>
          <w:color w:val="auto"/>
        </w:rPr>
        <w:tab/>
      </w:r>
      <w:r>
        <w:rPr>
          <w:rFonts w:ascii="Calibri" w:cs="Calibri" w:eastAsia="Calibri" w:hAnsi="Calibri"/>
          <w:sz w:val="17"/>
          <w:szCs w:val="17"/>
          <w:b w:val="1"/>
          <w:bCs w:val="1"/>
          <w:color w:val="auto"/>
        </w:rPr>
        <w:t>Provisions and Cost of Risk</w:t>
      </w:r>
    </w:p>
    <w:p>
      <w:pPr>
        <w:spacing w:after="0" w:line="235" w:lineRule="auto"/>
        <w:rPr>
          <w:sz w:val="20"/>
          <w:szCs w:val="20"/>
          <w:color w:val="auto"/>
        </w:rPr>
      </w:pPr>
      <w:r>
        <w:rPr>
          <w:rFonts w:ascii="Calibri" w:cs="Calibri" w:eastAsia="Calibri" w:hAnsi="Calibri"/>
          <w:sz w:val="18"/>
          <w:szCs w:val="18"/>
          <w:b w:val="1"/>
          <w:bCs w:val="1"/>
          <w:color w:val="auto"/>
        </w:rPr>
        <w:t>Provisions and Cost of Risk for Total Loans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31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Loan Portolio Provisions</w:t>
            </w:r>
          </w:p>
        </w:tc>
        <w:tc>
          <w:tcPr>
            <w:tcW w:w="980" w:type="dxa"/>
            <w:vAlign w:val="bottom"/>
            <w:tcBorders>
              <w:top w:val="single" w:sz="8" w:color="auto"/>
            </w:tcBorders>
            <w:shd w:val="clear" w:color="auto" w:fill="33CCCC"/>
          </w:tcPr>
          <w:p>
            <w:pPr>
              <w:spacing w:after="0"/>
              <w:rPr>
                <w:sz w:val="12"/>
                <w:szCs w:val="12"/>
                <w:color w:val="auto"/>
              </w:rPr>
            </w:pPr>
          </w:p>
        </w:tc>
        <w:tc>
          <w:tcPr>
            <w:tcW w:w="1040" w:type="dxa"/>
            <w:vAlign w:val="bottom"/>
            <w:tcBorders>
              <w:top w:val="single" w:sz="8" w:color="auto"/>
            </w:tcBorders>
            <w:shd w:val="clear" w:color="auto" w:fill="33CCCC"/>
          </w:tcPr>
          <w:p>
            <w:pPr>
              <w:ind w:left="340"/>
              <w:spacing w:after="0"/>
              <w:rPr>
                <w:sz w:val="20"/>
                <w:szCs w:val="20"/>
                <w:color w:val="auto"/>
              </w:rPr>
            </w:pPr>
            <w:r>
              <w:rPr>
                <w:rFonts w:ascii="Calibri" w:cs="Calibri" w:eastAsia="Calibri" w:hAnsi="Calibri"/>
                <w:sz w:val="11"/>
                <w:szCs w:val="11"/>
                <w:b w:val="1"/>
                <w:bCs w:val="1"/>
                <w:color w:val="FFFFFF"/>
              </w:rPr>
              <w:t>Quarter</w:t>
            </w:r>
          </w:p>
        </w:tc>
        <w:tc>
          <w:tcPr>
            <w:tcW w:w="1020" w:type="dxa"/>
            <w:vAlign w:val="bottom"/>
            <w:tcBorders>
              <w:top w:val="single" w:sz="8" w:color="auto"/>
              <w:right w:val="single" w:sz="8" w:color="auto"/>
            </w:tcBorders>
            <w:shd w:val="clear" w:color="auto" w:fill="33CCCC"/>
          </w:tcPr>
          <w:p>
            <w:pPr>
              <w:spacing w:after="0"/>
              <w:rPr>
                <w:sz w:val="12"/>
                <w:szCs w:val="12"/>
                <w:color w:val="auto"/>
              </w:rPr>
            </w:pPr>
          </w:p>
        </w:tc>
        <w:tc>
          <w:tcPr>
            <w:tcW w:w="720" w:type="dxa"/>
            <w:vAlign w:val="bottom"/>
            <w:tcBorders>
              <w:top w:val="single" w:sz="8" w:color="auto"/>
            </w:tcBorders>
            <w:shd w:val="clear" w:color="auto" w:fill="33CCCC"/>
          </w:tcPr>
          <w:p>
            <w:pPr>
              <w:spacing w:after="0"/>
              <w:rPr>
                <w:sz w:val="12"/>
                <w:szCs w:val="12"/>
                <w:color w:val="auto"/>
              </w:rPr>
            </w:pPr>
          </w:p>
        </w:tc>
        <w:tc>
          <w:tcPr>
            <w:tcW w:w="130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1"/>
                <w:szCs w:val="11"/>
                <w:b w:val="1"/>
                <w:bCs w:val="1"/>
                <w:color w:val="FFFFFF"/>
              </w:rPr>
              <w:t>% change</w:t>
            </w:r>
          </w:p>
        </w:tc>
        <w:tc>
          <w:tcPr>
            <w:tcW w:w="800" w:type="dxa"/>
            <w:vAlign w:val="bottom"/>
            <w:tcBorders>
              <w:top w:val="single" w:sz="8" w:color="auto"/>
            </w:tcBorders>
            <w:shd w:val="clear" w:color="auto" w:fill="33CCCC"/>
          </w:tcPr>
          <w:p>
            <w:pPr>
              <w:spacing w:after="0"/>
              <w:rPr>
                <w:sz w:val="12"/>
                <w:szCs w:val="12"/>
                <w:color w:val="auto"/>
              </w:rPr>
            </w:pPr>
          </w:p>
        </w:tc>
        <w:tc>
          <w:tcPr>
            <w:tcW w:w="120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1"/>
                <w:szCs w:val="11"/>
                <w:b w:val="1"/>
                <w:bCs w:val="1"/>
                <w:color w:val="FFFFFF"/>
              </w:rPr>
              <w:t>Up to</w:t>
            </w:r>
          </w:p>
        </w:tc>
        <w:tc>
          <w:tcPr>
            <w:tcW w:w="10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7"/>
              </w:rPr>
              <w:t>% change</w:t>
            </w:r>
          </w:p>
        </w:tc>
      </w:tr>
      <w:tr>
        <w:trPr>
          <w:trHeight w:val="137"/>
        </w:trPr>
        <w:tc>
          <w:tcPr>
            <w:tcW w:w="3180" w:type="dxa"/>
            <w:vAlign w:val="bottom"/>
            <w:tcBorders>
              <w:left w:val="single" w:sz="8" w:color="auto"/>
              <w:bottom w:val="single" w:sz="8" w:color="auto"/>
              <w:right w:val="single" w:sz="8" w:color="auto"/>
            </w:tcBorders>
            <w:shd w:val="clear" w:color="auto" w:fill="33CCCC"/>
          </w:tcPr>
          <w:p>
            <w:pPr>
              <w:ind w:left="20"/>
              <w:spacing w:after="0" w:line="129" w:lineRule="exact"/>
              <w:rPr>
                <w:sz w:val="20"/>
                <w:szCs w:val="20"/>
                <w:color w:val="auto"/>
              </w:rPr>
            </w:pPr>
            <w:r>
              <w:rPr>
                <w:rFonts w:ascii="Calibri" w:cs="Calibri" w:eastAsia="Calibri" w:hAnsi="Calibri"/>
                <w:sz w:val="11"/>
                <w:szCs w:val="11"/>
                <w:b w:val="1"/>
                <w:bCs w:val="1"/>
                <w:color w:val="FFFFFF"/>
              </w:rPr>
              <w:t>S/ 000</w:t>
            </w:r>
          </w:p>
        </w:tc>
        <w:tc>
          <w:tcPr>
            <w:tcW w:w="980" w:type="dxa"/>
            <w:vAlign w:val="bottom"/>
            <w:tcBorders>
              <w:bottom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8"/>
              </w:rPr>
              <w:t>3Q23</w:t>
            </w:r>
          </w:p>
        </w:tc>
        <w:tc>
          <w:tcPr>
            <w:tcW w:w="1040" w:type="dxa"/>
            <w:vAlign w:val="bottom"/>
            <w:tcBorders>
              <w:bottom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8"/>
              </w:rPr>
              <w:t>2Q24</w:t>
            </w:r>
          </w:p>
        </w:tc>
        <w:tc>
          <w:tcPr>
            <w:tcW w:w="1020" w:type="dxa"/>
            <w:vAlign w:val="bottom"/>
            <w:tcBorders>
              <w:bottom w:val="single" w:sz="8" w:color="auto"/>
              <w:right w:val="single" w:sz="8" w:color="auto"/>
            </w:tcBorders>
            <w:shd w:val="clear" w:color="auto" w:fill="33CCCC"/>
          </w:tcPr>
          <w:p>
            <w:pPr>
              <w:jc w:val="center"/>
              <w:ind w:right="6"/>
              <w:spacing w:after="0" w:line="129" w:lineRule="exact"/>
              <w:rPr>
                <w:sz w:val="20"/>
                <w:szCs w:val="20"/>
                <w:color w:val="auto"/>
              </w:rPr>
            </w:pPr>
            <w:r>
              <w:rPr>
                <w:rFonts w:ascii="Calibri" w:cs="Calibri" w:eastAsia="Calibri" w:hAnsi="Calibri"/>
                <w:sz w:val="11"/>
                <w:szCs w:val="11"/>
                <w:b w:val="1"/>
                <w:bCs w:val="1"/>
                <w:color w:val="FFFFFF"/>
                <w:w w:val="98"/>
              </w:rPr>
              <w:t>3Q24</w:t>
            </w:r>
          </w:p>
        </w:tc>
        <w:tc>
          <w:tcPr>
            <w:tcW w:w="720" w:type="dxa"/>
            <w:vAlign w:val="bottom"/>
            <w:tcBorders>
              <w:bottom w:val="single" w:sz="8" w:color="auto"/>
            </w:tcBorders>
            <w:shd w:val="clear" w:color="auto" w:fill="33CCCC"/>
          </w:tcPr>
          <w:p>
            <w:pPr>
              <w:jc w:val="center"/>
              <w:ind w:left="186"/>
              <w:spacing w:after="0" w:line="129" w:lineRule="exact"/>
              <w:rPr>
                <w:sz w:val="20"/>
                <w:szCs w:val="20"/>
                <w:color w:val="auto"/>
              </w:rPr>
            </w:pPr>
            <w:r>
              <w:rPr>
                <w:rFonts w:ascii="Calibri" w:cs="Calibri" w:eastAsia="Calibri" w:hAnsi="Calibri"/>
                <w:sz w:val="11"/>
                <w:szCs w:val="11"/>
                <w:b w:val="1"/>
                <w:bCs w:val="1"/>
                <w:color w:val="FFFFFF"/>
                <w:w w:val="94"/>
              </w:rPr>
              <w:t>QoQ</w:t>
            </w:r>
          </w:p>
        </w:tc>
        <w:tc>
          <w:tcPr>
            <w:tcW w:w="1300" w:type="dxa"/>
            <w:vAlign w:val="bottom"/>
            <w:tcBorders>
              <w:bottom w:val="single" w:sz="8" w:color="auto"/>
              <w:right w:val="single" w:sz="8" w:color="auto"/>
            </w:tcBorders>
            <w:shd w:val="clear" w:color="auto" w:fill="33CCCC"/>
          </w:tcPr>
          <w:p>
            <w:pPr>
              <w:jc w:val="center"/>
              <w:ind w:left="186"/>
              <w:spacing w:after="0" w:line="129" w:lineRule="exact"/>
              <w:rPr>
                <w:sz w:val="20"/>
                <w:szCs w:val="20"/>
                <w:color w:val="auto"/>
              </w:rPr>
            </w:pPr>
            <w:r>
              <w:rPr>
                <w:rFonts w:ascii="Calibri" w:cs="Calibri" w:eastAsia="Calibri" w:hAnsi="Calibri"/>
                <w:sz w:val="11"/>
                <w:szCs w:val="11"/>
                <w:b w:val="1"/>
                <w:bCs w:val="1"/>
                <w:color w:val="FFFFFF"/>
              </w:rPr>
              <w:t>YoY</w:t>
            </w:r>
          </w:p>
        </w:tc>
        <w:tc>
          <w:tcPr>
            <w:tcW w:w="800" w:type="dxa"/>
            <w:vAlign w:val="bottom"/>
            <w:tcBorders>
              <w:bottom w:val="single" w:sz="8" w:color="auto"/>
            </w:tcBorders>
            <w:shd w:val="clear" w:color="auto" w:fill="33CCCC"/>
          </w:tcPr>
          <w:p>
            <w:pPr>
              <w:ind w:left="340"/>
              <w:spacing w:after="0" w:line="129" w:lineRule="exact"/>
              <w:rPr>
                <w:sz w:val="20"/>
                <w:szCs w:val="20"/>
                <w:color w:val="auto"/>
              </w:rPr>
            </w:pPr>
            <w:r>
              <w:rPr>
                <w:rFonts w:ascii="Calibri" w:cs="Calibri" w:eastAsia="Calibri" w:hAnsi="Calibri"/>
                <w:sz w:val="11"/>
                <w:szCs w:val="11"/>
                <w:b w:val="1"/>
                <w:bCs w:val="1"/>
                <w:color w:val="FFFFFF"/>
              </w:rPr>
              <w:t>Sep 23</w:t>
            </w:r>
          </w:p>
        </w:tc>
        <w:tc>
          <w:tcPr>
            <w:tcW w:w="1200" w:type="dxa"/>
            <w:vAlign w:val="bottom"/>
            <w:tcBorders>
              <w:bottom w:val="single" w:sz="8" w:color="auto"/>
              <w:right w:val="single" w:sz="8" w:color="auto"/>
            </w:tcBorders>
            <w:shd w:val="clear" w:color="auto" w:fill="33CCCC"/>
          </w:tcPr>
          <w:p>
            <w:pPr>
              <w:ind w:left="540"/>
              <w:spacing w:after="0" w:line="129" w:lineRule="exact"/>
              <w:rPr>
                <w:sz w:val="20"/>
                <w:szCs w:val="20"/>
                <w:color w:val="auto"/>
              </w:rPr>
            </w:pPr>
            <w:r>
              <w:rPr>
                <w:rFonts w:ascii="Calibri" w:cs="Calibri" w:eastAsia="Calibri" w:hAnsi="Calibri"/>
                <w:sz w:val="11"/>
                <w:szCs w:val="11"/>
                <w:b w:val="1"/>
                <w:bCs w:val="1"/>
                <w:color w:val="FFFFFF"/>
              </w:rPr>
              <w:t>Sep 24</w:t>
            </w:r>
          </w:p>
        </w:tc>
        <w:tc>
          <w:tcPr>
            <w:tcW w:w="1000" w:type="dxa"/>
            <w:vAlign w:val="bottom"/>
            <w:tcBorders>
              <w:bottom w:val="single" w:sz="8" w:color="auto"/>
              <w:right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9"/>
              </w:rPr>
              <w:t>Sep 24 / Sep 23</w:t>
            </w:r>
          </w:p>
        </w:tc>
      </w:tr>
      <w:tr>
        <w:trPr>
          <w:trHeight w:val="127"/>
        </w:trPr>
        <w:tc>
          <w:tcPr>
            <w:tcW w:w="318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Gross provision for credit losses on loan portolio</w:t>
            </w:r>
          </w:p>
        </w:tc>
        <w:tc>
          <w:tcPr>
            <w:tcW w:w="980" w:type="dxa"/>
            <w:vAlign w:val="bottom"/>
          </w:tcPr>
          <w:p>
            <w:pPr>
              <w:jc w:val="center"/>
              <w:spacing w:after="0" w:line="127" w:lineRule="exact"/>
              <w:rPr>
                <w:sz w:val="20"/>
                <w:szCs w:val="20"/>
                <w:color w:val="auto"/>
              </w:rPr>
            </w:pPr>
            <w:r>
              <w:rPr>
                <w:rFonts w:ascii="Calibri" w:cs="Calibri" w:eastAsia="Calibri" w:hAnsi="Calibri"/>
                <w:sz w:val="11"/>
                <w:szCs w:val="11"/>
                <w:color w:val="auto"/>
                <w:w w:val="97"/>
              </w:rPr>
              <w:t>(1,008,750)</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color w:val="auto"/>
                <w:w w:val="97"/>
              </w:rPr>
              <w:t>(1,193,548)</w:t>
            </w:r>
          </w:p>
        </w:tc>
        <w:tc>
          <w:tcPr>
            <w:tcW w:w="102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(981,870)</w:t>
            </w:r>
          </w:p>
        </w:tc>
        <w:tc>
          <w:tcPr>
            <w:tcW w:w="720" w:type="dxa"/>
            <w:vAlign w:val="bottom"/>
          </w:tcPr>
          <w:p>
            <w:pPr>
              <w:jc w:val="center"/>
              <w:ind w:left="206"/>
              <w:spacing w:after="0" w:line="127" w:lineRule="exact"/>
              <w:rPr>
                <w:sz w:val="20"/>
                <w:szCs w:val="20"/>
                <w:color w:val="auto"/>
              </w:rPr>
            </w:pPr>
            <w:r>
              <w:rPr>
                <w:rFonts w:ascii="Calibri" w:cs="Calibri" w:eastAsia="Calibri" w:hAnsi="Calibri"/>
                <w:sz w:val="11"/>
                <w:szCs w:val="11"/>
                <w:color w:val="auto"/>
                <w:w w:val="97"/>
              </w:rPr>
              <w:t>-17.7%</w:t>
            </w:r>
          </w:p>
        </w:tc>
        <w:tc>
          <w:tcPr>
            <w:tcW w:w="1300" w:type="dxa"/>
            <w:vAlign w:val="bottom"/>
            <w:tcBorders>
              <w:right w:val="single" w:sz="8" w:color="auto"/>
            </w:tcBorders>
          </w:tcPr>
          <w:p>
            <w:pPr>
              <w:jc w:val="center"/>
              <w:ind w:left="186"/>
              <w:spacing w:after="0" w:line="127" w:lineRule="exact"/>
              <w:rPr>
                <w:sz w:val="20"/>
                <w:szCs w:val="20"/>
                <w:color w:val="auto"/>
              </w:rPr>
            </w:pPr>
            <w:r>
              <w:rPr>
                <w:rFonts w:ascii="Calibri" w:cs="Calibri" w:eastAsia="Calibri" w:hAnsi="Calibri"/>
                <w:sz w:val="11"/>
                <w:szCs w:val="11"/>
                <w:color w:val="auto"/>
              </w:rPr>
              <w:t>-2.7%</w:t>
            </w:r>
          </w:p>
        </w:tc>
        <w:tc>
          <w:tcPr>
            <w:tcW w:w="800" w:type="dxa"/>
            <w:vAlign w:val="bottom"/>
          </w:tcPr>
          <w:p>
            <w:pPr>
              <w:jc w:val="center"/>
              <w:ind w:left="126"/>
              <w:spacing w:after="0" w:line="127" w:lineRule="exact"/>
              <w:rPr>
                <w:sz w:val="20"/>
                <w:szCs w:val="20"/>
                <w:color w:val="auto"/>
              </w:rPr>
            </w:pPr>
            <w:r>
              <w:rPr>
                <w:rFonts w:ascii="Calibri" w:cs="Calibri" w:eastAsia="Calibri" w:hAnsi="Calibri"/>
                <w:sz w:val="11"/>
                <w:szCs w:val="11"/>
                <w:color w:val="auto"/>
                <w:w w:val="97"/>
              </w:rPr>
              <w:t>(2,696,980)</w:t>
            </w:r>
          </w:p>
        </w:tc>
        <w:tc>
          <w:tcPr>
            <w:tcW w:w="1200" w:type="dxa"/>
            <w:vAlign w:val="bottom"/>
            <w:tcBorders>
              <w:right w:val="single" w:sz="8" w:color="auto"/>
            </w:tcBorders>
          </w:tcPr>
          <w:p>
            <w:pPr>
              <w:jc w:val="center"/>
              <w:ind w:left="126"/>
              <w:spacing w:after="0" w:line="127" w:lineRule="exact"/>
              <w:rPr>
                <w:sz w:val="20"/>
                <w:szCs w:val="20"/>
                <w:color w:val="auto"/>
              </w:rPr>
            </w:pPr>
            <w:r>
              <w:rPr>
                <w:rFonts w:ascii="Calibri" w:cs="Calibri" w:eastAsia="Calibri" w:hAnsi="Calibri"/>
                <w:sz w:val="11"/>
                <w:szCs w:val="11"/>
                <w:color w:val="auto"/>
                <w:w w:val="97"/>
              </w:rPr>
              <w:t>(3,085,607)</w:t>
            </w:r>
          </w:p>
        </w:tc>
        <w:tc>
          <w:tcPr>
            <w:tcW w:w="10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4"/>
              </w:rPr>
              <w:t>14.4%</w:t>
            </w:r>
          </w:p>
        </w:tc>
      </w:tr>
      <w:tr>
        <w:trPr>
          <w:trHeight w:val="128"/>
        </w:trPr>
        <w:tc>
          <w:tcPr>
            <w:tcW w:w="3180" w:type="dxa"/>
            <w:vAlign w:val="bottom"/>
            <w:tcBorders>
              <w:left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Recoveries of writen-of loans</w:t>
            </w:r>
          </w:p>
        </w:tc>
        <w:tc>
          <w:tcPr>
            <w:tcW w:w="980" w:type="dxa"/>
            <w:vAlign w:val="bottom"/>
          </w:tcPr>
          <w:p>
            <w:pPr>
              <w:jc w:val="center"/>
              <w:spacing w:after="0" w:line="129" w:lineRule="exact"/>
              <w:rPr>
                <w:sz w:val="20"/>
                <w:szCs w:val="20"/>
                <w:color w:val="auto"/>
              </w:rPr>
            </w:pPr>
            <w:r>
              <w:rPr>
                <w:rFonts w:ascii="Calibri" w:cs="Calibri" w:eastAsia="Calibri" w:hAnsi="Calibri"/>
                <w:sz w:val="11"/>
                <w:szCs w:val="11"/>
                <w:color w:val="auto"/>
                <w:w w:val="97"/>
              </w:rPr>
              <w:t>91,108</w:t>
            </w:r>
          </w:p>
        </w:tc>
        <w:tc>
          <w:tcPr>
            <w:tcW w:w="1040" w:type="dxa"/>
            <w:vAlign w:val="bottom"/>
          </w:tcPr>
          <w:p>
            <w:pPr>
              <w:jc w:val="center"/>
              <w:spacing w:after="0" w:line="129" w:lineRule="exact"/>
              <w:rPr>
                <w:sz w:val="20"/>
                <w:szCs w:val="20"/>
                <w:color w:val="auto"/>
              </w:rPr>
            </w:pPr>
            <w:r>
              <w:rPr>
                <w:rFonts w:ascii="Calibri" w:cs="Calibri" w:eastAsia="Calibri" w:hAnsi="Calibri"/>
                <w:sz w:val="11"/>
                <w:szCs w:val="11"/>
                <w:color w:val="auto"/>
                <w:w w:val="99"/>
              </w:rPr>
              <w:t>100,177</w:t>
            </w:r>
          </w:p>
        </w:tc>
        <w:tc>
          <w:tcPr>
            <w:tcW w:w="1020" w:type="dxa"/>
            <w:vAlign w:val="bottom"/>
            <w:tcBorders>
              <w:right w:val="single" w:sz="8" w:color="auto"/>
            </w:tcBorders>
          </w:tcPr>
          <w:p>
            <w:pPr>
              <w:jc w:val="center"/>
              <w:ind w:right="6"/>
              <w:spacing w:after="0" w:line="129" w:lineRule="exact"/>
              <w:rPr>
                <w:sz w:val="20"/>
                <w:szCs w:val="20"/>
                <w:color w:val="auto"/>
              </w:rPr>
            </w:pPr>
            <w:r>
              <w:rPr>
                <w:rFonts w:ascii="Calibri" w:cs="Calibri" w:eastAsia="Calibri" w:hAnsi="Calibri"/>
                <w:sz w:val="11"/>
                <w:szCs w:val="11"/>
                <w:color w:val="auto"/>
                <w:w w:val="99"/>
              </w:rPr>
              <w:t>113,789</w:t>
            </w:r>
          </w:p>
        </w:tc>
        <w:tc>
          <w:tcPr>
            <w:tcW w:w="720" w:type="dxa"/>
            <w:vAlign w:val="bottom"/>
          </w:tcPr>
          <w:p>
            <w:pPr>
              <w:jc w:val="center"/>
              <w:ind w:left="186"/>
              <w:spacing w:after="0" w:line="129" w:lineRule="exact"/>
              <w:rPr>
                <w:sz w:val="20"/>
                <w:szCs w:val="20"/>
                <w:color w:val="auto"/>
              </w:rPr>
            </w:pPr>
            <w:r>
              <w:rPr>
                <w:rFonts w:ascii="Calibri" w:cs="Calibri" w:eastAsia="Calibri" w:hAnsi="Calibri"/>
                <w:sz w:val="11"/>
                <w:szCs w:val="11"/>
                <w:color w:val="auto"/>
              </w:rPr>
              <w:t>13.6%</w:t>
            </w:r>
          </w:p>
        </w:tc>
        <w:tc>
          <w:tcPr>
            <w:tcW w:w="1300" w:type="dxa"/>
            <w:vAlign w:val="bottom"/>
            <w:tcBorders>
              <w:right w:val="single" w:sz="8" w:color="auto"/>
            </w:tcBorders>
          </w:tcPr>
          <w:p>
            <w:pPr>
              <w:jc w:val="center"/>
              <w:ind w:left="186"/>
              <w:spacing w:after="0" w:line="129" w:lineRule="exact"/>
              <w:rPr>
                <w:sz w:val="20"/>
                <w:szCs w:val="20"/>
                <w:color w:val="auto"/>
              </w:rPr>
            </w:pPr>
            <w:r>
              <w:rPr>
                <w:rFonts w:ascii="Calibri" w:cs="Calibri" w:eastAsia="Calibri" w:hAnsi="Calibri"/>
                <w:sz w:val="11"/>
                <w:szCs w:val="11"/>
                <w:color w:val="auto"/>
                <w:w w:val="94"/>
              </w:rPr>
              <w:t>24.9%</w:t>
            </w:r>
          </w:p>
        </w:tc>
        <w:tc>
          <w:tcPr>
            <w:tcW w:w="800" w:type="dxa"/>
            <w:vAlign w:val="bottom"/>
          </w:tcPr>
          <w:p>
            <w:pPr>
              <w:jc w:val="center"/>
              <w:ind w:left="126"/>
              <w:spacing w:after="0" w:line="129" w:lineRule="exact"/>
              <w:rPr>
                <w:sz w:val="20"/>
                <w:szCs w:val="20"/>
                <w:color w:val="auto"/>
              </w:rPr>
            </w:pPr>
            <w:r>
              <w:rPr>
                <w:rFonts w:ascii="Calibri" w:cs="Calibri" w:eastAsia="Calibri" w:hAnsi="Calibri"/>
                <w:sz w:val="11"/>
                <w:szCs w:val="11"/>
                <w:color w:val="auto"/>
                <w:w w:val="93"/>
              </w:rPr>
              <w:t>248,089</w:t>
            </w:r>
          </w:p>
        </w:tc>
        <w:tc>
          <w:tcPr>
            <w:tcW w:w="1200" w:type="dxa"/>
            <w:vAlign w:val="bottom"/>
            <w:tcBorders>
              <w:right w:val="single" w:sz="8" w:color="auto"/>
            </w:tcBorders>
          </w:tcPr>
          <w:p>
            <w:pPr>
              <w:jc w:val="center"/>
              <w:ind w:left="126"/>
              <w:spacing w:after="0" w:line="129" w:lineRule="exact"/>
              <w:rPr>
                <w:sz w:val="20"/>
                <w:szCs w:val="20"/>
                <w:color w:val="auto"/>
              </w:rPr>
            </w:pPr>
            <w:r>
              <w:rPr>
                <w:rFonts w:ascii="Calibri" w:cs="Calibri" w:eastAsia="Calibri" w:hAnsi="Calibri"/>
                <w:sz w:val="11"/>
                <w:szCs w:val="11"/>
                <w:color w:val="auto"/>
                <w:w w:val="93"/>
              </w:rPr>
              <w:t>309,456</w:t>
            </w:r>
          </w:p>
        </w:tc>
        <w:tc>
          <w:tcPr>
            <w:tcW w:w="100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4"/>
              </w:rPr>
              <w:t>24.7%</w:t>
            </w:r>
          </w:p>
        </w:tc>
      </w:tr>
      <w:tr>
        <w:trPr>
          <w:trHeight w:val="143"/>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Provision for credit losses on loan portolio, net of recoveries</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7"/>
              </w:rPr>
              <w:t>(917,642)</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6"/>
              </w:rPr>
              <w:t>(1,093,371)</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7"/>
              </w:rPr>
              <w:t>(868,081)</w:t>
            </w:r>
          </w:p>
        </w:tc>
        <w:tc>
          <w:tcPr>
            <w:tcW w:w="720" w:type="dxa"/>
            <w:vAlign w:val="bottom"/>
            <w:tcBorders>
              <w:bottom w:val="single" w:sz="8" w:color="auto"/>
            </w:tcBorders>
          </w:tcPr>
          <w:p>
            <w:pPr>
              <w:jc w:val="center"/>
              <w:ind w:left="206"/>
              <w:spacing w:after="0"/>
              <w:rPr>
                <w:sz w:val="20"/>
                <w:szCs w:val="20"/>
                <w:color w:val="auto"/>
              </w:rPr>
            </w:pPr>
            <w:r>
              <w:rPr>
                <w:rFonts w:ascii="Calibri" w:cs="Calibri" w:eastAsia="Calibri" w:hAnsi="Calibri"/>
                <w:sz w:val="11"/>
                <w:szCs w:val="11"/>
                <w:b w:val="1"/>
                <w:bCs w:val="1"/>
                <w:color w:val="auto"/>
                <w:w w:val="96"/>
              </w:rPr>
              <w:t>-20.6%</w:t>
            </w:r>
          </w:p>
        </w:tc>
        <w:tc>
          <w:tcPr>
            <w:tcW w:w="1300" w:type="dxa"/>
            <w:vAlign w:val="bottom"/>
            <w:tcBorders>
              <w:bottom w:val="single" w:sz="8" w:color="auto"/>
              <w:right w:val="single" w:sz="8" w:color="auto"/>
            </w:tcBorders>
          </w:tcPr>
          <w:p>
            <w:pPr>
              <w:jc w:val="center"/>
              <w:ind w:left="186"/>
              <w:spacing w:after="0"/>
              <w:rPr>
                <w:sz w:val="20"/>
                <w:szCs w:val="20"/>
                <w:color w:val="auto"/>
              </w:rPr>
            </w:pPr>
            <w:r>
              <w:rPr>
                <w:rFonts w:ascii="Calibri" w:cs="Calibri" w:eastAsia="Calibri" w:hAnsi="Calibri"/>
                <w:sz w:val="11"/>
                <w:szCs w:val="11"/>
                <w:b w:val="1"/>
                <w:bCs w:val="1"/>
                <w:color w:val="auto"/>
              </w:rPr>
              <w:t>-5.4%</w:t>
            </w:r>
          </w:p>
        </w:tc>
        <w:tc>
          <w:tcPr>
            <w:tcW w:w="800" w:type="dxa"/>
            <w:vAlign w:val="bottom"/>
            <w:tcBorders>
              <w:bottom w:val="single" w:sz="8" w:color="auto"/>
            </w:tcBorders>
          </w:tcPr>
          <w:p>
            <w:pPr>
              <w:jc w:val="center"/>
              <w:ind w:left="126"/>
              <w:spacing w:after="0"/>
              <w:rPr>
                <w:sz w:val="20"/>
                <w:szCs w:val="20"/>
                <w:color w:val="auto"/>
              </w:rPr>
            </w:pPr>
            <w:r>
              <w:rPr>
                <w:rFonts w:ascii="Calibri" w:cs="Calibri" w:eastAsia="Calibri" w:hAnsi="Calibri"/>
                <w:sz w:val="11"/>
                <w:szCs w:val="11"/>
                <w:b w:val="1"/>
                <w:bCs w:val="1"/>
                <w:color w:val="auto"/>
                <w:w w:val="96"/>
              </w:rPr>
              <w:t>(2,448,891)</w:t>
            </w:r>
          </w:p>
        </w:tc>
        <w:tc>
          <w:tcPr>
            <w:tcW w:w="1200" w:type="dxa"/>
            <w:vAlign w:val="bottom"/>
            <w:tcBorders>
              <w:bottom w:val="single" w:sz="8" w:color="auto"/>
              <w:right w:val="single" w:sz="8" w:color="auto"/>
            </w:tcBorders>
          </w:tcPr>
          <w:p>
            <w:pPr>
              <w:jc w:val="center"/>
              <w:ind w:left="126"/>
              <w:spacing w:after="0"/>
              <w:rPr>
                <w:sz w:val="20"/>
                <w:szCs w:val="20"/>
                <w:color w:val="auto"/>
              </w:rPr>
            </w:pPr>
            <w:r>
              <w:rPr>
                <w:rFonts w:ascii="Calibri" w:cs="Calibri" w:eastAsia="Calibri" w:hAnsi="Calibri"/>
                <w:sz w:val="11"/>
                <w:szCs w:val="11"/>
                <w:b w:val="1"/>
                <w:bCs w:val="1"/>
                <w:color w:val="auto"/>
                <w:w w:val="96"/>
              </w:rPr>
              <w:t>(2,776,151)</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3"/>
              </w:rPr>
              <w:t>13.4%</w:t>
            </w:r>
          </w:p>
        </w:tc>
      </w:tr>
      <w:tr>
        <w:trPr>
          <w:trHeight w:val="131"/>
        </w:trPr>
        <w:tc>
          <w:tcPr>
            <w:tcW w:w="318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Cost of risk (1)</w:t>
            </w:r>
          </w:p>
        </w:tc>
        <w:tc>
          <w:tcPr>
            <w:tcW w:w="98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2.5%</w:t>
            </w:r>
          </w:p>
        </w:tc>
        <w:tc>
          <w:tcPr>
            <w:tcW w:w="10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3.0%</w:t>
            </w:r>
          </w:p>
        </w:tc>
        <w:tc>
          <w:tcPr>
            <w:tcW w:w="102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2.4%</w:t>
            </w:r>
          </w:p>
        </w:tc>
        <w:tc>
          <w:tcPr>
            <w:tcW w:w="720" w:type="dxa"/>
            <w:vAlign w:val="bottom"/>
            <w:tcBorders>
              <w:bottom w:val="single" w:sz="8" w:color="auto"/>
            </w:tcBorders>
          </w:tcPr>
          <w:p>
            <w:pPr>
              <w:jc w:val="center"/>
              <w:ind w:left="186"/>
              <w:spacing w:after="0" w:line="127" w:lineRule="exact"/>
              <w:rPr>
                <w:sz w:val="20"/>
                <w:szCs w:val="20"/>
                <w:color w:val="auto"/>
              </w:rPr>
            </w:pPr>
            <w:r>
              <w:rPr>
                <w:rFonts w:ascii="Calibri" w:cs="Calibri" w:eastAsia="Calibri" w:hAnsi="Calibri"/>
                <w:sz w:val="11"/>
                <w:szCs w:val="11"/>
                <w:color w:val="auto"/>
                <w:w w:val="97"/>
              </w:rPr>
              <w:t>-64 bps</w:t>
            </w:r>
          </w:p>
        </w:tc>
        <w:tc>
          <w:tcPr>
            <w:tcW w:w="1300" w:type="dxa"/>
            <w:vAlign w:val="bottom"/>
            <w:tcBorders>
              <w:bottom w:val="single" w:sz="8" w:color="auto"/>
              <w:right w:val="single" w:sz="8" w:color="auto"/>
            </w:tcBorders>
          </w:tcPr>
          <w:p>
            <w:pPr>
              <w:jc w:val="center"/>
              <w:ind w:left="186"/>
              <w:spacing w:after="0" w:line="127" w:lineRule="exact"/>
              <w:rPr>
                <w:sz w:val="20"/>
                <w:szCs w:val="20"/>
                <w:color w:val="auto"/>
              </w:rPr>
            </w:pPr>
            <w:r>
              <w:rPr>
                <w:rFonts w:ascii="Calibri" w:cs="Calibri" w:eastAsia="Calibri" w:hAnsi="Calibri"/>
                <w:sz w:val="11"/>
                <w:szCs w:val="11"/>
                <w:color w:val="auto"/>
              </w:rPr>
              <w:t>-15 bps</w:t>
            </w:r>
          </w:p>
        </w:tc>
        <w:tc>
          <w:tcPr>
            <w:tcW w:w="800" w:type="dxa"/>
            <w:vAlign w:val="bottom"/>
            <w:tcBorders>
              <w:bottom w:val="single" w:sz="8" w:color="auto"/>
            </w:tcBorders>
          </w:tcPr>
          <w:p>
            <w:pPr>
              <w:jc w:val="center"/>
              <w:ind w:left="126"/>
              <w:spacing w:after="0" w:line="127" w:lineRule="exact"/>
              <w:rPr>
                <w:sz w:val="20"/>
                <w:szCs w:val="20"/>
                <w:color w:val="auto"/>
              </w:rPr>
            </w:pPr>
            <w:r>
              <w:rPr>
                <w:rFonts w:ascii="Calibri" w:cs="Calibri" w:eastAsia="Calibri" w:hAnsi="Calibri"/>
                <w:sz w:val="11"/>
                <w:szCs w:val="11"/>
                <w:color w:val="auto"/>
              </w:rPr>
              <w:t>2.2%</w:t>
            </w:r>
          </w:p>
        </w:tc>
        <w:tc>
          <w:tcPr>
            <w:tcW w:w="1200" w:type="dxa"/>
            <w:vAlign w:val="bottom"/>
            <w:tcBorders>
              <w:bottom w:val="single" w:sz="8" w:color="auto"/>
              <w:right w:val="single" w:sz="8" w:color="auto"/>
            </w:tcBorders>
          </w:tcPr>
          <w:p>
            <w:pPr>
              <w:jc w:val="center"/>
              <w:ind w:left="126"/>
              <w:spacing w:after="0" w:line="127" w:lineRule="exact"/>
              <w:rPr>
                <w:sz w:val="20"/>
                <w:szCs w:val="20"/>
                <w:color w:val="auto"/>
              </w:rPr>
            </w:pPr>
            <w:r>
              <w:rPr>
                <w:rFonts w:ascii="Calibri" w:cs="Calibri" w:eastAsia="Calibri" w:hAnsi="Calibri"/>
                <w:sz w:val="11"/>
                <w:szCs w:val="11"/>
                <w:color w:val="auto"/>
              </w:rPr>
              <w:t>2.6%</w:t>
            </w:r>
          </w:p>
        </w:tc>
        <w:tc>
          <w:tcPr>
            <w:tcW w:w="10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35 bps</w:t>
            </w:r>
          </w:p>
        </w:tc>
      </w:tr>
    </w:tbl>
    <w:p>
      <w:pPr>
        <w:spacing w:after="0" w:line="44" w:lineRule="exact"/>
        <w:rPr>
          <w:sz w:val="20"/>
          <w:szCs w:val="20"/>
          <w:color w:val="auto"/>
        </w:rPr>
      </w:pPr>
    </w:p>
    <w:p>
      <w:pPr>
        <w:spacing w:after="0"/>
        <w:rPr>
          <w:sz w:val="20"/>
          <w:szCs w:val="20"/>
          <w:color w:val="auto"/>
        </w:rPr>
      </w:pPr>
      <w:r>
        <w:rPr>
          <w:rFonts w:ascii="Calibri" w:cs="Calibri" w:eastAsia="Calibri" w:hAnsi="Calibri"/>
          <w:sz w:val="12"/>
          <w:szCs w:val="12"/>
          <w:color w:val="auto"/>
        </w:rPr>
        <w:t>(1) Provisions for credit losses on loan portolio, net of annualized recoveries / Average Total Loans. Provisions include the impact of the reversals of provisions for “El Niño” Phenomenon in 1Q24.</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QoQ</w:t>
      </w:r>
      <w:r>
        <w:rPr>
          <w:rFonts w:ascii="Calibri" w:cs="Calibri" w:eastAsia="Calibri" w:hAnsi="Calibri"/>
          <w:sz w:val="18"/>
          <w:szCs w:val="18"/>
          <w:color w:val="auto"/>
        </w:rPr>
        <w:t>, provisions fell 20.6%, driven primarily by</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Mibanco. </w:t>
      </w:r>
      <w:r>
        <w:rPr>
          <w:rFonts w:ascii="Calibri" w:cs="Calibri" w:eastAsia="Calibri" w:hAnsi="Calibri"/>
          <w:sz w:val="18"/>
          <w:szCs w:val="18"/>
          <w:color w:val="auto"/>
        </w:rPr>
        <w:t>At</w:t>
      </w:r>
      <w:r>
        <w:rPr>
          <w:rFonts w:ascii="Calibri" w:cs="Calibri" w:eastAsia="Calibri" w:hAnsi="Calibri"/>
          <w:sz w:val="18"/>
          <w:szCs w:val="18"/>
          <w:b w:val="1"/>
          <w:bCs w:val="1"/>
          <w:color w:val="auto"/>
        </w:rPr>
        <w:t xml:space="preserve"> BCP Stand-alone</w:t>
      </w:r>
      <w:r>
        <w:rPr>
          <w:rFonts w:ascii="Calibri" w:cs="Calibri" w:eastAsia="Calibri" w:hAnsi="Calibri"/>
          <w:sz w:val="18"/>
          <w:szCs w:val="18"/>
          <w:color w:val="auto"/>
        </w:rPr>
        <w:t>, the drop in provisions was atributable mainly to 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improvement in payment performance in </w:t>
      </w:r>
      <w:r>
        <w:rPr>
          <w:rFonts w:ascii="Calibri" w:cs="Calibri" w:eastAsia="Calibri" w:hAnsi="Calibri"/>
          <w:sz w:val="18"/>
          <w:szCs w:val="18"/>
          <w:b w:val="1"/>
          <w:bCs w:val="1"/>
          <w:color w:val="auto"/>
        </w:rPr>
        <w:t>Retail Banking</w:t>
      </w:r>
      <w:r>
        <w:rPr>
          <w:rFonts w:ascii="Calibri" w:cs="Calibri" w:eastAsia="Calibri" w:hAnsi="Calibri"/>
          <w:sz w:val="18"/>
          <w:szCs w:val="18"/>
          <w:color w:val="auto"/>
        </w:rPr>
        <w:t xml:space="preserve">. In </w:t>
      </w:r>
      <w:r>
        <w:rPr>
          <w:rFonts w:ascii="Calibri" w:cs="Calibri" w:eastAsia="Calibri" w:hAnsi="Calibri"/>
          <w:sz w:val="18"/>
          <w:szCs w:val="18"/>
          <w:b w:val="1"/>
          <w:bCs w:val="1"/>
          <w:color w:val="auto"/>
        </w:rPr>
        <w:t>Consumer</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Credit Cards,</w:t>
      </w:r>
      <w:r>
        <w:rPr>
          <w:rFonts w:ascii="Calibri" w:cs="Calibri" w:eastAsia="Calibri" w:hAnsi="Calibri"/>
          <w:sz w:val="18"/>
          <w:szCs w:val="18"/>
          <w:color w:val="auto"/>
        </w:rPr>
        <w:t xml:space="preserve"> provisions fell afer (i) the weight of newer and healthier vintages post-May 2023 within the loan portolio rose, (ii) rescheduling eforts were ramped up in the last quarter, and (iii) debt repayments rose in a context marked by higher liquidity across the fnancial system. In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the contracton in provisions refected mainly the fact that newer and healthier vintages increased their weight within total loans, and less refnancing was granted. This evoluton was partally ofset by </w:t>
      </w:r>
      <w:r>
        <w:rPr>
          <w:rFonts w:ascii="Calibri" w:cs="Calibri" w:eastAsia="Calibri" w:hAnsi="Calibri"/>
          <w:sz w:val="18"/>
          <w:szCs w:val="18"/>
          <w:b w:val="1"/>
          <w:bCs w:val="1"/>
          <w:color w:val="auto"/>
        </w:rPr>
        <w:t>Wholesale Banking,</w:t>
      </w:r>
      <w:r>
        <w:rPr>
          <w:rFonts w:ascii="Calibri" w:cs="Calibri" w:eastAsia="Calibri" w:hAnsi="Calibri"/>
          <w:sz w:val="18"/>
          <w:szCs w:val="18"/>
          <w:color w:val="auto"/>
        </w:rPr>
        <w:t xml:space="preserve"> where expectatons of recovering loans already in default declined. At </w:t>
      </w:r>
      <w:r>
        <w:rPr>
          <w:rFonts w:ascii="Calibri" w:cs="Calibri" w:eastAsia="Calibri" w:hAnsi="Calibri"/>
          <w:sz w:val="18"/>
          <w:szCs w:val="18"/>
          <w:b w:val="1"/>
          <w:bCs w:val="1"/>
          <w:color w:val="auto"/>
        </w:rPr>
        <w:t>Mibanco</w:t>
      </w:r>
      <w:r>
        <w:rPr>
          <w:rFonts w:ascii="Calibri" w:cs="Calibri" w:eastAsia="Calibri" w:hAnsi="Calibri"/>
          <w:sz w:val="18"/>
          <w:szCs w:val="18"/>
          <w:color w:val="auto"/>
        </w:rPr>
        <w:t>, the drop in provisions was driven mainly by improvements in debt collecton management, which focus on (i) improvements in our contact points with clients (ii) optmizaton of assignment of clients to collectons channels and (iii) increases in the number of recovery ofcers. In this context, the CofR dropped 64 bps QoQ to stand at 2.4%.</w:t>
      </w:r>
    </w:p>
    <w:p>
      <w:pPr>
        <w:spacing w:after="0" w:line="35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1" w:name="page32"/>
    <w:bookmarkEnd w:id="31"/>
    <w:p>
      <w:pPr>
        <w:ind w:left="2700"/>
        <w:spacing w:after="0"/>
        <w:tabs>
          <w:tab w:leader="none" w:pos="29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05. Portolio Quality and Provisions</w:t>
      </w:r>
    </w:p>
    <w:p>
      <w:pPr>
        <w:spacing w:after="0" w:line="221" w:lineRule="exact"/>
        <w:rPr>
          <w:sz w:val="20"/>
          <w:szCs w:val="20"/>
          <w:color w:val="auto"/>
        </w:rPr>
      </w:pPr>
    </w:p>
    <w:p>
      <w:pPr>
        <w:jc w:val="both"/>
        <w:ind w:right="1400"/>
        <w:spacing w:after="0" w:line="235" w:lineRule="auto"/>
        <w:rPr>
          <w:sz w:val="20"/>
          <w:szCs w:val="20"/>
          <w:color w:val="auto"/>
        </w:rPr>
      </w:pPr>
      <w:r>
        <w:rPr>
          <w:rFonts w:ascii="Calibri" w:cs="Calibri" w:eastAsia="Calibri" w:hAnsi="Calibri"/>
          <w:sz w:val="18"/>
          <w:szCs w:val="18"/>
          <w:b w:val="1"/>
          <w:bCs w:val="1"/>
          <w:color w:val="auto"/>
        </w:rPr>
        <w:t xml:space="preserve">YoY, </w:t>
      </w:r>
      <w:r>
        <w:rPr>
          <w:rFonts w:ascii="Calibri" w:cs="Calibri" w:eastAsia="Calibri" w:hAnsi="Calibri"/>
          <w:sz w:val="18"/>
          <w:szCs w:val="18"/>
          <w:color w:val="auto"/>
        </w:rPr>
        <w:t>provisions fell 5.4%, fueled by</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Mibanco</w:t>
      </w:r>
      <w:r>
        <w:rPr>
          <w:rFonts w:ascii="Calibri" w:cs="Calibri" w:eastAsia="Calibri" w:hAnsi="Calibri"/>
          <w:sz w:val="18"/>
          <w:szCs w:val="18"/>
          <w:color w:val="auto"/>
        </w:rPr>
        <w:t>. At</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the reducton was driven by (i)</w:t>
      </w:r>
      <w:r>
        <w:rPr>
          <w:rFonts w:ascii="Calibri" w:cs="Calibri" w:eastAsia="Calibri" w:hAnsi="Calibri"/>
          <w:sz w:val="18"/>
          <w:szCs w:val="18"/>
          <w:b w:val="1"/>
          <w:bCs w:val="1"/>
          <w:color w:val="auto"/>
        </w:rPr>
        <w:t xml:space="preserve"> Consumer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SME- Pyme, </w:t>
      </w:r>
      <w:r>
        <w:rPr>
          <w:rFonts w:ascii="Calibri" w:cs="Calibri" w:eastAsia="Calibri" w:hAnsi="Calibri"/>
          <w:sz w:val="18"/>
          <w:szCs w:val="18"/>
          <w:color w:val="auto"/>
        </w:rPr>
        <w:t xml:space="preserve">due to the same dynamics seen </w:t>
      </w:r>
      <w:r>
        <w:rPr>
          <w:rFonts w:ascii="Calibri" w:cs="Calibri" w:eastAsia="Calibri" w:hAnsi="Calibri"/>
          <w:sz w:val="18"/>
          <w:szCs w:val="18"/>
          <w:b w:val="1"/>
          <w:bCs w:val="1"/>
          <w:color w:val="auto"/>
        </w:rPr>
        <w:t>QoQ</w:t>
      </w:r>
      <w:r>
        <w:rPr>
          <w:rFonts w:ascii="Calibri" w:cs="Calibri" w:eastAsia="Calibri" w:hAnsi="Calibri"/>
          <w:sz w:val="18"/>
          <w:szCs w:val="18"/>
          <w:color w:val="auto"/>
        </w:rPr>
        <w:t xml:space="preserve">; and (ii) </w:t>
      </w:r>
      <w:r>
        <w:rPr>
          <w:rFonts w:ascii="Calibri" w:cs="Calibri" w:eastAsia="Calibri" w:hAnsi="Calibri"/>
          <w:sz w:val="18"/>
          <w:szCs w:val="18"/>
          <w:b w:val="1"/>
          <w:bCs w:val="1"/>
          <w:color w:val="auto"/>
        </w:rPr>
        <w:t>Mortgage</w:t>
      </w:r>
      <w:r>
        <w:rPr>
          <w:rFonts w:ascii="Calibri" w:cs="Calibri" w:eastAsia="Calibri" w:hAnsi="Calibri"/>
          <w:sz w:val="18"/>
          <w:szCs w:val="18"/>
          <w:color w:val="auto"/>
        </w:rPr>
        <w:t xml:space="preserve">, where payment performance improved afer personal liquidity levels rose. This evoluton was partally ofset by </w:t>
      </w:r>
      <w:r>
        <w:rPr>
          <w:rFonts w:ascii="Calibri" w:cs="Calibri" w:eastAsia="Calibri" w:hAnsi="Calibri"/>
          <w:sz w:val="18"/>
          <w:szCs w:val="18"/>
          <w:b w:val="1"/>
          <w:bCs w:val="1"/>
          <w:color w:val="auto"/>
        </w:rPr>
        <w:t>Wholesale Banking</w:t>
      </w:r>
      <w:r>
        <w:rPr>
          <w:rFonts w:ascii="Calibri" w:cs="Calibri" w:eastAsia="Calibri" w:hAnsi="Calibri"/>
          <w:sz w:val="18"/>
          <w:szCs w:val="18"/>
          <w:color w:val="auto"/>
        </w:rPr>
        <w:t xml:space="preserve">, which was impacted by a base efect generated by high reversal levels in 3Q23. At </w:t>
      </w:r>
      <w:r>
        <w:rPr>
          <w:rFonts w:ascii="Calibri" w:cs="Calibri" w:eastAsia="Calibri" w:hAnsi="Calibri"/>
          <w:sz w:val="18"/>
          <w:szCs w:val="18"/>
          <w:b w:val="1"/>
          <w:bCs w:val="1"/>
          <w:color w:val="auto"/>
        </w:rPr>
        <w:t>Mibanco,</w:t>
      </w:r>
      <w:r>
        <w:rPr>
          <w:rFonts w:ascii="Calibri" w:cs="Calibri" w:eastAsia="Calibri" w:hAnsi="Calibri"/>
          <w:sz w:val="18"/>
          <w:szCs w:val="18"/>
          <w:color w:val="auto"/>
        </w:rPr>
        <w:t xml:space="preserve"> the reducton was driven by the same dynamics seen </w:t>
      </w:r>
      <w:r>
        <w:rPr>
          <w:rFonts w:ascii="Calibri" w:cs="Calibri" w:eastAsia="Calibri" w:hAnsi="Calibri"/>
          <w:sz w:val="18"/>
          <w:szCs w:val="18"/>
          <w:b w:val="1"/>
          <w:bCs w:val="1"/>
          <w:color w:val="auto"/>
        </w:rPr>
        <w:t>QoQ</w:t>
      </w:r>
      <w:r>
        <w:rPr>
          <w:rFonts w:ascii="Calibri" w:cs="Calibri" w:eastAsia="Calibri" w:hAnsi="Calibri"/>
          <w:sz w:val="18"/>
          <w:szCs w:val="18"/>
          <w:color w:val="auto"/>
        </w:rPr>
        <w:t xml:space="preserve">. In this context, the CofR fell 15 bps </w:t>
      </w:r>
      <w:r>
        <w:rPr>
          <w:rFonts w:ascii="Calibri" w:cs="Calibri" w:eastAsia="Calibri" w:hAnsi="Calibri"/>
          <w:sz w:val="18"/>
          <w:szCs w:val="18"/>
          <w:b w:val="1"/>
          <w:bCs w:val="1"/>
          <w:color w:val="auto"/>
        </w:rPr>
        <w:t>YoY</w:t>
      </w:r>
      <w:r>
        <w:rPr>
          <w:rFonts w:ascii="Calibri" w:cs="Calibri" w:eastAsia="Calibri" w:hAnsi="Calibri"/>
          <w:sz w:val="18"/>
          <w:szCs w:val="18"/>
          <w:color w:val="auto"/>
        </w:rPr>
        <w:t xml:space="preserve"> to stand at 2.4%.</w:t>
      </w:r>
    </w:p>
    <w:p>
      <w:pPr>
        <w:spacing w:after="0" w:line="182" w:lineRule="exact"/>
        <w:rPr>
          <w:sz w:val="20"/>
          <w:szCs w:val="20"/>
          <w:color w:val="auto"/>
        </w:rPr>
      </w:pPr>
    </w:p>
    <w:p>
      <w:pPr>
        <w:jc w:val="both"/>
        <w:ind w:right="1400"/>
        <w:spacing w:after="0" w:line="235" w:lineRule="auto"/>
        <w:rPr>
          <w:sz w:val="20"/>
          <w:szCs w:val="20"/>
          <w:color w:val="auto"/>
        </w:rPr>
      </w:pPr>
      <w:r>
        <w:rPr>
          <w:rFonts w:ascii="Calibri" w:cs="Calibri" w:eastAsia="Calibri" w:hAnsi="Calibri"/>
          <w:sz w:val="18"/>
          <w:szCs w:val="18"/>
          <w:b w:val="1"/>
          <w:bCs w:val="1"/>
          <w:color w:val="auto"/>
        </w:rPr>
        <w:t>YTD</w:t>
      </w:r>
      <w:r>
        <w:rPr>
          <w:rFonts w:ascii="Calibri" w:cs="Calibri" w:eastAsia="Calibri" w:hAnsi="Calibri"/>
          <w:sz w:val="18"/>
          <w:szCs w:val="18"/>
          <w:color w:val="auto"/>
        </w:rPr>
        <w:t>, if we isolate the efect of a reversal for the El Niño Phenomenon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1Q24, provisions rose 25.8%, fueled mainly by </w:t>
      </w:r>
      <w:r>
        <w:rPr>
          <w:rFonts w:ascii="Calibri" w:cs="Calibri" w:eastAsia="Calibri" w:hAnsi="Calibri"/>
          <w:sz w:val="18"/>
          <w:szCs w:val="18"/>
          <w:b w:val="1"/>
          <w:bCs w:val="1"/>
          <w:color w:val="auto"/>
        </w:rPr>
        <w:t>BCP Stand-alone</w:t>
      </w:r>
      <w:r>
        <w:rPr>
          <w:rFonts w:ascii="Calibri" w:cs="Calibri" w:eastAsia="Calibri" w:hAnsi="Calibri"/>
          <w:sz w:val="18"/>
          <w:szCs w:val="18"/>
          <w:color w:val="auto"/>
        </w:rPr>
        <w:t xml:space="preserve">. This growth was driven primarily by weakening in the payment capacity and deterioraton in payment performance in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Credit Cards</w:t>
      </w:r>
      <w:r>
        <w:rPr>
          <w:rFonts w:ascii="Calibri" w:cs="Calibri" w:eastAsia="Calibri" w:hAnsi="Calibri"/>
          <w:sz w:val="18"/>
          <w:szCs w:val="18"/>
          <w:color w:val="auto"/>
        </w:rPr>
        <w:t xml:space="preserve">, which accentuated in the frst semester of 2024, and by a base efect associated with a higher reversal levels in </w:t>
      </w:r>
      <w:r>
        <w:rPr>
          <w:rFonts w:ascii="Calibri" w:cs="Calibri" w:eastAsia="Calibri" w:hAnsi="Calibri"/>
          <w:sz w:val="18"/>
          <w:szCs w:val="18"/>
          <w:b w:val="1"/>
          <w:bCs w:val="1"/>
          <w:color w:val="auto"/>
        </w:rPr>
        <w:t>Wholesale Banking</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Cost of Risk by Subsidiary </w:t>
      </w:r>
      <w:r>
        <w:rPr>
          <w:rFonts w:ascii="Calibri" w:cs="Calibri" w:eastAsia="Calibri" w:hAnsi="Calibri"/>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161290</wp:posOffset>
            </wp:positionV>
            <wp:extent cx="2486025" cy="1697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86025" cy="1697355"/>
                    </a:xfrm>
                    <a:prstGeom prst="rect">
                      <a:avLst/>
                    </a:prstGeom>
                    <a:noFill/>
                  </pic:spPr>
                </pic:pic>
              </a:graphicData>
            </a:graphic>
          </wp:anchor>
        </w:drawing>
      </w:r>
    </w:p>
    <w:p>
      <w:pPr>
        <w:spacing w:after="0" w:line="3045" w:lineRule="exact"/>
        <w:rPr>
          <w:sz w:val="20"/>
          <w:szCs w:val="20"/>
          <w:color w:val="auto"/>
        </w:rPr>
      </w:pPr>
    </w:p>
    <w:p>
      <w:pPr>
        <w:sectPr>
          <w:pgSz w:w="11900" w:h="16838" w:orient="portrait"/>
          <w:cols w:equalWidth="0" w:num="2">
            <w:col w:w="6800" w:space="720"/>
            <w:col w:w="3720"/>
          </w:cols>
          <w:pgMar w:left="320" w:top="348" w:right="339" w:bottom="1440" w:gutter="0" w:footer="0" w:header="0"/>
        </w:sectPr>
      </w:pPr>
    </w:p>
    <w:p>
      <w:pPr>
        <w:spacing w:after="0" w:line="6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Based on the aforementoned and isolatng the impact of the reversal for the El Niño Phenomenon in 1Q24, the CofR rose 59 bps </w:t>
      </w:r>
      <w:r>
        <w:rPr>
          <w:rFonts w:ascii="Calibri" w:cs="Calibri" w:eastAsia="Calibri" w:hAnsi="Calibri"/>
          <w:sz w:val="17"/>
          <w:szCs w:val="17"/>
          <w:b w:val="1"/>
          <w:bCs w:val="1"/>
          <w:color w:val="auto"/>
        </w:rPr>
        <w:t>YTD</w:t>
      </w:r>
      <w:r>
        <w:rPr>
          <w:rFonts w:ascii="Calibri" w:cs="Calibri" w:eastAsia="Calibri" w:hAnsi="Calibri"/>
          <w:sz w:val="17"/>
          <w:szCs w:val="17"/>
          <w:color w:val="auto"/>
        </w:rPr>
        <w:t xml:space="preserve"> to stand at 2.8%.</w:t>
      </w:r>
    </w:p>
    <w:p>
      <w:pPr>
        <w:spacing w:after="0" w:line="220" w:lineRule="exact"/>
        <w:rPr>
          <w:sz w:val="20"/>
          <w:szCs w:val="20"/>
          <w:color w:val="auto"/>
        </w:rPr>
      </w:pPr>
    </w:p>
    <w:p>
      <w:pPr>
        <w:ind w:left="1740"/>
        <w:spacing w:after="0"/>
        <w:tabs>
          <w:tab w:leader="none" w:pos="7620" w:val="left"/>
        </w:tabs>
        <w:rPr>
          <w:sz w:val="20"/>
          <w:szCs w:val="20"/>
          <w:color w:val="auto"/>
        </w:rPr>
      </w:pPr>
      <w:r>
        <w:rPr>
          <w:rFonts w:ascii="Calibri" w:cs="Calibri" w:eastAsia="Calibri" w:hAnsi="Calibri"/>
          <w:sz w:val="18"/>
          <w:szCs w:val="18"/>
          <w:b w:val="1"/>
          <w:bCs w:val="1"/>
          <w:color w:val="auto"/>
        </w:rPr>
        <w:t>QoQ Cost of Risk Evoluton</w:t>
      </w:r>
      <w:r>
        <w:rPr>
          <w:sz w:val="20"/>
          <w:szCs w:val="20"/>
          <w:color w:val="auto"/>
        </w:rPr>
        <w:tab/>
      </w:r>
      <w:r>
        <w:rPr>
          <w:rFonts w:ascii="Calibri" w:cs="Calibri" w:eastAsia="Calibri" w:hAnsi="Calibri"/>
          <w:sz w:val="17"/>
          <w:szCs w:val="17"/>
          <w:b w:val="1"/>
          <w:bCs w:val="1"/>
          <w:color w:val="auto"/>
        </w:rPr>
        <w:t>YoY Cost of Risk Evoluton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6275070" cy="925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75070" cy="92583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alibri" w:cs="Calibri" w:eastAsia="Calibri" w:hAnsi="Calibri"/>
          <w:sz w:val="11"/>
          <w:szCs w:val="11"/>
          <w:color w:val="auto"/>
        </w:rPr>
        <w:t>(1) Others include BCP Bolivia, Mibanco Colombia, ASB and eliminatons.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1"/>
          <w:szCs w:val="11"/>
          <w:color w:val="auto"/>
        </w:rPr>
        <w:t>(1) Others include BCP Bolivia, Mibanco Colombia, ASB and eliminatons.</w:t>
      </w:r>
    </w:p>
    <w:p>
      <w:pPr>
        <w:spacing w:after="0" w:line="1" w:lineRule="exact"/>
        <w:rPr>
          <w:sz w:val="20"/>
          <w:szCs w:val="20"/>
          <w:color w:val="auto"/>
        </w:rPr>
      </w:pPr>
    </w:p>
    <w:p>
      <w:pPr>
        <w:sectPr>
          <w:pgSz w:w="11900" w:h="16838" w:orient="portrait"/>
          <w:cols w:equalWidth="0" w:num="2">
            <w:col w:w="5120" w:space="720"/>
            <w:col w:w="5400"/>
          </w:cols>
          <w:pgMar w:left="320" w:top="348" w:right="339" w:bottom="1440" w:gutter="0" w:footer="0" w:header="0"/>
          <w:type w:val="continuous"/>
        </w:sectPr>
      </w:pPr>
    </w:p>
    <w:p>
      <w:pPr>
        <w:jc w:val="center"/>
        <w:ind w:right="280"/>
        <w:spacing w:after="0" w:line="227" w:lineRule="auto"/>
        <w:rPr>
          <w:sz w:val="20"/>
          <w:szCs w:val="20"/>
          <w:color w:val="auto"/>
        </w:rPr>
      </w:pPr>
      <w:r>
        <w:rPr>
          <w:rFonts w:ascii="Calibri" w:cs="Calibri" w:eastAsia="Calibri" w:hAnsi="Calibri"/>
          <w:sz w:val="18"/>
          <w:szCs w:val="18"/>
          <w:b w:val="1"/>
          <w:bCs w:val="1"/>
          <w:color w:val="auto"/>
        </w:rPr>
        <w:t>YTD Underlying Cost of Risk Evoluton*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152400</wp:posOffset>
            </wp:positionV>
            <wp:extent cx="2837180" cy="1105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718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60" w:hanging="153"/>
        <w:spacing w:after="0"/>
        <w:tabs>
          <w:tab w:leader="none" w:pos="3960" w:val="left"/>
        </w:tabs>
        <w:numPr>
          <w:ilvl w:val="0"/>
          <w:numId w:val="32"/>
        </w:numPr>
        <w:rPr>
          <w:rFonts w:ascii="Calibri" w:cs="Calibri" w:eastAsia="Calibri" w:hAnsi="Calibri"/>
          <w:sz w:val="12"/>
          <w:szCs w:val="12"/>
          <w:color w:val="auto"/>
        </w:rPr>
      </w:pPr>
      <w:r>
        <w:rPr>
          <w:rFonts w:ascii="Calibri" w:cs="Calibri" w:eastAsia="Calibri" w:hAnsi="Calibri"/>
          <w:sz w:val="12"/>
          <w:szCs w:val="12"/>
          <w:color w:val="auto"/>
        </w:rPr>
        <w:t>It excludes the reversals of provisions for “El Niño” Phenomenon in 1Q24.</w:t>
      </w:r>
    </w:p>
    <w:p>
      <w:pPr>
        <w:ind w:left="4060" w:hanging="153"/>
        <w:spacing w:after="0" w:line="221" w:lineRule="auto"/>
        <w:tabs>
          <w:tab w:leader="none" w:pos="4060" w:val="left"/>
        </w:tabs>
        <w:numPr>
          <w:ilvl w:val="1"/>
          <w:numId w:val="32"/>
        </w:numPr>
        <w:rPr>
          <w:rFonts w:ascii="Calibri" w:cs="Calibri" w:eastAsia="Calibri" w:hAnsi="Calibri"/>
          <w:sz w:val="12"/>
          <w:szCs w:val="12"/>
          <w:color w:val="auto"/>
        </w:rPr>
      </w:pPr>
      <w:r>
        <w:rPr>
          <w:rFonts w:ascii="Calibri" w:cs="Calibri" w:eastAsia="Calibri" w:hAnsi="Calibri"/>
          <w:sz w:val="12"/>
          <w:szCs w:val="12"/>
          <w:color w:val="auto"/>
        </w:rPr>
        <w:t>Others include BCP Bolivia, Mibanco Colombia, ASB and eliminatons.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Coverage Rato of NPLs (in Quarter-end balances)</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5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Loan Portolio Quality and Delinquency Ratos</w:t>
            </w:r>
          </w:p>
        </w:tc>
        <w:tc>
          <w:tcPr>
            <w:tcW w:w="1320" w:type="dxa"/>
            <w:vAlign w:val="bottom"/>
            <w:tcBorders>
              <w:top w:val="single" w:sz="8" w:color="auto"/>
            </w:tcBorders>
            <w:shd w:val="clear" w:color="auto" w:fill="33CCCC"/>
          </w:tcPr>
          <w:p>
            <w:pPr>
              <w:spacing w:after="0"/>
              <w:rPr>
                <w:sz w:val="15"/>
                <w:szCs w:val="15"/>
                <w:color w:val="auto"/>
              </w:rPr>
            </w:pPr>
          </w:p>
        </w:tc>
        <w:tc>
          <w:tcPr>
            <w:tcW w:w="13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rPr>
              <w:t>As of</w:t>
            </w:r>
          </w:p>
        </w:tc>
        <w:tc>
          <w:tcPr>
            <w:tcW w:w="1360" w:type="dxa"/>
            <w:vAlign w:val="bottom"/>
            <w:tcBorders>
              <w:top w:val="single" w:sz="8" w:color="auto"/>
              <w:right w:val="single" w:sz="8" w:color="auto"/>
            </w:tcBorders>
            <w:shd w:val="clear" w:color="auto" w:fill="33CCCC"/>
          </w:tcPr>
          <w:p>
            <w:pPr>
              <w:spacing w:after="0"/>
              <w:rPr>
                <w:sz w:val="15"/>
                <w:szCs w:val="15"/>
                <w:color w:val="auto"/>
              </w:rPr>
            </w:pPr>
          </w:p>
        </w:tc>
        <w:tc>
          <w:tcPr>
            <w:tcW w:w="980" w:type="dxa"/>
            <w:vAlign w:val="bottom"/>
            <w:tcBorders>
              <w:top w:val="single" w:sz="8" w:color="auto"/>
            </w:tcBorders>
            <w:shd w:val="clear" w:color="auto" w:fill="33CCCC"/>
          </w:tcPr>
          <w:p>
            <w:pPr>
              <w:spacing w:after="0"/>
              <w:rPr>
                <w:sz w:val="15"/>
                <w:szCs w:val="15"/>
                <w:color w:val="auto"/>
              </w:rPr>
            </w:pPr>
          </w:p>
        </w:tc>
        <w:tc>
          <w:tcPr>
            <w:tcW w:w="172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4"/>
                <w:szCs w:val="14"/>
                <w:b w:val="1"/>
                <w:bCs w:val="1"/>
                <w:color w:val="FFFFFF"/>
              </w:rPr>
              <w:t>% change</w:t>
            </w:r>
          </w:p>
        </w:tc>
      </w:tr>
      <w:tr>
        <w:trPr>
          <w:trHeight w:val="175"/>
        </w:trPr>
        <w:tc>
          <w:tcPr>
            <w:tcW w:w="45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S/ 000</w:t>
            </w:r>
          </w:p>
        </w:tc>
        <w:tc>
          <w:tcPr>
            <w:tcW w:w="1320" w:type="dxa"/>
            <w:vAlign w:val="bottom"/>
            <w:tcBorders>
              <w:bottom w:val="single" w:sz="8" w:color="auto"/>
            </w:tcBorders>
            <w:shd w:val="clear" w:color="auto" w:fill="33CCCC"/>
          </w:tcPr>
          <w:p>
            <w:pPr>
              <w:ind w:left="460"/>
              <w:spacing w:after="0"/>
              <w:rPr>
                <w:sz w:val="20"/>
                <w:szCs w:val="20"/>
                <w:color w:val="auto"/>
              </w:rPr>
            </w:pPr>
            <w:r>
              <w:rPr>
                <w:rFonts w:ascii="Calibri" w:cs="Calibri" w:eastAsia="Calibri" w:hAnsi="Calibri"/>
                <w:sz w:val="14"/>
                <w:szCs w:val="14"/>
                <w:b w:val="1"/>
                <w:bCs w:val="1"/>
                <w:color w:val="FFFFFF"/>
              </w:rPr>
              <w:t>Sep 23</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rPr>
              <w:t>Jun 24</w:t>
            </w:r>
          </w:p>
        </w:tc>
        <w:tc>
          <w:tcPr>
            <w:tcW w:w="136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Calibri" w:cs="Calibri" w:eastAsia="Calibri" w:hAnsi="Calibri"/>
                <w:sz w:val="14"/>
                <w:szCs w:val="14"/>
                <w:b w:val="1"/>
                <w:bCs w:val="1"/>
                <w:color w:val="FFFFFF"/>
              </w:rPr>
              <w:t>Sep 24</w:t>
            </w:r>
          </w:p>
        </w:tc>
        <w:tc>
          <w:tcPr>
            <w:tcW w:w="980" w:type="dxa"/>
            <w:vAlign w:val="bottom"/>
            <w:tcBorders>
              <w:bottom w:val="single" w:sz="8" w:color="auto"/>
            </w:tcBorders>
            <w:shd w:val="clear" w:color="auto" w:fill="33CCCC"/>
          </w:tcPr>
          <w:p>
            <w:pPr>
              <w:jc w:val="center"/>
              <w:ind w:left="268"/>
              <w:spacing w:after="0"/>
              <w:rPr>
                <w:sz w:val="20"/>
                <w:szCs w:val="20"/>
                <w:color w:val="auto"/>
              </w:rPr>
            </w:pPr>
            <w:r>
              <w:rPr>
                <w:rFonts w:ascii="Calibri" w:cs="Calibri" w:eastAsia="Calibri" w:hAnsi="Calibri"/>
                <w:sz w:val="14"/>
                <w:szCs w:val="14"/>
                <w:b w:val="1"/>
                <w:bCs w:val="1"/>
                <w:color w:val="FFFFFF"/>
              </w:rPr>
              <w:t>QoQ</w:t>
            </w:r>
          </w:p>
        </w:tc>
        <w:tc>
          <w:tcPr>
            <w:tcW w:w="1720" w:type="dxa"/>
            <w:vAlign w:val="bottom"/>
            <w:tcBorders>
              <w:bottom w:val="single" w:sz="8" w:color="auto"/>
              <w:right w:val="single" w:sz="8" w:color="auto"/>
            </w:tcBorders>
            <w:shd w:val="clear" w:color="auto" w:fill="33CCCC"/>
          </w:tcPr>
          <w:p>
            <w:pPr>
              <w:jc w:val="center"/>
              <w:ind w:left="268"/>
              <w:spacing w:after="0"/>
              <w:rPr>
                <w:sz w:val="20"/>
                <w:szCs w:val="20"/>
                <w:color w:val="auto"/>
              </w:rPr>
            </w:pPr>
            <w:r>
              <w:rPr>
                <w:rFonts w:ascii="Calibri" w:cs="Calibri" w:eastAsia="Calibri" w:hAnsi="Calibri"/>
                <w:sz w:val="14"/>
                <w:szCs w:val="14"/>
                <w:b w:val="1"/>
                <w:bCs w:val="1"/>
                <w:color w:val="FFFFFF"/>
                <w:w w:val="99"/>
              </w:rPr>
              <w:t>YoY</w:t>
            </w:r>
          </w:p>
        </w:tc>
      </w:tr>
      <w:tr>
        <w:trPr>
          <w:trHeight w:val="172"/>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Total loans (Quarter-end balance)</w:t>
            </w: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145,129,260</w:t>
            </w:r>
          </w:p>
        </w:tc>
        <w:tc>
          <w:tcPr>
            <w:tcW w:w="13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146,946,546</w:t>
            </w:r>
          </w:p>
        </w:tc>
        <w:tc>
          <w:tcPr>
            <w:tcW w:w="13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rPr>
              <w:t>142,568,785</w:t>
            </w:r>
          </w:p>
        </w:tc>
        <w:tc>
          <w:tcPr>
            <w:tcW w:w="980" w:type="dxa"/>
            <w:vAlign w:val="bottom"/>
            <w:tcBorders>
              <w:bottom w:val="single" w:sz="8" w:color="auto"/>
            </w:tcBorders>
          </w:tcPr>
          <w:p>
            <w:pPr>
              <w:jc w:val="center"/>
              <w:ind w:left="268"/>
              <w:spacing w:after="0"/>
              <w:rPr>
                <w:sz w:val="20"/>
                <w:szCs w:val="20"/>
                <w:color w:val="auto"/>
              </w:rPr>
            </w:pPr>
            <w:r>
              <w:rPr>
                <w:rFonts w:ascii="Calibri" w:cs="Calibri" w:eastAsia="Calibri" w:hAnsi="Calibri"/>
                <w:sz w:val="14"/>
                <w:szCs w:val="14"/>
                <w:color w:val="auto"/>
                <w:w w:val="99"/>
              </w:rPr>
              <w:t>-3.0%</w:t>
            </w:r>
          </w:p>
        </w:tc>
        <w:tc>
          <w:tcPr>
            <w:tcW w:w="1720" w:type="dxa"/>
            <w:vAlign w:val="bottom"/>
            <w:tcBorders>
              <w:bottom w:val="single" w:sz="8" w:color="auto"/>
              <w:right w:val="single" w:sz="8" w:color="auto"/>
            </w:tcBorders>
          </w:tcPr>
          <w:p>
            <w:pPr>
              <w:jc w:val="center"/>
              <w:ind w:left="248"/>
              <w:spacing w:after="0"/>
              <w:rPr>
                <w:sz w:val="20"/>
                <w:szCs w:val="20"/>
                <w:color w:val="auto"/>
              </w:rPr>
            </w:pPr>
            <w:r>
              <w:rPr>
                <w:rFonts w:ascii="Calibri" w:cs="Calibri" w:eastAsia="Calibri" w:hAnsi="Calibri"/>
                <w:sz w:val="14"/>
                <w:szCs w:val="14"/>
                <w:color w:val="auto"/>
                <w:w w:val="99"/>
              </w:rPr>
              <w:t>-1.8%</w:t>
            </w:r>
          </w:p>
        </w:tc>
      </w:tr>
      <w:tr>
        <w:trPr>
          <w:trHeight w:val="169"/>
        </w:trPr>
        <w:tc>
          <w:tcPr>
            <w:tcW w:w="452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Allowance for loan losses</w:t>
            </w:r>
          </w:p>
        </w:tc>
        <w:tc>
          <w:tcPr>
            <w:tcW w:w="13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8,056,216</w:t>
            </w:r>
          </w:p>
        </w:tc>
        <w:tc>
          <w:tcPr>
            <w:tcW w:w="13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8,350,024</w:t>
            </w:r>
          </w:p>
        </w:tc>
        <w:tc>
          <w:tcPr>
            <w:tcW w:w="13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8,250,023</w:t>
            </w:r>
          </w:p>
        </w:tc>
        <w:tc>
          <w:tcPr>
            <w:tcW w:w="980" w:type="dxa"/>
            <w:vAlign w:val="bottom"/>
            <w:tcBorders>
              <w:bottom w:val="single" w:sz="8" w:color="auto"/>
            </w:tcBorders>
          </w:tcPr>
          <w:p>
            <w:pPr>
              <w:jc w:val="center"/>
              <w:ind w:left="268"/>
              <w:spacing w:after="0" w:line="169" w:lineRule="exact"/>
              <w:rPr>
                <w:sz w:val="20"/>
                <w:szCs w:val="20"/>
                <w:color w:val="auto"/>
              </w:rPr>
            </w:pPr>
            <w:r>
              <w:rPr>
                <w:rFonts w:ascii="Calibri" w:cs="Calibri" w:eastAsia="Calibri" w:hAnsi="Calibri"/>
                <w:sz w:val="14"/>
                <w:szCs w:val="14"/>
                <w:color w:val="auto"/>
                <w:w w:val="99"/>
              </w:rPr>
              <w:t>-1.2%</w:t>
            </w:r>
          </w:p>
        </w:tc>
        <w:tc>
          <w:tcPr>
            <w:tcW w:w="1720" w:type="dxa"/>
            <w:vAlign w:val="bottom"/>
            <w:tcBorders>
              <w:bottom w:val="single" w:sz="8" w:color="auto"/>
              <w:right w:val="single" w:sz="8" w:color="auto"/>
            </w:tcBorders>
          </w:tcPr>
          <w:p>
            <w:pPr>
              <w:jc w:val="center"/>
              <w:ind w:left="248"/>
              <w:spacing w:after="0" w:line="169" w:lineRule="exact"/>
              <w:rPr>
                <w:sz w:val="20"/>
                <w:szCs w:val="20"/>
                <w:color w:val="auto"/>
              </w:rPr>
            </w:pPr>
            <w:r>
              <w:rPr>
                <w:rFonts w:ascii="Calibri" w:cs="Calibri" w:eastAsia="Calibri" w:hAnsi="Calibri"/>
                <w:sz w:val="14"/>
                <w:szCs w:val="14"/>
                <w:color w:val="auto"/>
              </w:rPr>
              <w:t>2.4%</w:t>
            </w:r>
          </w:p>
        </w:tc>
      </w:tr>
      <w:tr>
        <w:trPr>
          <w:trHeight w:val="169"/>
        </w:trPr>
        <w:tc>
          <w:tcPr>
            <w:tcW w:w="452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Non-performing loans (NPLs)</w:t>
            </w:r>
          </w:p>
        </w:tc>
        <w:tc>
          <w:tcPr>
            <w:tcW w:w="13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8,659,443</w:t>
            </w:r>
          </w:p>
        </w:tc>
        <w:tc>
          <w:tcPr>
            <w:tcW w:w="13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8,785,896</w:t>
            </w:r>
          </w:p>
        </w:tc>
        <w:tc>
          <w:tcPr>
            <w:tcW w:w="13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8,360,155</w:t>
            </w:r>
          </w:p>
        </w:tc>
        <w:tc>
          <w:tcPr>
            <w:tcW w:w="980" w:type="dxa"/>
            <w:vAlign w:val="bottom"/>
            <w:tcBorders>
              <w:bottom w:val="single" w:sz="8" w:color="auto"/>
            </w:tcBorders>
          </w:tcPr>
          <w:p>
            <w:pPr>
              <w:jc w:val="center"/>
              <w:ind w:left="268"/>
              <w:spacing w:after="0" w:line="169" w:lineRule="exact"/>
              <w:rPr>
                <w:sz w:val="20"/>
                <w:szCs w:val="20"/>
                <w:color w:val="auto"/>
              </w:rPr>
            </w:pPr>
            <w:r>
              <w:rPr>
                <w:rFonts w:ascii="Calibri" w:cs="Calibri" w:eastAsia="Calibri" w:hAnsi="Calibri"/>
                <w:sz w:val="14"/>
                <w:szCs w:val="14"/>
                <w:color w:val="auto"/>
                <w:w w:val="99"/>
              </w:rPr>
              <w:t>-4.8%</w:t>
            </w:r>
          </w:p>
        </w:tc>
        <w:tc>
          <w:tcPr>
            <w:tcW w:w="1720" w:type="dxa"/>
            <w:vAlign w:val="bottom"/>
            <w:tcBorders>
              <w:bottom w:val="single" w:sz="8" w:color="auto"/>
              <w:right w:val="single" w:sz="8" w:color="auto"/>
            </w:tcBorders>
          </w:tcPr>
          <w:p>
            <w:pPr>
              <w:jc w:val="center"/>
              <w:ind w:left="248"/>
              <w:spacing w:after="0" w:line="169" w:lineRule="exact"/>
              <w:rPr>
                <w:sz w:val="20"/>
                <w:szCs w:val="20"/>
                <w:color w:val="auto"/>
              </w:rPr>
            </w:pPr>
            <w:r>
              <w:rPr>
                <w:rFonts w:ascii="Calibri" w:cs="Calibri" w:eastAsia="Calibri" w:hAnsi="Calibri"/>
                <w:sz w:val="14"/>
                <w:szCs w:val="14"/>
                <w:color w:val="auto"/>
                <w:w w:val="99"/>
              </w:rPr>
              <w:t>-3.5%</w:t>
            </w:r>
          </w:p>
        </w:tc>
      </w:tr>
      <w:tr>
        <w:trPr>
          <w:trHeight w:val="169"/>
        </w:trPr>
        <w:tc>
          <w:tcPr>
            <w:tcW w:w="452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b w:val="1"/>
                <w:bCs w:val="1"/>
                <w:color w:val="auto"/>
              </w:rPr>
              <w:t>Allowance for loan losses over Total loans</w:t>
            </w:r>
          </w:p>
        </w:tc>
        <w:tc>
          <w:tcPr>
            <w:tcW w:w="13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w w:val="99"/>
              </w:rPr>
              <w:t>5.6%</w:t>
            </w:r>
          </w:p>
        </w:tc>
        <w:tc>
          <w:tcPr>
            <w:tcW w:w="13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5.7%</w:t>
            </w:r>
          </w:p>
        </w:tc>
        <w:tc>
          <w:tcPr>
            <w:tcW w:w="13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5.8%</w:t>
            </w:r>
          </w:p>
        </w:tc>
        <w:tc>
          <w:tcPr>
            <w:tcW w:w="980" w:type="dxa"/>
            <w:vAlign w:val="bottom"/>
            <w:tcBorders>
              <w:bottom w:val="single" w:sz="8" w:color="auto"/>
            </w:tcBorders>
          </w:tcPr>
          <w:p>
            <w:pPr>
              <w:jc w:val="center"/>
              <w:ind w:left="268"/>
              <w:spacing w:after="0" w:line="169" w:lineRule="exact"/>
              <w:rPr>
                <w:sz w:val="20"/>
                <w:szCs w:val="20"/>
                <w:color w:val="auto"/>
              </w:rPr>
            </w:pPr>
            <w:r>
              <w:rPr>
                <w:rFonts w:ascii="Calibri" w:cs="Calibri" w:eastAsia="Calibri" w:hAnsi="Calibri"/>
                <w:sz w:val="14"/>
                <w:szCs w:val="14"/>
                <w:b w:val="1"/>
                <w:bCs w:val="1"/>
                <w:color w:val="auto"/>
              </w:rPr>
              <w:t>11 bps</w:t>
            </w:r>
          </w:p>
        </w:tc>
        <w:tc>
          <w:tcPr>
            <w:tcW w:w="1720" w:type="dxa"/>
            <w:vAlign w:val="bottom"/>
            <w:tcBorders>
              <w:bottom w:val="single" w:sz="8" w:color="auto"/>
              <w:right w:val="single" w:sz="8" w:color="auto"/>
            </w:tcBorders>
          </w:tcPr>
          <w:p>
            <w:pPr>
              <w:jc w:val="center"/>
              <w:ind w:left="268"/>
              <w:spacing w:after="0" w:line="169" w:lineRule="exact"/>
              <w:rPr>
                <w:sz w:val="20"/>
                <w:szCs w:val="20"/>
                <w:color w:val="auto"/>
              </w:rPr>
            </w:pPr>
            <w:r>
              <w:rPr>
                <w:rFonts w:ascii="Calibri" w:cs="Calibri" w:eastAsia="Calibri" w:hAnsi="Calibri"/>
                <w:sz w:val="14"/>
                <w:szCs w:val="14"/>
                <w:b w:val="1"/>
                <w:bCs w:val="1"/>
                <w:color w:val="auto"/>
                <w:w w:val="99"/>
              </w:rPr>
              <w:t>24 bps</w:t>
            </w:r>
          </w:p>
        </w:tc>
      </w:tr>
      <w:tr>
        <w:trPr>
          <w:trHeight w:val="169"/>
        </w:trPr>
        <w:tc>
          <w:tcPr>
            <w:tcW w:w="452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Calibri" w:cs="Calibri" w:eastAsia="Calibri" w:hAnsi="Calibri"/>
                <w:sz w:val="14"/>
                <w:szCs w:val="14"/>
                <w:b w:val="1"/>
                <w:bCs w:val="1"/>
                <w:color w:val="auto"/>
              </w:rPr>
              <w:t>Coverage rato of NPLs</w:t>
            </w:r>
          </w:p>
        </w:tc>
        <w:tc>
          <w:tcPr>
            <w:tcW w:w="13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93.0%</w:t>
            </w:r>
          </w:p>
        </w:tc>
        <w:tc>
          <w:tcPr>
            <w:tcW w:w="13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95.0%</w:t>
            </w:r>
          </w:p>
        </w:tc>
        <w:tc>
          <w:tcPr>
            <w:tcW w:w="1360" w:type="dxa"/>
            <w:vAlign w:val="bottom"/>
            <w:tcBorders>
              <w:bottom w:val="single" w:sz="8" w:color="auto"/>
              <w:right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98.7%</w:t>
            </w:r>
          </w:p>
        </w:tc>
        <w:tc>
          <w:tcPr>
            <w:tcW w:w="980" w:type="dxa"/>
            <w:vAlign w:val="bottom"/>
            <w:tcBorders>
              <w:bottom w:val="single" w:sz="8" w:color="auto"/>
            </w:tcBorders>
          </w:tcPr>
          <w:p>
            <w:pPr>
              <w:jc w:val="center"/>
              <w:ind w:left="288"/>
              <w:spacing w:after="0" w:line="169" w:lineRule="exact"/>
              <w:rPr>
                <w:sz w:val="20"/>
                <w:szCs w:val="20"/>
                <w:color w:val="auto"/>
              </w:rPr>
            </w:pPr>
            <w:r>
              <w:rPr>
                <w:rFonts w:ascii="Calibri" w:cs="Calibri" w:eastAsia="Calibri" w:hAnsi="Calibri"/>
                <w:sz w:val="14"/>
                <w:szCs w:val="14"/>
                <w:b w:val="1"/>
                <w:bCs w:val="1"/>
                <w:color w:val="auto"/>
              </w:rPr>
              <w:t>364 bps</w:t>
            </w:r>
          </w:p>
        </w:tc>
        <w:tc>
          <w:tcPr>
            <w:tcW w:w="1720" w:type="dxa"/>
            <w:vAlign w:val="bottom"/>
            <w:tcBorders>
              <w:bottom w:val="single" w:sz="8" w:color="auto"/>
              <w:right w:val="single" w:sz="8" w:color="auto"/>
            </w:tcBorders>
          </w:tcPr>
          <w:p>
            <w:pPr>
              <w:jc w:val="center"/>
              <w:ind w:left="268"/>
              <w:spacing w:after="0" w:line="169" w:lineRule="exact"/>
              <w:rPr>
                <w:sz w:val="20"/>
                <w:szCs w:val="20"/>
                <w:color w:val="auto"/>
              </w:rPr>
            </w:pPr>
            <w:r>
              <w:rPr>
                <w:rFonts w:ascii="Calibri" w:cs="Calibri" w:eastAsia="Calibri" w:hAnsi="Calibri"/>
                <w:sz w:val="14"/>
                <w:szCs w:val="14"/>
                <w:b w:val="1"/>
                <w:bCs w:val="1"/>
                <w:color w:val="auto"/>
              </w:rPr>
              <w:t>565 bps</w:t>
            </w:r>
          </w:p>
        </w:tc>
      </w:tr>
    </w:tbl>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32" w:name="page33"/>
    <w:bookmarkEnd w:id="32"/>
    <w:p>
      <w:pPr>
        <w:jc w:val="right"/>
        <w:ind w:right="560"/>
        <w:spacing w:after="0"/>
        <w:tabs>
          <w:tab w:leader="none" w:pos="2160" w:val="left"/>
        </w:tabs>
        <w:rPr>
          <w:sz w:val="20"/>
          <w:szCs w:val="20"/>
          <w:color w:val="auto"/>
        </w:rPr>
      </w:pPr>
      <w:r>
        <w:rPr>
          <w:rFonts w:ascii="Calibri" w:cs="Calibri" w:eastAsia="Calibri" w:hAnsi="Calibri"/>
          <w:sz w:val="20"/>
          <w:szCs w:val="20"/>
          <w:color w:val="A6A6A6"/>
        </w:rPr>
        <w:t>|</w:t>
      </w:r>
      <w:r>
        <w:rPr>
          <w:sz w:val="20"/>
          <w:szCs w:val="20"/>
          <w:color w:val="auto"/>
        </w:rPr>
        <w:tab/>
      </w:r>
      <w:r>
        <w:rPr>
          <w:rFonts w:ascii="Calibri" w:cs="Calibri" w:eastAsia="Calibri" w:hAnsi="Calibri"/>
          <w:sz w:val="16"/>
          <w:szCs w:val="16"/>
          <w:color w:val="BFBFBF"/>
        </w:rPr>
        <w:t>Earnings Release 3Q / 24</w:t>
      </w:r>
    </w:p>
    <w:p>
      <w:pPr>
        <w:spacing w:after="0" w:line="345"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FFFFFF"/>
        </w:rPr>
        <w:t>05. Portolio Quality and Provisions</w:t>
      </w:r>
    </w:p>
    <w:p>
      <w:pPr>
        <w:spacing w:after="0" w:line="270" w:lineRule="exact"/>
        <w:rPr>
          <w:sz w:val="20"/>
          <w:szCs w:val="20"/>
          <w:color w:val="auto"/>
        </w:rPr>
      </w:pPr>
    </w:p>
    <w:p>
      <w:pPr>
        <w:jc w:val="center"/>
        <w:ind w:left="280"/>
        <w:spacing w:after="0"/>
        <w:rPr>
          <w:sz w:val="20"/>
          <w:szCs w:val="20"/>
          <w:color w:val="auto"/>
        </w:rPr>
      </w:pPr>
      <w:r>
        <w:rPr>
          <w:rFonts w:ascii="Calibri" w:cs="Calibri" w:eastAsia="Calibri" w:hAnsi="Calibri"/>
          <w:sz w:val="18"/>
          <w:szCs w:val="18"/>
          <w:b w:val="1"/>
          <w:bCs w:val="1"/>
          <w:color w:val="auto"/>
        </w:rPr>
        <w:t>Allowance for loan losses</w:t>
      </w:r>
    </w:p>
    <w:p>
      <w:pPr>
        <w:jc w:val="center"/>
        <w:ind w:left="280"/>
        <w:spacing w:after="0" w:line="235" w:lineRule="auto"/>
        <w:rPr>
          <w:sz w:val="20"/>
          <w:szCs w:val="20"/>
          <w:color w:val="auto"/>
        </w:rPr>
      </w:pPr>
      <w:r>
        <w:rPr>
          <w:rFonts w:ascii="Calibri" w:cs="Calibri" w:eastAsia="Calibri" w:hAnsi="Calibri"/>
          <w:sz w:val="18"/>
          <w:szCs w:val="18"/>
          <w:color w:val="auto"/>
        </w:rPr>
        <w:t>(in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152400</wp:posOffset>
            </wp:positionV>
            <wp:extent cx="2374265" cy="1379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7426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alibri" w:cs="Calibri" w:eastAsia="Calibri" w:hAnsi="Calibri"/>
          <w:sz w:val="12"/>
          <w:szCs w:val="12"/>
          <w:color w:val="auto"/>
        </w:rPr>
        <w:t>(1) Others include Mibanco Colombia, ASB and eliminatons.</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-264795</wp:posOffset>
            </wp:positionV>
            <wp:extent cx="7132320" cy="720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QoQ</w:t>
      </w:r>
      <w:r>
        <w:rPr>
          <w:rFonts w:ascii="Calibri" w:cs="Calibri" w:eastAsia="Calibri" w:hAnsi="Calibri"/>
          <w:sz w:val="18"/>
          <w:szCs w:val="18"/>
          <w:color w:val="auto"/>
        </w:rPr>
        <w:t>, the accumulated provisions balance fell 1.2%, driven mainly by</w:t>
      </w:r>
      <w:r>
        <w:rPr>
          <w:rFonts w:ascii="Calibri" w:cs="Calibri" w:eastAsia="Calibri" w:hAnsi="Calibri"/>
          <w:sz w:val="18"/>
          <w:szCs w:val="18"/>
          <w:b w:val="1"/>
          <w:bCs w:val="1"/>
          <w:color w:val="auto"/>
        </w:rPr>
        <w:t xml:space="preserve"> Mibanco </w:t>
      </w:r>
      <w:r>
        <w:rPr>
          <w:rFonts w:ascii="Calibri" w:cs="Calibri" w:eastAsia="Calibri" w:hAnsi="Calibri"/>
          <w:sz w:val="18"/>
          <w:szCs w:val="18"/>
          <w:color w:val="auto"/>
        </w:rPr>
        <w:t>and secondarily by</w:t>
      </w:r>
      <w:r>
        <w:rPr>
          <w:rFonts w:ascii="Calibri" w:cs="Calibri" w:eastAsia="Calibri" w:hAnsi="Calibri"/>
          <w:sz w:val="18"/>
          <w:szCs w:val="18"/>
          <w:b w:val="1"/>
          <w:bCs w:val="1"/>
          <w:color w:val="auto"/>
        </w:rPr>
        <w:t xml:space="preserve"> Consumer </w:t>
      </w:r>
      <w:r>
        <w:rPr>
          <w:rFonts w:ascii="Calibri" w:cs="Calibri" w:eastAsia="Calibri" w:hAnsi="Calibri"/>
          <w:sz w:val="18"/>
          <w:szCs w:val="18"/>
          <w:color w:val="auto"/>
        </w:rPr>
        <w:t>at</w:t>
      </w:r>
      <w:r>
        <w:rPr>
          <w:rFonts w:ascii="Calibri" w:cs="Calibri" w:eastAsia="Calibri" w:hAnsi="Calibri"/>
          <w:sz w:val="18"/>
          <w:szCs w:val="18"/>
          <w:b w:val="1"/>
          <w:bCs w:val="1"/>
          <w:color w:val="auto"/>
        </w:rPr>
        <w:t xml:space="preserve"> BCP Stand-alone.</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 xml:space="preserve">YoY, </w:t>
      </w:r>
      <w:r>
        <w:rPr>
          <w:rFonts w:ascii="Calibri" w:cs="Calibri" w:eastAsia="Calibri" w:hAnsi="Calibri"/>
          <w:sz w:val="18"/>
          <w:szCs w:val="18"/>
          <w:color w:val="auto"/>
        </w:rPr>
        <w:t>the accumulated provisions balance rose 2.4%, fueled primarily by</w:t>
      </w:r>
      <w:r>
        <w:rPr>
          <w:rFonts w:ascii="Calibri" w:cs="Calibri" w:eastAsia="Calibri" w:hAnsi="Calibri"/>
          <w:sz w:val="18"/>
          <w:szCs w:val="18"/>
          <w:b w:val="1"/>
          <w:bCs w:val="1"/>
          <w:color w:val="auto"/>
        </w:rPr>
        <w:t xml:space="preserve"> SME-Pyme</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Credit Cards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Mortgage </w:t>
      </w:r>
      <w:r>
        <w:rPr>
          <w:rFonts w:ascii="Calibri" w:cs="Calibri" w:eastAsia="Calibri" w:hAnsi="Calibri"/>
          <w:sz w:val="18"/>
          <w:szCs w:val="18"/>
          <w:color w:val="auto"/>
        </w:rPr>
        <w:t>at</w:t>
      </w:r>
      <w:r>
        <w:rPr>
          <w:rFonts w:ascii="Calibri" w:cs="Calibri" w:eastAsia="Calibri" w:hAnsi="Calibri"/>
          <w:sz w:val="18"/>
          <w:szCs w:val="18"/>
          <w:b w:val="1"/>
          <w:bCs w:val="1"/>
          <w:color w:val="auto"/>
        </w:rPr>
        <w:t xml:space="preserve"> BCP Stand-alone</w:t>
      </w:r>
      <w:r>
        <w:rPr>
          <w:rFonts w:ascii="Calibri" w:cs="Calibri" w:eastAsia="Calibri" w:hAnsi="Calibri"/>
          <w:sz w:val="18"/>
          <w:szCs w:val="18"/>
          <w:color w:val="auto"/>
        </w:rPr>
        <w:t>.</w:t>
      </w:r>
    </w:p>
    <w:p>
      <w:pPr>
        <w:spacing w:after="0" w:line="2288" w:lineRule="exact"/>
        <w:rPr>
          <w:sz w:val="20"/>
          <w:szCs w:val="20"/>
          <w:color w:val="auto"/>
        </w:rPr>
      </w:pPr>
    </w:p>
    <w:p>
      <w:pPr>
        <w:sectPr>
          <w:pgSz w:w="11900" w:h="16838" w:orient="portrait"/>
          <w:cols w:equalWidth="0" w:num="2">
            <w:col w:w="5120" w:space="720"/>
            <w:col w:w="5400"/>
          </w:cols>
          <w:pgMar w:left="320" w:top="348" w:right="339" w:bottom="1440" w:gutter="0" w:footer="0" w:header="0"/>
        </w:sectPr>
      </w:pPr>
    </w:p>
    <w:p>
      <w:pPr>
        <w:ind w:left="2000"/>
        <w:spacing w:after="0"/>
        <w:rPr>
          <w:sz w:val="20"/>
          <w:szCs w:val="20"/>
          <w:color w:val="auto"/>
        </w:rPr>
      </w:pPr>
      <w:r>
        <w:rPr>
          <w:rFonts w:ascii="Calibri" w:cs="Calibri" w:eastAsia="Calibri" w:hAnsi="Calibri"/>
          <w:sz w:val="18"/>
          <w:szCs w:val="18"/>
          <w:b w:val="1"/>
          <w:bCs w:val="1"/>
          <w:color w:val="auto"/>
        </w:rPr>
        <w:t>NPL Coverage Rato</w:t>
      </w:r>
    </w:p>
    <w:p>
      <w:pPr>
        <w:jc w:val="both"/>
        <w:ind w:left="5840"/>
        <w:spacing w:after="0" w:line="222" w:lineRule="auto"/>
        <w:rPr>
          <w:sz w:val="20"/>
          <w:szCs w:val="20"/>
          <w:color w:val="auto"/>
        </w:rPr>
      </w:pPr>
      <w:r>
        <w:rPr>
          <w:rFonts w:ascii="Calibri" w:cs="Calibri" w:eastAsia="Calibri" w:hAnsi="Calibri"/>
          <w:sz w:val="18"/>
          <w:szCs w:val="18"/>
          <w:color w:val="auto"/>
        </w:rPr>
        <w:t>The total NPL Coverage Rato reached 98.7% at the end of 3Q24. If we exclude the volume of NPLs in the Government Program portolio, the rato stood at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-360680</wp:posOffset>
            </wp:positionV>
            <wp:extent cx="2263140" cy="20059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63140" cy="2005965"/>
                    </a:xfrm>
                    <a:prstGeom prst="rect">
                      <a:avLst/>
                    </a:prstGeom>
                    <a:noFill/>
                  </pic:spPr>
                </pic:pic>
              </a:graphicData>
            </a:graphic>
          </wp:anchor>
        </w:drawing>
      </w:r>
    </w:p>
    <w:p>
      <w:pPr>
        <w:spacing w:after="0" w:line="153" w:lineRule="exact"/>
        <w:rPr>
          <w:sz w:val="20"/>
          <w:szCs w:val="20"/>
          <w:color w:val="auto"/>
        </w:rPr>
      </w:pPr>
    </w:p>
    <w:p>
      <w:pPr>
        <w:ind w:left="5840"/>
        <w:spacing w:after="0"/>
        <w:rPr>
          <w:sz w:val="20"/>
          <w:szCs w:val="20"/>
          <w:color w:val="auto"/>
        </w:rPr>
      </w:pPr>
      <w:r>
        <w:rPr>
          <w:rFonts w:ascii="Calibri" w:cs="Calibri" w:eastAsia="Calibri" w:hAnsi="Calibri"/>
          <w:sz w:val="18"/>
          <w:szCs w:val="18"/>
          <w:b w:val="1"/>
          <w:bCs w:val="1"/>
          <w:color w:val="auto"/>
        </w:rPr>
        <w:t>QoQ</w:t>
      </w:r>
    </w:p>
    <w:p>
      <w:pPr>
        <w:spacing w:after="0" w:line="1" w:lineRule="exact"/>
        <w:rPr>
          <w:sz w:val="20"/>
          <w:szCs w:val="20"/>
          <w:color w:val="auto"/>
        </w:rPr>
      </w:pPr>
    </w:p>
    <w:p>
      <w:pPr>
        <w:jc w:val="both"/>
        <w:ind w:left="5840"/>
        <w:spacing w:after="0" w:line="235" w:lineRule="auto"/>
        <w:rPr>
          <w:sz w:val="20"/>
          <w:szCs w:val="20"/>
          <w:color w:val="auto"/>
        </w:rPr>
      </w:pPr>
      <w:r>
        <w:rPr>
          <w:rFonts w:ascii="Calibri" w:cs="Calibri" w:eastAsia="Calibri" w:hAnsi="Calibri"/>
          <w:sz w:val="18"/>
          <w:szCs w:val="18"/>
          <w:color w:val="auto"/>
        </w:rPr>
        <w:t xml:space="preserve">The total NPL Coverage Rato at </w:t>
      </w:r>
      <w:r>
        <w:rPr>
          <w:rFonts w:ascii="Calibri" w:cs="Calibri" w:eastAsia="Calibri" w:hAnsi="Calibri"/>
          <w:sz w:val="18"/>
          <w:szCs w:val="18"/>
          <w:b w:val="1"/>
          <w:bCs w:val="1"/>
          <w:color w:val="auto"/>
        </w:rPr>
        <w:t>Credicorp</w:t>
      </w:r>
      <w:r>
        <w:rPr>
          <w:rFonts w:ascii="Calibri" w:cs="Calibri" w:eastAsia="Calibri" w:hAnsi="Calibri"/>
          <w:sz w:val="18"/>
          <w:szCs w:val="18"/>
          <w:color w:val="auto"/>
        </w:rPr>
        <w:t xml:space="preserve"> rose 364 bps, driven by the evoluton at </w:t>
      </w:r>
      <w:r>
        <w:rPr>
          <w:rFonts w:ascii="Calibri" w:cs="Calibri" w:eastAsia="Calibri" w:hAnsi="Calibri"/>
          <w:sz w:val="18"/>
          <w:szCs w:val="18"/>
          <w:b w:val="1"/>
          <w:bCs w:val="1"/>
          <w:color w:val="auto"/>
        </w:rPr>
        <w:t>BCP Stand-alone</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Mibanco</w:t>
      </w:r>
      <w:r>
        <w:rPr>
          <w:rFonts w:ascii="Calibri" w:cs="Calibri" w:eastAsia="Calibri" w:hAnsi="Calibri"/>
          <w:sz w:val="18"/>
          <w:szCs w:val="18"/>
          <w:color w:val="auto"/>
        </w:rPr>
        <w:t>. Next, we analyze this evoluton by isolatng the impact of NPL loans in the Government Program Portolio, which are equipped with ample coverage and are being honored satsfactorily.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QoQ</w:t>
      </w:r>
      <w:r>
        <w:rPr>
          <w:rFonts w:ascii="Calibri" w:cs="Calibri" w:eastAsia="Calibri" w:hAnsi="Calibri"/>
          <w:sz w:val="18"/>
          <w:szCs w:val="18"/>
          <w:color w:val="auto"/>
        </w:rPr>
        <w:t>, the NPL Coverage Rato at</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excluding Government Program loans, rose 413 bps to stand at 100.7%. This evoluton was fueled mainly 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a drop in NPLs in </w:t>
      </w:r>
      <w:r>
        <w:rPr>
          <w:rFonts w:ascii="Calibri" w:cs="Calibri" w:eastAsia="Calibri" w:hAnsi="Calibri"/>
          <w:sz w:val="18"/>
          <w:szCs w:val="18"/>
          <w:b w:val="1"/>
          <w:bCs w:val="1"/>
          <w:color w:val="auto"/>
        </w:rPr>
        <w:t>Wholesale Banking</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Credit Cards</w:t>
      </w:r>
      <w:r>
        <w:rPr>
          <w:rFonts w:ascii="Calibri" w:cs="Calibri" w:eastAsia="Calibri" w:hAnsi="Calibri"/>
          <w:sz w:val="18"/>
          <w:szCs w:val="18"/>
          <w:color w:val="auto"/>
        </w:rPr>
        <w:t xml:space="preserve">. The NPL coverage rato at </w:t>
      </w:r>
      <w:r>
        <w:rPr>
          <w:rFonts w:ascii="Calibri" w:cs="Calibri" w:eastAsia="Calibri" w:hAnsi="Calibri"/>
          <w:sz w:val="18"/>
          <w:szCs w:val="18"/>
          <w:b w:val="1"/>
          <w:bCs w:val="1"/>
          <w:color w:val="auto"/>
        </w:rPr>
        <w:t>Mibanco</w:t>
      </w:r>
      <w:r>
        <w:rPr>
          <w:rFonts w:ascii="Calibri" w:cs="Calibri" w:eastAsia="Calibri" w:hAnsi="Calibri"/>
          <w:sz w:val="18"/>
          <w:szCs w:val="18"/>
          <w:color w:val="auto"/>
        </w:rPr>
        <w:t>, excluding Government Program loans, increased 386 bps to stand at 101.6%. This evoluton was driven by a reducton in the NPL portolio, explained earlier.</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YoY</w:t>
      </w:r>
    </w:p>
    <w:p>
      <w:pPr>
        <w:spacing w:after="0" w:line="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The Total NPL Coverage Rato at </w:t>
      </w:r>
      <w:r>
        <w:rPr>
          <w:rFonts w:ascii="Calibri" w:cs="Calibri" w:eastAsia="Calibri" w:hAnsi="Calibri"/>
          <w:sz w:val="18"/>
          <w:szCs w:val="18"/>
          <w:b w:val="1"/>
          <w:bCs w:val="1"/>
          <w:color w:val="auto"/>
        </w:rPr>
        <w:t>Credicorp</w:t>
      </w:r>
      <w:r>
        <w:rPr>
          <w:rFonts w:ascii="Calibri" w:cs="Calibri" w:eastAsia="Calibri" w:hAnsi="Calibri"/>
          <w:sz w:val="18"/>
          <w:szCs w:val="18"/>
          <w:color w:val="auto"/>
        </w:rPr>
        <w:t xml:space="preserve"> rose 565 bps </w:t>
      </w:r>
      <w:r>
        <w:rPr>
          <w:rFonts w:ascii="Calibri" w:cs="Calibri" w:eastAsia="Calibri" w:hAnsi="Calibri"/>
          <w:sz w:val="18"/>
          <w:szCs w:val="18"/>
          <w:b w:val="1"/>
          <w:bCs w:val="1"/>
          <w:color w:val="auto"/>
        </w:rPr>
        <w:t>YoY</w:t>
      </w:r>
      <w:r>
        <w:rPr>
          <w:rFonts w:ascii="Calibri" w:cs="Calibri" w:eastAsia="Calibri" w:hAnsi="Calibri"/>
          <w:sz w:val="18"/>
          <w:szCs w:val="18"/>
          <w:color w:val="auto"/>
        </w:rPr>
        <w:t xml:space="preserve">, fueled mainly by the evoluton at </w:t>
      </w:r>
      <w:r>
        <w:rPr>
          <w:rFonts w:ascii="Calibri" w:cs="Calibri" w:eastAsia="Calibri" w:hAnsi="Calibri"/>
          <w:sz w:val="18"/>
          <w:szCs w:val="18"/>
          <w:b w:val="1"/>
          <w:bCs w:val="1"/>
          <w:color w:val="auto"/>
        </w:rPr>
        <w:t>BCP Stand-alone</w:t>
      </w:r>
      <w:r>
        <w:rPr>
          <w:rFonts w:ascii="Calibri" w:cs="Calibri" w:eastAsia="Calibri" w:hAnsi="Calibri"/>
          <w:sz w:val="18"/>
          <w:szCs w:val="18"/>
          <w:color w:val="auto"/>
        </w:rPr>
        <w:t>. Next, we will analyze this evoluton by isolatng the impact of NPLs in the Government Program portolio.</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YoY</w:t>
      </w:r>
      <w:r>
        <w:rPr>
          <w:rFonts w:ascii="Calibri" w:cs="Calibri" w:eastAsia="Calibri" w:hAnsi="Calibri"/>
          <w:sz w:val="18"/>
          <w:szCs w:val="18"/>
          <w:color w:val="auto"/>
        </w:rPr>
        <w:t>, the NPL Coverage Rato at</w:t>
      </w:r>
      <w:r>
        <w:rPr>
          <w:rFonts w:ascii="Calibri" w:cs="Calibri" w:eastAsia="Calibri" w:hAnsi="Calibri"/>
          <w:sz w:val="18"/>
          <w:szCs w:val="18"/>
          <w:b w:val="1"/>
          <w:bCs w:val="1"/>
          <w:color w:val="auto"/>
        </w:rPr>
        <w:t xml:space="preserve"> BCP Stand-alone</w:t>
      </w:r>
      <w:r>
        <w:rPr>
          <w:rFonts w:ascii="Calibri" w:cs="Calibri" w:eastAsia="Calibri" w:hAnsi="Calibri"/>
          <w:sz w:val="18"/>
          <w:szCs w:val="18"/>
          <w:color w:val="auto"/>
        </w:rPr>
        <w:t>, excluding Government Program loan, increased 227 bps, driven mainly by an uptck in the allowance for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loan losses in </w:t>
      </w:r>
      <w:r>
        <w:rPr>
          <w:rFonts w:ascii="Calibri" w:cs="Calibri" w:eastAsia="Calibri" w:hAnsi="Calibri"/>
          <w:sz w:val="18"/>
          <w:szCs w:val="18"/>
          <w:b w:val="1"/>
          <w:bCs w:val="1"/>
          <w:color w:val="auto"/>
        </w:rPr>
        <w:t>SME-Pyme</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Credit Cards</w:t>
      </w:r>
      <w:r>
        <w:rPr>
          <w:rFonts w:ascii="Calibri" w:cs="Calibri" w:eastAsia="Calibri" w:hAnsi="Calibri"/>
          <w:sz w:val="18"/>
          <w:szCs w:val="18"/>
          <w:color w:val="auto"/>
        </w:rPr>
        <w:t>.</w:t>
      </w:r>
    </w:p>
    <w:p>
      <w:pPr>
        <w:spacing w:after="0" w:line="37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33" w:name="page34"/>
    <w:bookmarkEnd w:id="33"/>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06  </w:t>
      </w:r>
      <w:r>
        <w:rPr>
          <w:rFonts w:ascii="Calibri" w:cs="Calibri" w:eastAsia="Calibri" w:hAnsi="Calibri"/>
          <w:sz w:val="32"/>
          <w:szCs w:val="32"/>
          <w:color w:val="E93B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611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Calibri" w:cs="Calibri" w:eastAsia="Calibri" w:hAnsi="Calibri"/>
          <w:sz w:val="18"/>
          <w:szCs w:val="18"/>
          <w:color w:val="FFFFFF"/>
        </w:rPr>
        <w:t>Other income contracted 2.4% QoQ as regulatory changes impacted the foreign transfers service business at BCP Bolivia.</w:t>
      </w:r>
    </w:p>
    <w:p>
      <w:pPr>
        <w:spacing w:after="0" w:line="50" w:lineRule="exact"/>
        <w:rPr>
          <w:sz w:val="20"/>
          <w:szCs w:val="20"/>
          <w:color w:val="auto"/>
        </w:rPr>
      </w:pPr>
    </w:p>
    <w:p>
      <w:pPr>
        <w:ind w:left="160"/>
        <w:spacing w:after="0"/>
        <w:rPr>
          <w:sz w:val="20"/>
          <w:szCs w:val="20"/>
          <w:color w:val="auto"/>
        </w:rPr>
      </w:pPr>
      <w:r>
        <w:rPr>
          <w:rFonts w:ascii="Calibri" w:cs="Calibri" w:eastAsia="Calibri" w:hAnsi="Calibri"/>
          <w:sz w:val="18"/>
          <w:szCs w:val="18"/>
          <w:color w:val="FFFFFF"/>
        </w:rPr>
        <w:t>In this context, we exclude BCP Bolivia to analyze the underlying recurring dynamics of Other Income evoluton.</w:t>
      </w:r>
    </w:p>
    <w:p>
      <w:pPr>
        <w:spacing w:after="0" w:line="55"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QoQ, Other Core Income rose 3.8%. Growth was driven primarily by BCP Stand-alone, which registered an uptck in the use of debit and credit cards and growth in transactons through Yape. Additonally, Other Non-Core Income dropped 13.6% QoQ, driven by a reducton in non-operatng income at BCP Stand-alone fueled by a base efect related to a property sale from last quarter.</w:t>
      </w:r>
    </w:p>
    <w:p>
      <w:pPr>
        <w:spacing w:after="0" w:line="111"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YoY, Other Core Income rose 18.7% fueled by (i) an increase in transactons at BCP Stand-alone, driven by Yape and core transactonal services, and (ii) expansion in the volume of FX transactons via retail and wholesale banking. Additonally, Other Non-core Income rose 13.4% due to a Net gain on Securites generated by trading results at Credicorp Capital.</w:t>
      </w:r>
    </w:p>
    <w:p>
      <w:pPr>
        <w:spacing w:after="0" w:line="111"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YTD, Other Core Income rose 14.6% driven by the dynamics seen QoQ and YoY and Other non-core income increase 8.3% fueled by the dynamics seen YoY.</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Calibri" w:cs="Calibri" w:eastAsia="Calibri" w:hAnsi="Calibri"/>
                <w:sz w:val="18"/>
                <w:szCs w:val="18"/>
                <w:b w:val="1"/>
                <w:bCs w:val="1"/>
                <w:color w:val="auto"/>
              </w:rPr>
              <w:t>6.1.</w:t>
            </w:r>
          </w:p>
        </w:tc>
        <w:tc>
          <w:tcPr>
            <w:tcW w:w="2760" w:type="dxa"/>
            <w:vAlign w:val="bottom"/>
          </w:tcPr>
          <w:p>
            <w:pPr>
              <w:ind w:left="80"/>
              <w:spacing w:after="0"/>
              <w:rPr>
                <w:sz w:val="20"/>
                <w:szCs w:val="20"/>
                <w:color w:val="auto"/>
              </w:rPr>
            </w:pPr>
            <w:r>
              <w:rPr>
                <w:rFonts w:ascii="Calibri" w:cs="Calibri" w:eastAsia="Calibri" w:hAnsi="Calibri"/>
                <w:sz w:val="18"/>
                <w:szCs w:val="18"/>
                <w:b w:val="1"/>
                <w:bCs w:val="1"/>
                <w:color w:val="auto"/>
              </w:rPr>
              <w:t>Other Core Income</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
        </w:trPr>
        <w:tc>
          <w:tcPr>
            <w:tcW w:w="34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28"/>
        </w:trPr>
        <w:tc>
          <w:tcPr>
            <w:tcW w:w="3400" w:type="dxa"/>
            <w:vAlign w:val="bottom"/>
            <w:tcBorders>
              <w:left w:val="single" w:sz="8" w:color="auto"/>
              <w:right w:val="single" w:sz="8" w:color="auto"/>
            </w:tcBorders>
            <w:gridSpan w:val="2"/>
            <w:shd w:val="clear" w:color="auto" w:fill="33CCCC"/>
          </w:tcPr>
          <w:p>
            <w:pPr>
              <w:ind w:left="20"/>
              <w:spacing w:after="0" w:line="129" w:lineRule="exact"/>
              <w:rPr>
                <w:sz w:val="20"/>
                <w:szCs w:val="20"/>
                <w:color w:val="auto"/>
              </w:rPr>
            </w:pPr>
            <w:r>
              <w:rPr>
                <w:rFonts w:ascii="Calibri" w:cs="Calibri" w:eastAsia="Calibri" w:hAnsi="Calibri"/>
                <w:sz w:val="12"/>
                <w:szCs w:val="12"/>
                <w:b w:val="1"/>
                <w:bCs w:val="1"/>
                <w:color w:val="FFFFFF"/>
              </w:rPr>
              <w:t>Other Core Income</w:t>
            </w:r>
          </w:p>
        </w:tc>
        <w:tc>
          <w:tcPr>
            <w:tcW w:w="900" w:type="dxa"/>
            <w:vAlign w:val="bottom"/>
            <w:shd w:val="clear" w:color="auto" w:fill="33CCCC"/>
          </w:tcPr>
          <w:p>
            <w:pPr>
              <w:spacing w:after="0"/>
              <w:rPr>
                <w:sz w:val="11"/>
                <w:szCs w:val="11"/>
                <w:color w:val="auto"/>
              </w:rPr>
            </w:pPr>
          </w:p>
        </w:tc>
        <w:tc>
          <w:tcPr>
            <w:tcW w:w="940" w:type="dxa"/>
            <w:vAlign w:val="bottom"/>
            <w:shd w:val="clear" w:color="auto" w:fill="33CCCC"/>
          </w:tcPr>
          <w:p>
            <w:pPr>
              <w:ind w:left="300"/>
              <w:spacing w:after="0" w:line="129" w:lineRule="exact"/>
              <w:rPr>
                <w:sz w:val="20"/>
                <w:szCs w:val="20"/>
                <w:color w:val="auto"/>
              </w:rPr>
            </w:pPr>
            <w:r>
              <w:rPr>
                <w:rFonts w:ascii="Calibri" w:cs="Calibri" w:eastAsia="Calibri" w:hAnsi="Calibri"/>
                <w:sz w:val="12"/>
                <w:szCs w:val="12"/>
                <w:b w:val="1"/>
                <w:bCs w:val="1"/>
                <w:color w:val="FFFFFF"/>
              </w:rPr>
              <w:t>Quarter</w:t>
            </w:r>
          </w:p>
        </w:tc>
        <w:tc>
          <w:tcPr>
            <w:tcW w:w="960" w:type="dxa"/>
            <w:vAlign w:val="bottom"/>
            <w:tcBorders>
              <w:right w:val="single" w:sz="8" w:color="auto"/>
            </w:tcBorders>
            <w:shd w:val="clear" w:color="auto" w:fill="33CCCC"/>
          </w:tcPr>
          <w:p>
            <w:pPr>
              <w:spacing w:after="0"/>
              <w:rPr>
                <w:sz w:val="11"/>
                <w:szCs w:val="11"/>
                <w:color w:val="auto"/>
              </w:rPr>
            </w:pPr>
          </w:p>
        </w:tc>
        <w:tc>
          <w:tcPr>
            <w:tcW w:w="640" w:type="dxa"/>
            <w:vAlign w:val="bottom"/>
            <w:shd w:val="clear" w:color="auto" w:fill="33CCCC"/>
          </w:tcPr>
          <w:p>
            <w:pPr>
              <w:spacing w:after="0"/>
              <w:rPr>
                <w:sz w:val="11"/>
                <w:szCs w:val="11"/>
                <w:color w:val="auto"/>
              </w:rPr>
            </w:pPr>
          </w:p>
        </w:tc>
        <w:tc>
          <w:tcPr>
            <w:tcW w:w="1200" w:type="dxa"/>
            <w:vAlign w:val="bottom"/>
            <w:tcBorders>
              <w:right w:val="single" w:sz="8" w:color="auto"/>
            </w:tcBorders>
            <w:shd w:val="clear" w:color="auto" w:fill="33CCCC"/>
          </w:tcPr>
          <w:p>
            <w:pPr>
              <w:ind w:left="20"/>
              <w:spacing w:after="0" w:line="129" w:lineRule="exact"/>
              <w:rPr>
                <w:sz w:val="20"/>
                <w:szCs w:val="20"/>
                <w:color w:val="auto"/>
              </w:rPr>
            </w:pPr>
            <w:r>
              <w:rPr>
                <w:rFonts w:ascii="Calibri" w:cs="Calibri" w:eastAsia="Calibri" w:hAnsi="Calibri"/>
                <w:sz w:val="12"/>
                <w:szCs w:val="12"/>
                <w:b w:val="1"/>
                <w:bCs w:val="1"/>
                <w:color w:val="FFFFFF"/>
              </w:rPr>
              <w:t>% Change</w:t>
            </w:r>
          </w:p>
        </w:tc>
        <w:tc>
          <w:tcPr>
            <w:tcW w:w="720" w:type="dxa"/>
            <w:vAlign w:val="bottom"/>
            <w:shd w:val="clear" w:color="auto" w:fill="33CCCC"/>
          </w:tcPr>
          <w:p>
            <w:pPr>
              <w:spacing w:after="0"/>
              <w:rPr>
                <w:sz w:val="11"/>
                <w:szCs w:val="11"/>
                <w:color w:val="auto"/>
              </w:rPr>
            </w:pPr>
          </w:p>
        </w:tc>
        <w:tc>
          <w:tcPr>
            <w:tcW w:w="1100" w:type="dxa"/>
            <w:vAlign w:val="bottom"/>
            <w:tcBorders>
              <w:right w:val="single" w:sz="8" w:color="auto"/>
            </w:tcBorders>
            <w:shd w:val="clear" w:color="auto" w:fill="33CCCC"/>
          </w:tcPr>
          <w:p>
            <w:pPr>
              <w:ind w:left="40"/>
              <w:spacing w:after="0" w:line="129" w:lineRule="exact"/>
              <w:rPr>
                <w:sz w:val="20"/>
                <w:szCs w:val="20"/>
                <w:color w:val="auto"/>
              </w:rPr>
            </w:pPr>
            <w:r>
              <w:rPr>
                <w:rFonts w:ascii="Calibri" w:cs="Calibri" w:eastAsia="Calibri" w:hAnsi="Calibri"/>
                <w:sz w:val="12"/>
                <w:szCs w:val="12"/>
                <w:b w:val="1"/>
                <w:bCs w:val="1"/>
                <w:color w:val="FFFFFF"/>
              </w:rPr>
              <w:t>Up to</w:t>
            </w:r>
          </w:p>
        </w:tc>
        <w:tc>
          <w:tcPr>
            <w:tcW w:w="1380" w:type="dxa"/>
            <w:vAlign w:val="bottom"/>
            <w:tcBorders>
              <w:right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2"/>
                <w:szCs w:val="12"/>
                <w:b w:val="1"/>
                <w:bCs w:val="1"/>
                <w:color w:val="FFFFFF"/>
                <w:w w:val="99"/>
              </w:rPr>
              <w:t>% Change</w:t>
            </w:r>
          </w:p>
        </w:tc>
      </w:tr>
      <w:tr>
        <w:trPr>
          <w:trHeight w:val="135"/>
        </w:trPr>
        <w:tc>
          <w:tcPr>
            <w:tcW w:w="640" w:type="dxa"/>
            <w:vAlign w:val="bottom"/>
            <w:tcBorders>
              <w:left w:val="single" w:sz="8" w:color="auto"/>
              <w:bottom w:val="single" w:sz="8" w:color="auto"/>
            </w:tcBorders>
            <w:shd w:val="clear" w:color="auto" w:fill="33CCCC"/>
          </w:tcPr>
          <w:p>
            <w:pPr>
              <w:ind w:left="20"/>
              <w:spacing w:after="0" w:line="135" w:lineRule="exact"/>
              <w:rPr>
                <w:sz w:val="20"/>
                <w:szCs w:val="20"/>
                <w:color w:val="auto"/>
              </w:rPr>
            </w:pPr>
            <w:r>
              <w:rPr>
                <w:rFonts w:ascii="Calibri" w:cs="Calibri" w:eastAsia="Calibri" w:hAnsi="Calibri"/>
                <w:sz w:val="12"/>
                <w:szCs w:val="12"/>
                <w:b w:val="1"/>
                <w:bCs w:val="1"/>
                <w:color w:val="FFFFFF"/>
              </w:rPr>
              <w:t>S/ (000)</w:t>
            </w:r>
          </w:p>
        </w:tc>
        <w:tc>
          <w:tcPr>
            <w:tcW w:w="2760" w:type="dxa"/>
            <w:vAlign w:val="bottom"/>
            <w:tcBorders>
              <w:bottom w:val="single" w:sz="8" w:color="auto"/>
              <w:right w:val="single" w:sz="8" w:color="auto"/>
            </w:tcBorders>
            <w:shd w:val="clear" w:color="auto" w:fill="33CCCC"/>
          </w:tcPr>
          <w:p>
            <w:pPr>
              <w:spacing w:after="0"/>
              <w:rPr>
                <w:sz w:val="11"/>
                <w:szCs w:val="11"/>
                <w:color w:val="auto"/>
              </w:rPr>
            </w:pPr>
          </w:p>
        </w:tc>
        <w:tc>
          <w:tcPr>
            <w:tcW w:w="900" w:type="dxa"/>
            <w:vAlign w:val="bottom"/>
            <w:tcBorders>
              <w:bottom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7"/>
              </w:rPr>
              <w:t>3Q23</w:t>
            </w:r>
          </w:p>
        </w:tc>
        <w:tc>
          <w:tcPr>
            <w:tcW w:w="940" w:type="dxa"/>
            <w:vAlign w:val="bottom"/>
            <w:tcBorders>
              <w:bottom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0"/>
              </w:rPr>
              <w:t>2Q24</w:t>
            </w:r>
          </w:p>
        </w:tc>
        <w:tc>
          <w:tcPr>
            <w:tcW w:w="96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7"/>
              </w:rPr>
              <w:t>3Q24</w:t>
            </w:r>
          </w:p>
        </w:tc>
        <w:tc>
          <w:tcPr>
            <w:tcW w:w="640" w:type="dxa"/>
            <w:vAlign w:val="bottom"/>
            <w:tcBorders>
              <w:bottom w:val="single" w:sz="8" w:color="auto"/>
            </w:tcBorders>
            <w:shd w:val="clear" w:color="auto" w:fill="33CCCC"/>
          </w:tcPr>
          <w:p>
            <w:pPr>
              <w:ind w:left="320"/>
              <w:spacing w:after="0" w:line="135" w:lineRule="exact"/>
              <w:rPr>
                <w:sz w:val="20"/>
                <w:szCs w:val="20"/>
                <w:color w:val="auto"/>
              </w:rPr>
            </w:pPr>
            <w:r>
              <w:rPr>
                <w:rFonts w:ascii="Calibri" w:cs="Calibri" w:eastAsia="Calibri" w:hAnsi="Calibri"/>
                <w:sz w:val="12"/>
                <w:szCs w:val="12"/>
                <w:b w:val="1"/>
                <w:bCs w:val="1"/>
                <w:color w:val="FFFFFF"/>
              </w:rPr>
              <w:t>QoQ</w:t>
            </w:r>
          </w:p>
        </w:tc>
        <w:tc>
          <w:tcPr>
            <w:tcW w:w="1200" w:type="dxa"/>
            <w:vAlign w:val="bottom"/>
            <w:tcBorders>
              <w:bottom w:val="single" w:sz="8" w:color="auto"/>
              <w:right w:val="single" w:sz="8" w:color="auto"/>
            </w:tcBorders>
            <w:shd w:val="clear" w:color="auto" w:fill="33CCCC"/>
          </w:tcPr>
          <w:p>
            <w:pPr>
              <w:ind w:left="620"/>
              <w:spacing w:after="0" w:line="135" w:lineRule="exact"/>
              <w:rPr>
                <w:sz w:val="20"/>
                <w:szCs w:val="20"/>
                <w:color w:val="auto"/>
              </w:rPr>
            </w:pPr>
            <w:r>
              <w:rPr>
                <w:rFonts w:ascii="Calibri" w:cs="Calibri" w:eastAsia="Calibri" w:hAnsi="Calibri"/>
                <w:sz w:val="12"/>
                <w:szCs w:val="12"/>
                <w:b w:val="1"/>
                <w:bCs w:val="1"/>
                <w:color w:val="FFFFFF"/>
              </w:rPr>
              <w:t>YoY</w:t>
            </w:r>
          </w:p>
        </w:tc>
        <w:tc>
          <w:tcPr>
            <w:tcW w:w="720" w:type="dxa"/>
            <w:vAlign w:val="bottom"/>
            <w:tcBorders>
              <w:bottom w:val="single" w:sz="8" w:color="auto"/>
            </w:tcBorders>
            <w:shd w:val="clear" w:color="auto" w:fill="33CCCC"/>
          </w:tcPr>
          <w:p>
            <w:pPr>
              <w:ind w:left="260"/>
              <w:spacing w:after="0" w:line="135" w:lineRule="exact"/>
              <w:rPr>
                <w:sz w:val="20"/>
                <w:szCs w:val="20"/>
                <w:color w:val="auto"/>
              </w:rPr>
            </w:pPr>
            <w:r>
              <w:rPr>
                <w:rFonts w:ascii="Calibri" w:cs="Calibri" w:eastAsia="Calibri" w:hAnsi="Calibri"/>
                <w:sz w:val="12"/>
                <w:szCs w:val="12"/>
                <w:b w:val="1"/>
                <w:bCs w:val="1"/>
                <w:color w:val="FFFFFF"/>
              </w:rPr>
              <w:t>Sep 23</w:t>
            </w:r>
          </w:p>
        </w:tc>
        <w:tc>
          <w:tcPr>
            <w:tcW w:w="1100" w:type="dxa"/>
            <w:vAlign w:val="bottom"/>
            <w:tcBorders>
              <w:bottom w:val="single" w:sz="8" w:color="auto"/>
              <w:right w:val="single" w:sz="8" w:color="auto"/>
            </w:tcBorders>
            <w:shd w:val="clear" w:color="auto" w:fill="33CCCC"/>
          </w:tcPr>
          <w:p>
            <w:pPr>
              <w:ind w:left="440"/>
              <w:spacing w:after="0" w:line="135" w:lineRule="exact"/>
              <w:rPr>
                <w:sz w:val="20"/>
                <w:szCs w:val="20"/>
                <w:color w:val="auto"/>
              </w:rPr>
            </w:pPr>
            <w:r>
              <w:rPr>
                <w:rFonts w:ascii="Calibri" w:cs="Calibri" w:eastAsia="Calibri" w:hAnsi="Calibri"/>
                <w:sz w:val="12"/>
                <w:szCs w:val="12"/>
                <w:b w:val="1"/>
                <w:bCs w:val="1"/>
                <w:color w:val="FFFFFF"/>
              </w:rPr>
              <w:t>Sep 24</w:t>
            </w:r>
          </w:p>
        </w:tc>
        <w:tc>
          <w:tcPr>
            <w:tcW w:w="138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9"/>
              </w:rPr>
              <w:t>Sep 24 / Sep 23</w:t>
            </w:r>
          </w:p>
        </w:tc>
      </w:tr>
      <w:tr>
        <w:trPr>
          <w:trHeight w:val="113"/>
        </w:trPr>
        <w:tc>
          <w:tcPr>
            <w:tcW w:w="640" w:type="dxa"/>
            <w:vAlign w:val="bottom"/>
            <w:tcBorders>
              <w:left w:val="single" w:sz="8" w:color="auto"/>
            </w:tcBorders>
          </w:tcPr>
          <w:p>
            <w:pPr>
              <w:ind w:left="20"/>
              <w:spacing w:after="0" w:line="113" w:lineRule="exact"/>
              <w:rPr>
                <w:sz w:val="20"/>
                <w:szCs w:val="20"/>
                <w:color w:val="auto"/>
              </w:rPr>
            </w:pPr>
            <w:r>
              <w:rPr>
                <w:rFonts w:ascii="Calibri" w:cs="Calibri" w:eastAsia="Calibri" w:hAnsi="Calibri"/>
                <w:sz w:val="12"/>
                <w:szCs w:val="12"/>
                <w:color w:val="auto"/>
              </w:rPr>
              <w:t>Fee income</w:t>
            </w:r>
          </w:p>
        </w:tc>
        <w:tc>
          <w:tcPr>
            <w:tcW w:w="2760" w:type="dxa"/>
            <w:vAlign w:val="bottom"/>
            <w:tcBorders>
              <w:right w:val="single" w:sz="8" w:color="auto"/>
            </w:tcBorders>
          </w:tcPr>
          <w:p>
            <w:pPr>
              <w:spacing w:after="0"/>
              <w:rPr>
                <w:sz w:val="9"/>
                <w:szCs w:val="9"/>
                <w:color w:val="auto"/>
              </w:rPr>
            </w:pPr>
          </w:p>
        </w:tc>
        <w:tc>
          <w:tcPr>
            <w:tcW w:w="900" w:type="dxa"/>
            <w:vAlign w:val="bottom"/>
          </w:tcPr>
          <w:p>
            <w:pPr>
              <w:jc w:val="center"/>
              <w:spacing w:after="0" w:line="113" w:lineRule="exact"/>
              <w:rPr>
                <w:sz w:val="20"/>
                <w:szCs w:val="20"/>
                <w:color w:val="auto"/>
              </w:rPr>
            </w:pPr>
            <w:r>
              <w:rPr>
                <w:rFonts w:ascii="Calibri" w:cs="Calibri" w:eastAsia="Calibri" w:hAnsi="Calibri"/>
                <w:sz w:val="12"/>
                <w:szCs w:val="12"/>
                <w:color w:val="auto"/>
              </w:rPr>
              <w:t>975,955</w:t>
            </w:r>
          </w:p>
        </w:tc>
        <w:tc>
          <w:tcPr>
            <w:tcW w:w="940" w:type="dxa"/>
            <w:vAlign w:val="bottom"/>
          </w:tcPr>
          <w:p>
            <w:pPr>
              <w:jc w:val="center"/>
              <w:spacing w:after="0" w:line="113" w:lineRule="exact"/>
              <w:rPr>
                <w:sz w:val="20"/>
                <w:szCs w:val="20"/>
                <w:color w:val="auto"/>
              </w:rPr>
            </w:pPr>
            <w:r>
              <w:rPr>
                <w:rFonts w:ascii="Calibri" w:cs="Calibri" w:eastAsia="Calibri" w:hAnsi="Calibri"/>
                <w:sz w:val="12"/>
                <w:szCs w:val="12"/>
                <w:color w:val="auto"/>
                <w:w w:val="98"/>
              </w:rPr>
              <w:t>1,148,830</w:t>
            </w:r>
          </w:p>
        </w:tc>
        <w:tc>
          <w:tcPr>
            <w:tcW w:w="960" w:type="dxa"/>
            <w:vAlign w:val="bottom"/>
            <w:tcBorders>
              <w:right w:val="single" w:sz="8" w:color="auto"/>
            </w:tcBorders>
          </w:tcPr>
          <w:p>
            <w:pPr>
              <w:jc w:val="center"/>
              <w:spacing w:after="0" w:line="113" w:lineRule="exact"/>
              <w:rPr>
                <w:sz w:val="20"/>
                <w:szCs w:val="20"/>
                <w:color w:val="auto"/>
              </w:rPr>
            </w:pPr>
            <w:r>
              <w:rPr>
                <w:rFonts w:ascii="Calibri" w:cs="Calibri" w:eastAsia="Calibri" w:hAnsi="Calibri"/>
                <w:sz w:val="12"/>
                <w:szCs w:val="12"/>
                <w:color w:val="auto"/>
                <w:w w:val="98"/>
              </w:rPr>
              <w:t>1,108,314</w:t>
            </w:r>
          </w:p>
        </w:tc>
        <w:tc>
          <w:tcPr>
            <w:tcW w:w="640" w:type="dxa"/>
            <w:vAlign w:val="bottom"/>
          </w:tcPr>
          <w:p>
            <w:pPr>
              <w:jc w:val="center"/>
              <w:ind w:left="182"/>
              <w:spacing w:after="0" w:line="113" w:lineRule="exact"/>
              <w:rPr>
                <w:sz w:val="20"/>
                <w:szCs w:val="20"/>
                <w:color w:val="auto"/>
              </w:rPr>
            </w:pPr>
            <w:r>
              <w:rPr>
                <w:rFonts w:ascii="Calibri" w:cs="Calibri" w:eastAsia="Calibri" w:hAnsi="Calibri"/>
                <w:sz w:val="12"/>
                <w:szCs w:val="12"/>
                <w:color w:val="auto"/>
              </w:rPr>
              <w:t>-3.5%</w:t>
            </w:r>
          </w:p>
        </w:tc>
        <w:tc>
          <w:tcPr>
            <w:tcW w:w="1200" w:type="dxa"/>
            <w:vAlign w:val="bottom"/>
            <w:tcBorders>
              <w:right w:val="single" w:sz="8" w:color="auto"/>
            </w:tcBorders>
          </w:tcPr>
          <w:p>
            <w:pPr>
              <w:jc w:val="center"/>
              <w:ind w:left="162"/>
              <w:spacing w:after="0" w:line="113" w:lineRule="exact"/>
              <w:rPr>
                <w:sz w:val="20"/>
                <w:szCs w:val="20"/>
                <w:color w:val="auto"/>
              </w:rPr>
            </w:pPr>
            <w:r>
              <w:rPr>
                <w:rFonts w:ascii="Calibri" w:cs="Calibri" w:eastAsia="Calibri" w:hAnsi="Calibri"/>
                <w:sz w:val="12"/>
                <w:szCs w:val="12"/>
                <w:color w:val="auto"/>
              </w:rPr>
              <w:t>13.6%</w:t>
            </w:r>
          </w:p>
        </w:tc>
        <w:tc>
          <w:tcPr>
            <w:tcW w:w="720" w:type="dxa"/>
            <w:vAlign w:val="bottom"/>
          </w:tcPr>
          <w:p>
            <w:pPr>
              <w:jc w:val="center"/>
              <w:ind w:left="62"/>
              <w:spacing w:after="0" w:line="113" w:lineRule="exact"/>
              <w:rPr>
                <w:sz w:val="20"/>
                <w:szCs w:val="20"/>
                <w:color w:val="auto"/>
              </w:rPr>
            </w:pPr>
            <w:r>
              <w:rPr>
                <w:rFonts w:ascii="Calibri" w:cs="Calibri" w:eastAsia="Calibri" w:hAnsi="Calibri"/>
                <w:sz w:val="12"/>
                <w:szCs w:val="12"/>
                <w:color w:val="auto"/>
                <w:w w:val="98"/>
              </w:rPr>
              <w:t>2,818,286</w:t>
            </w:r>
          </w:p>
        </w:tc>
        <w:tc>
          <w:tcPr>
            <w:tcW w:w="1100" w:type="dxa"/>
            <w:vAlign w:val="bottom"/>
            <w:tcBorders>
              <w:right w:val="single" w:sz="8" w:color="auto"/>
            </w:tcBorders>
          </w:tcPr>
          <w:p>
            <w:pPr>
              <w:jc w:val="center"/>
              <w:ind w:left="62"/>
              <w:spacing w:after="0" w:line="113" w:lineRule="exact"/>
              <w:rPr>
                <w:sz w:val="20"/>
                <w:szCs w:val="20"/>
                <w:color w:val="auto"/>
              </w:rPr>
            </w:pPr>
            <w:r>
              <w:rPr>
                <w:rFonts w:ascii="Calibri" w:cs="Calibri" w:eastAsia="Calibri" w:hAnsi="Calibri"/>
                <w:sz w:val="12"/>
                <w:szCs w:val="12"/>
                <w:color w:val="auto"/>
                <w:w w:val="94"/>
              </w:rPr>
              <w:t>3,319,645</w:t>
            </w:r>
          </w:p>
        </w:tc>
        <w:tc>
          <w:tcPr>
            <w:tcW w:w="1380" w:type="dxa"/>
            <w:vAlign w:val="bottom"/>
            <w:tcBorders>
              <w:right w:val="single" w:sz="8" w:color="auto"/>
            </w:tcBorders>
          </w:tcPr>
          <w:p>
            <w:pPr>
              <w:jc w:val="center"/>
              <w:spacing w:after="0" w:line="113" w:lineRule="exact"/>
              <w:rPr>
                <w:sz w:val="20"/>
                <w:szCs w:val="20"/>
                <w:color w:val="auto"/>
              </w:rPr>
            </w:pPr>
            <w:r>
              <w:rPr>
                <w:rFonts w:ascii="Calibri" w:cs="Calibri" w:eastAsia="Calibri" w:hAnsi="Calibri"/>
                <w:sz w:val="12"/>
                <w:szCs w:val="12"/>
                <w:color w:val="auto"/>
                <w:w w:val="93"/>
              </w:rPr>
              <w:t>17.8%</w:t>
            </w:r>
          </w:p>
        </w:tc>
      </w:tr>
      <w:tr>
        <w:trPr>
          <w:trHeight w:val="144"/>
        </w:trPr>
        <w:tc>
          <w:tcPr>
            <w:tcW w:w="3400" w:type="dxa"/>
            <w:vAlign w:val="bottom"/>
            <w:tcBorders>
              <w:left w:val="single" w:sz="8" w:color="auto"/>
              <w:bottom w:val="single" w:sz="8" w:color="auto"/>
              <w:right w:val="single" w:sz="8" w:color="auto"/>
            </w:tcBorders>
            <w:gridSpan w:val="2"/>
          </w:tcPr>
          <w:p>
            <w:pPr>
              <w:ind w:left="20"/>
              <w:spacing w:after="0" w:line="138" w:lineRule="exact"/>
              <w:rPr>
                <w:sz w:val="20"/>
                <w:szCs w:val="20"/>
                <w:color w:val="auto"/>
              </w:rPr>
            </w:pPr>
            <w:r>
              <w:rPr>
                <w:rFonts w:ascii="Calibri" w:cs="Calibri" w:eastAsia="Calibri" w:hAnsi="Calibri"/>
                <w:sz w:val="12"/>
                <w:szCs w:val="12"/>
                <w:color w:val="auto"/>
              </w:rPr>
              <w:t>Net gain on foreign exchange transactons</w:t>
            </w:r>
          </w:p>
        </w:tc>
        <w:tc>
          <w:tcPr>
            <w:tcW w:w="90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208,620</w:t>
            </w:r>
          </w:p>
        </w:tc>
        <w:tc>
          <w:tcPr>
            <w:tcW w:w="94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217,896</w:t>
            </w:r>
          </w:p>
        </w:tc>
        <w:tc>
          <w:tcPr>
            <w:tcW w:w="96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6"/>
              </w:rPr>
              <w:t>172,998</w:t>
            </w:r>
          </w:p>
        </w:tc>
        <w:tc>
          <w:tcPr>
            <w:tcW w:w="640" w:type="dxa"/>
            <w:vAlign w:val="bottom"/>
            <w:tcBorders>
              <w:bottom w:val="single" w:sz="8" w:color="auto"/>
            </w:tcBorders>
          </w:tcPr>
          <w:p>
            <w:pPr>
              <w:jc w:val="center"/>
              <w:ind w:left="182"/>
              <w:spacing w:after="0" w:line="138" w:lineRule="exact"/>
              <w:rPr>
                <w:sz w:val="20"/>
                <w:szCs w:val="20"/>
                <w:color w:val="auto"/>
              </w:rPr>
            </w:pPr>
            <w:r>
              <w:rPr>
                <w:rFonts w:ascii="Calibri" w:cs="Calibri" w:eastAsia="Calibri" w:hAnsi="Calibri"/>
                <w:sz w:val="12"/>
                <w:szCs w:val="12"/>
                <w:color w:val="auto"/>
                <w:w w:val="95"/>
              </w:rPr>
              <w:t>-20.6%</w:t>
            </w:r>
          </w:p>
        </w:tc>
        <w:tc>
          <w:tcPr>
            <w:tcW w:w="1200" w:type="dxa"/>
            <w:vAlign w:val="bottom"/>
            <w:tcBorders>
              <w:bottom w:val="single" w:sz="8" w:color="auto"/>
              <w:right w:val="single" w:sz="8" w:color="auto"/>
            </w:tcBorders>
          </w:tcPr>
          <w:p>
            <w:pPr>
              <w:jc w:val="center"/>
              <w:ind w:left="162"/>
              <w:spacing w:after="0" w:line="138" w:lineRule="exact"/>
              <w:rPr>
                <w:sz w:val="20"/>
                <w:szCs w:val="20"/>
                <w:color w:val="auto"/>
              </w:rPr>
            </w:pPr>
            <w:r>
              <w:rPr>
                <w:rFonts w:ascii="Calibri" w:cs="Calibri" w:eastAsia="Calibri" w:hAnsi="Calibri"/>
                <w:sz w:val="12"/>
                <w:szCs w:val="12"/>
                <w:color w:val="auto"/>
              </w:rPr>
              <w:t>-17.1%</w:t>
            </w:r>
          </w:p>
        </w:tc>
        <w:tc>
          <w:tcPr>
            <w:tcW w:w="720" w:type="dxa"/>
            <w:vAlign w:val="bottom"/>
            <w:tcBorders>
              <w:bottom w:val="single" w:sz="8" w:color="auto"/>
            </w:tcBorders>
          </w:tcPr>
          <w:p>
            <w:pPr>
              <w:jc w:val="center"/>
              <w:ind w:left="82"/>
              <w:spacing w:after="0" w:line="138" w:lineRule="exact"/>
              <w:rPr>
                <w:sz w:val="20"/>
                <w:szCs w:val="20"/>
                <w:color w:val="auto"/>
              </w:rPr>
            </w:pPr>
            <w:r>
              <w:rPr>
                <w:rFonts w:ascii="Calibri" w:cs="Calibri" w:eastAsia="Calibri" w:hAnsi="Calibri"/>
                <w:sz w:val="12"/>
                <w:szCs w:val="12"/>
                <w:color w:val="auto"/>
                <w:w w:val="96"/>
              </w:rPr>
              <w:t>668,079</w:t>
            </w:r>
          </w:p>
        </w:tc>
        <w:tc>
          <w:tcPr>
            <w:tcW w:w="1100" w:type="dxa"/>
            <w:vAlign w:val="bottom"/>
            <w:tcBorders>
              <w:bottom w:val="single" w:sz="8" w:color="auto"/>
              <w:right w:val="single" w:sz="8" w:color="auto"/>
            </w:tcBorders>
          </w:tcPr>
          <w:p>
            <w:pPr>
              <w:jc w:val="center"/>
              <w:ind w:left="62"/>
              <w:spacing w:after="0" w:line="138" w:lineRule="exact"/>
              <w:rPr>
                <w:sz w:val="20"/>
                <w:szCs w:val="20"/>
                <w:color w:val="auto"/>
              </w:rPr>
            </w:pPr>
            <w:r>
              <w:rPr>
                <w:rFonts w:ascii="Calibri" w:cs="Calibri" w:eastAsia="Calibri" w:hAnsi="Calibri"/>
                <w:sz w:val="12"/>
                <w:szCs w:val="12"/>
                <w:color w:val="auto"/>
                <w:w w:val="96"/>
              </w:rPr>
              <w:t>557,163</w:t>
            </w:r>
          </w:p>
        </w:tc>
        <w:tc>
          <w:tcPr>
            <w:tcW w:w="138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5"/>
              </w:rPr>
              <w:t>-16.6%</w:t>
            </w:r>
          </w:p>
        </w:tc>
      </w:tr>
      <w:tr>
        <w:trPr>
          <w:trHeight w:val="135"/>
        </w:trPr>
        <w:tc>
          <w:tcPr>
            <w:tcW w:w="3400" w:type="dxa"/>
            <w:vAlign w:val="bottom"/>
            <w:tcBorders>
              <w:left w:val="single" w:sz="8" w:color="auto"/>
              <w:bottom w:val="single" w:sz="8" w:color="auto"/>
              <w:right w:val="single" w:sz="8" w:color="auto"/>
            </w:tcBorders>
            <w:gridSpan w:val="2"/>
          </w:tcPr>
          <w:p>
            <w:pPr>
              <w:ind w:left="20"/>
              <w:spacing w:after="0" w:line="135" w:lineRule="exact"/>
              <w:rPr>
                <w:sz w:val="20"/>
                <w:szCs w:val="20"/>
                <w:color w:val="auto"/>
              </w:rPr>
            </w:pPr>
            <w:r>
              <w:rPr>
                <w:rFonts w:ascii="Calibri" w:cs="Calibri" w:eastAsia="Calibri" w:hAnsi="Calibri"/>
                <w:sz w:val="12"/>
                <w:szCs w:val="12"/>
                <w:b w:val="1"/>
                <w:bCs w:val="1"/>
                <w:color w:val="auto"/>
              </w:rPr>
              <w:t>Total other income Core</w:t>
            </w:r>
          </w:p>
        </w:tc>
        <w:tc>
          <w:tcPr>
            <w:tcW w:w="900" w:type="dxa"/>
            <w:vAlign w:val="bottom"/>
            <w:tcBorders>
              <w:bottom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1,184,575</w:t>
            </w:r>
          </w:p>
        </w:tc>
        <w:tc>
          <w:tcPr>
            <w:tcW w:w="940" w:type="dxa"/>
            <w:vAlign w:val="bottom"/>
            <w:tcBorders>
              <w:bottom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1,366,726</w:t>
            </w:r>
          </w:p>
        </w:tc>
        <w:tc>
          <w:tcPr>
            <w:tcW w:w="960" w:type="dxa"/>
            <w:vAlign w:val="bottom"/>
            <w:tcBorders>
              <w:bottom w:val="single" w:sz="8" w:color="auto"/>
              <w:right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1,281,312</w:t>
            </w:r>
          </w:p>
        </w:tc>
        <w:tc>
          <w:tcPr>
            <w:tcW w:w="640" w:type="dxa"/>
            <w:vAlign w:val="bottom"/>
            <w:tcBorders>
              <w:bottom w:val="single" w:sz="8" w:color="auto"/>
            </w:tcBorders>
          </w:tcPr>
          <w:p>
            <w:pPr>
              <w:jc w:val="center"/>
              <w:ind w:left="182"/>
              <w:spacing w:after="0" w:line="135" w:lineRule="exact"/>
              <w:rPr>
                <w:sz w:val="20"/>
                <w:szCs w:val="20"/>
                <w:color w:val="auto"/>
              </w:rPr>
            </w:pPr>
            <w:r>
              <w:rPr>
                <w:rFonts w:ascii="Calibri" w:cs="Calibri" w:eastAsia="Calibri" w:hAnsi="Calibri"/>
                <w:sz w:val="12"/>
                <w:szCs w:val="12"/>
                <w:b w:val="1"/>
                <w:bCs w:val="1"/>
                <w:color w:val="auto"/>
              </w:rPr>
              <w:t>-6.2%</w:t>
            </w:r>
          </w:p>
        </w:tc>
        <w:tc>
          <w:tcPr>
            <w:tcW w:w="1200" w:type="dxa"/>
            <w:vAlign w:val="bottom"/>
            <w:tcBorders>
              <w:bottom w:val="single" w:sz="8" w:color="auto"/>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b w:val="1"/>
                <w:bCs w:val="1"/>
                <w:color w:val="auto"/>
                <w:w w:val="91"/>
              </w:rPr>
              <w:t>8.2%</w:t>
            </w:r>
          </w:p>
        </w:tc>
        <w:tc>
          <w:tcPr>
            <w:tcW w:w="720" w:type="dxa"/>
            <w:vAlign w:val="bottom"/>
            <w:tcBorders>
              <w:bottom w:val="single" w:sz="8" w:color="auto"/>
            </w:tcBorders>
          </w:tcPr>
          <w:p>
            <w:pPr>
              <w:jc w:val="center"/>
              <w:ind w:left="62"/>
              <w:spacing w:after="0" w:line="135" w:lineRule="exact"/>
              <w:rPr>
                <w:sz w:val="20"/>
                <w:szCs w:val="20"/>
                <w:color w:val="auto"/>
              </w:rPr>
            </w:pPr>
            <w:r>
              <w:rPr>
                <w:rFonts w:ascii="Calibri" w:cs="Calibri" w:eastAsia="Calibri" w:hAnsi="Calibri"/>
                <w:sz w:val="12"/>
                <w:szCs w:val="12"/>
                <w:b w:val="1"/>
                <w:bCs w:val="1"/>
                <w:color w:val="auto"/>
                <w:w w:val="98"/>
              </w:rPr>
              <w:t>3,486,365</w:t>
            </w:r>
          </w:p>
        </w:tc>
        <w:tc>
          <w:tcPr>
            <w:tcW w:w="1100" w:type="dxa"/>
            <w:vAlign w:val="bottom"/>
            <w:tcBorders>
              <w:bottom w:val="single" w:sz="8" w:color="auto"/>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b w:val="1"/>
                <w:bCs w:val="1"/>
                <w:color w:val="auto"/>
                <w:w w:val="94"/>
              </w:rPr>
              <w:t>3,876,808</w:t>
            </w:r>
          </w:p>
        </w:tc>
        <w:tc>
          <w:tcPr>
            <w:tcW w:w="1380" w:type="dxa"/>
            <w:vAlign w:val="bottom"/>
            <w:tcBorders>
              <w:bottom w:val="single" w:sz="8" w:color="auto"/>
              <w:right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2"/>
              </w:rPr>
              <w:t>11.2%</w:t>
            </w:r>
          </w:p>
        </w:tc>
      </w:tr>
    </w:tbl>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Other Core income contracted 6.2% QoQ as regulatory changes impacted the foreign transfers service business at BCP Bolivia.</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In this context, we exclude BCP Bolivia to analyze the underlying recurring dynamics of Other Core Income evoluton.</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If we exclude the impact of BCP Bolivia’s operatons, </w:t>
      </w:r>
      <w:r>
        <w:rPr>
          <w:rFonts w:ascii="Calibri" w:cs="Calibri" w:eastAsia="Calibri" w:hAnsi="Calibri"/>
          <w:sz w:val="18"/>
          <w:szCs w:val="18"/>
          <w:b w:val="1"/>
          <w:bCs w:val="1"/>
          <w:color w:val="auto"/>
        </w:rPr>
        <w:t>Other Core Income</w:t>
      </w:r>
      <w:r>
        <w:rPr>
          <w:rFonts w:ascii="Calibri" w:cs="Calibri" w:eastAsia="Calibri" w:hAnsi="Calibri"/>
          <w:sz w:val="18"/>
          <w:szCs w:val="18"/>
          <w:color w:val="auto"/>
        </w:rPr>
        <w:t xml:space="preserve"> evolved as follows:</w:t>
      </w:r>
    </w:p>
    <w:p>
      <w:pPr>
        <w:spacing w:after="0" w:line="177" w:lineRule="exact"/>
        <w:rPr>
          <w:sz w:val="20"/>
          <w:szCs w:val="20"/>
          <w:color w:val="auto"/>
        </w:rPr>
      </w:pPr>
    </w:p>
    <w:p>
      <w:pPr>
        <w:ind w:left="840" w:hanging="346"/>
        <w:spacing w:after="0" w:line="235" w:lineRule="auto"/>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b w:val="1"/>
          <w:bCs w:val="1"/>
          <w:color w:val="auto"/>
        </w:rPr>
        <w:t>QoQ</w:t>
      </w:r>
      <w:r>
        <w:rPr>
          <w:rFonts w:ascii="Calibri" w:cs="Calibri" w:eastAsia="Calibri" w:hAnsi="Calibri"/>
          <w:sz w:val="18"/>
          <w:szCs w:val="18"/>
          <w:color w:val="auto"/>
        </w:rPr>
        <w:t>, Other Core Income rose 3.8% spurred by</w:t>
      </w:r>
      <w:r>
        <w:rPr>
          <w:rFonts w:ascii="Calibri" w:cs="Calibri" w:eastAsia="Calibri" w:hAnsi="Calibri"/>
          <w:sz w:val="18"/>
          <w:szCs w:val="18"/>
          <w:b w:val="1"/>
          <w:bCs w:val="1"/>
          <w:color w:val="auto"/>
        </w:rPr>
        <w:t xml:space="preserve"> Fee income </w:t>
      </w:r>
      <w:r>
        <w:rPr>
          <w:rFonts w:ascii="Calibri" w:cs="Calibri" w:eastAsia="Calibri" w:hAnsi="Calibri"/>
          <w:sz w:val="18"/>
          <w:szCs w:val="18"/>
          <w:color w:val="auto"/>
        </w:rPr>
        <w:t>growth (+4.4%) and to a lesser extent by Gains on FX transactons growth (+1.9%);</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both mainly driven by </w:t>
      </w:r>
      <w:r>
        <w:rPr>
          <w:rFonts w:ascii="Calibri" w:cs="Calibri" w:eastAsia="Calibri" w:hAnsi="Calibri"/>
          <w:sz w:val="18"/>
          <w:szCs w:val="18"/>
          <w:b w:val="1"/>
          <w:bCs w:val="1"/>
          <w:color w:val="auto"/>
        </w:rPr>
        <w:t>BCP Stand-alone</w:t>
      </w:r>
      <w:r>
        <w:rPr>
          <w:rFonts w:ascii="Calibri" w:cs="Calibri" w:eastAsia="Calibri" w:hAnsi="Calibri"/>
          <w:sz w:val="18"/>
          <w:szCs w:val="18"/>
          <w:color w:val="auto"/>
        </w:rPr>
        <w:t>.</w:t>
      </w:r>
    </w:p>
    <w:p>
      <w:pPr>
        <w:spacing w:after="0" w:line="177" w:lineRule="exact"/>
        <w:rPr>
          <w:rFonts w:ascii="Calibri" w:cs="Calibri" w:eastAsia="Calibri" w:hAnsi="Calibri"/>
          <w:sz w:val="18"/>
          <w:szCs w:val="18"/>
          <w:color w:val="auto"/>
        </w:rPr>
      </w:pPr>
    </w:p>
    <w:p>
      <w:pPr>
        <w:jc w:val="both"/>
        <w:ind w:left="840" w:hanging="346"/>
        <w:spacing w:after="0" w:line="235" w:lineRule="auto"/>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YoY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YTD</w:t>
      </w:r>
      <w:r>
        <w:rPr>
          <w:rFonts w:ascii="Calibri" w:cs="Calibri" w:eastAsia="Calibri" w:hAnsi="Calibri"/>
          <w:sz w:val="18"/>
          <w:szCs w:val="18"/>
          <w:color w:val="auto"/>
        </w:rPr>
        <w:t>, growth stood at 18.7% and 14.6% respectvely. This growth was driven primarily by an increase in</w:t>
      </w:r>
      <w:r>
        <w:rPr>
          <w:rFonts w:ascii="Calibri" w:cs="Calibri" w:eastAsia="Calibri" w:hAnsi="Calibri"/>
          <w:sz w:val="18"/>
          <w:szCs w:val="18"/>
          <w:b w:val="1"/>
          <w:bCs w:val="1"/>
          <w:color w:val="auto"/>
        </w:rPr>
        <w:t xml:space="preserve"> Fee income </w:t>
      </w:r>
      <w:r>
        <w:rPr>
          <w:rFonts w:ascii="Calibri" w:cs="Calibri" w:eastAsia="Calibri" w:hAnsi="Calibri"/>
          <w:sz w:val="18"/>
          <w:szCs w:val="18"/>
          <w:color w:val="auto"/>
        </w:rPr>
        <w:t>at</w:t>
      </w:r>
      <w:r>
        <w:rPr>
          <w:rFonts w:ascii="Calibri" w:cs="Calibri" w:eastAsia="Calibri" w:hAnsi="Calibri"/>
          <w:sz w:val="18"/>
          <w:szCs w:val="18"/>
          <w:b w:val="1"/>
          <w:bCs w:val="1"/>
          <w:color w:val="auto"/>
        </w:rPr>
        <w:t xml:space="preserve"> BCP Stand-alone </w:t>
      </w:r>
      <w:r>
        <w:rPr>
          <w:rFonts w:ascii="Calibri" w:cs="Calibri" w:eastAsia="Calibri" w:hAnsi="Calibri"/>
          <w:sz w:val="18"/>
          <w:szCs w:val="18"/>
          <w:color w:val="auto"/>
        </w:rPr>
        <w:t xml:space="preserve">and to a lesser extent, by an increase in the </w:t>
      </w:r>
      <w:r>
        <w:rPr>
          <w:rFonts w:ascii="Calibri" w:cs="Calibri" w:eastAsia="Calibri" w:hAnsi="Calibri"/>
          <w:sz w:val="18"/>
          <w:szCs w:val="18"/>
          <w:b w:val="1"/>
          <w:bCs w:val="1"/>
          <w:color w:val="auto"/>
        </w:rPr>
        <w:t>Gain on FX Transactons</w:t>
      </w:r>
      <w:r>
        <w:rPr>
          <w:rFonts w:ascii="Calibri" w:cs="Calibri" w:eastAsia="Calibri" w:hAnsi="Calibri"/>
          <w:sz w:val="18"/>
          <w:szCs w:val="18"/>
          <w:color w:val="auto"/>
        </w:rPr>
        <w:t xml:space="preserve"> at </w:t>
      </w:r>
      <w:r>
        <w:rPr>
          <w:rFonts w:ascii="Calibri" w:cs="Calibri" w:eastAsia="Calibri" w:hAnsi="Calibri"/>
          <w:sz w:val="18"/>
          <w:szCs w:val="18"/>
          <w:b w:val="1"/>
          <w:bCs w:val="1"/>
          <w:color w:val="auto"/>
        </w:rPr>
        <w:t>BCP Stand-alone</w:t>
      </w:r>
      <w:r>
        <w:rPr>
          <w:rFonts w:ascii="Calibri" w:cs="Calibri" w:eastAsia="Calibri" w:hAnsi="Calibri"/>
          <w:sz w:val="18"/>
          <w:szCs w:val="18"/>
          <w:color w:val="auto"/>
        </w:rPr>
        <w:t>, which was driven by transactons via retail and wholesale, coupled with an uptck in the margin in the wholesale business.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Fee Income by Subsidiary</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4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Net Fee Income by Subsidiary</w:t>
            </w:r>
          </w:p>
        </w:tc>
        <w:tc>
          <w:tcPr>
            <w:tcW w:w="88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2"/>
                <w:szCs w:val="12"/>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640" w:type="dxa"/>
            <w:vAlign w:val="bottom"/>
            <w:tcBorders>
              <w:top w:val="single" w:sz="8" w:color="auto"/>
            </w:tcBorders>
            <w:shd w:val="clear" w:color="auto" w:fill="33CCCC"/>
          </w:tcPr>
          <w:p>
            <w:pPr>
              <w:spacing w:after="0"/>
              <w:rPr>
                <w:sz w:val="12"/>
                <w:szCs w:val="12"/>
                <w:color w:val="auto"/>
              </w:rPr>
            </w:pPr>
          </w:p>
        </w:tc>
        <w:tc>
          <w:tcPr>
            <w:tcW w:w="120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 Change</w:t>
            </w:r>
          </w:p>
        </w:tc>
        <w:tc>
          <w:tcPr>
            <w:tcW w:w="720" w:type="dxa"/>
            <w:vAlign w:val="bottom"/>
            <w:tcBorders>
              <w:top w:val="single" w:sz="8" w:color="auto"/>
            </w:tcBorders>
            <w:shd w:val="clear" w:color="auto" w:fill="33CCCC"/>
          </w:tcPr>
          <w:p>
            <w:pPr>
              <w:spacing w:after="0"/>
              <w:rPr>
                <w:sz w:val="12"/>
                <w:szCs w:val="12"/>
                <w:color w:val="auto"/>
              </w:rPr>
            </w:pPr>
          </w:p>
        </w:tc>
        <w:tc>
          <w:tcPr>
            <w:tcW w:w="110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9"/>
              </w:rPr>
              <w:t>% Change</w:t>
            </w:r>
          </w:p>
        </w:tc>
      </w:tr>
      <w:tr>
        <w:trPr>
          <w:trHeight w:val="135"/>
        </w:trPr>
        <w:tc>
          <w:tcPr>
            <w:tcW w:w="3400" w:type="dxa"/>
            <w:vAlign w:val="bottom"/>
            <w:tcBorders>
              <w:left w:val="single" w:sz="8" w:color="auto"/>
              <w:bottom w:val="single" w:sz="8" w:color="auto"/>
              <w:right w:val="single" w:sz="8" w:color="auto"/>
            </w:tcBorders>
            <w:shd w:val="clear" w:color="auto" w:fill="33CCCC"/>
          </w:tcPr>
          <w:p>
            <w:pPr>
              <w:ind w:left="20"/>
              <w:spacing w:after="0" w:line="135" w:lineRule="exact"/>
              <w:rPr>
                <w:sz w:val="20"/>
                <w:szCs w:val="20"/>
                <w:color w:val="auto"/>
              </w:rPr>
            </w:pPr>
            <w:r>
              <w:rPr>
                <w:rFonts w:ascii="Calibri" w:cs="Calibri" w:eastAsia="Calibri" w:hAnsi="Calibri"/>
                <w:sz w:val="12"/>
                <w:szCs w:val="12"/>
                <w:b w:val="1"/>
                <w:bCs w:val="1"/>
                <w:color w:val="FFFFFF"/>
              </w:rPr>
              <w:t>(S/ 000)</w:t>
            </w:r>
          </w:p>
        </w:tc>
        <w:tc>
          <w:tcPr>
            <w:tcW w:w="880" w:type="dxa"/>
            <w:vAlign w:val="bottom"/>
            <w:tcBorders>
              <w:bottom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7"/>
              </w:rPr>
              <w:t>3Q23</w:t>
            </w:r>
          </w:p>
        </w:tc>
        <w:tc>
          <w:tcPr>
            <w:tcW w:w="960" w:type="dxa"/>
            <w:vAlign w:val="bottom"/>
            <w:tcBorders>
              <w:bottom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0"/>
              </w:rPr>
              <w:t>2Q24</w:t>
            </w:r>
          </w:p>
        </w:tc>
        <w:tc>
          <w:tcPr>
            <w:tcW w:w="96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7"/>
              </w:rPr>
              <w:t>3Q24</w:t>
            </w:r>
          </w:p>
        </w:tc>
        <w:tc>
          <w:tcPr>
            <w:tcW w:w="640" w:type="dxa"/>
            <w:vAlign w:val="bottom"/>
            <w:tcBorders>
              <w:bottom w:val="single" w:sz="8" w:color="auto"/>
            </w:tcBorders>
            <w:shd w:val="clear" w:color="auto" w:fill="33CCCC"/>
          </w:tcPr>
          <w:p>
            <w:pPr>
              <w:ind w:left="320"/>
              <w:spacing w:after="0" w:line="135" w:lineRule="exact"/>
              <w:rPr>
                <w:sz w:val="20"/>
                <w:szCs w:val="20"/>
                <w:color w:val="auto"/>
              </w:rPr>
            </w:pPr>
            <w:r>
              <w:rPr>
                <w:rFonts w:ascii="Calibri" w:cs="Calibri" w:eastAsia="Calibri" w:hAnsi="Calibri"/>
                <w:sz w:val="12"/>
                <w:szCs w:val="12"/>
                <w:b w:val="1"/>
                <w:bCs w:val="1"/>
                <w:color w:val="FFFFFF"/>
              </w:rPr>
              <w:t>QoQ</w:t>
            </w:r>
          </w:p>
        </w:tc>
        <w:tc>
          <w:tcPr>
            <w:tcW w:w="1200" w:type="dxa"/>
            <w:vAlign w:val="bottom"/>
            <w:tcBorders>
              <w:bottom w:val="single" w:sz="8" w:color="auto"/>
              <w:right w:val="single" w:sz="8" w:color="auto"/>
            </w:tcBorders>
            <w:shd w:val="clear" w:color="auto" w:fill="33CCCC"/>
          </w:tcPr>
          <w:p>
            <w:pPr>
              <w:ind w:left="620"/>
              <w:spacing w:after="0" w:line="135" w:lineRule="exact"/>
              <w:rPr>
                <w:sz w:val="20"/>
                <w:szCs w:val="20"/>
                <w:color w:val="auto"/>
              </w:rPr>
            </w:pPr>
            <w:r>
              <w:rPr>
                <w:rFonts w:ascii="Calibri" w:cs="Calibri" w:eastAsia="Calibri" w:hAnsi="Calibri"/>
                <w:sz w:val="12"/>
                <w:szCs w:val="12"/>
                <w:b w:val="1"/>
                <w:bCs w:val="1"/>
                <w:color w:val="FFFFFF"/>
              </w:rPr>
              <w:t>YoY</w:t>
            </w:r>
          </w:p>
        </w:tc>
        <w:tc>
          <w:tcPr>
            <w:tcW w:w="720" w:type="dxa"/>
            <w:vAlign w:val="bottom"/>
            <w:tcBorders>
              <w:bottom w:val="single" w:sz="8" w:color="auto"/>
            </w:tcBorders>
            <w:shd w:val="clear" w:color="auto" w:fill="33CCCC"/>
          </w:tcPr>
          <w:p>
            <w:pPr>
              <w:ind w:left="260"/>
              <w:spacing w:after="0" w:line="135" w:lineRule="exact"/>
              <w:rPr>
                <w:sz w:val="20"/>
                <w:szCs w:val="20"/>
                <w:color w:val="auto"/>
              </w:rPr>
            </w:pPr>
            <w:r>
              <w:rPr>
                <w:rFonts w:ascii="Calibri" w:cs="Calibri" w:eastAsia="Calibri" w:hAnsi="Calibri"/>
                <w:sz w:val="12"/>
                <w:szCs w:val="12"/>
                <w:b w:val="1"/>
                <w:bCs w:val="1"/>
                <w:color w:val="FFFFFF"/>
              </w:rPr>
              <w:t>Sep 23</w:t>
            </w:r>
          </w:p>
        </w:tc>
        <w:tc>
          <w:tcPr>
            <w:tcW w:w="1100" w:type="dxa"/>
            <w:vAlign w:val="bottom"/>
            <w:tcBorders>
              <w:bottom w:val="single" w:sz="8" w:color="auto"/>
              <w:right w:val="single" w:sz="8" w:color="auto"/>
            </w:tcBorders>
            <w:shd w:val="clear" w:color="auto" w:fill="33CCCC"/>
          </w:tcPr>
          <w:p>
            <w:pPr>
              <w:ind w:left="440"/>
              <w:spacing w:after="0" w:line="135" w:lineRule="exact"/>
              <w:rPr>
                <w:sz w:val="20"/>
                <w:szCs w:val="20"/>
                <w:color w:val="auto"/>
              </w:rPr>
            </w:pPr>
            <w:r>
              <w:rPr>
                <w:rFonts w:ascii="Calibri" w:cs="Calibri" w:eastAsia="Calibri" w:hAnsi="Calibri"/>
                <w:sz w:val="12"/>
                <w:szCs w:val="12"/>
                <w:b w:val="1"/>
                <w:bCs w:val="1"/>
                <w:color w:val="FFFFFF"/>
              </w:rPr>
              <w:t>Sep 24</w:t>
            </w:r>
          </w:p>
        </w:tc>
        <w:tc>
          <w:tcPr>
            <w:tcW w:w="138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Calibri" w:cs="Calibri" w:eastAsia="Calibri" w:hAnsi="Calibri"/>
                <w:sz w:val="12"/>
                <w:szCs w:val="12"/>
                <w:b w:val="1"/>
                <w:bCs w:val="1"/>
                <w:color w:val="FFFFFF"/>
                <w:w w:val="99"/>
              </w:rPr>
              <w:t>Sep 24 / Sep 23</w:t>
            </w:r>
          </w:p>
        </w:tc>
      </w:tr>
      <w:tr>
        <w:trPr>
          <w:trHeight w:val="113"/>
        </w:trPr>
        <w:tc>
          <w:tcPr>
            <w:tcW w:w="3400" w:type="dxa"/>
            <w:vAlign w:val="bottom"/>
            <w:tcBorders>
              <w:left w:val="single" w:sz="8" w:color="auto"/>
              <w:right w:val="single" w:sz="8" w:color="auto"/>
            </w:tcBorders>
          </w:tcPr>
          <w:p>
            <w:pPr>
              <w:ind w:left="20"/>
              <w:spacing w:after="0" w:line="113" w:lineRule="exact"/>
              <w:rPr>
                <w:sz w:val="20"/>
                <w:szCs w:val="20"/>
                <w:color w:val="auto"/>
              </w:rPr>
            </w:pPr>
            <w:r>
              <w:rPr>
                <w:rFonts w:ascii="Calibri" w:cs="Calibri" w:eastAsia="Calibri" w:hAnsi="Calibri"/>
                <w:sz w:val="12"/>
                <w:szCs w:val="12"/>
                <w:color w:val="auto"/>
              </w:rPr>
              <w:t>BCP Stand-Alone</w:t>
            </w:r>
          </w:p>
        </w:tc>
        <w:tc>
          <w:tcPr>
            <w:tcW w:w="880" w:type="dxa"/>
            <w:vAlign w:val="bottom"/>
          </w:tcPr>
          <w:p>
            <w:pPr>
              <w:jc w:val="center"/>
              <w:spacing w:after="0" w:line="113" w:lineRule="exact"/>
              <w:rPr>
                <w:sz w:val="20"/>
                <w:szCs w:val="20"/>
                <w:color w:val="auto"/>
              </w:rPr>
            </w:pPr>
            <w:r>
              <w:rPr>
                <w:rFonts w:ascii="Calibri" w:cs="Calibri" w:eastAsia="Calibri" w:hAnsi="Calibri"/>
                <w:sz w:val="12"/>
                <w:szCs w:val="12"/>
                <w:color w:val="auto"/>
              </w:rPr>
              <w:t>757,688</w:t>
            </w:r>
          </w:p>
        </w:tc>
        <w:tc>
          <w:tcPr>
            <w:tcW w:w="960" w:type="dxa"/>
            <w:vAlign w:val="bottom"/>
          </w:tcPr>
          <w:p>
            <w:pPr>
              <w:jc w:val="center"/>
              <w:spacing w:after="0" w:line="113" w:lineRule="exact"/>
              <w:rPr>
                <w:sz w:val="20"/>
                <w:szCs w:val="20"/>
                <w:color w:val="auto"/>
              </w:rPr>
            </w:pPr>
            <w:r>
              <w:rPr>
                <w:rFonts w:ascii="Calibri" w:cs="Calibri" w:eastAsia="Calibri" w:hAnsi="Calibri"/>
                <w:sz w:val="12"/>
                <w:szCs w:val="12"/>
                <w:color w:val="auto"/>
              </w:rPr>
              <w:t>812,504</w:t>
            </w:r>
          </w:p>
        </w:tc>
        <w:tc>
          <w:tcPr>
            <w:tcW w:w="960" w:type="dxa"/>
            <w:vAlign w:val="bottom"/>
            <w:tcBorders>
              <w:right w:val="single" w:sz="8" w:color="auto"/>
            </w:tcBorders>
          </w:tcPr>
          <w:p>
            <w:pPr>
              <w:jc w:val="center"/>
              <w:spacing w:after="0" w:line="113" w:lineRule="exact"/>
              <w:rPr>
                <w:sz w:val="20"/>
                <w:szCs w:val="20"/>
                <w:color w:val="auto"/>
              </w:rPr>
            </w:pPr>
            <w:r>
              <w:rPr>
                <w:rFonts w:ascii="Calibri" w:cs="Calibri" w:eastAsia="Calibri" w:hAnsi="Calibri"/>
                <w:sz w:val="12"/>
                <w:szCs w:val="12"/>
                <w:color w:val="auto"/>
                <w:w w:val="96"/>
              </w:rPr>
              <w:t>879,995</w:t>
            </w:r>
          </w:p>
        </w:tc>
        <w:tc>
          <w:tcPr>
            <w:tcW w:w="640" w:type="dxa"/>
            <w:vAlign w:val="bottom"/>
          </w:tcPr>
          <w:p>
            <w:pPr>
              <w:jc w:val="center"/>
              <w:ind w:left="182"/>
              <w:spacing w:after="0" w:line="113" w:lineRule="exact"/>
              <w:rPr>
                <w:sz w:val="20"/>
                <w:szCs w:val="20"/>
                <w:color w:val="auto"/>
              </w:rPr>
            </w:pPr>
            <w:r>
              <w:rPr>
                <w:rFonts w:ascii="Calibri" w:cs="Calibri" w:eastAsia="Calibri" w:hAnsi="Calibri"/>
                <w:sz w:val="12"/>
                <w:szCs w:val="12"/>
                <w:color w:val="auto"/>
              </w:rPr>
              <w:t>8.3%</w:t>
            </w:r>
          </w:p>
        </w:tc>
        <w:tc>
          <w:tcPr>
            <w:tcW w:w="1200" w:type="dxa"/>
            <w:vAlign w:val="bottom"/>
            <w:tcBorders>
              <w:right w:val="single" w:sz="8" w:color="auto"/>
            </w:tcBorders>
          </w:tcPr>
          <w:p>
            <w:pPr>
              <w:jc w:val="center"/>
              <w:ind w:left="162"/>
              <w:spacing w:after="0" w:line="113" w:lineRule="exact"/>
              <w:rPr>
                <w:sz w:val="20"/>
                <w:szCs w:val="20"/>
                <w:color w:val="auto"/>
              </w:rPr>
            </w:pPr>
            <w:r>
              <w:rPr>
                <w:rFonts w:ascii="Calibri" w:cs="Calibri" w:eastAsia="Calibri" w:hAnsi="Calibri"/>
                <w:sz w:val="12"/>
                <w:szCs w:val="12"/>
                <w:color w:val="auto"/>
              </w:rPr>
              <w:t>16.1%</w:t>
            </w:r>
          </w:p>
        </w:tc>
        <w:tc>
          <w:tcPr>
            <w:tcW w:w="720" w:type="dxa"/>
            <w:vAlign w:val="bottom"/>
          </w:tcPr>
          <w:p>
            <w:pPr>
              <w:jc w:val="center"/>
              <w:ind w:left="62"/>
              <w:spacing w:after="0" w:line="113" w:lineRule="exact"/>
              <w:rPr>
                <w:sz w:val="20"/>
                <w:szCs w:val="20"/>
                <w:color w:val="auto"/>
              </w:rPr>
            </w:pPr>
            <w:r>
              <w:rPr>
                <w:rFonts w:ascii="Calibri" w:cs="Calibri" w:eastAsia="Calibri" w:hAnsi="Calibri"/>
                <w:sz w:val="12"/>
                <w:szCs w:val="12"/>
                <w:color w:val="auto"/>
                <w:w w:val="98"/>
              </w:rPr>
              <w:t>2,179,125</w:t>
            </w:r>
          </w:p>
        </w:tc>
        <w:tc>
          <w:tcPr>
            <w:tcW w:w="1100" w:type="dxa"/>
            <w:vAlign w:val="bottom"/>
            <w:tcBorders>
              <w:right w:val="single" w:sz="8" w:color="auto"/>
            </w:tcBorders>
          </w:tcPr>
          <w:p>
            <w:pPr>
              <w:jc w:val="center"/>
              <w:ind w:left="62"/>
              <w:spacing w:after="0" w:line="113" w:lineRule="exact"/>
              <w:rPr>
                <w:sz w:val="20"/>
                <w:szCs w:val="20"/>
                <w:color w:val="auto"/>
              </w:rPr>
            </w:pPr>
            <w:r>
              <w:rPr>
                <w:rFonts w:ascii="Calibri" w:cs="Calibri" w:eastAsia="Calibri" w:hAnsi="Calibri"/>
                <w:sz w:val="12"/>
                <w:szCs w:val="12"/>
                <w:color w:val="auto"/>
                <w:w w:val="94"/>
              </w:rPr>
              <w:t>2,463,962</w:t>
            </w:r>
          </w:p>
        </w:tc>
        <w:tc>
          <w:tcPr>
            <w:tcW w:w="1380" w:type="dxa"/>
            <w:vAlign w:val="bottom"/>
            <w:tcBorders>
              <w:right w:val="single" w:sz="8" w:color="auto"/>
            </w:tcBorders>
          </w:tcPr>
          <w:p>
            <w:pPr>
              <w:jc w:val="center"/>
              <w:spacing w:after="0" w:line="113" w:lineRule="exact"/>
              <w:rPr>
                <w:sz w:val="20"/>
                <w:szCs w:val="20"/>
                <w:color w:val="auto"/>
              </w:rPr>
            </w:pPr>
            <w:r>
              <w:rPr>
                <w:rFonts w:ascii="Calibri" w:cs="Calibri" w:eastAsia="Calibri" w:hAnsi="Calibri"/>
                <w:sz w:val="12"/>
                <w:szCs w:val="12"/>
                <w:color w:val="auto"/>
                <w:w w:val="93"/>
              </w:rPr>
              <w:t>13.1%</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BCP Bolivia</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84,941</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rPr>
              <w:t>152,567</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67,939</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w w:val="95"/>
              </w:rPr>
              <w:t>-55.5%</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rPr>
              <w:t>-20.0%</w:t>
            </w:r>
          </w:p>
        </w:tc>
        <w:tc>
          <w:tcPr>
            <w:tcW w:w="72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w w:val="96"/>
              </w:rPr>
              <w:t>230,102</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w w:val="96"/>
              </w:rPr>
              <w:t>374,475</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3"/>
              </w:rPr>
              <w:t>62.7%</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Mibanco</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26,550</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21,773</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18,412</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w w:val="95"/>
              </w:rPr>
              <w:t>-15.4%</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rPr>
              <w:t>-30.7%</w:t>
            </w:r>
          </w:p>
        </w:tc>
        <w:tc>
          <w:tcPr>
            <w:tcW w:w="720" w:type="dxa"/>
            <w:vAlign w:val="bottom"/>
          </w:tcPr>
          <w:p>
            <w:pPr>
              <w:jc w:val="center"/>
              <w:ind w:left="62"/>
              <w:spacing w:after="0" w:line="135" w:lineRule="exact"/>
              <w:rPr>
                <w:sz w:val="20"/>
                <w:szCs w:val="20"/>
                <w:color w:val="auto"/>
              </w:rPr>
            </w:pPr>
            <w:r>
              <w:rPr>
                <w:rFonts w:ascii="Calibri" w:cs="Calibri" w:eastAsia="Calibri" w:hAnsi="Calibri"/>
                <w:sz w:val="12"/>
                <w:szCs w:val="12"/>
                <w:color w:val="auto"/>
                <w:w w:val="95"/>
              </w:rPr>
              <w:t>86,225</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rPr>
              <w:t>64,358</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-25.4%</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Mibanco Colombia</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12,670</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11,043</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12,333</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w w:val="93"/>
              </w:rPr>
              <w:t>11.7%</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w w:val="94"/>
              </w:rPr>
              <w:t>-2.7%</w:t>
            </w:r>
          </w:p>
        </w:tc>
        <w:tc>
          <w:tcPr>
            <w:tcW w:w="720" w:type="dxa"/>
            <w:vAlign w:val="bottom"/>
          </w:tcPr>
          <w:p>
            <w:pPr>
              <w:jc w:val="center"/>
              <w:ind w:left="62"/>
              <w:spacing w:after="0" w:line="135" w:lineRule="exact"/>
              <w:rPr>
                <w:sz w:val="20"/>
                <w:szCs w:val="20"/>
                <w:color w:val="auto"/>
              </w:rPr>
            </w:pPr>
            <w:r>
              <w:rPr>
                <w:rFonts w:ascii="Calibri" w:cs="Calibri" w:eastAsia="Calibri" w:hAnsi="Calibri"/>
                <w:sz w:val="12"/>
                <w:szCs w:val="12"/>
                <w:color w:val="auto"/>
                <w:w w:val="95"/>
              </w:rPr>
              <w:t>32,468</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rPr>
              <w:t>34,626</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6.6%</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Pacífco</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w w:val="96"/>
              </w:rPr>
              <w:t>-2,415</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rPr>
              <w:t>-2,488</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6"/>
              </w:rPr>
              <w:t>-3,218</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w w:val="93"/>
              </w:rPr>
              <w:t>29.3%</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rPr>
              <w:t>33.3%</w:t>
            </w:r>
          </w:p>
        </w:tc>
        <w:tc>
          <w:tcPr>
            <w:tcW w:w="72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w w:val="96"/>
              </w:rPr>
              <w:t>-9,045</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w w:val="96"/>
              </w:rPr>
              <w:t>-8,905</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-1.5%</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Prima</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85,485</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99,102</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90,748</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rPr>
              <w:t>-8.4%</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w w:val="92"/>
              </w:rPr>
              <w:t>6.2%</w:t>
            </w:r>
          </w:p>
        </w:tc>
        <w:tc>
          <w:tcPr>
            <w:tcW w:w="72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w w:val="96"/>
              </w:rPr>
              <w:t>263,389</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w w:val="96"/>
              </w:rPr>
              <w:t>284,378</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8.0%</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ASB</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16,428</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w w:val="95"/>
              </w:rPr>
              <w:t>15,485</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5"/>
              </w:rPr>
              <w:t>15,760</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rPr>
              <w:t>1.8%</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w w:val="94"/>
              </w:rPr>
              <w:t>-4.1%</w:t>
            </w:r>
          </w:p>
        </w:tc>
        <w:tc>
          <w:tcPr>
            <w:tcW w:w="720" w:type="dxa"/>
            <w:vAlign w:val="bottom"/>
          </w:tcPr>
          <w:p>
            <w:pPr>
              <w:jc w:val="center"/>
              <w:ind w:left="62"/>
              <w:spacing w:after="0" w:line="135" w:lineRule="exact"/>
              <w:rPr>
                <w:sz w:val="20"/>
                <w:szCs w:val="20"/>
                <w:color w:val="auto"/>
              </w:rPr>
            </w:pPr>
            <w:r>
              <w:rPr>
                <w:rFonts w:ascii="Calibri" w:cs="Calibri" w:eastAsia="Calibri" w:hAnsi="Calibri"/>
                <w:sz w:val="12"/>
                <w:szCs w:val="12"/>
                <w:color w:val="auto"/>
                <w:w w:val="95"/>
              </w:rPr>
              <w:t>48,560</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rPr>
              <w:t>48,307</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rPr>
              <w:t>-0.5%</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Credicorp Capital</w:t>
            </w:r>
          </w:p>
        </w:tc>
        <w:tc>
          <w:tcPr>
            <w:tcW w:w="880" w:type="dxa"/>
            <w:vAlign w:val="bottom"/>
          </w:tcPr>
          <w:p>
            <w:pPr>
              <w:jc w:val="center"/>
              <w:spacing w:after="0" w:line="135" w:lineRule="exact"/>
              <w:rPr>
                <w:sz w:val="20"/>
                <w:szCs w:val="20"/>
                <w:color w:val="auto"/>
              </w:rPr>
            </w:pPr>
            <w:r>
              <w:rPr>
                <w:rFonts w:ascii="Calibri" w:cs="Calibri" w:eastAsia="Calibri" w:hAnsi="Calibri"/>
                <w:sz w:val="12"/>
                <w:szCs w:val="12"/>
                <w:color w:val="auto"/>
              </w:rPr>
              <w:t>110,754</w:t>
            </w:r>
          </w:p>
        </w:tc>
        <w:tc>
          <w:tcPr>
            <w:tcW w:w="960" w:type="dxa"/>
            <w:vAlign w:val="bottom"/>
          </w:tcPr>
          <w:p>
            <w:pPr>
              <w:jc w:val="center"/>
              <w:spacing w:after="0" w:line="135" w:lineRule="exact"/>
              <w:rPr>
                <w:sz w:val="20"/>
                <w:szCs w:val="20"/>
                <w:color w:val="auto"/>
              </w:rPr>
            </w:pPr>
            <w:r>
              <w:rPr>
                <w:rFonts w:ascii="Calibri" w:cs="Calibri" w:eastAsia="Calibri" w:hAnsi="Calibri"/>
                <w:sz w:val="12"/>
                <w:szCs w:val="12"/>
                <w:color w:val="auto"/>
              </w:rPr>
              <w:t>153,482</w:t>
            </w:r>
          </w:p>
        </w:tc>
        <w:tc>
          <w:tcPr>
            <w:tcW w:w="96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6"/>
              </w:rPr>
              <w:t>141,657</w:t>
            </w:r>
          </w:p>
        </w:tc>
        <w:tc>
          <w:tcPr>
            <w:tcW w:w="640" w:type="dxa"/>
            <w:vAlign w:val="bottom"/>
          </w:tcPr>
          <w:p>
            <w:pPr>
              <w:jc w:val="center"/>
              <w:ind w:left="182"/>
              <w:spacing w:after="0" w:line="135" w:lineRule="exact"/>
              <w:rPr>
                <w:sz w:val="20"/>
                <w:szCs w:val="20"/>
                <w:color w:val="auto"/>
              </w:rPr>
            </w:pPr>
            <w:r>
              <w:rPr>
                <w:rFonts w:ascii="Calibri" w:cs="Calibri" w:eastAsia="Calibri" w:hAnsi="Calibri"/>
                <w:sz w:val="12"/>
                <w:szCs w:val="12"/>
                <w:color w:val="auto"/>
              </w:rPr>
              <w:t>-7.7%</w:t>
            </w:r>
          </w:p>
        </w:tc>
        <w:tc>
          <w:tcPr>
            <w:tcW w:w="1200" w:type="dxa"/>
            <w:vAlign w:val="bottom"/>
            <w:tcBorders>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color w:val="auto"/>
              </w:rPr>
              <w:t>27.9%</w:t>
            </w:r>
          </w:p>
        </w:tc>
        <w:tc>
          <w:tcPr>
            <w:tcW w:w="720" w:type="dxa"/>
            <w:vAlign w:val="bottom"/>
          </w:tcPr>
          <w:p>
            <w:pPr>
              <w:jc w:val="center"/>
              <w:ind w:left="82"/>
              <w:spacing w:after="0" w:line="135" w:lineRule="exact"/>
              <w:rPr>
                <w:sz w:val="20"/>
                <w:szCs w:val="20"/>
                <w:color w:val="auto"/>
              </w:rPr>
            </w:pPr>
            <w:r>
              <w:rPr>
                <w:rFonts w:ascii="Calibri" w:cs="Calibri" w:eastAsia="Calibri" w:hAnsi="Calibri"/>
                <w:sz w:val="12"/>
                <w:szCs w:val="12"/>
                <w:color w:val="auto"/>
                <w:w w:val="96"/>
              </w:rPr>
              <w:t>333,812</w:t>
            </w:r>
          </w:p>
        </w:tc>
        <w:tc>
          <w:tcPr>
            <w:tcW w:w="1100" w:type="dxa"/>
            <w:vAlign w:val="bottom"/>
            <w:tcBorders>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color w:val="auto"/>
                <w:w w:val="96"/>
              </w:rPr>
              <w:t>423,287</w:t>
            </w:r>
          </w:p>
        </w:tc>
        <w:tc>
          <w:tcPr>
            <w:tcW w:w="1380" w:type="dxa"/>
            <w:vAlign w:val="bottom"/>
            <w:tcBorders>
              <w:right w:val="single" w:sz="8" w:color="auto"/>
            </w:tcBorders>
          </w:tcPr>
          <w:p>
            <w:pPr>
              <w:jc w:val="center"/>
              <w:spacing w:after="0" w:line="135" w:lineRule="exact"/>
              <w:rPr>
                <w:sz w:val="20"/>
                <w:szCs w:val="20"/>
                <w:color w:val="auto"/>
              </w:rPr>
            </w:pPr>
            <w:r>
              <w:rPr>
                <w:rFonts w:ascii="Calibri" w:cs="Calibri" w:eastAsia="Calibri" w:hAnsi="Calibri"/>
                <w:sz w:val="12"/>
                <w:szCs w:val="12"/>
                <w:color w:val="auto"/>
                <w:w w:val="93"/>
              </w:rPr>
              <w:t>26.8%</w:t>
            </w:r>
          </w:p>
        </w:tc>
      </w:tr>
      <w:tr>
        <w:trPr>
          <w:trHeight w:val="144"/>
        </w:trPr>
        <w:tc>
          <w:tcPr>
            <w:tcW w:w="3400" w:type="dxa"/>
            <w:vAlign w:val="bottom"/>
            <w:tcBorders>
              <w:left w:val="single" w:sz="8" w:color="auto"/>
              <w:bottom w:val="single" w:sz="8" w:color="auto"/>
              <w:right w:val="single" w:sz="8" w:color="auto"/>
            </w:tcBorders>
          </w:tcPr>
          <w:p>
            <w:pPr>
              <w:ind w:left="20"/>
              <w:spacing w:after="0" w:line="138" w:lineRule="exact"/>
              <w:rPr>
                <w:sz w:val="20"/>
                <w:szCs w:val="20"/>
                <w:color w:val="auto"/>
              </w:rPr>
            </w:pPr>
            <w:r>
              <w:rPr>
                <w:rFonts w:ascii="Calibri" w:cs="Calibri" w:eastAsia="Calibri" w:hAnsi="Calibri"/>
                <w:sz w:val="12"/>
                <w:szCs w:val="12"/>
                <w:color w:val="auto"/>
              </w:rPr>
              <w:t xml:space="preserve">Eliminatons and Other </w:t>
            </w:r>
            <w:r>
              <w:rPr>
                <w:rFonts w:ascii="Calibri" w:cs="Calibri" w:eastAsia="Calibri" w:hAnsi="Calibri"/>
                <w:sz w:val="9"/>
                <w:szCs w:val="9"/>
                <w:color w:val="auto"/>
              </w:rPr>
              <w:t>(1)</w:t>
            </w:r>
          </w:p>
        </w:tc>
        <w:tc>
          <w:tcPr>
            <w:tcW w:w="88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7"/>
              </w:rPr>
              <w:t>-116,146</w:t>
            </w:r>
          </w:p>
        </w:tc>
        <w:tc>
          <w:tcPr>
            <w:tcW w:w="96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7"/>
              </w:rPr>
              <w:t>-114,638</w:t>
            </w:r>
          </w:p>
        </w:tc>
        <w:tc>
          <w:tcPr>
            <w:tcW w:w="96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w w:val="97"/>
              </w:rPr>
              <w:t>-115,312</w:t>
            </w:r>
          </w:p>
        </w:tc>
        <w:tc>
          <w:tcPr>
            <w:tcW w:w="640" w:type="dxa"/>
            <w:vAlign w:val="bottom"/>
            <w:tcBorders>
              <w:bottom w:val="single" w:sz="8" w:color="auto"/>
            </w:tcBorders>
          </w:tcPr>
          <w:p>
            <w:pPr>
              <w:jc w:val="center"/>
              <w:ind w:left="182"/>
              <w:spacing w:after="0" w:line="138" w:lineRule="exact"/>
              <w:rPr>
                <w:sz w:val="20"/>
                <w:szCs w:val="20"/>
                <w:color w:val="auto"/>
              </w:rPr>
            </w:pPr>
            <w:r>
              <w:rPr>
                <w:rFonts w:ascii="Calibri" w:cs="Calibri" w:eastAsia="Calibri" w:hAnsi="Calibri"/>
                <w:sz w:val="12"/>
                <w:szCs w:val="12"/>
                <w:color w:val="auto"/>
              </w:rPr>
              <w:t>0.6%</w:t>
            </w:r>
          </w:p>
        </w:tc>
        <w:tc>
          <w:tcPr>
            <w:tcW w:w="1200" w:type="dxa"/>
            <w:vAlign w:val="bottom"/>
            <w:tcBorders>
              <w:bottom w:val="single" w:sz="8" w:color="auto"/>
              <w:right w:val="single" w:sz="8" w:color="auto"/>
            </w:tcBorders>
          </w:tcPr>
          <w:p>
            <w:pPr>
              <w:jc w:val="center"/>
              <w:ind w:left="162"/>
              <w:spacing w:after="0" w:line="138" w:lineRule="exact"/>
              <w:rPr>
                <w:sz w:val="20"/>
                <w:szCs w:val="20"/>
                <w:color w:val="auto"/>
              </w:rPr>
            </w:pPr>
            <w:r>
              <w:rPr>
                <w:rFonts w:ascii="Calibri" w:cs="Calibri" w:eastAsia="Calibri" w:hAnsi="Calibri"/>
                <w:sz w:val="12"/>
                <w:szCs w:val="12"/>
                <w:color w:val="auto"/>
                <w:w w:val="94"/>
              </w:rPr>
              <w:t>-0.7%</w:t>
            </w:r>
          </w:p>
        </w:tc>
        <w:tc>
          <w:tcPr>
            <w:tcW w:w="720" w:type="dxa"/>
            <w:vAlign w:val="bottom"/>
            <w:tcBorders>
              <w:bottom w:val="single" w:sz="8" w:color="auto"/>
            </w:tcBorders>
          </w:tcPr>
          <w:p>
            <w:pPr>
              <w:jc w:val="center"/>
              <w:ind w:left="82"/>
              <w:spacing w:after="0" w:line="138" w:lineRule="exact"/>
              <w:rPr>
                <w:sz w:val="20"/>
                <w:szCs w:val="20"/>
                <w:color w:val="auto"/>
              </w:rPr>
            </w:pPr>
            <w:r>
              <w:rPr>
                <w:rFonts w:ascii="Calibri" w:cs="Calibri" w:eastAsia="Calibri" w:hAnsi="Calibri"/>
                <w:sz w:val="12"/>
                <w:szCs w:val="12"/>
                <w:color w:val="auto"/>
                <w:w w:val="97"/>
              </w:rPr>
              <w:t>-346,350</w:t>
            </w:r>
          </w:p>
        </w:tc>
        <w:tc>
          <w:tcPr>
            <w:tcW w:w="1100" w:type="dxa"/>
            <w:vAlign w:val="bottom"/>
            <w:tcBorders>
              <w:bottom w:val="single" w:sz="8" w:color="auto"/>
              <w:right w:val="single" w:sz="8" w:color="auto"/>
            </w:tcBorders>
          </w:tcPr>
          <w:p>
            <w:pPr>
              <w:jc w:val="center"/>
              <w:ind w:left="62"/>
              <w:spacing w:after="0" w:line="138" w:lineRule="exact"/>
              <w:rPr>
                <w:sz w:val="20"/>
                <w:szCs w:val="20"/>
                <w:color w:val="auto"/>
              </w:rPr>
            </w:pPr>
            <w:r>
              <w:rPr>
                <w:rFonts w:ascii="Calibri" w:cs="Calibri" w:eastAsia="Calibri" w:hAnsi="Calibri"/>
                <w:sz w:val="12"/>
                <w:szCs w:val="12"/>
                <w:color w:val="auto"/>
                <w:w w:val="97"/>
              </w:rPr>
              <w:t>-364,843</w:t>
            </w:r>
          </w:p>
        </w:tc>
        <w:tc>
          <w:tcPr>
            <w:tcW w:w="138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5.3%</w:t>
            </w:r>
          </w:p>
        </w:tc>
      </w:tr>
      <w:tr>
        <w:trPr>
          <w:trHeight w:val="135"/>
        </w:trPr>
        <w:tc>
          <w:tcPr>
            <w:tcW w:w="3400" w:type="dxa"/>
            <w:vAlign w:val="bottom"/>
            <w:tcBorders>
              <w:left w:val="single" w:sz="8" w:color="auto"/>
              <w:bottom w:val="single" w:sz="8" w:color="auto"/>
              <w:right w:val="single" w:sz="8" w:color="auto"/>
            </w:tcBorders>
          </w:tcPr>
          <w:p>
            <w:pPr>
              <w:ind w:left="20"/>
              <w:spacing w:after="0" w:line="135" w:lineRule="exact"/>
              <w:rPr>
                <w:sz w:val="20"/>
                <w:szCs w:val="20"/>
                <w:color w:val="auto"/>
              </w:rPr>
            </w:pPr>
            <w:r>
              <w:rPr>
                <w:rFonts w:ascii="Calibri" w:cs="Calibri" w:eastAsia="Calibri" w:hAnsi="Calibri"/>
                <w:sz w:val="12"/>
                <w:szCs w:val="12"/>
                <w:b w:val="1"/>
                <w:bCs w:val="1"/>
                <w:color w:val="auto"/>
              </w:rPr>
              <w:t>Total Net Fee Income</w:t>
            </w:r>
          </w:p>
        </w:tc>
        <w:tc>
          <w:tcPr>
            <w:tcW w:w="880" w:type="dxa"/>
            <w:vAlign w:val="bottom"/>
            <w:tcBorders>
              <w:bottom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rPr>
              <w:t>975,955</w:t>
            </w:r>
          </w:p>
        </w:tc>
        <w:tc>
          <w:tcPr>
            <w:tcW w:w="960" w:type="dxa"/>
            <w:vAlign w:val="bottom"/>
            <w:tcBorders>
              <w:bottom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1,148,830</w:t>
            </w:r>
          </w:p>
        </w:tc>
        <w:tc>
          <w:tcPr>
            <w:tcW w:w="960" w:type="dxa"/>
            <w:vAlign w:val="bottom"/>
            <w:tcBorders>
              <w:bottom w:val="single" w:sz="8" w:color="auto"/>
              <w:right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8"/>
              </w:rPr>
              <w:t>1,108,314</w:t>
            </w:r>
          </w:p>
        </w:tc>
        <w:tc>
          <w:tcPr>
            <w:tcW w:w="640" w:type="dxa"/>
            <w:vAlign w:val="bottom"/>
            <w:tcBorders>
              <w:bottom w:val="single" w:sz="8" w:color="auto"/>
            </w:tcBorders>
          </w:tcPr>
          <w:p>
            <w:pPr>
              <w:jc w:val="center"/>
              <w:ind w:left="182"/>
              <w:spacing w:after="0" w:line="135" w:lineRule="exact"/>
              <w:rPr>
                <w:sz w:val="20"/>
                <w:szCs w:val="20"/>
                <w:color w:val="auto"/>
              </w:rPr>
            </w:pPr>
            <w:r>
              <w:rPr>
                <w:rFonts w:ascii="Calibri" w:cs="Calibri" w:eastAsia="Calibri" w:hAnsi="Calibri"/>
                <w:sz w:val="12"/>
                <w:szCs w:val="12"/>
                <w:b w:val="1"/>
                <w:bCs w:val="1"/>
                <w:color w:val="auto"/>
              </w:rPr>
              <w:t>-3.5%</w:t>
            </w:r>
          </w:p>
        </w:tc>
        <w:tc>
          <w:tcPr>
            <w:tcW w:w="1200" w:type="dxa"/>
            <w:vAlign w:val="bottom"/>
            <w:tcBorders>
              <w:bottom w:val="single" w:sz="8" w:color="auto"/>
              <w:right w:val="single" w:sz="8" w:color="auto"/>
            </w:tcBorders>
          </w:tcPr>
          <w:p>
            <w:pPr>
              <w:jc w:val="center"/>
              <w:ind w:left="162"/>
              <w:spacing w:after="0" w:line="135" w:lineRule="exact"/>
              <w:rPr>
                <w:sz w:val="20"/>
                <w:szCs w:val="20"/>
                <w:color w:val="auto"/>
              </w:rPr>
            </w:pPr>
            <w:r>
              <w:rPr>
                <w:rFonts w:ascii="Calibri" w:cs="Calibri" w:eastAsia="Calibri" w:hAnsi="Calibri"/>
                <w:sz w:val="12"/>
                <w:szCs w:val="12"/>
                <w:b w:val="1"/>
                <w:bCs w:val="1"/>
                <w:color w:val="auto"/>
                <w:w w:val="99"/>
              </w:rPr>
              <w:t>13.6%</w:t>
            </w:r>
          </w:p>
        </w:tc>
        <w:tc>
          <w:tcPr>
            <w:tcW w:w="720" w:type="dxa"/>
            <w:vAlign w:val="bottom"/>
            <w:tcBorders>
              <w:bottom w:val="single" w:sz="8" w:color="auto"/>
            </w:tcBorders>
          </w:tcPr>
          <w:p>
            <w:pPr>
              <w:jc w:val="center"/>
              <w:ind w:left="62"/>
              <w:spacing w:after="0" w:line="135" w:lineRule="exact"/>
              <w:rPr>
                <w:sz w:val="20"/>
                <w:szCs w:val="20"/>
                <w:color w:val="auto"/>
              </w:rPr>
            </w:pPr>
            <w:r>
              <w:rPr>
                <w:rFonts w:ascii="Calibri" w:cs="Calibri" w:eastAsia="Calibri" w:hAnsi="Calibri"/>
                <w:sz w:val="12"/>
                <w:szCs w:val="12"/>
                <w:b w:val="1"/>
                <w:bCs w:val="1"/>
                <w:color w:val="auto"/>
                <w:w w:val="98"/>
              </w:rPr>
              <w:t>2,818,286</w:t>
            </w:r>
          </w:p>
        </w:tc>
        <w:tc>
          <w:tcPr>
            <w:tcW w:w="1100" w:type="dxa"/>
            <w:vAlign w:val="bottom"/>
            <w:tcBorders>
              <w:bottom w:val="single" w:sz="8" w:color="auto"/>
              <w:right w:val="single" w:sz="8" w:color="auto"/>
            </w:tcBorders>
          </w:tcPr>
          <w:p>
            <w:pPr>
              <w:jc w:val="center"/>
              <w:ind w:left="62"/>
              <w:spacing w:after="0" w:line="135" w:lineRule="exact"/>
              <w:rPr>
                <w:sz w:val="20"/>
                <w:szCs w:val="20"/>
                <w:color w:val="auto"/>
              </w:rPr>
            </w:pPr>
            <w:r>
              <w:rPr>
                <w:rFonts w:ascii="Calibri" w:cs="Calibri" w:eastAsia="Calibri" w:hAnsi="Calibri"/>
                <w:sz w:val="12"/>
                <w:szCs w:val="12"/>
                <w:b w:val="1"/>
                <w:bCs w:val="1"/>
                <w:color w:val="auto"/>
                <w:w w:val="94"/>
              </w:rPr>
              <w:t>3,319,645</w:t>
            </w:r>
          </w:p>
        </w:tc>
        <w:tc>
          <w:tcPr>
            <w:tcW w:w="1380" w:type="dxa"/>
            <w:vAlign w:val="bottom"/>
            <w:tcBorders>
              <w:bottom w:val="single" w:sz="8" w:color="auto"/>
              <w:right w:val="single" w:sz="8" w:color="auto"/>
            </w:tcBorders>
          </w:tcPr>
          <w:p>
            <w:pPr>
              <w:jc w:val="center"/>
              <w:spacing w:after="0" w:line="135" w:lineRule="exact"/>
              <w:rPr>
                <w:sz w:val="20"/>
                <w:szCs w:val="20"/>
                <w:color w:val="auto"/>
              </w:rPr>
            </w:pPr>
            <w:r>
              <w:rPr>
                <w:rFonts w:ascii="Calibri" w:cs="Calibri" w:eastAsia="Calibri" w:hAnsi="Calibri"/>
                <w:sz w:val="12"/>
                <w:szCs w:val="12"/>
                <w:b w:val="1"/>
                <w:bCs w:val="1"/>
                <w:color w:val="auto"/>
                <w:w w:val="92"/>
              </w:rPr>
              <w:t>17.8%</w:t>
            </w:r>
          </w:p>
        </w:tc>
      </w:tr>
    </w:tbl>
    <w:p>
      <w:pPr>
        <w:spacing w:after="0" w:line="21" w:lineRule="exact"/>
        <w:rPr>
          <w:sz w:val="20"/>
          <w:szCs w:val="20"/>
          <w:color w:val="auto"/>
        </w:rPr>
      </w:pPr>
    </w:p>
    <w:p>
      <w:pPr>
        <w:spacing w:after="0"/>
        <w:rPr>
          <w:sz w:val="20"/>
          <w:szCs w:val="20"/>
          <w:color w:val="auto"/>
        </w:rPr>
      </w:pPr>
      <w:r>
        <w:rPr>
          <w:rFonts w:ascii="Calibri" w:cs="Calibri" w:eastAsia="Calibri" w:hAnsi="Calibri"/>
          <w:sz w:val="13"/>
          <w:szCs w:val="13"/>
          <w:color w:val="auto"/>
        </w:rPr>
        <w:t>(1) Correspond mainly to the eliminatons of bancassurance between Pacífco, BCP, and Mibanc</w:t>
      </w:r>
    </w:p>
    <w:p>
      <w:pPr>
        <w:spacing w:after="0" w:line="11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If we exclude the transactons at BCP Bolivia, </w:t>
      </w:r>
      <w:r>
        <w:rPr>
          <w:rFonts w:ascii="Calibri" w:cs="Calibri" w:eastAsia="Calibri" w:hAnsi="Calibri"/>
          <w:sz w:val="18"/>
          <w:szCs w:val="18"/>
          <w:b w:val="1"/>
          <w:bCs w:val="1"/>
          <w:color w:val="auto"/>
        </w:rPr>
        <w:t>Fee income</w:t>
      </w:r>
      <w:r>
        <w:rPr>
          <w:rFonts w:ascii="Calibri" w:cs="Calibri" w:eastAsia="Calibri" w:hAnsi="Calibri"/>
          <w:sz w:val="18"/>
          <w:szCs w:val="18"/>
          <w:color w:val="auto"/>
        </w:rPr>
        <w:t xml:space="preserve"> evolved as follows: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QoQ</w:t>
      </w:r>
      <w:r>
        <w:rPr>
          <w:rFonts w:ascii="Calibri" w:cs="Calibri" w:eastAsia="Calibri" w:hAnsi="Calibri"/>
          <w:sz w:val="18"/>
          <w:szCs w:val="18"/>
          <w:color w:val="auto"/>
        </w:rPr>
        <w:t>, Fee income rose 4.4%, driven primarily by growth in the total fee level at</w:t>
      </w:r>
      <w:r>
        <w:rPr>
          <w:rFonts w:ascii="Calibri" w:cs="Calibri" w:eastAsia="Calibri" w:hAnsi="Calibri"/>
          <w:sz w:val="18"/>
          <w:szCs w:val="18"/>
          <w:b w:val="1"/>
          <w:bCs w:val="1"/>
          <w:color w:val="auto"/>
        </w:rPr>
        <w:t xml:space="preserve"> BCP Stand-alone</w:t>
      </w:r>
      <w:r>
        <w:rPr>
          <w:rFonts w:ascii="Calibri" w:cs="Calibri" w:eastAsia="Calibri" w:hAnsi="Calibri"/>
          <w:sz w:val="18"/>
          <w:szCs w:val="18"/>
          <w:color w:val="auto"/>
        </w:rPr>
        <w:t>, which will be explained in the next chapter. This growth was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partally ofset by a decrease in fee income at </w:t>
      </w:r>
      <w:r>
        <w:rPr>
          <w:rFonts w:ascii="Calibri" w:cs="Calibri" w:eastAsia="Calibri" w:hAnsi="Calibri"/>
          <w:sz w:val="18"/>
          <w:szCs w:val="18"/>
          <w:b w:val="1"/>
          <w:bCs w:val="1"/>
          <w:color w:val="auto"/>
        </w:rPr>
        <w:t>Credicorp Capital</w:t>
      </w:r>
      <w:r>
        <w:rPr>
          <w:rFonts w:ascii="Calibri" w:cs="Calibri" w:eastAsia="Calibri" w:hAnsi="Calibri"/>
          <w:sz w:val="18"/>
          <w:szCs w:val="18"/>
          <w:color w:val="auto"/>
        </w:rPr>
        <w:t>, which was driven by a base efect through its discontnued Corporate Finance Business Unit in Colombia.</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YoY, </w:t>
      </w:r>
      <w:r>
        <w:rPr>
          <w:rFonts w:ascii="Calibri" w:cs="Calibri" w:eastAsia="Calibri" w:hAnsi="Calibri"/>
          <w:sz w:val="18"/>
          <w:szCs w:val="18"/>
          <w:color w:val="auto"/>
        </w:rPr>
        <w:t>16.8% growth was fueled mainly by growth in the fee volume at BCP Stand-alone, which will be described in the next chapter, and, to a lesser extent, due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to expansion in the fee volume at </w:t>
      </w:r>
      <w:r>
        <w:rPr>
          <w:rFonts w:ascii="Calibri" w:cs="Calibri" w:eastAsia="Calibri" w:hAnsi="Calibri"/>
          <w:sz w:val="18"/>
          <w:szCs w:val="18"/>
          <w:b w:val="1"/>
          <w:bCs w:val="1"/>
          <w:color w:val="auto"/>
        </w:rPr>
        <w:t>Credicorp Capital</w:t>
      </w:r>
      <w:r>
        <w:rPr>
          <w:rFonts w:ascii="Calibri" w:cs="Calibri" w:eastAsia="Calibri" w:hAnsi="Calibri"/>
          <w:sz w:val="18"/>
          <w:szCs w:val="18"/>
          <w:color w:val="auto"/>
        </w:rPr>
        <w:t>, which was driven by the Wealth Management and Asset Management businesses.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YTD, </w:t>
      </w:r>
      <w:r>
        <w:rPr>
          <w:rFonts w:ascii="Calibri" w:cs="Calibri" w:eastAsia="Calibri" w:hAnsi="Calibri"/>
          <w:sz w:val="18"/>
          <w:szCs w:val="18"/>
          <w:color w:val="auto"/>
        </w:rPr>
        <w:t>growth stood at 14.6%, fueled by the same dynamics as those seen YoY.</w:t>
      </w:r>
    </w:p>
    <w:p>
      <w:pPr>
        <w:spacing w:after="0" w:line="37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4" w:name="page35"/>
    <w:bookmarkEnd w:id="34"/>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FFFFFF"/>
        </w:rPr>
        <w:t>06. Other Income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Fee Income at BCP Stand-alone</w:t>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 xml:space="preserve">Compositon of Fee Income at BCP Stand-alone </w:t>
      </w:r>
      <w:r>
        <w:rPr>
          <w:rFonts w:ascii="Calibri" w:cs="Calibri" w:eastAsia="Calibri" w:hAnsi="Calibri"/>
          <w:sz w:val="29"/>
          <w:szCs w:val="29"/>
          <w:b w:val="1"/>
          <w:bCs w:val="1"/>
          <w:color w:val="auto"/>
          <w:vertAlign w:val="superscript"/>
        </w:rPr>
        <w:t>(*)</w:t>
      </w:r>
    </w:p>
    <w:tbl>
      <w:tblPr>
        <w:tblLayout w:type="fixed"/>
        <w:tblInd w:w="10" w:type="dxa"/>
        <w:tblCellMar>
          <w:top w:w="0" w:type="dxa"/>
          <w:left w:w="0" w:type="dxa"/>
          <w:bottom w:w="0" w:type="dxa"/>
          <w:right w:w="0" w:type="dxa"/>
        </w:tblCellMar>
      </w:tblPr>
      <w:tr>
        <w:trPr>
          <w:trHeight w:val="127"/>
        </w:trPr>
        <w:tc>
          <w:tcPr>
            <w:tcW w:w="3400" w:type="dxa"/>
            <w:vAlign w:val="bottom"/>
            <w:tcBorders>
              <w:top w:val="single" w:sz="8" w:color="auto"/>
              <w:left w:val="single" w:sz="8" w:color="auto"/>
              <w:right w:val="single" w:sz="8" w:color="auto"/>
            </w:tcBorders>
            <w:shd w:val="clear" w:color="auto" w:fill="33CCCC"/>
          </w:tcPr>
          <w:p>
            <w:pPr>
              <w:ind w:left="20"/>
              <w:spacing w:after="0" w:line="127" w:lineRule="exact"/>
              <w:rPr>
                <w:sz w:val="20"/>
                <w:szCs w:val="20"/>
                <w:color w:val="auto"/>
              </w:rPr>
            </w:pPr>
            <w:r>
              <w:rPr>
                <w:rFonts w:ascii="Calibri" w:cs="Calibri" w:eastAsia="Calibri" w:hAnsi="Calibri"/>
                <w:sz w:val="11"/>
                <w:szCs w:val="11"/>
                <w:b w:val="1"/>
                <w:bCs w:val="1"/>
                <w:color w:val="FFFFFF"/>
              </w:rPr>
              <w:t>BCP Stand-alone Fees</w:t>
            </w:r>
          </w:p>
        </w:tc>
        <w:tc>
          <w:tcPr>
            <w:tcW w:w="860" w:type="dxa"/>
            <w:vAlign w:val="bottom"/>
            <w:tcBorders>
              <w:top w:val="single" w:sz="8" w:color="auto"/>
            </w:tcBorders>
            <w:shd w:val="clear" w:color="auto" w:fill="33CCCC"/>
          </w:tcPr>
          <w:p>
            <w:pPr>
              <w:spacing w:after="0"/>
              <w:rPr>
                <w:sz w:val="11"/>
                <w:szCs w:val="11"/>
                <w:color w:val="auto"/>
              </w:rPr>
            </w:pPr>
          </w:p>
        </w:tc>
        <w:tc>
          <w:tcPr>
            <w:tcW w:w="1040" w:type="dxa"/>
            <w:vAlign w:val="bottom"/>
            <w:tcBorders>
              <w:top w:val="single" w:sz="8" w:color="auto"/>
            </w:tcBorders>
            <w:shd w:val="clear" w:color="auto" w:fill="33CCCC"/>
          </w:tcPr>
          <w:p>
            <w:pPr>
              <w:ind w:left="320"/>
              <w:spacing w:after="0" w:line="127" w:lineRule="exact"/>
              <w:rPr>
                <w:sz w:val="20"/>
                <w:szCs w:val="20"/>
                <w:color w:val="auto"/>
              </w:rPr>
            </w:pPr>
            <w:r>
              <w:rPr>
                <w:rFonts w:ascii="Calibri" w:cs="Calibri" w:eastAsia="Calibri" w:hAnsi="Calibri"/>
                <w:sz w:val="11"/>
                <w:szCs w:val="11"/>
                <w:b w:val="1"/>
                <w:bCs w:val="1"/>
                <w:color w:val="FFFFFF"/>
              </w:rPr>
              <w:t>Quarterly</w:t>
            </w:r>
          </w:p>
        </w:tc>
        <w:tc>
          <w:tcPr>
            <w:tcW w:w="900" w:type="dxa"/>
            <w:vAlign w:val="bottom"/>
            <w:tcBorders>
              <w:top w:val="single" w:sz="8" w:color="auto"/>
              <w:right w:val="single" w:sz="8" w:color="auto"/>
            </w:tcBorders>
            <w:shd w:val="clear" w:color="auto" w:fill="33CCCC"/>
          </w:tcPr>
          <w:p>
            <w:pPr>
              <w:spacing w:after="0"/>
              <w:rPr>
                <w:sz w:val="11"/>
                <w:szCs w:val="11"/>
                <w:color w:val="auto"/>
              </w:rPr>
            </w:pPr>
          </w:p>
        </w:tc>
        <w:tc>
          <w:tcPr>
            <w:tcW w:w="640" w:type="dxa"/>
            <w:vAlign w:val="bottom"/>
            <w:tcBorders>
              <w:top w:val="single" w:sz="8" w:color="auto"/>
            </w:tcBorders>
            <w:shd w:val="clear" w:color="auto" w:fill="33CCCC"/>
          </w:tcPr>
          <w:p>
            <w:pPr>
              <w:spacing w:after="0"/>
              <w:rPr>
                <w:sz w:val="11"/>
                <w:szCs w:val="11"/>
                <w:color w:val="auto"/>
              </w:rPr>
            </w:pPr>
          </w:p>
        </w:tc>
        <w:tc>
          <w:tcPr>
            <w:tcW w:w="1200" w:type="dxa"/>
            <w:vAlign w:val="bottom"/>
            <w:tcBorders>
              <w:top w:val="single" w:sz="8" w:color="auto"/>
              <w:right w:val="single" w:sz="8" w:color="auto"/>
            </w:tcBorders>
            <w:shd w:val="clear" w:color="auto" w:fill="33CCCC"/>
          </w:tcPr>
          <w:p>
            <w:pPr>
              <w:ind w:left="40"/>
              <w:spacing w:after="0" w:line="127" w:lineRule="exact"/>
              <w:rPr>
                <w:sz w:val="20"/>
                <w:szCs w:val="20"/>
                <w:color w:val="auto"/>
              </w:rPr>
            </w:pPr>
            <w:r>
              <w:rPr>
                <w:rFonts w:ascii="Calibri" w:cs="Calibri" w:eastAsia="Calibri" w:hAnsi="Calibri"/>
                <w:sz w:val="11"/>
                <w:szCs w:val="11"/>
                <w:b w:val="1"/>
                <w:bCs w:val="1"/>
                <w:color w:val="FFFFFF"/>
              </w:rPr>
              <w:t>% Change</w:t>
            </w:r>
          </w:p>
        </w:tc>
        <w:tc>
          <w:tcPr>
            <w:tcW w:w="680" w:type="dxa"/>
            <w:vAlign w:val="bottom"/>
            <w:tcBorders>
              <w:top w:val="single" w:sz="8" w:color="auto"/>
            </w:tcBorders>
            <w:shd w:val="clear" w:color="auto" w:fill="33CCCC"/>
          </w:tcPr>
          <w:p>
            <w:pPr>
              <w:spacing w:after="0"/>
              <w:rPr>
                <w:sz w:val="11"/>
                <w:szCs w:val="11"/>
                <w:color w:val="auto"/>
              </w:rPr>
            </w:pPr>
          </w:p>
        </w:tc>
        <w:tc>
          <w:tcPr>
            <w:tcW w:w="1140" w:type="dxa"/>
            <w:vAlign w:val="bottom"/>
            <w:tcBorders>
              <w:top w:val="single" w:sz="8" w:color="auto"/>
              <w:right w:val="single" w:sz="8" w:color="auto"/>
            </w:tcBorders>
            <w:shd w:val="clear" w:color="auto" w:fill="33CCCC"/>
          </w:tcPr>
          <w:p>
            <w:pPr>
              <w:ind w:left="100"/>
              <w:spacing w:after="0" w:line="127" w:lineRule="exact"/>
              <w:rPr>
                <w:sz w:val="20"/>
                <w:szCs w:val="20"/>
                <w:color w:val="auto"/>
              </w:rPr>
            </w:pPr>
            <w:r>
              <w:rPr>
                <w:rFonts w:ascii="Calibri" w:cs="Calibri" w:eastAsia="Calibri" w:hAnsi="Calibri"/>
                <w:sz w:val="11"/>
                <w:szCs w:val="11"/>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line="127" w:lineRule="exact"/>
              <w:rPr>
                <w:sz w:val="20"/>
                <w:szCs w:val="20"/>
                <w:color w:val="auto"/>
              </w:rPr>
            </w:pPr>
            <w:r>
              <w:rPr>
                <w:rFonts w:ascii="Calibri" w:cs="Calibri" w:eastAsia="Calibri" w:hAnsi="Calibri"/>
                <w:sz w:val="11"/>
                <w:szCs w:val="11"/>
                <w:b w:val="1"/>
                <w:bCs w:val="1"/>
                <w:color w:val="FFFFFF"/>
                <w:w w:val="99"/>
              </w:rPr>
              <w:t>% Change</w:t>
            </w:r>
          </w:p>
        </w:tc>
      </w:tr>
      <w:tr>
        <w:trPr>
          <w:trHeight w:val="132"/>
        </w:trPr>
        <w:tc>
          <w:tcPr>
            <w:tcW w:w="3400" w:type="dxa"/>
            <w:vAlign w:val="bottom"/>
            <w:tcBorders>
              <w:left w:val="single" w:sz="8" w:color="auto"/>
              <w:bottom w:val="single" w:sz="8" w:color="auto"/>
              <w:right w:val="single" w:sz="8" w:color="auto"/>
            </w:tcBorders>
            <w:shd w:val="clear" w:color="auto" w:fill="33CCCC"/>
          </w:tcPr>
          <w:p>
            <w:pPr>
              <w:ind w:left="20"/>
              <w:spacing w:after="0" w:line="127" w:lineRule="exact"/>
              <w:rPr>
                <w:sz w:val="20"/>
                <w:szCs w:val="20"/>
                <w:color w:val="auto"/>
              </w:rPr>
            </w:pPr>
            <w:r>
              <w:rPr>
                <w:rFonts w:ascii="Calibri" w:cs="Calibri" w:eastAsia="Calibri" w:hAnsi="Calibri"/>
                <w:sz w:val="11"/>
                <w:szCs w:val="11"/>
                <w:b w:val="1"/>
                <w:bCs w:val="1"/>
                <w:color w:val="FFFFFF"/>
              </w:rPr>
              <w:t>(S/ 000,000)</w:t>
            </w:r>
          </w:p>
        </w:tc>
        <w:tc>
          <w:tcPr>
            <w:tcW w:w="860" w:type="dxa"/>
            <w:vAlign w:val="bottom"/>
            <w:tcBorders>
              <w:bottom w:val="single" w:sz="8" w:color="auto"/>
            </w:tcBorders>
            <w:shd w:val="clear" w:color="auto" w:fill="33CCCC"/>
          </w:tcPr>
          <w:p>
            <w:pPr>
              <w:jc w:val="center"/>
              <w:spacing w:after="0" w:line="127" w:lineRule="exact"/>
              <w:rPr>
                <w:sz w:val="20"/>
                <w:szCs w:val="20"/>
                <w:color w:val="auto"/>
              </w:rPr>
            </w:pPr>
            <w:r>
              <w:rPr>
                <w:rFonts w:ascii="Calibri" w:cs="Calibri" w:eastAsia="Calibri" w:hAnsi="Calibri"/>
                <w:sz w:val="11"/>
                <w:szCs w:val="11"/>
                <w:b w:val="1"/>
                <w:bCs w:val="1"/>
                <w:color w:val="FFFFFF"/>
                <w:w w:val="98"/>
              </w:rPr>
              <w:t>3Q23</w:t>
            </w:r>
          </w:p>
        </w:tc>
        <w:tc>
          <w:tcPr>
            <w:tcW w:w="1040" w:type="dxa"/>
            <w:vAlign w:val="bottom"/>
            <w:tcBorders>
              <w:bottom w:val="single" w:sz="8" w:color="auto"/>
            </w:tcBorders>
            <w:shd w:val="clear" w:color="auto" w:fill="33CCCC"/>
          </w:tcPr>
          <w:p>
            <w:pPr>
              <w:jc w:val="center"/>
              <w:spacing w:after="0" w:line="127" w:lineRule="exact"/>
              <w:rPr>
                <w:sz w:val="20"/>
                <w:szCs w:val="20"/>
                <w:color w:val="auto"/>
              </w:rPr>
            </w:pPr>
            <w:r>
              <w:rPr>
                <w:rFonts w:ascii="Calibri" w:cs="Calibri" w:eastAsia="Calibri" w:hAnsi="Calibri"/>
                <w:sz w:val="11"/>
                <w:szCs w:val="11"/>
                <w:b w:val="1"/>
                <w:bCs w:val="1"/>
                <w:color w:val="FFFFFF"/>
                <w:w w:val="98"/>
              </w:rPr>
              <w:t>2Q24</w:t>
            </w:r>
          </w:p>
        </w:tc>
        <w:tc>
          <w:tcPr>
            <w:tcW w:w="900" w:type="dxa"/>
            <w:vAlign w:val="bottom"/>
            <w:tcBorders>
              <w:bottom w:val="single" w:sz="8" w:color="auto"/>
              <w:right w:val="single" w:sz="8" w:color="auto"/>
            </w:tcBorders>
            <w:shd w:val="clear" w:color="auto" w:fill="33CCCC"/>
          </w:tcPr>
          <w:p>
            <w:pPr>
              <w:jc w:val="center"/>
              <w:ind w:right="46"/>
              <w:spacing w:after="0" w:line="127" w:lineRule="exact"/>
              <w:rPr>
                <w:sz w:val="20"/>
                <w:szCs w:val="20"/>
                <w:color w:val="auto"/>
              </w:rPr>
            </w:pPr>
            <w:r>
              <w:rPr>
                <w:rFonts w:ascii="Calibri" w:cs="Calibri" w:eastAsia="Calibri" w:hAnsi="Calibri"/>
                <w:sz w:val="11"/>
                <w:szCs w:val="11"/>
                <w:b w:val="1"/>
                <w:bCs w:val="1"/>
                <w:color w:val="FFFFFF"/>
                <w:w w:val="98"/>
              </w:rPr>
              <w:t>3Q24</w:t>
            </w:r>
          </w:p>
        </w:tc>
        <w:tc>
          <w:tcPr>
            <w:tcW w:w="640" w:type="dxa"/>
            <w:vAlign w:val="bottom"/>
            <w:tcBorders>
              <w:bottom w:val="single" w:sz="8" w:color="auto"/>
            </w:tcBorders>
            <w:shd w:val="clear" w:color="auto" w:fill="33CCCC"/>
          </w:tcPr>
          <w:p>
            <w:pPr>
              <w:ind w:left="320"/>
              <w:spacing w:after="0" w:line="127" w:lineRule="exact"/>
              <w:rPr>
                <w:sz w:val="20"/>
                <w:szCs w:val="20"/>
                <w:color w:val="auto"/>
              </w:rPr>
            </w:pPr>
            <w:r>
              <w:rPr>
                <w:rFonts w:ascii="Calibri" w:cs="Calibri" w:eastAsia="Calibri" w:hAnsi="Calibri"/>
                <w:sz w:val="11"/>
                <w:szCs w:val="11"/>
                <w:b w:val="1"/>
                <w:bCs w:val="1"/>
                <w:color w:val="FFFFFF"/>
              </w:rPr>
              <w:t>QoQ</w:t>
            </w:r>
          </w:p>
        </w:tc>
        <w:tc>
          <w:tcPr>
            <w:tcW w:w="1200" w:type="dxa"/>
            <w:vAlign w:val="bottom"/>
            <w:tcBorders>
              <w:bottom w:val="single" w:sz="8" w:color="auto"/>
              <w:right w:val="single" w:sz="8" w:color="auto"/>
            </w:tcBorders>
            <w:shd w:val="clear" w:color="auto" w:fill="33CCCC"/>
          </w:tcPr>
          <w:p>
            <w:pPr>
              <w:ind w:left="620"/>
              <w:spacing w:after="0" w:line="127" w:lineRule="exact"/>
              <w:rPr>
                <w:sz w:val="20"/>
                <w:szCs w:val="20"/>
                <w:color w:val="auto"/>
              </w:rPr>
            </w:pPr>
            <w:r>
              <w:rPr>
                <w:rFonts w:ascii="Calibri" w:cs="Calibri" w:eastAsia="Calibri" w:hAnsi="Calibri"/>
                <w:sz w:val="11"/>
                <w:szCs w:val="11"/>
                <w:b w:val="1"/>
                <w:bCs w:val="1"/>
                <w:color w:val="FFFFFF"/>
              </w:rPr>
              <w:t>YoY</w:t>
            </w:r>
          </w:p>
        </w:tc>
        <w:tc>
          <w:tcPr>
            <w:tcW w:w="680" w:type="dxa"/>
            <w:vAlign w:val="bottom"/>
            <w:tcBorders>
              <w:bottom w:val="single" w:sz="8" w:color="auto"/>
            </w:tcBorders>
            <w:shd w:val="clear" w:color="auto" w:fill="33CCCC"/>
          </w:tcPr>
          <w:p>
            <w:pPr>
              <w:ind w:left="280"/>
              <w:spacing w:after="0" w:line="127" w:lineRule="exact"/>
              <w:rPr>
                <w:sz w:val="20"/>
                <w:szCs w:val="20"/>
                <w:color w:val="auto"/>
              </w:rPr>
            </w:pPr>
            <w:r>
              <w:rPr>
                <w:rFonts w:ascii="Calibri" w:cs="Calibri" w:eastAsia="Calibri" w:hAnsi="Calibri"/>
                <w:sz w:val="11"/>
                <w:szCs w:val="11"/>
                <w:b w:val="1"/>
                <w:bCs w:val="1"/>
                <w:color w:val="FFFFFF"/>
              </w:rPr>
              <w:t>Sep 23</w:t>
            </w:r>
          </w:p>
        </w:tc>
        <w:tc>
          <w:tcPr>
            <w:tcW w:w="1140" w:type="dxa"/>
            <w:vAlign w:val="bottom"/>
            <w:tcBorders>
              <w:bottom w:val="single" w:sz="8" w:color="auto"/>
              <w:right w:val="single" w:sz="8" w:color="auto"/>
            </w:tcBorders>
            <w:shd w:val="clear" w:color="auto" w:fill="33CCCC"/>
          </w:tcPr>
          <w:p>
            <w:pPr>
              <w:ind w:left="500"/>
              <w:spacing w:after="0" w:line="127" w:lineRule="exact"/>
              <w:rPr>
                <w:sz w:val="20"/>
                <w:szCs w:val="20"/>
                <w:color w:val="auto"/>
              </w:rPr>
            </w:pPr>
            <w:r>
              <w:rPr>
                <w:rFonts w:ascii="Calibri" w:cs="Calibri" w:eastAsia="Calibri" w:hAnsi="Calibri"/>
                <w:sz w:val="11"/>
                <w:szCs w:val="11"/>
                <w:b w:val="1"/>
                <w:bCs w:val="1"/>
                <w:color w:val="FFFFFF"/>
              </w:rPr>
              <w:t>Sep 24</w:t>
            </w:r>
          </w:p>
        </w:tc>
        <w:tc>
          <w:tcPr>
            <w:tcW w:w="1380" w:type="dxa"/>
            <w:vAlign w:val="bottom"/>
            <w:tcBorders>
              <w:bottom w:val="single" w:sz="8" w:color="auto"/>
              <w:right w:val="single" w:sz="8" w:color="auto"/>
            </w:tcBorders>
            <w:shd w:val="clear" w:color="auto" w:fill="33CCCC"/>
          </w:tcPr>
          <w:p>
            <w:pPr>
              <w:jc w:val="center"/>
              <w:spacing w:after="0" w:line="127" w:lineRule="exact"/>
              <w:rPr>
                <w:sz w:val="20"/>
                <w:szCs w:val="20"/>
                <w:color w:val="auto"/>
              </w:rPr>
            </w:pPr>
            <w:r>
              <w:rPr>
                <w:rFonts w:ascii="Calibri" w:cs="Calibri" w:eastAsia="Calibri" w:hAnsi="Calibri"/>
                <w:sz w:val="11"/>
                <w:szCs w:val="11"/>
                <w:b w:val="1"/>
                <w:bCs w:val="1"/>
                <w:color w:val="FFFFFF"/>
                <w:w w:val="96"/>
              </w:rPr>
              <w:t>Sep 24 / Sep 23</w:t>
            </w:r>
          </w:p>
        </w:tc>
      </w:tr>
      <w:tr>
        <w:trPr>
          <w:trHeight w:val="127"/>
        </w:trPr>
        <w:tc>
          <w:tcPr>
            <w:tcW w:w="340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9"/>
                <w:szCs w:val="9"/>
                <w:color w:val="auto"/>
              </w:rPr>
              <w:t xml:space="preserve">Payments and transactonals </w:t>
            </w:r>
            <w:r>
              <w:rPr>
                <w:rFonts w:ascii="Calibri" w:cs="Calibri" w:eastAsia="Calibri" w:hAnsi="Calibri"/>
                <w:sz w:val="13"/>
                <w:szCs w:val="13"/>
                <w:color w:val="auto"/>
                <w:vertAlign w:val="superscript"/>
              </w:rPr>
              <w:t>(1)</w:t>
            </w:r>
          </w:p>
        </w:tc>
        <w:tc>
          <w:tcPr>
            <w:tcW w:w="860" w:type="dxa"/>
            <w:vAlign w:val="bottom"/>
          </w:tcPr>
          <w:p>
            <w:pPr>
              <w:jc w:val="center"/>
              <w:spacing w:after="0" w:line="127" w:lineRule="exact"/>
              <w:rPr>
                <w:sz w:val="20"/>
                <w:szCs w:val="20"/>
                <w:color w:val="auto"/>
              </w:rPr>
            </w:pPr>
            <w:r>
              <w:rPr>
                <w:rFonts w:ascii="Calibri" w:cs="Calibri" w:eastAsia="Calibri" w:hAnsi="Calibri"/>
                <w:sz w:val="11"/>
                <w:szCs w:val="11"/>
                <w:color w:val="auto"/>
                <w:w w:val="95"/>
              </w:rPr>
              <w:t>335.6</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color w:val="auto"/>
                <w:w w:val="95"/>
              </w:rPr>
              <w:t>333.3</w:t>
            </w:r>
          </w:p>
        </w:tc>
        <w:tc>
          <w:tcPr>
            <w:tcW w:w="900" w:type="dxa"/>
            <w:vAlign w:val="bottom"/>
            <w:tcBorders>
              <w:right w:val="single" w:sz="8" w:color="auto"/>
            </w:tcBorders>
          </w:tcPr>
          <w:p>
            <w:pPr>
              <w:jc w:val="center"/>
              <w:ind w:right="46"/>
              <w:spacing w:after="0" w:line="127" w:lineRule="exact"/>
              <w:rPr>
                <w:sz w:val="20"/>
                <w:szCs w:val="20"/>
                <w:color w:val="auto"/>
              </w:rPr>
            </w:pPr>
            <w:r>
              <w:rPr>
                <w:rFonts w:ascii="Calibri" w:cs="Calibri" w:eastAsia="Calibri" w:hAnsi="Calibri"/>
                <w:sz w:val="11"/>
                <w:szCs w:val="11"/>
                <w:color w:val="auto"/>
                <w:w w:val="95"/>
              </w:rPr>
              <w:t>376.5</w:t>
            </w:r>
          </w:p>
        </w:tc>
        <w:tc>
          <w:tcPr>
            <w:tcW w:w="640" w:type="dxa"/>
            <w:vAlign w:val="bottom"/>
          </w:tcPr>
          <w:p>
            <w:pPr>
              <w:jc w:val="center"/>
              <w:ind w:left="166"/>
              <w:spacing w:after="0" w:line="127" w:lineRule="exact"/>
              <w:rPr>
                <w:sz w:val="20"/>
                <w:szCs w:val="20"/>
                <w:color w:val="auto"/>
              </w:rPr>
            </w:pPr>
            <w:r>
              <w:rPr>
                <w:rFonts w:ascii="Calibri" w:cs="Calibri" w:eastAsia="Calibri" w:hAnsi="Calibri"/>
                <w:sz w:val="11"/>
                <w:szCs w:val="11"/>
                <w:color w:val="auto"/>
                <w:w w:val="94"/>
              </w:rPr>
              <w:t>13.0%</w:t>
            </w:r>
          </w:p>
        </w:tc>
        <w:tc>
          <w:tcPr>
            <w:tcW w:w="1200" w:type="dxa"/>
            <w:vAlign w:val="bottom"/>
            <w:tcBorders>
              <w:right w:val="single" w:sz="8" w:color="auto"/>
            </w:tcBorders>
          </w:tcPr>
          <w:p>
            <w:pPr>
              <w:jc w:val="center"/>
              <w:ind w:left="146"/>
              <w:spacing w:after="0" w:line="127" w:lineRule="exact"/>
              <w:rPr>
                <w:sz w:val="20"/>
                <w:szCs w:val="20"/>
                <w:color w:val="auto"/>
              </w:rPr>
            </w:pPr>
            <w:r>
              <w:rPr>
                <w:rFonts w:ascii="Calibri" w:cs="Calibri" w:eastAsia="Calibri" w:hAnsi="Calibri"/>
                <w:sz w:val="11"/>
                <w:szCs w:val="11"/>
                <w:color w:val="auto"/>
              </w:rPr>
              <w:t>12.2%</w:t>
            </w:r>
          </w:p>
        </w:tc>
        <w:tc>
          <w:tcPr>
            <w:tcW w:w="680" w:type="dxa"/>
            <w:vAlign w:val="bottom"/>
          </w:tcPr>
          <w:p>
            <w:pPr>
              <w:jc w:val="center"/>
              <w:ind w:left="106"/>
              <w:spacing w:after="0" w:line="127" w:lineRule="exact"/>
              <w:rPr>
                <w:sz w:val="20"/>
                <w:szCs w:val="20"/>
                <w:color w:val="auto"/>
              </w:rPr>
            </w:pPr>
            <w:r>
              <w:rPr>
                <w:rFonts w:ascii="Calibri" w:cs="Calibri" w:eastAsia="Calibri" w:hAnsi="Calibri"/>
                <w:sz w:val="11"/>
                <w:szCs w:val="11"/>
                <w:color w:val="auto"/>
                <w:w w:val="95"/>
              </w:rPr>
              <w:t>979.5</w:t>
            </w:r>
          </w:p>
        </w:tc>
        <w:tc>
          <w:tcPr>
            <w:tcW w:w="1140" w:type="dxa"/>
            <w:vAlign w:val="bottom"/>
            <w:tcBorders>
              <w:right w:val="single" w:sz="8" w:color="auto"/>
            </w:tcBorders>
          </w:tcPr>
          <w:p>
            <w:pPr>
              <w:jc w:val="center"/>
              <w:ind w:left="126"/>
              <w:spacing w:after="0" w:line="127" w:lineRule="exact"/>
              <w:rPr>
                <w:sz w:val="20"/>
                <w:szCs w:val="20"/>
                <w:color w:val="auto"/>
              </w:rPr>
            </w:pPr>
            <w:r>
              <w:rPr>
                <w:rFonts w:ascii="Calibri" w:cs="Calibri" w:eastAsia="Calibri" w:hAnsi="Calibri"/>
                <w:sz w:val="11"/>
                <w:szCs w:val="11"/>
                <w:color w:val="auto"/>
                <w:w w:val="95"/>
              </w:rPr>
              <w:t>1,050.1</w:t>
            </w:r>
          </w:p>
        </w:tc>
        <w:tc>
          <w:tcPr>
            <w:tcW w:w="138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7.2%</w:t>
            </w:r>
          </w:p>
        </w:tc>
      </w:tr>
      <w:tr>
        <w:trPr>
          <w:trHeight w:val="124"/>
        </w:trPr>
        <w:tc>
          <w:tcPr>
            <w:tcW w:w="3400" w:type="dxa"/>
            <w:vAlign w:val="bottom"/>
            <w:tcBorders>
              <w:left w:val="single" w:sz="8" w:color="auto"/>
              <w:right w:val="single" w:sz="8" w:color="auto"/>
            </w:tcBorders>
          </w:tcPr>
          <w:p>
            <w:pPr>
              <w:ind w:left="20"/>
              <w:spacing w:after="0" w:line="124" w:lineRule="exact"/>
              <w:rPr>
                <w:sz w:val="20"/>
                <w:szCs w:val="20"/>
                <w:color w:val="auto"/>
              </w:rPr>
            </w:pPr>
            <w:r>
              <w:rPr>
                <w:rFonts w:ascii="Calibri" w:cs="Calibri" w:eastAsia="Calibri" w:hAnsi="Calibri"/>
                <w:sz w:val="11"/>
                <w:szCs w:val="11"/>
                <w:color w:val="auto"/>
              </w:rPr>
              <w:t>Yape</w:t>
            </w:r>
          </w:p>
        </w:tc>
        <w:tc>
          <w:tcPr>
            <w:tcW w:w="860" w:type="dxa"/>
            <w:vAlign w:val="bottom"/>
          </w:tcPr>
          <w:p>
            <w:pPr>
              <w:jc w:val="center"/>
              <w:spacing w:after="0" w:line="124" w:lineRule="exact"/>
              <w:rPr>
                <w:sz w:val="20"/>
                <w:szCs w:val="20"/>
                <w:color w:val="auto"/>
              </w:rPr>
            </w:pPr>
            <w:r>
              <w:rPr>
                <w:rFonts w:ascii="Calibri" w:cs="Calibri" w:eastAsia="Calibri" w:hAnsi="Calibri"/>
                <w:sz w:val="11"/>
                <w:szCs w:val="11"/>
                <w:color w:val="auto"/>
              </w:rPr>
              <w:t>39.1</w:t>
            </w:r>
          </w:p>
        </w:tc>
        <w:tc>
          <w:tcPr>
            <w:tcW w:w="1040" w:type="dxa"/>
            <w:vAlign w:val="bottom"/>
          </w:tcPr>
          <w:p>
            <w:pPr>
              <w:jc w:val="center"/>
              <w:spacing w:after="0" w:line="124" w:lineRule="exact"/>
              <w:rPr>
                <w:sz w:val="20"/>
                <w:szCs w:val="20"/>
                <w:color w:val="auto"/>
              </w:rPr>
            </w:pPr>
            <w:r>
              <w:rPr>
                <w:rFonts w:ascii="Calibri" w:cs="Calibri" w:eastAsia="Calibri" w:hAnsi="Calibri"/>
                <w:sz w:val="11"/>
                <w:szCs w:val="11"/>
                <w:color w:val="auto"/>
              </w:rPr>
              <w:t>70.2</w:t>
            </w:r>
          </w:p>
        </w:tc>
        <w:tc>
          <w:tcPr>
            <w:tcW w:w="900" w:type="dxa"/>
            <w:vAlign w:val="bottom"/>
            <w:tcBorders>
              <w:right w:val="single" w:sz="8" w:color="auto"/>
            </w:tcBorders>
          </w:tcPr>
          <w:p>
            <w:pPr>
              <w:jc w:val="center"/>
              <w:ind w:right="46"/>
              <w:spacing w:after="0" w:line="124" w:lineRule="exact"/>
              <w:rPr>
                <w:sz w:val="20"/>
                <w:szCs w:val="20"/>
                <w:color w:val="auto"/>
              </w:rPr>
            </w:pPr>
            <w:r>
              <w:rPr>
                <w:rFonts w:ascii="Calibri" w:cs="Calibri" w:eastAsia="Calibri" w:hAnsi="Calibri"/>
                <w:sz w:val="11"/>
                <w:szCs w:val="11"/>
                <w:color w:val="auto"/>
              </w:rPr>
              <w:t>96.4</w:t>
            </w:r>
          </w:p>
        </w:tc>
        <w:tc>
          <w:tcPr>
            <w:tcW w:w="640" w:type="dxa"/>
            <w:vAlign w:val="bottom"/>
          </w:tcPr>
          <w:p>
            <w:pPr>
              <w:jc w:val="center"/>
              <w:ind w:left="166"/>
              <w:spacing w:after="0" w:line="124" w:lineRule="exact"/>
              <w:rPr>
                <w:sz w:val="20"/>
                <w:szCs w:val="20"/>
                <w:color w:val="auto"/>
              </w:rPr>
            </w:pPr>
            <w:r>
              <w:rPr>
                <w:rFonts w:ascii="Calibri" w:cs="Calibri" w:eastAsia="Calibri" w:hAnsi="Calibri"/>
                <w:sz w:val="11"/>
                <w:szCs w:val="11"/>
                <w:color w:val="auto"/>
                <w:w w:val="94"/>
              </w:rPr>
              <w:t>37.3%</w:t>
            </w:r>
          </w:p>
        </w:tc>
        <w:tc>
          <w:tcPr>
            <w:tcW w:w="1200" w:type="dxa"/>
            <w:vAlign w:val="bottom"/>
            <w:tcBorders>
              <w:right w:val="single" w:sz="8" w:color="auto"/>
            </w:tcBorders>
          </w:tcPr>
          <w:p>
            <w:pPr>
              <w:jc w:val="center"/>
              <w:ind w:left="146"/>
              <w:spacing w:after="0" w:line="124" w:lineRule="exact"/>
              <w:rPr>
                <w:sz w:val="20"/>
                <w:szCs w:val="20"/>
                <w:color w:val="auto"/>
              </w:rPr>
            </w:pPr>
            <w:r>
              <w:rPr>
                <w:rFonts w:ascii="Calibri" w:cs="Calibri" w:eastAsia="Calibri" w:hAnsi="Calibri"/>
                <w:sz w:val="11"/>
                <w:szCs w:val="11"/>
                <w:color w:val="auto"/>
                <w:w w:val="96"/>
              </w:rPr>
              <w:t>146.2%</w:t>
            </w:r>
          </w:p>
        </w:tc>
        <w:tc>
          <w:tcPr>
            <w:tcW w:w="680" w:type="dxa"/>
            <w:vAlign w:val="bottom"/>
          </w:tcPr>
          <w:p>
            <w:pPr>
              <w:jc w:val="center"/>
              <w:ind w:left="126"/>
              <w:spacing w:after="0" w:line="124" w:lineRule="exact"/>
              <w:rPr>
                <w:sz w:val="20"/>
                <w:szCs w:val="20"/>
                <w:color w:val="auto"/>
              </w:rPr>
            </w:pPr>
            <w:r>
              <w:rPr>
                <w:rFonts w:ascii="Calibri" w:cs="Calibri" w:eastAsia="Calibri" w:hAnsi="Calibri"/>
                <w:sz w:val="11"/>
                <w:szCs w:val="11"/>
                <w:color w:val="auto"/>
                <w:w w:val="92"/>
              </w:rPr>
              <w:t>47.8</w:t>
            </w:r>
          </w:p>
        </w:tc>
        <w:tc>
          <w:tcPr>
            <w:tcW w:w="1140" w:type="dxa"/>
            <w:vAlign w:val="bottom"/>
            <w:tcBorders>
              <w:right w:val="single" w:sz="8" w:color="auto"/>
            </w:tcBorders>
          </w:tcPr>
          <w:p>
            <w:pPr>
              <w:jc w:val="center"/>
              <w:ind w:left="126"/>
              <w:spacing w:after="0" w:line="124" w:lineRule="exact"/>
              <w:rPr>
                <w:sz w:val="20"/>
                <w:szCs w:val="20"/>
                <w:color w:val="auto"/>
              </w:rPr>
            </w:pPr>
            <w:r>
              <w:rPr>
                <w:rFonts w:ascii="Calibri" w:cs="Calibri" w:eastAsia="Calibri" w:hAnsi="Calibri"/>
                <w:sz w:val="11"/>
                <w:szCs w:val="11"/>
                <w:color w:val="auto"/>
                <w:w w:val="95"/>
              </w:rPr>
              <w:t>222.7</w:t>
            </w:r>
          </w:p>
        </w:tc>
        <w:tc>
          <w:tcPr>
            <w:tcW w:w="1380" w:type="dxa"/>
            <w:vAlign w:val="bottom"/>
            <w:tcBorders>
              <w:right w:val="single" w:sz="8" w:color="auto"/>
            </w:tcBorders>
          </w:tcPr>
          <w:p>
            <w:pPr>
              <w:jc w:val="center"/>
              <w:spacing w:after="0" w:line="124" w:lineRule="exact"/>
              <w:rPr>
                <w:sz w:val="20"/>
                <w:szCs w:val="20"/>
                <w:color w:val="auto"/>
              </w:rPr>
            </w:pPr>
            <w:r>
              <w:rPr>
                <w:rFonts w:ascii="Calibri" w:cs="Calibri" w:eastAsia="Calibri" w:hAnsi="Calibri"/>
                <w:sz w:val="11"/>
                <w:szCs w:val="11"/>
                <w:color w:val="auto"/>
                <w:w w:val="96"/>
              </w:rPr>
              <w:t>365.6%</w:t>
            </w:r>
          </w:p>
        </w:tc>
      </w:tr>
      <w:tr>
        <w:trPr>
          <w:trHeight w:val="135"/>
        </w:trPr>
        <w:tc>
          <w:tcPr>
            <w:tcW w:w="3400" w:type="dxa"/>
            <w:vAlign w:val="bottom"/>
            <w:tcBorders>
              <w:left w:val="single" w:sz="8" w:color="auto"/>
              <w:right w:val="single" w:sz="8" w:color="auto"/>
            </w:tcBorders>
          </w:tcPr>
          <w:p>
            <w:pPr>
              <w:ind w:left="20"/>
              <w:spacing w:after="0" w:line="135" w:lineRule="exact"/>
              <w:rPr>
                <w:sz w:val="20"/>
                <w:szCs w:val="20"/>
                <w:color w:val="auto"/>
              </w:rPr>
            </w:pPr>
            <w:r>
              <w:rPr>
                <w:rFonts w:ascii="Calibri" w:cs="Calibri" w:eastAsia="Calibri" w:hAnsi="Calibri"/>
                <w:sz w:val="9"/>
                <w:szCs w:val="9"/>
                <w:color w:val="auto"/>
              </w:rPr>
              <w:t xml:space="preserve">Liability accounts </w:t>
            </w:r>
            <w:r>
              <w:rPr>
                <w:rFonts w:ascii="Calibri" w:cs="Calibri" w:eastAsia="Calibri" w:hAnsi="Calibri"/>
                <w:sz w:val="14"/>
                <w:szCs w:val="14"/>
                <w:color w:val="auto"/>
                <w:vertAlign w:val="superscript"/>
              </w:rPr>
              <w:t>(2)</w:t>
            </w:r>
          </w:p>
        </w:tc>
        <w:tc>
          <w:tcPr>
            <w:tcW w:w="860" w:type="dxa"/>
            <w:vAlign w:val="bottom"/>
          </w:tcPr>
          <w:p>
            <w:pPr>
              <w:jc w:val="center"/>
              <w:spacing w:after="0"/>
              <w:rPr>
                <w:sz w:val="20"/>
                <w:szCs w:val="20"/>
                <w:color w:val="auto"/>
              </w:rPr>
            </w:pPr>
            <w:r>
              <w:rPr>
                <w:rFonts w:ascii="Calibri" w:cs="Calibri" w:eastAsia="Calibri" w:hAnsi="Calibri"/>
                <w:sz w:val="11"/>
                <w:szCs w:val="11"/>
                <w:color w:val="auto"/>
                <w:w w:val="95"/>
              </w:rPr>
              <w:t>178.2</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5"/>
              </w:rPr>
              <w:t>189.9</w:t>
            </w:r>
          </w:p>
        </w:tc>
        <w:tc>
          <w:tcPr>
            <w:tcW w:w="900" w:type="dxa"/>
            <w:vAlign w:val="bottom"/>
            <w:tcBorders>
              <w:right w:val="single" w:sz="8" w:color="auto"/>
            </w:tcBorders>
          </w:tcPr>
          <w:p>
            <w:pPr>
              <w:jc w:val="center"/>
              <w:ind w:right="46"/>
              <w:spacing w:after="0"/>
              <w:rPr>
                <w:sz w:val="20"/>
                <w:szCs w:val="20"/>
                <w:color w:val="auto"/>
              </w:rPr>
            </w:pPr>
            <w:r>
              <w:rPr>
                <w:rFonts w:ascii="Calibri" w:cs="Calibri" w:eastAsia="Calibri" w:hAnsi="Calibri"/>
                <w:sz w:val="11"/>
                <w:szCs w:val="11"/>
                <w:color w:val="auto"/>
                <w:w w:val="95"/>
              </w:rPr>
              <w:t>198.0</w:t>
            </w:r>
          </w:p>
        </w:tc>
        <w:tc>
          <w:tcPr>
            <w:tcW w:w="640" w:type="dxa"/>
            <w:vAlign w:val="bottom"/>
          </w:tcPr>
          <w:p>
            <w:pPr>
              <w:jc w:val="center"/>
              <w:ind w:left="166"/>
              <w:spacing w:after="0"/>
              <w:rPr>
                <w:sz w:val="20"/>
                <w:szCs w:val="20"/>
                <w:color w:val="auto"/>
              </w:rPr>
            </w:pPr>
            <w:r>
              <w:rPr>
                <w:rFonts w:ascii="Calibri" w:cs="Calibri" w:eastAsia="Calibri" w:hAnsi="Calibri"/>
                <w:sz w:val="11"/>
                <w:szCs w:val="11"/>
                <w:color w:val="auto"/>
              </w:rPr>
              <w:t>4.3%</w:t>
            </w:r>
          </w:p>
        </w:tc>
        <w:tc>
          <w:tcPr>
            <w:tcW w:w="1200" w:type="dxa"/>
            <w:vAlign w:val="bottom"/>
            <w:tcBorders>
              <w:right w:val="single" w:sz="8" w:color="auto"/>
            </w:tcBorders>
          </w:tcPr>
          <w:p>
            <w:pPr>
              <w:jc w:val="center"/>
              <w:ind w:left="146"/>
              <w:spacing w:after="0"/>
              <w:rPr>
                <w:sz w:val="20"/>
                <w:szCs w:val="20"/>
                <w:color w:val="auto"/>
              </w:rPr>
            </w:pPr>
            <w:r>
              <w:rPr>
                <w:rFonts w:ascii="Calibri" w:cs="Calibri" w:eastAsia="Calibri" w:hAnsi="Calibri"/>
                <w:sz w:val="11"/>
                <w:szCs w:val="11"/>
                <w:color w:val="auto"/>
              </w:rPr>
              <w:t>11.1%</w:t>
            </w:r>
          </w:p>
        </w:tc>
        <w:tc>
          <w:tcPr>
            <w:tcW w:w="680" w:type="dxa"/>
            <w:vAlign w:val="bottom"/>
          </w:tcPr>
          <w:p>
            <w:pPr>
              <w:jc w:val="center"/>
              <w:ind w:left="106"/>
              <w:spacing w:after="0"/>
              <w:rPr>
                <w:sz w:val="20"/>
                <w:szCs w:val="20"/>
                <w:color w:val="auto"/>
              </w:rPr>
            </w:pPr>
            <w:r>
              <w:rPr>
                <w:rFonts w:ascii="Calibri" w:cs="Calibri" w:eastAsia="Calibri" w:hAnsi="Calibri"/>
                <w:sz w:val="11"/>
                <w:szCs w:val="11"/>
                <w:color w:val="auto"/>
                <w:w w:val="95"/>
              </w:rPr>
              <w:t>538.2</w:t>
            </w:r>
          </w:p>
        </w:tc>
        <w:tc>
          <w:tcPr>
            <w:tcW w:w="1140" w:type="dxa"/>
            <w:vAlign w:val="bottom"/>
            <w:tcBorders>
              <w:right w:val="single" w:sz="8" w:color="auto"/>
            </w:tcBorders>
          </w:tcPr>
          <w:p>
            <w:pPr>
              <w:jc w:val="center"/>
              <w:ind w:left="126"/>
              <w:spacing w:after="0"/>
              <w:rPr>
                <w:sz w:val="20"/>
                <w:szCs w:val="20"/>
                <w:color w:val="auto"/>
              </w:rPr>
            </w:pPr>
            <w:r>
              <w:rPr>
                <w:rFonts w:ascii="Calibri" w:cs="Calibri" w:eastAsia="Calibri" w:hAnsi="Calibri"/>
                <w:sz w:val="11"/>
                <w:szCs w:val="11"/>
                <w:color w:val="auto"/>
                <w:w w:val="95"/>
              </w:rPr>
              <w:t>567.2</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5.4%</w:t>
            </w:r>
          </w:p>
        </w:tc>
      </w:tr>
      <w:tr>
        <w:trPr>
          <w:trHeight w:val="146"/>
        </w:trPr>
        <w:tc>
          <w:tcPr>
            <w:tcW w:w="3400" w:type="dxa"/>
            <w:vAlign w:val="bottom"/>
            <w:tcBorders>
              <w:left w:val="single" w:sz="8" w:color="auto"/>
              <w:right w:val="single" w:sz="8" w:color="auto"/>
            </w:tcBorders>
          </w:tcPr>
          <w:p>
            <w:pPr>
              <w:ind w:left="20"/>
              <w:spacing w:after="0" w:line="146" w:lineRule="exact"/>
              <w:rPr>
                <w:sz w:val="20"/>
                <w:szCs w:val="20"/>
                <w:color w:val="auto"/>
              </w:rPr>
            </w:pPr>
            <w:r>
              <w:rPr>
                <w:rFonts w:ascii="Calibri" w:cs="Calibri" w:eastAsia="Calibri" w:hAnsi="Calibri"/>
                <w:sz w:val="10"/>
                <w:szCs w:val="10"/>
                <w:color w:val="auto"/>
              </w:rPr>
              <w:t xml:space="preserve">Loan Disbursement </w:t>
            </w:r>
            <w:r>
              <w:rPr>
                <w:rFonts w:ascii="Calibri" w:cs="Calibri" w:eastAsia="Calibri" w:hAnsi="Calibri"/>
                <w:sz w:val="15"/>
                <w:szCs w:val="15"/>
                <w:color w:val="auto"/>
                <w:vertAlign w:val="superscript"/>
              </w:rPr>
              <w:t>(3)</w:t>
            </w:r>
          </w:p>
        </w:tc>
        <w:tc>
          <w:tcPr>
            <w:tcW w:w="860" w:type="dxa"/>
            <w:vAlign w:val="bottom"/>
          </w:tcPr>
          <w:p>
            <w:pPr>
              <w:jc w:val="center"/>
              <w:spacing w:after="0"/>
              <w:rPr>
                <w:sz w:val="20"/>
                <w:szCs w:val="20"/>
                <w:color w:val="auto"/>
              </w:rPr>
            </w:pPr>
            <w:r>
              <w:rPr>
                <w:rFonts w:ascii="Calibri" w:cs="Calibri" w:eastAsia="Calibri" w:hAnsi="Calibri"/>
                <w:sz w:val="11"/>
                <w:szCs w:val="11"/>
                <w:color w:val="auto"/>
              </w:rPr>
              <w:t>89.5</w:t>
            </w:r>
          </w:p>
        </w:tc>
        <w:tc>
          <w:tcPr>
            <w:tcW w:w="1040" w:type="dxa"/>
            <w:vAlign w:val="bottom"/>
          </w:tcPr>
          <w:p>
            <w:pPr>
              <w:jc w:val="center"/>
              <w:spacing w:after="0"/>
              <w:rPr>
                <w:sz w:val="20"/>
                <w:szCs w:val="20"/>
                <w:color w:val="auto"/>
              </w:rPr>
            </w:pPr>
            <w:r>
              <w:rPr>
                <w:rFonts w:ascii="Calibri" w:cs="Calibri" w:eastAsia="Calibri" w:hAnsi="Calibri"/>
                <w:sz w:val="11"/>
                <w:szCs w:val="11"/>
                <w:color w:val="auto"/>
                <w:w w:val="95"/>
              </w:rPr>
              <w:t>101.0</w:t>
            </w:r>
          </w:p>
        </w:tc>
        <w:tc>
          <w:tcPr>
            <w:tcW w:w="900" w:type="dxa"/>
            <w:vAlign w:val="bottom"/>
            <w:tcBorders>
              <w:right w:val="single" w:sz="8" w:color="auto"/>
            </w:tcBorders>
          </w:tcPr>
          <w:p>
            <w:pPr>
              <w:jc w:val="center"/>
              <w:ind w:right="46"/>
              <w:spacing w:after="0"/>
              <w:rPr>
                <w:sz w:val="20"/>
                <w:szCs w:val="20"/>
                <w:color w:val="auto"/>
              </w:rPr>
            </w:pPr>
            <w:r>
              <w:rPr>
                <w:rFonts w:ascii="Calibri" w:cs="Calibri" w:eastAsia="Calibri" w:hAnsi="Calibri"/>
                <w:sz w:val="11"/>
                <w:szCs w:val="11"/>
                <w:color w:val="auto"/>
              </w:rPr>
              <w:t>96.1</w:t>
            </w:r>
          </w:p>
        </w:tc>
        <w:tc>
          <w:tcPr>
            <w:tcW w:w="640" w:type="dxa"/>
            <w:vAlign w:val="bottom"/>
          </w:tcPr>
          <w:p>
            <w:pPr>
              <w:jc w:val="center"/>
              <w:ind w:left="166"/>
              <w:spacing w:after="0"/>
              <w:rPr>
                <w:sz w:val="20"/>
                <w:szCs w:val="20"/>
                <w:color w:val="auto"/>
              </w:rPr>
            </w:pPr>
            <w:r>
              <w:rPr>
                <w:rFonts w:ascii="Calibri" w:cs="Calibri" w:eastAsia="Calibri" w:hAnsi="Calibri"/>
                <w:sz w:val="11"/>
                <w:szCs w:val="11"/>
                <w:color w:val="auto"/>
              </w:rPr>
              <w:t>-4.9%</w:t>
            </w:r>
          </w:p>
        </w:tc>
        <w:tc>
          <w:tcPr>
            <w:tcW w:w="1200" w:type="dxa"/>
            <w:vAlign w:val="bottom"/>
            <w:tcBorders>
              <w:right w:val="single" w:sz="8" w:color="auto"/>
            </w:tcBorders>
          </w:tcPr>
          <w:p>
            <w:pPr>
              <w:jc w:val="center"/>
              <w:ind w:left="146"/>
              <w:spacing w:after="0"/>
              <w:rPr>
                <w:sz w:val="20"/>
                <w:szCs w:val="20"/>
                <w:color w:val="auto"/>
              </w:rPr>
            </w:pPr>
            <w:r>
              <w:rPr>
                <w:rFonts w:ascii="Calibri" w:cs="Calibri" w:eastAsia="Calibri" w:hAnsi="Calibri"/>
                <w:sz w:val="11"/>
                <w:szCs w:val="11"/>
                <w:color w:val="auto"/>
                <w:w w:val="91"/>
              </w:rPr>
              <w:t>7.4%</w:t>
            </w:r>
          </w:p>
        </w:tc>
        <w:tc>
          <w:tcPr>
            <w:tcW w:w="680" w:type="dxa"/>
            <w:vAlign w:val="bottom"/>
          </w:tcPr>
          <w:p>
            <w:pPr>
              <w:jc w:val="center"/>
              <w:ind w:left="106"/>
              <w:spacing w:after="0"/>
              <w:rPr>
                <w:sz w:val="20"/>
                <w:szCs w:val="20"/>
                <w:color w:val="auto"/>
              </w:rPr>
            </w:pPr>
            <w:r>
              <w:rPr>
                <w:rFonts w:ascii="Calibri" w:cs="Calibri" w:eastAsia="Calibri" w:hAnsi="Calibri"/>
                <w:sz w:val="11"/>
                <w:szCs w:val="11"/>
                <w:color w:val="auto"/>
                <w:w w:val="95"/>
              </w:rPr>
              <w:t>276.3</w:t>
            </w:r>
          </w:p>
        </w:tc>
        <w:tc>
          <w:tcPr>
            <w:tcW w:w="1140" w:type="dxa"/>
            <w:vAlign w:val="bottom"/>
            <w:tcBorders>
              <w:right w:val="single" w:sz="8" w:color="auto"/>
            </w:tcBorders>
          </w:tcPr>
          <w:p>
            <w:pPr>
              <w:jc w:val="center"/>
              <w:ind w:left="126"/>
              <w:spacing w:after="0"/>
              <w:rPr>
                <w:sz w:val="20"/>
                <w:szCs w:val="20"/>
                <w:color w:val="auto"/>
              </w:rPr>
            </w:pPr>
            <w:r>
              <w:rPr>
                <w:rFonts w:ascii="Calibri" w:cs="Calibri" w:eastAsia="Calibri" w:hAnsi="Calibri"/>
                <w:sz w:val="11"/>
                <w:szCs w:val="11"/>
                <w:color w:val="auto"/>
                <w:w w:val="95"/>
              </w:rPr>
              <w:t>287.1</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3.9%</w:t>
            </w:r>
          </w:p>
        </w:tc>
      </w:tr>
      <w:tr>
        <w:trPr>
          <w:trHeight w:val="127"/>
        </w:trPr>
        <w:tc>
          <w:tcPr>
            <w:tcW w:w="340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Of-balance sheet</w:t>
            </w:r>
          </w:p>
        </w:tc>
        <w:tc>
          <w:tcPr>
            <w:tcW w:w="860" w:type="dxa"/>
            <w:vAlign w:val="bottom"/>
          </w:tcPr>
          <w:p>
            <w:pPr>
              <w:jc w:val="center"/>
              <w:spacing w:after="0" w:line="127" w:lineRule="exact"/>
              <w:rPr>
                <w:sz w:val="20"/>
                <w:szCs w:val="20"/>
                <w:color w:val="auto"/>
              </w:rPr>
            </w:pPr>
            <w:r>
              <w:rPr>
                <w:rFonts w:ascii="Calibri" w:cs="Calibri" w:eastAsia="Calibri" w:hAnsi="Calibri"/>
                <w:sz w:val="11"/>
                <w:szCs w:val="11"/>
                <w:color w:val="auto"/>
              </w:rPr>
              <w:t>55.7</w:t>
            </w:r>
          </w:p>
        </w:tc>
        <w:tc>
          <w:tcPr>
            <w:tcW w:w="1040" w:type="dxa"/>
            <w:vAlign w:val="bottom"/>
          </w:tcPr>
          <w:p>
            <w:pPr>
              <w:jc w:val="center"/>
              <w:spacing w:after="0" w:line="127" w:lineRule="exact"/>
              <w:rPr>
                <w:sz w:val="20"/>
                <w:szCs w:val="20"/>
                <w:color w:val="auto"/>
              </w:rPr>
            </w:pPr>
            <w:r>
              <w:rPr>
                <w:rFonts w:ascii="Calibri" w:cs="Calibri" w:eastAsia="Calibri" w:hAnsi="Calibri"/>
                <w:sz w:val="11"/>
                <w:szCs w:val="11"/>
                <w:color w:val="auto"/>
              </w:rPr>
              <w:t>55.0</w:t>
            </w:r>
          </w:p>
        </w:tc>
        <w:tc>
          <w:tcPr>
            <w:tcW w:w="900" w:type="dxa"/>
            <w:vAlign w:val="bottom"/>
            <w:tcBorders>
              <w:right w:val="single" w:sz="8" w:color="auto"/>
            </w:tcBorders>
          </w:tcPr>
          <w:p>
            <w:pPr>
              <w:jc w:val="center"/>
              <w:ind w:right="46"/>
              <w:spacing w:after="0" w:line="127" w:lineRule="exact"/>
              <w:rPr>
                <w:sz w:val="20"/>
                <w:szCs w:val="20"/>
                <w:color w:val="auto"/>
              </w:rPr>
            </w:pPr>
            <w:r>
              <w:rPr>
                <w:rFonts w:ascii="Calibri" w:cs="Calibri" w:eastAsia="Calibri" w:hAnsi="Calibri"/>
                <w:sz w:val="11"/>
                <w:szCs w:val="11"/>
                <w:color w:val="auto"/>
              </w:rPr>
              <w:t>56.5</w:t>
            </w:r>
          </w:p>
        </w:tc>
        <w:tc>
          <w:tcPr>
            <w:tcW w:w="640" w:type="dxa"/>
            <w:vAlign w:val="bottom"/>
          </w:tcPr>
          <w:p>
            <w:pPr>
              <w:jc w:val="center"/>
              <w:ind w:left="166"/>
              <w:spacing w:after="0" w:line="127" w:lineRule="exact"/>
              <w:rPr>
                <w:sz w:val="20"/>
                <w:szCs w:val="20"/>
                <w:color w:val="auto"/>
              </w:rPr>
            </w:pPr>
            <w:r>
              <w:rPr>
                <w:rFonts w:ascii="Calibri" w:cs="Calibri" w:eastAsia="Calibri" w:hAnsi="Calibri"/>
                <w:sz w:val="11"/>
                <w:szCs w:val="11"/>
                <w:color w:val="auto"/>
              </w:rPr>
              <w:t>2.7%</w:t>
            </w:r>
          </w:p>
        </w:tc>
        <w:tc>
          <w:tcPr>
            <w:tcW w:w="1200" w:type="dxa"/>
            <w:vAlign w:val="bottom"/>
            <w:tcBorders>
              <w:right w:val="single" w:sz="8" w:color="auto"/>
            </w:tcBorders>
          </w:tcPr>
          <w:p>
            <w:pPr>
              <w:jc w:val="center"/>
              <w:ind w:left="146"/>
              <w:spacing w:after="0" w:line="127" w:lineRule="exact"/>
              <w:rPr>
                <w:sz w:val="20"/>
                <w:szCs w:val="20"/>
                <w:color w:val="auto"/>
              </w:rPr>
            </w:pPr>
            <w:r>
              <w:rPr>
                <w:rFonts w:ascii="Calibri" w:cs="Calibri" w:eastAsia="Calibri" w:hAnsi="Calibri"/>
                <w:sz w:val="11"/>
                <w:szCs w:val="11"/>
                <w:color w:val="auto"/>
                <w:w w:val="91"/>
              </w:rPr>
              <w:t>1.6%</w:t>
            </w:r>
          </w:p>
        </w:tc>
        <w:tc>
          <w:tcPr>
            <w:tcW w:w="680" w:type="dxa"/>
            <w:vAlign w:val="bottom"/>
          </w:tcPr>
          <w:p>
            <w:pPr>
              <w:jc w:val="center"/>
              <w:ind w:left="106"/>
              <w:spacing w:after="0" w:line="127" w:lineRule="exact"/>
              <w:rPr>
                <w:sz w:val="20"/>
                <w:szCs w:val="20"/>
                <w:color w:val="auto"/>
              </w:rPr>
            </w:pPr>
            <w:r>
              <w:rPr>
                <w:rFonts w:ascii="Calibri" w:cs="Calibri" w:eastAsia="Calibri" w:hAnsi="Calibri"/>
                <w:sz w:val="11"/>
                <w:szCs w:val="11"/>
                <w:color w:val="auto"/>
                <w:w w:val="95"/>
              </w:rPr>
              <w:t>174.5</w:t>
            </w:r>
          </w:p>
        </w:tc>
        <w:tc>
          <w:tcPr>
            <w:tcW w:w="1140" w:type="dxa"/>
            <w:vAlign w:val="bottom"/>
            <w:tcBorders>
              <w:right w:val="single" w:sz="8" w:color="auto"/>
            </w:tcBorders>
          </w:tcPr>
          <w:p>
            <w:pPr>
              <w:jc w:val="center"/>
              <w:ind w:left="126"/>
              <w:spacing w:after="0" w:line="127" w:lineRule="exact"/>
              <w:rPr>
                <w:sz w:val="20"/>
                <w:szCs w:val="20"/>
                <w:color w:val="auto"/>
              </w:rPr>
            </w:pPr>
            <w:r>
              <w:rPr>
                <w:rFonts w:ascii="Calibri" w:cs="Calibri" w:eastAsia="Calibri" w:hAnsi="Calibri"/>
                <w:sz w:val="11"/>
                <w:szCs w:val="11"/>
                <w:color w:val="auto"/>
                <w:w w:val="95"/>
              </w:rPr>
              <w:t>168.9</w:t>
            </w:r>
          </w:p>
        </w:tc>
        <w:tc>
          <w:tcPr>
            <w:tcW w:w="138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-3.2%</w:t>
            </w:r>
          </w:p>
        </w:tc>
      </w:tr>
      <w:tr>
        <w:trPr>
          <w:trHeight w:val="135"/>
        </w:trPr>
        <w:tc>
          <w:tcPr>
            <w:tcW w:w="34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Insurances</w:t>
            </w:r>
          </w:p>
        </w:tc>
        <w:tc>
          <w:tcPr>
            <w:tcW w:w="860" w:type="dxa"/>
            <w:vAlign w:val="bottom"/>
          </w:tcPr>
          <w:p>
            <w:pPr>
              <w:jc w:val="center"/>
              <w:spacing w:after="0"/>
              <w:rPr>
                <w:sz w:val="20"/>
                <w:szCs w:val="20"/>
                <w:color w:val="auto"/>
              </w:rPr>
            </w:pPr>
            <w:r>
              <w:rPr>
                <w:rFonts w:ascii="Calibri" w:cs="Calibri" w:eastAsia="Calibri" w:hAnsi="Calibri"/>
                <w:sz w:val="11"/>
                <w:szCs w:val="11"/>
                <w:color w:val="auto"/>
              </w:rPr>
              <w:t>33.0</w:t>
            </w:r>
          </w:p>
        </w:tc>
        <w:tc>
          <w:tcPr>
            <w:tcW w:w="1040" w:type="dxa"/>
            <w:vAlign w:val="bottom"/>
          </w:tcPr>
          <w:p>
            <w:pPr>
              <w:jc w:val="center"/>
              <w:spacing w:after="0"/>
              <w:rPr>
                <w:sz w:val="20"/>
                <w:szCs w:val="20"/>
                <w:color w:val="auto"/>
              </w:rPr>
            </w:pPr>
            <w:r>
              <w:rPr>
                <w:rFonts w:ascii="Calibri" w:cs="Calibri" w:eastAsia="Calibri" w:hAnsi="Calibri"/>
                <w:sz w:val="11"/>
                <w:szCs w:val="11"/>
                <w:color w:val="auto"/>
              </w:rPr>
              <w:t>34.7</w:t>
            </w:r>
          </w:p>
        </w:tc>
        <w:tc>
          <w:tcPr>
            <w:tcW w:w="900" w:type="dxa"/>
            <w:vAlign w:val="bottom"/>
            <w:tcBorders>
              <w:right w:val="single" w:sz="8" w:color="auto"/>
            </w:tcBorders>
          </w:tcPr>
          <w:p>
            <w:pPr>
              <w:jc w:val="center"/>
              <w:ind w:right="46"/>
              <w:spacing w:after="0"/>
              <w:rPr>
                <w:sz w:val="20"/>
                <w:szCs w:val="20"/>
                <w:color w:val="auto"/>
              </w:rPr>
            </w:pPr>
            <w:r>
              <w:rPr>
                <w:rFonts w:ascii="Calibri" w:cs="Calibri" w:eastAsia="Calibri" w:hAnsi="Calibri"/>
                <w:sz w:val="11"/>
                <w:szCs w:val="11"/>
                <w:color w:val="auto"/>
              </w:rPr>
              <w:t>33.9</w:t>
            </w:r>
          </w:p>
        </w:tc>
        <w:tc>
          <w:tcPr>
            <w:tcW w:w="640" w:type="dxa"/>
            <w:vAlign w:val="bottom"/>
          </w:tcPr>
          <w:p>
            <w:pPr>
              <w:jc w:val="center"/>
              <w:ind w:left="166"/>
              <w:spacing w:after="0"/>
              <w:rPr>
                <w:sz w:val="20"/>
                <w:szCs w:val="20"/>
                <w:color w:val="auto"/>
              </w:rPr>
            </w:pPr>
            <w:r>
              <w:rPr>
                <w:rFonts w:ascii="Calibri" w:cs="Calibri" w:eastAsia="Calibri" w:hAnsi="Calibri"/>
                <w:sz w:val="11"/>
                <w:szCs w:val="11"/>
                <w:color w:val="auto"/>
              </w:rPr>
              <w:t>-2.3%</w:t>
            </w:r>
          </w:p>
        </w:tc>
        <w:tc>
          <w:tcPr>
            <w:tcW w:w="1200" w:type="dxa"/>
            <w:vAlign w:val="bottom"/>
            <w:tcBorders>
              <w:right w:val="single" w:sz="8" w:color="auto"/>
            </w:tcBorders>
          </w:tcPr>
          <w:p>
            <w:pPr>
              <w:jc w:val="center"/>
              <w:ind w:left="146"/>
              <w:spacing w:after="0"/>
              <w:rPr>
                <w:sz w:val="20"/>
                <w:szCs w:val="20"/>
                <w:color w:val="auto"/>
              </w:rPr>
            </w:pPr>
            <w:r>
              <w:rPr>
                <w:rFonts w:ascii="Calibri" w:cs="Calibri" w:eastAsia="Calibri" w:hAnsi="Calibri"/>
                <w:sz w:val="11"/>
                <w:szCs w:val="11"/>
                <w:color w:val="auto"/>
                <w:w w:val="91"/>
              </w:rPr>
              <w:t>2.9%</w:t>
            </w:r>
          </w:p>
        </w:tc>
        <w:tc>
          <w:tcPr>
            <w:tcW w:w="680" w:type="dxa"/>
            <w:vAlign w:val="bottom"/>
          </w:tcPr>
          <w:p>
            <w:pPr>
              <w:jc w:val="center"/>
              <w:ind w:left="126"/>
              <w:spacing w:after="0"/>
              <w:rPr>
                <w:sz w:val="20"/>
                <w:szCs w:val="20"/>
                <w:color w:val="auto"/>
              </w:rPr>
            </w:pPr>
            <w:r>
              <w:rPr>
                <w:rFonts w:ascii="Calibri" w:cs="Calibri" w:eastAsia="Calibri" w:hAnsi="Calibri"/>
                <w:sz w:val="11"/>
                <w:szCs w:val="11"/>
                <w:color w:val="auto"/>
                <w:w w:val="92"/>
              </w:rPr>
              <w:t>94.6</w:t>
            </w:r>
          </w:p>
        </w:tc>
        <w:tc>
          <w:tcPr>
            <w:tcW w:w="1140" w:type="dxa"/>
            <w:vAlign w:val="bottom"/>
            <w:tcBorders>
              <w:right w:val="single" w:sz="8" w:color="auto"/>
            </w:tcBorders>
          </w:tcPr>
          <w:p>
            <w:pPr>
              <w:jc w:val="center"/>
              <w:ind w:left="126"/>
              <w:spacing w:after="0"/>
              <w:rPr>
                <w:sz w:val="20"/>
                <w:szCs w:val="20"/>
                <w:color w:val="auto"/>
              </w:rPr>
            </w:pPr>
            <w:r>
              <w:rPr>
                <w:rFonts w:ascii="Calibri" w:cs="Calibri" w:eastAsia="Calibri" w:hAnsi="Calibri"/>
                <w:sz w:val="11"/>
                <w:szCs w:val="11"/>
                <w:color w:val="auto"/>
                <w:w w:val="95"/>
              </w:rPr>
              <w:t>102.3</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8.1%</w:t>
            </w:r>
          </w:p>
        </w:tc>
      </w:tr>
      <w:tr>
        <w:trPr>
          <w:trHeight w:val="132"/>
        </w:trPr>
        <w:tc>
          <w:tcPr>
            <w:tcW w:w="3400" w:type="dxa"/>
            <w:vAlign w:val="bottom"/>
            <w:tcBorders>
              <w:left w:val="single" w:sz="8" w:color="auto"/>
              <w:right w:val="single" w:sz="8" w:color="auto"/>
            </w:tcBorders>
          </w:tcPr>
          <w:p>
            <w:pPr>
              <w:ind w:left="20"/>
              <w:spacing w:after="0" w:line="132" w:lineRule="exact"/>
              <w:rPr>
                <w:sz w:val="20"/>
                <w:szCs w:val="20"/>
                <w:color w:val="auto"/>
              </w:rPr>
            </w:pPr>
            <w:r>
              <w:rPr>
                <w:rFonts w:ascii="Calibri" w:cs="Calibri" w:eastAsia="Calibri" w:hAnsi="Calibri"/>
                <w:sz w:val="11"/>
                <w:szCs w:val="11"/>
                <w:color w:val="auto"/>
              </w:rPr>
              <w:t>ASB</w:t>
            </w:r>
          </w:p>
        </w:tc>
        <w:tc>
          <w:tcPr>
            <w:tcW w:w="860" w:type="dxa"/>
            <w:vAlign w:val="bottom"/>
          </w:tcPr>
          <w:p>
            <w:pPr>
              <w:jc w:val="center"/>
              <w:spacing w:after="0" w:line="132" w:lineRule="exact"/>
              <w:rPr>
                <w:sz w:val="20"/>
                <w:szCs w:val="20"/>
                <w:color w:val="auto"/>
              </w:rPr>
            </w:pPr>
            <w:r>
              <w:rPr>
                <w:rFonts w:ascii="Calibri" w:cs="Calibri" w:eastAsia="Calibri" w:hAnsi="Calibri"/>
                <w:sz w:val="11"/>
                <w:szCs w:val="11"/>
                <w:color w:val="auto"/>
              </w:rPr>
              <w:t>9.9</w:t>
            </w:r>
          </w:p>
        </w:tc>
        <w:tc>
          <w:tcPr>
            <w:tcW w:w="1040" w:type="dxa"/>
            <w:vAlign w:val="bottom"/>
          </w:tcPr>
          <w:p>
            <w:pPr>
              <w:jc w:val="center"/>
              <w:spacing w:after="0" w:line="132" w:lineRule="exact"/>
              <w:rPr>
                <w:sz w:val="20"/>
                <w:szCs w:val="20"/>
                <w:color w:val="auto"/>
              </w:rPr>
            </w:pPr>
            <w:r>
              <w:rPr>
                <w:rFonts w:ascii="Calibri" w:cs="Calibri" w:eastAsia="Calibri" w:hAnsi="Calibri"/>
                <w:sz w:val="11"/>
                <w:szCs w:val="11"/>
                <w:color w:val="auto"/>
              </w:rPr>
              <w:t>17.5</w:t>
            </w:r>
          </w:p>
        </w:tc>
        <w:tc>
          <w:tcPr>
            <w:tcW w:w="900" w:type="dxa"/>
            <w:vAlign w:val="bottom"/>
            <w:tcBorders>
              <w:right w:val="single" w:sz="8" w:color="auto"/>
            </w:tcBorders>
          </w:tcPr>
          <w:p>
            <w:pPr>
              <w:jc w:val="center"/>
              <w:ind w:right="46"/>
              <w:spacing w:after="0" w:line="132" w:lineRule="exact"/>
              <w:rPr>
                <w:sz w:val="20"/>
                <w:szCs w:val="20"/>
                <w:color w:val="auto"/>
              </w:rPr>
            </w:pPr>
            <w:r>
              <w:rPr>
                <w:rFonts w:ascii="Calibri" w:cs="Calibri" w:eastAsia="Calibri" w:hAnsi="Calibri"/>
                <w:sz w:val="11"/>
                <w:szCs w:val="11"/>
                <w:color w:val="auto"/>
              </w:rPr>
              <w:t>12.7</w:t>
            </w:r>
          </w:p>
        </w:tc>
        <w:tc>
          <w:tcPr>
            <w:tcW w:w="640" w:type="dxa"/>
            <w:vAlign w:val="bottom"/>
          </w:tcPr>
          <w:p>
            <w:pPr>
              <w:jc w:val="center"/>
              <w:ind w:left="166"/>
              <w:spacing w:after="0" w:line="132" w:lineRule="exact"/>
              <w:rPr>
                <w:sz w:val="20"/>
                <w:szCs w:val="20"/>
                <w:color w:val="auto"/>
              </w:rPr>
            </w:pPr>
            <w:r>
              <w:rPr>
                <w:rFonts w:ascii="Calibri" w:cs="Calibri" w:eastAsia="Calibri" w:hAnsi="Calibri"/>
                <w:sz w:val="11"/>
                <w:szCs w:val="11"/>
                <w:color w:val="auto"/>
                <w:w w:val="97"/>
              </w:rPr>
              <w:t>-27.7%</w:t>
            </w:r>
          </w:p>
        </w:tc>
        <w:tc>
          <w:tcPr>
            <w:tcW w:w="1200" w:type="dxa"/>
            <w:vAlign w:val="bottom"/>
            <w:tcBorders>
              <w:right w:val="single" w:sz="8" w:color="auto"/>
            </w:tcBorders>
          </w:tcPr>
          <w:p>
            <w:pPr>
              <w:jc w:val="center"/>
              <w:ind w:left="146"/>
              <w:spacing w:after="0" w:line="132" w:lineRule="exact"/>
              <w:rPr>
                <w:sz w:val="20"/>
                <w:szCs w:val="20"/>
                <w:color w:val="auto"/>
              </w:rPr>
            </w:pPr>
            <w:r>
              <w:rPr>
                <w:rFonts w:ascii="Calibri" w:cs="Calibri" w:eastAsia="Calibri" w:hAnsi="Calibri"/>
                <w:sz w:val="11"/>
                <w:szCs w:val="11"/>
                <w:color w:val="auto"/>
              </w:rPr>
              <w:t>28.4%</w:t>
            </w:r>
          </w:p>
        </w:tc>
        <w:tc>
          <w:tcPr>
            <w:tcW w:w="680" w:type="dxa"/>
            <w:vAlign w:val="bottom"/>
          </w:tcPr>
          <w:p>
            <w:pPr>
              <w:jc w:val="center"/>
              <w:ind w:left="126"/>
              <w:spacing w:after="0" w:line="132" w:lineRule="exact"/>
              <w:rPr>
                <w:sz w:val="20"/>
                <w:szCs w:val="20"/>
                <w:color w:val="auto"/>
              </w:rPr>
            </w:pPr>
            <w:r>
              <w:rPr>
                <w:rFonts w:ascii="Calibri" w:cs="Calibri" w:eastAsia="Calibri" w:hAnsi="Calibri"/>
                <w:sz w:val="11"/>
                <w:szCs w:val="11"/>
                <w:color w:val="auto"/>
                <w:w w:val="92"/>
              </w:rPr>
              <w:t>28.2</w:t>
            </w:r>
          </w:p>
        </w:tc>
        <w:tc>
          <w:tcPr>
            <w:tcW w:w="1140" w:type="dxa"/>
            <w:vAlign w:val="bottom"/>
            <w:tcBorders>
              <w:right w:val="single" w:sz="8" w:color="auto"/>
            </w:tcBorders>
          </w:tcPr>
          <w:p>
            <w:pPr>
              <w:jc w:val="center"/>
              <w:ind w:left="126"/>
              <w:spacing w:after="0" w:line="132" w:lineRule="exact"/>
              <w:rPr>
                <w:sz w:val="20"/>
                <w:szCs w:val="20"/>
                <w:color w:val="auto"/>
              </w:rPr>
            </w:pPr>
            <w:r>
              <w:rPr>
                <w:rFonts w:ascii="Calibri" w:cs="Calibri" w:eastAsia="Calibri" w:hAnsi="Calibri"/>
                <w:sz w:val="11"/>
                <w:szCs w:val="11"/>
                <w:color w:val="auto"/>
              </w:rPr>
              <w:t>39.7</w:t>
            </w:r>
          </w:p>
        </w:tc>
        <w:tc>
          <w:tcPr>
            <w:tcW w:w="138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4"/>
              </w:rPr>
              <w:t>40.8%</w:t>
            </w:r>
          </w:p>
        </w:tc>
      </w:tr>
      <w:tr>
        <w:trPr>
          <w:trHeight w:val="153"/>
        </w:trPr>
        <w:tc>
          <w:tcPr>
            <w:tcW w:w="340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Calibri" w:cs="Calibri" w:eastAsia="Calibri" w:hAnsi="Calibri"/>
                <w:sz w:val="10"/>
                <w:szCs w:val="10"/>
                <w:color w:val="auto"/>
              </w:rPr>
              <w:t xml:space="preserve">Others </w:t>
            </w:r>
            <w:r>
              <w:rPr>
                <w:rFonts w:ascii="Calibri" w:cs="Calibri" w:eastAsia="Calibri" w:hAnsi="Calibri"/>
                <w:sz w:val="16"/>
                <w:szCs w:val="16"/>
                <w:color w:val="auto"/>
                <w:vertAlign w:val="superscript"/>
              </w:rPr>
              <w:t>(4)</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17.7</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10.8</w:t>
            </w:r>
          </w:p>
        </w:tc>
        <w:tc>
          <w:tcPr>
            <w:tcW w:w="900" w:type="dxa"/>
            <w:vAlign w:val="bottom"/>
            <w:tcBorders>
              <w:bottom w:val="single" w:sz="8" w:color="auto"/>
              <w:right w:val="single" w:sz="8" w:color="auto"/>
            </w:tcBorders>
          </w:tcPr>
          <w:p>
            <w:pPr>
              <w:jc w:val="center"/>
              <w:ind w:right="26"/>
              <w:spacing w:after="0"/>
              <w:rPr>
                <w:sz w:val="20"/>
                <w:szCs w:val="20"/>
                <w:color w:val="auto"/>
              </w:rPr>
            </w:pPr>
            <w:r>
              <w:rPr>
                <w:rFonts w:ascii="Calibri" w:cs="Calibri" w:eastAsia="Calibri" w:hAnsi="Calibri"/>
                <w:sz w:val="11"/>
                <w:szCs w:val="11"/>
                <w:color w:val="auto"/>
              </w:rPr>
              <w:t>9.9</w:t>
            </w:r>
          </w:p>
        </w:tc>
        <w:tc>
          <w:tcPr>
            <w:tcW w:w="640" w:type="dxa"/>
            <w:vAlign w:val="bottom"/>
            <w:tcBorders>
              <w:bottom w:val="single" w:sz="8" w:color="auto"/>
            </w:tcBorders>
          </w:tcPr>
          <w:p>
            <w:pPr>
              <w:jc w:val="center"/>
              <w:ind w:left="166"/>
              <w:spacing w:after="0"/>
              <w:rPr>
                <w:sz w:val="20"/>
                <w:szCs w:val="20"/>
                <w:color w:val="auto"/>
              </w:rPr>
            </w:pPr>
            <w:r>
              <w:rPr>
                <w:rFonts w:ascii="Calibri" w:cs="Calibri" w:eastAsia="Calibri" w:hAnsi="Calibri"/>
                <w:sz w:val="11"/>
                <w:szCs w:val="11"/>
                <w:color w:val="auto"/>
              </w:rPr>
              <w:t>-8.7%</w:t>
            </w:r>
          </w:p>
        </w:tc>
        <w:tc>
          <w:tcPr>
            <w:tcW w:w="1200" w:type="dxa"/>
            <w:vAlign w:val="bottom"/>
            <w:tcBorders>
              <w:bottom w:val="single" w:sz="8" w:color="auto"/>
              <w:right w:val="single" w:sz="8" w:color="auto"/>
            </w:tcBorders>
          </w:tcPr>
          <w:p>
            <w:pPr>
              <w:jc w:val="center"/>
              <w:ind w:left="166"/>
              <w:spacing w:after="0"/>
              <w:rPr>
                <w:sz w:val="20"/>
                <w:szCs w:val="20"/>
                <w:color w:val="auto"/>
              </w:rPr>
            </w:pPr>
            <w:r>
              <w:rPr>
                <w:rFonts w:ascii="Calibri" w:cs="Calibri" w:eastAsia="Calibri" w:hAnsi="Calibri"/>
                <w:sz w:val="11"/>
                <w:szCs w:val="11"/>
                <w:color w:val="auto"/>
                <w:w w:val="97"/>
              </w:rPr>
              <w:t>-44.2%</w:t>
            </w:r>
          </w:p>
        </w:tc>
        <w:tc>
          <w:tcPr>
            <w:tcW w:w="680" w:type="dxa"/>
            <w:vAlign w:val="bottom"/>
            <w:tcBorders>
              <w:bottom w:val="single" w:sz="8" w:color="auto"/>
            </w:tcBorders>
          </w:tcPr>
          <w:p>
            <w:pPr>
              <w:jc w:val="center"/>
              <w:ind w:left="126"/>
              <w:spacing w:after="0"/>
              <w:rPr>
                <w:sz w:val="20"/>
                <w:szCs w:val="20"/>
                <w:color w:val="auto"/>
              </w:rPr>
            </w:pPr>
            <w:r>
              <w:rPr>
                <w:rFonts w:ascii="Calibri" w:cs="Calibri" w:eastAsia="Calibri" w:hAnsi="Calibri"/>
                <w:sz w:val="11"/>
                <w:szCs w:val="11"/>
                <w:color w:val="auto"/>
                <w:w w:val="92"/>
              </w:rPr>
              <w:t>40.9</w:t>
            </w:r>
          </w:p>
        </w:tc>
        <w:tc>
          <w:tcPr>
            <w:tcW w:w="1140" w:type="dxa"/>
            <w:vAlign w:val="bottom"/>
            <w:tcBorders>
              <w:bottom w:val="single" w:sz="8" w:color="auto"/>
              <w:right w:val="single" w:sz="8" w:color="auto"/>
            </w:tcBorders>
          </w:tcPr>
          <w:p>
            <w:pPr>
              <w:jc w:val="center"/>
              <w:ind w:left="126"/>
              <w:spacing w:after="0"/>
              <w:rPr>
                <w:sz w:val="20"/>
                <w:szCs w:val="20"/>
                <w:color w:val="auto"/>
              </w:rPr>
            </w:pPr>
            <w:r>
              <w:rPr>
                <w:rFonts w:ascii="Calibri" w:cs="Calibri" w:eastAsia="Calibri" w:hAnsi="Calibri"/>
                <w:sz w:val="11"/>
                <w:szCs w:val="11"/>
                <w:color w:val="auto"/>
              </w:rPr>
              <w:t>26.0</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-36.4%</w:t>
            </w:r>
          </w:p>
        </w:tc>
      </w:tr>
      <w:tr>
        <w:trPr>
          <w:trHeight w:val="125"/>
        </w:trPr>
        <w:tc>
          <w:tcPr>
            <w:tcW w:w="340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Calibri" w:cs="Calibri" w:eastAsia="Calibri" w:hAnsi="Calibri"/>
                <w:sz w:val="11"/>
                <w:szCs w:val="11"/>
                <w:b w:val="1"/>
                <w:bCs w:val="1"/>
                <w:color w:val="auto"/>
              </w:rPr>
              <w:t>Total</w:t>
            </w:r>
          </w:p>
        </w:tc>
        <w:tc>
          <w:tcPr>
            <w:tcW w:w="86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4"/>
              </w:rPr>
              <w:t>758.5</w:t>
            </w:r>
          </w:p>
        </w:tc>
        <w:tc>
          <w:tcPr>
            <w:tcW w:w="104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w w:val="94"/>
              </w:rPr>
              <w:t>812.5</w:t>
            </w:r>
          </w:p>
        </w:tc>
        <w:tc>
          <w:tcPr>
            <w:tcW w:w="900" w:type="dxa"/>
            <w:vAlign w:val="bottom"/>
            <w:tcBorders>
              <w:bottom w:val="single" w:sz="8" w:color="auto"/>
              <w:right w:val="single" w:sz="8" w:color="auto"/>
            </w:tcBorders>
          </w:tcPr>
          <w:p>
            <w:pPr>
              <w:jc w:val="center"/>
              <w:ind w:right="46"/>
              <w:spacing w:after="0" w:line="125" w:lineRule="exact"/>
              <w:rPr>
                <w:sz w:val="20"/>
                <w:szCs w:val="20"/>
                <w:color w:val="auto"/>
              </w:rPr>
            </w:pPr>
            <w:r>
              <w:rPr>
                <w:rFonts w:ascii="Calibri" w:cs="Calibri" w:eastAsia="Calibri" w:hAnsi="Calibri"/>
                <w:sz w:val="11"/>
                <w:szCs w:val="11"/>
                <w:b w:val="1"/>
                <w:bCs w:val="1"/>
                <w:color w:val="auto"/>
                <w:w w:val="94"/>
              </w:rPr>
              <w:t>880.0</w:t>
            </w:r>
          </w:p>
        </w:tc>
        <w:tc>
          <w:tcPr>
            <w:tcW w:w="640" w:type="dxa"/>
            <w:vAlign w:val="bottom"/>
            <w:tcBorders>
              <w:bottom w:val="single" w:sz="8" w:color="auto"/>
            </w:tcBorders>
          </w:tcPr>
          <w:p>
            <w:pPr>
              <w:jc w:val="center"/>
              <w:ind w:left="166"/>
              <w:spacing w:after="0" w:line="125" w:lineRule="exact"/>
              <w:rPr>
                <w:sz w:val="20"/>
                <w:szCs w:val="20"/>
                <w:color w:val="auto"/>
              </w:rPr>
            </w:pPr>
            <w:r>
              <w:rPr>
                <w:rFonts w:ascii="Calibri" w:cs="Calibri" w:eastAsia="Calibri" w:hAnsi="Calibri"/>
                <w:sz w:val="11"/>
                <w:szCs w:val="11"/>
                <w:b w:val="1"/>
                <w:bCs w:val="1"/>
                <w:color w:val="auto"/>
                <w:w w:val="99"/>
              </w:rPr>
              <w:t>8.3%</w:t>
            </w:r>
          </w:p>
        </w:tc>
        <w:tc>
          <w:tcPr>
            <w:tcW w:w="1200" w:type="dxa"/>
            <w:vAlign w:val="bottom"/>
            <w:tcBorders>
              <w:bottom w:val="single" w:sz="8" w:color="auto"/>
              <w:right w:val="single" w:sz="8" w:color="auto"/>
            </w:tcBorders>
          </w:tcPr>
          <w:p>
            <w:pPr>
              <w:jc w:val="center"/>
              <w:ind w:left="146"/>
              <w:spacing w:after="0" w:line="125" w:lineRule="exact"/>
              <w:rPr>
                <w:sz w:val="20"/>
                <w:szCs w:val="20"/>
                <w:color w:val="auto"/>
              </w:rPr>
            </w:pPr>
            <w:r>
              <w:rPr>
                <w:rFonts w:ascii="Calibri" w:cs="Calibri" w:eastAsia="Calibri" w:hAnsi="Calibri"/>
                <w:sz w:val="11"/>
                <w:szCs w:val="11"/>
                <w:b w:val="1"/>
                <w:bCs w:val="1"/>
                <w:color w:val="auto"/>
              </w:rPr>
              <w:t>16.0%</w:t>
            </w:r>
          </w:p>
        </w:tc>
        <w:tc>
          <w:tcPr>
            <w:tcW w:w="680" w:type="dxa"/>
            <w:vAlign w:val="bottom"/>
            <w:tcBorders>
              <w:bottom w:val="single" w:sz="8" w:color="auto"/>
            </w:tcBorders>
          </w:tcPr>
          <w:p>
            <w:pPr>
              <w:jc w:val="center"/>
              <w:ind w:left="126"/>
              <w:spacing w:after="0" w:line="125" w:lineRule="exact"/>
              <w:rPr>
                <w:sz w:val="20"/>
                <w:szCs w:val="20"/>
                <w:color w:val="auto"/>
              </w:rPr>
            </w:pPr>
            <w:r>
              <w:rPr>
                <w:rFonts w:ascii="Calibri" w:cs="Calibri" w:eastAsia="Calibri" w:hAnsi="Calibri"/>
                <w:sz w:val="11"/>
                <w:szCs w:val="11"/>
                <w:b w:val="1"/>
                <w:bCs w:val="1"/>
                <w:color w:val="auto"/>
              </w:rPr>
              <w:t>2,180.0</w:t>
            </w:r>
          </w:p>
        </w:tc>
        <w:tc>
          <w:tcPr>
            <w:tcW w:w="1140" w:type="dxa"/>
            <w:vAlign w:val="bottom"/>
            <w:tcBorders>
              <w:bottom w:val="single" w:sz="8" w:color="auto"/>
              <w:right w:val="single" w:sz="8" w:color="auto"/>
            </w:tcBorders>
          </w:tcPr>
          <w:p>
            <w:pPr>
              <w:jc w:val="center"/>
              <w:ind w:left="126"/>
              <w:spacing w:after="0" w:line="125" w:lineRule="exact"/>
              <w:rPr>
                <w:sz w:val="20"/>
                <w:szCs w:val="20"/>
                <w:color w:val="auto"/>
              </w:rPr>
            </w:pPr>
            <w:r>
              <w:rPr>
                <w:rFonts w:ascii="Calibri" w:cs="Calibri" w:eastAsia="Calibri" w:hAnsi="Calibri"/>
                <w:sz w:val="11"/>
                <w:szCs w:val="11"/>
                <w:b w:val="1"/>
                <w:bCs w:val="1"/>
                <w:color w:val="auto"/>
                <w:w w:val="94"/>
              </w:rPr>
              <w:t>2,464.0</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b w:val="1"/>
                <w:bCs w:val="1"/>
                <w:color w:val="auto"/>
              </w:rPr>
              <w:t>13.0%</w:t>
            </w:r>
          </w:p>
        </w:tc>
      </w:tr>
    </w:tbl>
    <w:p>
      <w:pPr>
        <w:spacing w:after="0" w:line="222" w:lineRule="auto"/>
        <w:rPr>
          <w:sz w:val="20"/>
          <w:szCs w:val="20"/>
          <w:color w:val="auto"/>
        </w:rPr>
      </w:pPr>
      <w:r>
        <w:rPr>
          <w:rFonts w:ascii="Calibri" w:cs="Calibri" w:eastAsia="Calibri" w:hAnsi="Calibri"/>
          <w:sz w:val="12"/>
          <w:szCs w:val="12"/>
          <w:color w:val="auto"/>
        </w:rPr>
        <w:t>(*) This table corresponds to management numbers.</w:t>
      </w:r>
    </w:p>
    <w:p>
      <w:pPr>
        <w:ind w:left="180" w:hanging="172"/>
        <w:spacing w:after="0" w:line="222" w:lineRule="auto"/>
        <w:tabs>
          <w:tab w:leader="none" w:pos="180" w:val="left"/>
        </w:tabs>
        <w:numPr>
          <w:ilvl w:val="0"/>
          <w:numId w:val="34"/>
        </w:numPr>
        <w:rPr>
          <w:rFonts w:ascii="Calibri" w:cs="Calibri" w:eastAsia="Calibri" w:hAnsi="Calibri"/>
          <w:sz w:val="12"/>
          <w:szCs w:val="12"/>
          <w:color w:val="auto"/>
        </w:rPr>
      </w:pPr>
      <w:r>
        <w:rPr>
          <w:rFonts w:ascii="Calibri" w:cs="Calibri" w:eastAsia="Calibri" w:hAnsi="Calibri"/>
          <w:sz w:val="12"/>
          <w:szCs w:val="12"/>
          <w:color w:val="auto"/>
        </w:rPr>
        <w:t>Corresponds to fees from credit and debit cards; payments and collectons. It is not comparable with the same line of previous reports given the change in details.</w:t>
      </w:r>
    </w:p>
    <w:p>
      <w:pPr>
        <w:ind w:left="180" w:hanging="172"/>
        <w:spacing w:after="0" w:line="221" w:lineRule="auto"/>
        <w:tabs>
          <w:tab w:leader="none" w:pos="180" w:val="left"/>
        </w:tabs>
        <w:numPr>
          <w:ilvl w:val="0"/>
          <w:numId w:val="34"/>
        </w:numPr>
        <w:rPr>
          <w:rFonts w:ascii="Calibri" w:cs="Calibri" w:eastAsia="Calibri" w:hAnsi="Calibri"/>
          <w:sz w:val="12"/>
          <w:szCs w:val="12"/>
          <w:color w:val="auto"/>
        </w:rPr>
      </w:pPr>
      <w:r>
        <w:rPr>
          <w:rFonts w:ascii="Calibri" w:cs="Calibri" w:eastAsia="Calibri" w:hAnsi="Calibri"/>
          <w:sz w:val="12"/>
          <w:szCs w:val="12"/>
          <w:color w:val="auto"/>
        </w:rPr>
        <w:t>Corresponds to fees from Account maintenance, interbank transfers, natonal money orders, and internatonal transfers.</w:t>
      </w:r>
    </w:p>
    <w:p>
      <w:pPr>
        <w:ind w:left="180" w:hanging="172"/>
        <w:spacing w:after="0" w:line="221" w:lineRule="auto"/>
        <w:tabs>
          <w:tab w:leader="none" w:pos="180" w:val="left"/>
        </w:tabs>
        <w:numPr>
          <w:ilvl w:val="0"/>
          <w:numId w:val="34"/>
        </w:numPr>
        <w:rPr>
          <w:rFonts w:ascii="Calibri" w:cs="Calibri" w:eastAsia="Calibri" w:hAnsi="Calibri"/>
          <w:sz w:val="12"/>
          <w:szCs w:val="12"/>
          <w:color w:val="auto"/>
        </w:rPr>
      </w:pPr>
      <w:r>
        <w:rPr>
          <w:rFonts w:ascii="Calibri" w:cs="Calibri" w:eastAsia="Calibri" w:hAnsi="Calibri"/>
          <w:sz w:val="12"/>
          <w:szCs w:val="12"/>
          <w:color w:val="auto"/>
        </w:rPr>
        <w:t>Corresponds to fees from retail and wholesale loan disbursements.</w:t>
      </w:r>
    </w:p>
    <w:p>
      <w:pPr>
        <w:ind w:left="180" w:hanging="172"/>
        <w:spacing w:after="0" w:line="221" w:lineRule="auto"/>
        <w:tabs>
          <w:tab w:leader="none" w:pos="180" w:val="left"/>
        </w:tabs>
        <w:numPr>
          <w:ilvl w:val="0"/>
          <w:numId w:val="34"/>
        </w:numPr>
        <w:rPr>
          <w:rFonts w:ascii="Calibri" w:cs="Calibri" w:eastAsia="Calibri" w:hAnsi="Calibri"/>
          <w:sz w:val="12"/>
          <w:szCs w:val="12"/>
          <w:color w:val="auto"/>
        </w:rPr>
      </w:pPr>
      <w:r>
        <w:rPr>
          <w:rFonts w:ascii="Calibri" w:cs="Calibri" w:eastAsia="Calibri" w:hAnsi="Calibri"/>
          <w:sz w:val="12"/>
          <w:szCs w:val="12"/>
          <w:color w:val="auto"/>
        </w:rPr>
        <w:t>Use of third-party networks, other services to third partes, and Commissions in foreign branches.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QoQ, </w:t>
      </w:r>
      <w:r>
        <w:rPr>
          <w:rFonts w:ascii="Calibri" w:cs="Calibri" w:eastAsia="Calibri" w:hAnsi="Calibri"/>
          <w:sz w:val="18"/>
          <w:szCs w:val="18"/>
          <w:color w:val="auto"/>
        </w:rPr>
        <w:t>Fee income at BCP Stand-alone rose 8.3%, spurred by growth in:</w:t>
      </w:r>
    </w:p>
    <w:p>
      <w:pPr>
        <w:spacing w:after="0" w:line="1" w:lineRule="exact"/>
        <w:rPr>
          <w:sz w:val="20"/>
          <w:szCs w:val="20"/>
          <w:color w:val="auto"/>
        </w:rPr>
      </w:pPr>
    </w:p>
    <w:p>
      <w:pPr>
        <w:ind w:left="840" w:right="20" w:hanging="346"/>
        <w:spacing w:after="0" w:line="235" w:lineRule="auto"/>
        <w:tabs>
          <w:tab w:leader="none" w:pos="8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Payment and services, which represented 64% of the growth in fee volume, driven by an uptck in the use of debit cards (24.6%) and credit cards (21.4%) due to seasonality in July, and an increase in personal liquidity.</w:t>
      </w:r>
    </w:p>
    <w:p>
      <w:pPr>
        <w:spacing w:after="0" w:line="1" w:lineRule="exact"/>
        <w:rPr>
          <w:rFonts w:ascii="Calibri" w:cs="Calibri" w:eastAsia="Calibri" w:hAnsi="Calibri"/>
          <w:sz w:val="18"/>
          <w:szCs w:val="18"/>
          <w:color w:val="auto"/>
        </w:rPr>
      </w:pPr>
    </w:p>
    <w:p>
      <w:pPr>
        <w:ind w:left="840" w:right="20" w:hanging="346"/>
        <w:spacing w:after="0" w:line="235" w:lineRule="auto"/>
        <w:tabs>
          <w:tab w:leader="none" w:pos="84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Yape, which accounted for 39% of the growth in the fee income, led by Yape Businesses, where afliate numbers grew afer its launch earlier this year, service payments, and merchant fee.</w:t>
      </w:r>
    </w:p>
    <w:p>
      <w:pPr>
        <w:spacing w:after="0" w:line="218" w:lineRule="exact"/>
        <w:rPr>
          <w:sz w:val="20"/>
          <w:szCs w:val="20"/>
          <w:color w:val="auto"/>
        </w:rPr>
      </w:pPr>
    </w:p>
    <w:p>
      <w:pPr>
        <w:ind w:left="840" w:hanging="346"/>
        <w:spacing w:after="0"/>
        <w:tabs>
          <w:tab w:leader="none" w:pos="840" w:val="left"/>
        </w:tabs>
        <w:numPr>
          <w:ilvl w:val="0"/>
          <w:numId w:val="36"/>
        </w:numPr>
        <w:rPr>
          <w:rFonts w:ascii="Calibri" w:cs="Calibri" w:eastAsia="Calibri" w:hAnsi="Calibri"/>
          <w:sz w:val="17"/>
          <w:szCs w:val="17"/>
          <w:color w:val="auto"/>
        </w:rPr>
      </w:pPr>
      <w:r>
        <w:rPr>
          <w:rFonts w:ascii="Calibri" w:cs="Calibri" w:eastAsia="Calibri" w:hAnsi="Calibri"/>
          <w:sz w:val="17"/>
          <w:szCs w:val="17"/>
          <w:color w:val="auto"/>
        </w:rPr>
        <w:t>Yape, which accounted for 47% of the growth registered for fee income, fueled by growth from bill payments, merchant fee and mobile top-ups.</w:t>
      </w:r>
    </w:p>
    <w:p>
      <w:pPr>
        <w:spacing w:after="0" w:line="7" w:lineRule="exact"/>
        <w:rPr>
          <w:rFonts w:ascii="Calibri" w:cs="Calibri" w:eastAsia="Calibri" w:hAnsi="Calibri"/>
          <w:sz w:val="17"/>
          <w:szCs w:val="17"/>
          <w:color w:val="auto"/>
        </w:rPr>
      </w:pPr>
    </w:p>
    <w:p>
      <w:pPr>
        <w:ind w:left="840" w:hanging="346"/>
        <w:spacing w:after="0" w:line="235" w:lineRule="auto"/>
        <w:tabs>
          <w:tab w:leader="none" w:pos="8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Payment and services, which represented 19% of the expansion registered for the fee volume, driven by the dynamics seen QoQ.</w:t>
      </w:r>
    </w:p>
    <w:p>
      <w:pPr>
        <w:ind w:left="840" w:hanging="346"/>
        <w:spacing w:after="0" w:line="235" w:lineRule="auto"/>
        <w:tabs>
          <w:tab w:leader="none" w:pos="8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Liability and transacton accounts, due to growth in the volume of interbank and foreign transfers.</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YTD, </w:t>
      </w:r>
      <w:r>
        <w:rPr>
          <w:rFonts w:ascii="Calibri" w:cs="Calibri" w:eastAsia="Calibri" w:hAnsi="Calibri"/>
          <w:sz w:val="18"/>
          <w:szCs w:val="18"/>
          <w:color w:val="auto"/>
        </w:rPr>
        <w:t>fee income rose 13.0% at BCP Stand-alone, driven by the same dynamics seen YoY.</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6.2 Other Non-Core Income</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34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Other Non-Core Income</w:t>
            </w:r>
          </w:p>
        </w:tc>
        <w:tc>
          <w:tcPr>
            <w:tcW w:w="900" w:type="dxa"/>
            <w:vAlign w:val="bottom"/>
            <w:tcBorders>
              <w:top w:val="single" w:sz="8" w:color="auto"/>
            </w:tcBorders>
            <w:shd w:val="clear" w:color="auto" w:fill="33CCCC"/>
          </w:tcPr>
          <w:p>
            <w:pPr>
              <w:spacing w:after="0"/>
              <w:rPr>
                <w:sz w:val="12"/>
                <w:szCs w:val="12"/>
                <w:color w:val="auto"/>
              </w:rPr>
            </w:pPr>
          </w:p>
        </w:tc>
        <w:tc>
          <w:tcPr>
            <w:tcW w:w="94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1"/>
                <w:szCs w:val="11"/>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1140" w:type="dxa"/>
            <w:vAlign w:val="bottom"/>
            <w:tcBorders>
              <w:top w:val="single" w:sz="8" w:color="auto"/>
            </w:tcBorders>
            <w:shd w:val="clear" w:color="auto" w:fill="33CCCC"/>
          </w:tcPr>
          <w:p>
            <w:pPr>
              <w:ind w:left="680"/>
              <w:spacing w:after="0"/>
              <w:rPr>
                <w:sz w:val="20"/>
                <w:szCs w:val="20"/>
                <w:color w:val="auto"/>
              </w:rPr>
            </w:pPr>
            <w:r>
              <w:rPr>
                <w:rFonts w:ascii="Calibri" w:cs="Calibri" w:eastAsia="Calibri" w:hAnsi="Calibri"/>
                <w:sz w:val="11"/>
                <w:szCs w:val="11"/>
                <w:b w:val="1"/>
                <w:bCs w:val="1"/>
                <w:color w:val="FFFFFF"/>
                <w:w w:val="99"/>
              </w:rPr>
              <w:t>% Change</w:t>
            </w:r>
          </w:p>
        </w:tc>
        <w:tc>
          <w:tcPr>
            <w:tcW w:w="700" w:type="dxa"/>
            <w:vAlign w:val="bottom"/>
            <w:tcBorders>
              <w:top w:val="single" w:sz="8" w:color="auto"/>
              <w:right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spacing w:after="0"/>
              <w:rPr>
                <w:sz w:val="12"/>
                <w:szCs w:val="12"/>
                <w:color w:val="auto"/>
              </w:rPr>
            </w:pPr>
          </w:p>
        </w:tc>
        <w:tc>
          <w:tcPr>
            <w:tcW w:w="114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1"/>
                <w:szCs w:val="11"/>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w w:val="99"/>
              </w:rPr>
              <w:t>% Change</w:t>
            </w:r>
          </w:p>
        </w:tc>
      </w:tr>
      <w:tr>
        <w:trPr>
          <w:trHeight w:val="137"/>
        </w:trPr>
        <w:tc>
          <w:tcPr>
            <w:tcW w:w="3400" w:type="dxa"/>
            <w:vAlign w:val="bottom"/>
            <w:tcBorders>
              <w:left w:val="single" w:sz="8" w:color="auto"/>
              <w:bottom w:val="single" w:sz="8" w:color="auto"/>
              <w:right w:val="single" w:sz="8" w:color="auto"/>
            </w:tcBorders>
            <w:shd w:val="clear" w:color="auto" w:fill="33CCCC"/>
          </w:tcPr>
          <w:p>
            <w:pPr>
              <w:ind w:left="20"/>
              <w:spacing w:after="0" w:line="129" w:lineRule="exact"/>
              <w:rPr>
                <w:sz w:val="20"/>
                <w:szCs w:val="20"/>
                <w:color w:val="auto"/>
              </w:rPr>
            </w:pPr>
            <w:r>
              <w:rPr>
                <w:rFonts w:ascii="Calibri" w:cs="Calibri" w:eastAsia="Calibri" w:hAnsi="Calibri"/>
                <w:sz w:val="11"/>
                <w:szCs w:val="11"/>
                <w:b w:val="1"/>
                <w:bCs w:val="1"/>
                <w:color w:val="FFFFFF"/>
              </w:rPr>
              <w:t>S/ (000)</w:t>
            </w:r>
          </w:p>
        </w:tc>
        <w:tc>
          <w:tcPr>
            <w:tcW w:w="900" w:type="dxa"/>
            <w:vAlign w:val="bottom"/>
            <w:tcBorders>
              <w:bottom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8"/>
              </w:rPr>
              <w:t>3Q23</w:t>
            </w:r>
          </w:p>
        </w:tc>
        <w:tc>
          <w:tcPr>
            <w:tcW w:w="940" w:type="dxa"/>
            <w:vAlign w:val="bottom"/>
            <w:tcBorders>
              <w:bottom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8"/>
              </w:rPr>
              <w:t>2Q24</w:t>
            </w:r>
          </w:p>
        </w:tc>
        <w:tc>
          <w:tcPr>
            <w:tcW w:w="960" w:type="dxa"/>
            <w:vAlign w:val="bottom"/>
            <w:tcBorders>
              <w:bottom w:val="single" w:sz="8" w:color="auto"/>
              <w:right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8"/>
              </w:rPr>
              <w:t>3Q24</w:t>
            </w:r>
          </w:p>
        </w:tc>
        <w:tc>
          <w:tcPr>
            <w:tcW w:w="1140" w:type="dxa"/>
            <w:vAlign w:val="bottom"/>
            <w:tcBorders>
              <w:bottom w:val="single" w:sz="8" w:color="auto"/>
            </w:tcBorders>
            <w:shd w:val="clear" w:color="auto" w:fill="33CCCC"/>
          </w:tcPr>
          <w:p>
            <w:pPr>
              <w:ind w:left="320"/>
              <w:spacing w:after="0" w:line="129" w:lineRule="exact"/>
              <w:rPr>
                <w:sz w:val="20"/>
                <w:szCs w:val="20"/>
                <w:color w:val="auto"/>
              </w:rPr>
            </w:pPr>
            <w:r>
              <w:rPr>
                <w:rFonts w:ascii="Calibri" w:cs="Calibri" w:eastAsia="Calibri" w:hAnsi="Calibri"/>
                <w:sz w:val="11"/>
                <w:szCs w:val="11"/>
                <w:b w:val="1"/>
                <w:bCs w:val="1"/>
                <w:color w:val="FFFFFF"/>
              </w:rPr>
              <w:t>QoQ</w:t>
            </w:r>
          </w:p>
        </w:tc>
        <w:tc>
          <w:tcPr>
            <w:tcW w:w="700" w:type="dxa"/>
            <w:vAlign w:val="bottom"/>
            <w:tcBorders>
              <w:bottom w:val="single" w:sz="8" w:color="auto"/>
              <w:right w:val="single" w:sz="8" w:color="auto"/>
            </w:tcBorders>
            <w:shd w:val="clear" w:color="auto" w:fill="33CCCC"/>
          </w:tcPr>
          <w:p>
            <w:pPr>
              <w:ind w:left="120"/>
              <w:spacing w:after="0" w:line="129" w:lineRule="exact"/>
              <w:rPr>
                <w:sz w:val="20"/>
                <w:szCs w:val="20"/>
                <w:color w:val="auto"/>
              </w:rPr>
            </w:pPr>
            <w:r>
              <w:rPr>
                <w:rFonts w:ascii="Calibri" w:cs="Calibri" w:eastAsia="Calibri" w:hAnsi="Calibri"/>
                <w:sz w:val="11"/>
                <w:szCs w:val="11"/>
                <w:b w:val="1"/>
                <w:bCs w:val="1"/>
                <w:color w:val="FFFFFF"/>
              </w:rPr>
              <w:t>YoY</w:t>
            </w:r>
          </w:p>
        </w:tc>
        <w:tc>
          <w:tcPr>
            <w:tcW w:w="680" w:type="dxa"/>
            <w:vAlign w:val="bottom"/>
            <w:tcBorders>
              <w:bottom w:val="single" w:sz="8" w:color="auto"/>
            </w:tcBorders>
            <w:shd w:val="clear" w:color="auto" w:fill="33CCCC"/>
          </w:tcPr>
          <w:p>
            <w:pPr>
              <w:ind w:left="280"/>
              <w:spacing w:after="0" w:line="129" w:lineRule="exact"/>
              <w:rPr>
                <w:sz w:val="20"/>
                <w:szCs w:val="20"/>
                <w:color w:val="auto"/>
              </w:rPr>
            </w:pPr>
            <w:r>
              <w:rPr>
                <w:rFonts w:ascii="Calibri" w:cs="Calibri" w:eastAsia="Calibri" w:hAnsi="Calibri"/>
                <w:sz w:val="11"/>
                <w:szCs w:val="11"/>
                <w:b w:val="1"/>
                <w:bCs w:val="1"/>
                <w:color w:val="FFFFFF"/>
              </w:rPr>
              <w:t>Sep 23</w:t>
            </w:r>
          </w:p>
        </w:tc>
        <w:tc>
          <w:tcPr>
            <w:tcW w:w="1140" w:type="dxa"/>
            <w:vAlign w:val="bottom"/>
            <w:tcBorders>
              <w:bottom w:val="single" w:sz="8" w:color="auto"/>
              <w:right w:val="single" w:sz="8" w:color="auto"/>
            </w:tcBorders>
            <w:shd w:val="clear" w:color="auto" w:fill="33CCCC"/>
          </w:tcPr>
          <w:p>
            <w:pPr>
              <w:ind w:left="500"/>
              <w:spacing w:after="0" w:line="129" w:lineRule="exact"/>
              <w:rPr>
                <w:sz w:val="20"/>
                <w:szCs w:val="20"/>
                <w:color w:val="auto"/>
              </w:rPr>
            </w:pPr>
            <w:r>
              <w:rPr>
                <w:rFonts w:ascii="Calibri" w:cs="Calibri" w:eastAsia="Calibri" w:hAnsi="Calibri"/>
                <w:sz w:val="11"/>
                <w:szCs w:val="11"/>
                <w:b w:val="1"/>
                <w:bCs w:val="1"/>
                <w:color w:val="FFFFFF"/>
              </w:rPr>
              <w:t>Sep 24</w:t>
            </w:r>
          </w:p>
        </w:tc>
        <w:tc>
          <w:tcPr>
            <w:tcW w:w="1380" w:type="dxa"/>
            <w:vAlign w:val="bottom"/>
            <w:tcBorders>
              <w:bottom w:val="single" w:sz="8" w:color="auto"/>
              <w:right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6"/>
              </w:rPr>
              <w:t>Sep 24 / Sep 23</w:t>
            </w:r>
          </w:p>
        </w:tc>
      </w:tr>
      <w:tr>
        <w:trPr>
          <w:trHeight w:val="117"/>
        </w:trPr>
        <w:tc>
          <w:tcPr>
            <w:tcW w:w="3400" w:type="dxa"/>
            <w:vAlign w:val="bottom"/>
            <w:tcBorders>
              <w:left w:val="single" w:sz="8" w:color="auto"/>
              <w:right w:val="single" w:sz="8" w:color="auto"/>
            </w:tcBorders>
          </w:tcPr>
          <w:p>
            <w:pPr>
              <w:ind w:left="20"/>
              <w:spacing w:after="0" w:line="117" w:lineRule="exact"/>
              <w:rPr>
                <w:sz w:val="20"/>
                <w:szCs w:val="20"/>
                <w:color w:val="auto"/>
              </w:rPr>
            </w:pPr>
            <w:r>
              <w:rPr>
                <w:rFonts w:ascii="Calibri" w:cs="Calibri" w:eastAsia="Calibri" w:hAnsi="Calibri"/>
                <w:sz w:val="11"/>
                <w:szCs w:val="11"/>
                <w:color w:val="auto"/>
              </w:rPr>
              <w:t>Net gain on securites</w:t>
            </w:r>
          </w:p>
        </w:tc>
        <w:tc>
          <w:tcPr>
            <w:tcW w:w="900" w:type="dxa"/>
            <w:vAlign w:val="bottom"/>
          </w:tcPr>
          <w:p>
            <w:pPr>
              <w:jc w:val="center"/>
              <w:spacing w:after="0" w:line="117" w:lineRule="exact"/>
              <w:rPr>
                <w:sz w:val="20"/>
                <w:szCs w:val="20"/>
                <w:color w:val="auto"/>
              </w:rPr>
            </w:pPr>
            <w:r>
              <w:rPr>
                <w:rFonts w:ascii="Calibri" w:cs="Calibri" w:eastAsia="Calibri" w:hAnsi="Calibri"/>
                <w:sz w:val="11"/>
                <w:szCs w:val="11"/>
                <w:color w:val="auto"/>
                <w:w w:val="97"/>
              </w:rPr>
              <w:t>53,591</w:t>
            </w:r>
          </w:p>
        </w:tc>
        <w:tc>
          <w:tcPr>
            <w:tcW w:w="940" w:type="dxa"/>
            <w:vAlign w:val="bottom"/>
          </w:tcPr>
          <w:p>
            <w:pPr>
              <w:jc w:val="center"/>
              <w:spacing w:after="0" w:line="117" w:lineRule="exact"/>
              <w:rPr>
                <w:sz w:val="20"/>
                <w:szCs w:val="20"/>
                <w:color w:val="auto"/>
              </w:rPr>
            </w:pPr>
            <w:r>
              <w:rPr>
                <w:rFonts w:ascii="Calibri" w:cs="Calibri" w:eastAsia="Calibri" w:hAnsi="Calibri"/>
                <w:sz w:val="11"/>
                <w:szCs w:val="11"/>
                <w:color w:val="auto"/>
              </w:rPr>
              <w:t>92,711</w:t>
            </w:r>
          </w:p>
        </w:tc>
        <w:tc>
          <w:tcPr>
            <w:tcW w:w="96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1"/>
                <w:szCs w:val="11"/>
                <w:color w:val="auto"/>
                <w:w w:val="99"/>
              </w:rPr>
              <w:t>120,033</w:t>
            </w:r>
          </w:p>
        </w:tc>
        <w:tc>
          <w:tcPr>
            <w:tcW w:w="1140" w:type="dxa"/>
            <w:vAlign w:val="bottom"/>
          </w:tcPr>
          <w:p>
            <w:pPr>
              <w:jc w:val="center"/>
              <w:ind w:right="226"/>
              <w:spacing w:after="0" w:line="117" w:lineRule="exact"/>
              <w:rPr>
                <w:sz w:val="20"/>
                <w:szCs w:val="20"/>
                <w:color w:val="auto"/>
              </w:rPr>
            </w:pPr>
            <w:r>
              <w:rPr>
                <w:rFonts w:ascii="Calibri" w:cs="Calibri" w:eastAsia="Calibri" w:hAnsi="Calibri"/>
                <w:sz w:val="11"/>
                <w:szCs w:val="11"/>
                <w:color w:val="auto"/>
                <w:w w:val="94"/>
              </w:rPr>
              <w:t>29.5%</w:t>
            </w:r>
          </w:p>
        </w:tc>
        <w:tc>
          <w:tcPr>
            <w:tcW w:w="700" w:type="dxa"/>
            <w:vAlign w:val="bottom"/>
            <w:tcBorders>
              <w:right w:val="single" w:sz="8" w:color="auto"/>
            </w:tcBorders>
          </w:tcPr>
          <w:p>
            <w:pPr>
              <w:jc w:val="center"/>
              <w:ind w:right="246"/>
              <w:spacing w:after="0" w:line="117" w:lineRule="exact"/>
              <w:rPr>
                <w:sz w:val="20"/>
                <w:szCs w:val="20"/>
                <w:color w:val="auto"/>
              </w:rPr>
            </w:pPr>
            <w:r>
              <w:rPr>
                <w:rFonts w:ascii="Calibri" w:cs="Calibri" w:eastAsia="Calibri" w:hAnsi="Calibri"/>
                <w:sz w:val="11"/>
                <w:szCs w:val="11"/>
                <w:color w:val="auto"/>
                <w:w w:val="96"/>
              </w:rPr>
              <w:t>124.0%</w:t>
            </w:r>
          </w:p>
        </w:tc>
        <w:tc>
          <w:tcPr>
            <w:tcW w:w="680" w:type="dxa"/>
            <w:vAlign w:val="bottom"/>
          </w:tcPr>
          <w:p>
            <w:pPr>
              <w:jc w:val="center"/>
              <w:ind w:left="106"/>
              <w:spacing w:after="0" w:line="117" w:lineRule="exact"/>
              <w:rPr>
                <w:sz w:val="20"/>
                <w:szCs w:val="20"/>
                <w:color w:val="auto"/>
              </w:rPr>
            </w:pPr>
            <w:r>
              <w:rPr>
                <w:rFonts w:ascii="Calibri" w:cs="Calibri" w:eastAsia="Calibri" w:hAnsi="Calibri"/>
                <w:sz w:val="11"/>
                <w:szCs w:val="11"/>
                <w:color w:val="auto"/>
                <w:w w:val="99"/>
              </w:rPr>
              <w:t>192,230</w:t>
            </w:r>
          </w:p>
        </w:tc>
        <w:tc>
          <w:tcPr>
            <w:tcW w:w="1140" w:type="dxa"/>
            <w:vAlign w:val="bottom"/>
            <w:tcBorders>
              <w:right w:val="single" w:sz="8" w:color="auto"/>
            </w:tcBorders>
          </w:tcPr>
          <w:p>
            <w:pPr>
              <w:jc w:val="center"/>
              <w:ind w:left="126"/>
              <w:spacing w:after="0" w:line="117" w:lineRule="exact"/>
              <w:rPr>
                <w:sz w:val="20"/>
                <w:szCs w:val="20"/>
                <w:color w:val="auto"/>
              </w:rPr>
            </w:pPr>
            <w:r>
              <w:rPr>
                <w:rFonts w:ascii="Calibri" w:cs="Calibri" w:eastAsia="Calibri" w:hAnsi="Calibri"/>
                <w:sz w:val="11"/>
                <w:szCs w:val="11"/>
                <w:color w:val="auto"/>
                <w:w w:val="99"/>
              </w:rPr>
              <w:t>274,489</w:t>
            </w:r>
          </w:p>
        </w:tc>
        <w:tc>
          <w:tcPr>
            <w:tcW w:w="1380" w:type="dxa"/>
            <w:vAlign w:val="bottom"/>
            <w:tcBorders>
              <w:right w:val="single" w:sz="8" w:color="auto"/>
            </w:tcBorders>
          </w:tcPr>
          <w:p>
            <w:pPr>
              <w:jc w:val="center"/>
              <w:spacing w:after="0" w:line="117" w:lineRule="exact"/>
              <w:rPr>
                <w:sz w:val="20"/>
                <w:szCs w:val="20"/>
                <w:color w:val="auto"/>
              </w:rPr>
            </w:pPr>
            <w:r>
              <w:rPr>
                <w:rFonts w:ascii="Calibri" w:cs="Calibri" w:eastAsia="Calibri" w:hAnsi="Calibri"/>
                <w:sz w:val="11"/>
                <w:szCs w:val="11"/>
                <w:color w:val="auto"/>
                <w:w w:val="94"/>
              </w:rPr>
              <w:t>42.8%</w:t>
            </w:r>
          </w:p>
        </w:tc>
      </w:tr>
      <w:tr>
        <w:trPr>
          <w:trHeight w:val="146"/>
        </w:trPr>
        <w:tc>
          <w:tcPr>
            <w:tcW w:w="3400" w:type="dxa"/>
            <w:vAlign w:val="bottom"/>
            <w:tcBorders>
              <w:left w:val="single" w:sz="8" w:color="auto"/>
              <w:right w:val="single" w:sz="8" w:color="auto"/>
            </w:tcBorders>
          </w:tcPr>
          <w:p>
            <w:pPr>
              <w:ind w:left="20"/>
              <w:spacing w:after="0" w:line="146" w:lineRule="exact"/>
              <w:rPr>
                <w:sz w:val="20"/>
                <w:szCs w:val="20"/>
                <w:color w:val="auto"/>
              </w:rPr>
            </w:pPr>
            <w:r>
              <w:rPr>
                <w:rFonts w:ascii="Calibri" w:cs="Calibri" w:eastAsia="Calibri" w:hAnsi="Calibri"/>
                <w:sz w:val="10"/>
                <w:szCs w:val="10"/>
                <w:color w:val="auto"/>
              </w:rPr>
              <w:t xml:space="preserve">Net gain from associates </w:t>
            </w:r>
            <w:r>
              <w:rPr>
                <w:rFonts w:ascii="Calibri" w:cs="Calibri" w:eastAsia="Calibri" w:hAnsi="Calibri"/>
                <w:sz w:val="15"/>
                <w:szCs w:val="15"/>
                <w:color w:val="auto"/>
                <w:vertAlign w:val="superscript"/>
              </w:rPr>
              <w:t>(1)</w:t>
            </w:r>
          </w:p>
        </w:tc>
        <w:tc>
          <w:tcPr>
            <w:tcW w:w="900" w:type="dxa"/>
            <w:vAlign w:val="bottom"/>
          </w:tcPr>
          <w:p>
            <w:pPr>
              <w:jc w:val="center"/>
              <w:spacing w:after="0"/>
              <w:rPr>
                <w:sz w:val="20"/>
                <w:szCs w:val="20"/>
                <w:color w:val="auto"/>
              </w:rPr>
            </w:pPr>
            <w:r>
              <w:rPr>
                <w:rFonts w:ascii="Calibri" w:cs="Calibri" w:eastAsia="Calibri" w:hAnsi="Calibri"/>
                <w:sz w:val="11"/>
                <w:szCs w:val="11"/>
                <w:color w:val="auto"/>
                <w:w w:val="97"/>
              </w:rPr>
              <w:t>32,056</w:t>
            </w:r>
          </w:p>
        </w:tc>
        <w:tc>
          <w:tcPr>
            <w:tcW w:w="940" w:type="dxa"/>
            <w:vAlign w:val="bottom"/>
          </w:tcPr>
          <w:p>
            <w:pPr>
              <w:jc w:val="center"/>
              <w:spacing w:after="0"/>
              <w:rPr>
                <w:sz w:val="20"/>
                <w:szCs w:val="20"/>
                <w:color w:val="auto"/>
              </w:rPr>
            </w:pPr>
            <w:r>
              <w:rPr>
                <w:rFonts w:ascii="Calibri" w:cs="Calibri" w:eastAsia="Calibri" w:hAnsi="Calibri"/>
                <w:sz w:val="11"/>
                <w:szCs w:val="11"/>
                <w:color w:val="auto"/>
              </w:rPr>
              <w:t>28,728</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35,600</w:t>
            </w:r>
          </w:p>
        </w:tc>
        <w:tc>
          <w:tcPr>
            <w:tcW w:w="1140" w:type="dxa"/>
            <w:vAlign w:val="bottom"/>
          </w:tcPr>
          <w:p>
            <w:pPr>
              <w:jc w:val="center"/>
              <w:ind w:right="226"/>
              <w:spacing w:after="0"/>
              <w:rPr>
                <w:sz w:val="20"/>
                <w:szCs w:val="20"/>
                <w:color w:val="auto"/>
              </w:rPr>
            </w:pPr>
            <w:r>
              <w:rPr>
                <w:rFonts w:ascii="Calibri" w:cs="Calibri" w:eastAsia="Calibri" w:hAnsi="Calibri"/>
                <w:sz w:val="11"/>
                <w:szCs w:val="11"/>
                <w:color w:val="auto"/>
                <w:w w:val="94"/>
              </w:rPr>
              <w:t>23.9%</w:t>
            </w:r>
          </w:p>
        </w:tc>
        <w:tc>
          <w:tcPr>
            <w:tcW w:w="700" w:type="dxa"/>
            <w:vAlign w:val="bottom"/>
            <w:tcBorders>
              <w:right w:val="single" w:sz="8" w:color="auto"/>
            </w:tcBorders>
          </w:tcPr>
          <w:p>
            <w:pPr>
              <w:jc w:val="center"/>
              <w:ind w:right="246"/>
              <w:spacing w:after="0"/>
              <w:rPr>
                <w:sz w:val="20"/>
                <w:szCs w:val="20"/>
                <w:color w:val="auto"/>
              </w:rPr>
            </w:pPr>
            <w:r>
              <w:rPr>
                <w:rFonts w:ascii="Calibri" w:cs="Calibri" w:eastAsia="Calibri" w:hAnsi="Calibri"/>
                <w:sz w:val="11"/>
                <w:szCs w:val="11"/>
                <w:color w:val="auto"/>
              </w:rPr>
              <w:t>11.1%</w:t>
            </w:r>
          </w:p>
        </w:tc>
        <w:tc>
          <w:tcPr>
            <w:tcW w:w="680" w:type="dxa"/>
            <w:vAlign w:val="bottom"/>
          </w:tcPr>
          <w:p>
            <w:pPr>
              <w:jc w:val="center"/>
              <w:ind w:left="126"/>
              <w:spacing w:after="0"/>
              <w:rPr>
                <w:sz w:val="20"/>
                <w:szCs w:val="20"/>
                <w:color w:val="auto"/>
              </w:rPr>
            </w:pPr>
            <w:r>
              <w:rPr>
                <w:rFonts w:ascii="Calibri" w:cs="Calibri" w:eastAsia="Calibri" w:hAnsi="Calibri"/>
                <w:sz w:val="11"/>
                <w:szCs w:val="11"/>
                <w:color w:val="auto"/>
                <w:w w:val="97"/>
              </w:rPr>
              <w:t>82,957</w:t>
            </w:r>
          </w:p>
        </w:tc>
        <w:tc>
          <w:tcPr>
            <w:tcW w:w="1140" w:type="dxa"/>
            <w:vAlign w:val="bottom"/>
            <w:tcBorders>
              <w:right w:val="single" w:sz="8" w:color="auto"/>
            </w:tcBorders>
          </w:tcPr>
          <w:p>
            <w:pPr>
              <w:jc w:val="center"/>
              <w:ind w:left="106"/>
              <w:spacing w:after="0"/>
              <w:rPr>
                <w:sz w:val="20"/>
                <w:szCs w:val="20"/>
                <w:color w:val="auto"/>
              </w:rPr>
            </w:pPr>
            <w:r>
              <w:rPr>
                <w:rFonts w:ascii="Calibri" w:cs="Calibri" w:eastAsia="Calibri" w:hAnsi="Calibri"/>
                <w:sz w:val="11"/>
                <w:szCs w:val="11"/>
                <w:color w:val="auto"/>
                <w:w w:val="97"/>
              </w:rPr>
              <w:t>96,623</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16.5%</w:t>
            </w:r>
          </w:p>
        </w:tc>
      </w:tr>
      <w:tr>
        <w:trPr>
          <w:trHeight w:val="127"/>
        </w:trPr>
        <w:tc>
          <w:tcPr>
            <w:tcW w:w="340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Net gain on derivatves held for trading</w:t>
            </w:r>
          </w:p>
        </w:tc>
        <w:tc>
          <w:tcPr>
            <w:tcW w:w="900" w:type="dxa"/>
            <w:vAlign w:val="bottom"/>
          </w:tcPr>
          <w:p>
            <w:pPr>
              <w:jc w:val="center"/>
              <w:spacing w:after="0" w:line="127" w:lineRule="exact"/>
              <w:rPr>
                <w:sz w:val="20"/>
                <w:szCs w:val="20"/>
                <w:color w:val="auto"/>
              </w:rPr>
            </w:pPr>
            <w:r>
              <w:rPr>
                <w:rFonts w:ascii="Calibri" w:cs="Calibri" w:eastAsia="Calibri" w:hAnsi="Calibri"/>
                <w:sz w:val="11"/>
                <w:szCs w:val="11"/>
                <w:color w:val="auto"/>
                <w:w w:val="97"/>
              </w:rPr>
              <w:t>38,545</w:t>
            </w:r>
          </w:p>
        </w:tc>
        <w:tc>
          <w:tcPr>
            <w:tcW w:w="940" w:type="dxa"/>
            <w:vAlign w:val="bottom"/>
          </w:tcPr>
          <w:p>
            <w:pPr>
              <w:jc w:val="center"/>
              <w:spacing w:after="0" w:line="127" w:lineRule="exact"/>
              <w:rPr>
                <w:sz w:val="20"/>
                <w:szCs w:val="20"/>
                <w:color w:val="auto"/>
              </w:rPr>
            </w:pPr>
            <w:r>
              <w:rPr>
                <w:rFonts w:ascii="Calibri" w:cs="Calibri" w:eastAsia="Calibri" w:hAnsi="Calibri"/>
                <w:sz w:val="11"/>
                <w:szCs w:val="11"/>
                <w:color w:val="auto"/>
              </w:rPr>
              <w:t>41,748</w:t>
            </w:r>
          </w:p>
        </w:tc>
        <w:tc>
          <w:tcPr>
            <w:tcW w:w="96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93,801</w:t>
            </w:r>
          </w:p>
        </w:tc>
        <w:tc>
          <w:tcPr>
            <w:tcW w:w="1140" w:type="dxa"/>
            <w:vAlign w:val="bottom"/>
          </w:tcPr>
          <w:p>
            <w:pPr>
              <w:jc w:val="center"/>
              <w:ind w:right="226"/>
              <w:spacing w:after="0" w:line="127" w:lineRule="exact"/>
              <w:rPr>
                <w:sz w:val="20"/>
                <w:szCs w:val="20"/>
                <w:color w:val="auto"/>
              </w:rPr>
            </w:pPr>
            <w:r>
              <w:rPr>
                <w:rFonts w:ascii="Calibri" w:cs="Calibri" w:eastAsia="Calibri" w:hAnsi="Calibri"/>
                <w:sz w:val="11"/>
                <w:szCs w:val="11"/>
                <w:color w:val="auto"/>
              </w:rPr>
              <w:t>124.7%</w:t>
            </w:r>
          </w:p>
        </w:tc>
        <w:tc>
          <w:tcPr>
            <w:tcW w:w="700" w:type="dxa"/>
            <w:vAlign w:val="bottom"/>
            <w:tcBorders>
              <w:right w:val="single" w:sz="8" w:color="auto"/>
            </w:tcBorders>
          </w:tcPr>
          <w:p>
            <w:pPr>
              <w:jc w:val="center"/>
              <w:ind w:right="246"/>
              <w:spacing w:after="0" w:line="127" w:lineRule="exact"/>
              <w:rPr>
                <w:sz w:val="20"/>
                <w:szCs w:val="20"/>
                <w:color w:val="auto"/>
              </w:rPr>
            </w:pPr>
            <w:r>
              <w:rPr>
                <w:rFonts w:ascii="Calibri" w:cs="Calibri" w:eastAsia="Calibri" w:hAnsi="Calibri"/>
                <w:sz w:val="11"/>
                <w:szCs w:val="11"/>
                <w:color w:val="auto"/>
                <w:w w:val="96"/>
              </w:rPr>
              <w:t>143.4%</w:t>
            </w:r>
          </w:p>
        </w:tc>
        <w:tc>
          <w:tcPr>
            <w:tcW w:w="680" w:type="dxa"/>
            <w:vAlign w:val="bottom"/>
          </w:tcPr>
          <w:p>
            <w:pPr>
              <w:jc w:val="center"/>
              <w:ind w:left="126"/>
              <w:spacing w:after="0" w:line="127" w:lineRule="exact"/>
              <w:rPr>
                <w:sz w:val="20"/>
                <w:szCs w:val="20"/>
                <w:color w:val="auto"/>
              </w:rPr>
            </w:pPr>
            <w:r>
              <w:rPr>
                <w:rFonts w:ascii="Calibri" w:cs="Calibri" w:eastAsia="Calibri" w:hAnsi="Calibri"/>
                <w:sz w:val="11"/>
                <w:szCs w:val="11"/>
                <w:color w:val="auto"/>
                <w:w w:val="97"/>
              </w:rPr>
              <w:t>48,646</w:t>
            </w:r>
          </w:p>
        </w:tc>
        <w:tc>
          <w:tcPr>
            <w:tcW w:w="1140" w:type="dxa"/>
            <w:vAlign w:val="bottom"/>
            <w:tcBorders>
              <w:right w:val="single" w:sz="8" w:color="auto"/>
            </w:tcBorders>
          </w:tcPr>
          <w:p>
            <w:pPr>
              <w:jc w:val="center"/>
              <w:ind w:left="126"/>
              <w:spacing w:after="0" w:line="127" w:lineRule="exact"/>
              <w:rPr>
                <w:sz w:val="20"/>
                <w:szCs w:val="20"/>
                <w:color w:val="auto"/>
              </w:rPr>
            </w:pPr>
            <w:r>
              <w:rPr>
                <w:rFonts w:ascii="Calibri" w:cs="Calibri" w:eastAsia="Calibri" w:hAnsi="Calibri"/>
                <w:sz w:val="11"/>
                <w:szCs w:val="11"/>
                <w:color w:val="auto"/>
                <w:w w:val="99"/>
              </w:rPr>
              <w:t>175,533</w:t>
            </w:r>
          </w:p>
        </w:tc>
        <w:tc>
          <w:tcPr>
            <w:tcW w:w="138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6"/>
              </w:rPr>
              <w:t>260.8%</w:t>
            </w:r>
          </w:p>
        </w:tc>
      </w:tr>
      <w:tr>
        <w:trPr>
          <w:trHeight w:val="135"/>
        </w:trPr>
        <w:tc>
          <w:tcPr>
            <w:tcW w:w="34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from exchange diferences</w:t>
            </w:r>
          </w:p>
        </w:tc>
        <w:tc>
          <w:tcPr>
            <w:tcW w:w="900" w:type="dxa"/>
            <w:vAlign w:val="bottom"/>
          </w:tcPr>
          <w:p>
            <w:pPr>
              <w:jc w:val="center"/>
              <w:spacing w:after="0"/>
              <w:rPr>
                <w:sz w:val="20"/>
                <w:szCs w:val="20"/>
                <w:color w:val="auto"/>
              </w:rPr>
            </w:pPr>
            <w:r>
              <w:rPr>
                <w:rFonts w:ascii="Calibri" w:cs="Calibri" w:eastAsia="Calibri" w:hAnsi="Calibri"/>
                <w:sz w:val="11"/>
                <w:szCs w:val="11"/>
                <w:color w:val="auto"/>
                <w:w w:val="95"/>
              </w:rPr>
              <w:t>4,564</w:t>
            </w:r>
          </w:p>
        </w:tc>
        <w:tc>
          <w:tcPr>
            <w:tcW w:w="940" w:type="dxa"/>
            <w:vAlign w:val="bottom"/>
          </w:tcPr>
          <w:p>
            <w:pPr>
              <w:jc w:val="center"/>
              <w:spacing w:after="0"/>
              <w:rPr>
                <w:sz w:val="20"/>
                <w:szCs w:val="20"/>
                <w:color w:val="auto"/>
              </w:rPr>
            </w:pPr>
            <w:r>
              <w:rPr>
                <w:rFonts w:ascii="Calibri" w:cs="Calibri" w:eastAsia="Calibri" w:hAnsi="Calibri"/>
                <w:sz w:val="11"/>
                <w:szCs w:val="11"/>
                <w:color w:val="auto"/>
                <w:w w:val="98"/>
              </w:rPr>
              <w:t>-7,933</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8"/>
              </w:rPr>
              <w:t>-6,139</w:t>
            </w:r>
          </w:p>
        </w:tc>
        <w:tc>
          <w:tcPr>
            <w:tcW w:w="1140" w:type="dxa"/>
            <w:vAlign w:val="bottom"/>
          </w:tcPr>
          <w:p>
            <w:pPr>
              <w:jc w:val="center"/>
              <w:ind w:right="226"/>
              <w:spacing w:after="0"/>
              <w:rPr>
                <w:sz w:val="20"/>
                <w:szCs w:val="20"/>
                <w:color w:val="auto"/>
              </w:rPr>
            </w:pPr>
            <w:r>
              <w:rPr>
                <w:rFonts w:ascii="Calibri" w:cs="Calibri" w:eastAsia="Calibri" w:hAnsi="Calibri"/>
                <w:sz w:val="11"/>
                <w:szCs w:val="11"/>
                <w:color w:val="auto"/>
                <w:w w:val="97"/>
              </w:rPr>
              <w:t>-22.6%</w:t>
            </w:r>
          </w:p>
        </w:tc>
        <w:tc>
          <w:tcPr>
            <w:tcW w:w="700" w:type="dxa"/>
            <w:vAlign w:val="bottom"/>
            <w:tcBorders>
              <w:right w:val="single" w:sz="8" w:color="auto"/>
            </w:tcBorders>
          </w:tcPr>
          <w:p>
            <w:pPr>
              <w:jc w:val="center"/>
              <w:ind w:right="246"/>
              <w:spacing w:after="0"/>
              <w:rPr>
                <w:sz w:val="20"/>
                <w:szCs w:val="20"/>
                <w:color w:val="auto"/>
              </w:rPr>
            </w:pPr>
            <w:r>
              <w:rPr>
                <w:rFonts w:ascii="Calibri" w:cs="Calibri" w:eastAsia="Calibri" w:hAnsi="Calibri"/>
                <w:sz w:val="11"/>
                <w:szCs w:val="11"/>
                <w:color w:val="auto"/>
                <w:w w:val="99"/>
              </w:rPr>
              <w:t>-234.5%</w:t>
            </w:r>
          </w:p>
        </w:tc>
        <w:tc>
          <w:tcPr>
            <w:tcW w:w="680" w:type="dxa"/>
            <w:vAlign w:val="bottom"/>
          </w:tcPr>
          <w:p>
            <w:pPr>
              <w:jc w:val="center"/>
              <w:ind w:left="126"/>
              <w:spacing w:after="0"/>
              <w:rPr>
                <w:sz w:val="20"/>
                <w:szCs w:val="20"/>
                <w:color w:val="auto"/>
              </w:rPr>
            </w:pPr>
            <w:r>
              <w:rPr>
                <w:rFonts w:ascii="Calibri" w:cs="Calibri" w:eastAsia="Calibri" w:hAnsi="Calibri"/>
                <w:sz w:val="11"/>
                <w:szCs w:val="11"/>
                <w:color w:val="auto"/>
                <w:w w:val="97"/>
              </w:rPr>
              <w:t>30,523</w:t>
            </w:r>
          </w:p>
        </w:tc>
        <w:tc>
          <w:tcPr>
            <w:tcW w:w="1140" w:type="dxa"/>
            <w:vAlign w:val="bottom"/>
            <w:tcBorders>
              <w:right w:val="single" w:sz="8" w:color="auto"/>
            </w:tcBorders>
          </w:tcPr>
          <w:p>
            <w:pPr>
              <w:jc w:val="center"/>
              <w:ind w:left="126"/>
              <w:spacing w:after="0"/>
              <w:rPr>
                <w:sz w:val="20"/>
                <w:szCs w:val="20"/>
                <w:color w:val="auto"/>
              </w:rPr>
            </w:pPr>
            <w:r>
              <w:rPr>
                <w:rFonts w:ascii="Calibri" w:cs="Calibri" w:eastAsia="Calibri" w:hAnsi="Calibri"/>
                <w:sz w:val="11"/>
                <w:szCs w:val="11"/>
                <w:color w:val="auto"/>
                <w:w w:val="93"/>
              </w:rPr>
              <w:t>-19,693</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9"/>
              </w:rPr>
              <w:t>-164.5%</w:t>
            </w:r>
          </w:p>
        </w:tc>
      </w:tr>
      <w:tr>
        <w:trPr>
          <w:trHeight w:val="143"/>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 non-fnancial income</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7"/>
              </w:rPr>
              <w:t>89,272</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9"/>
              </w:rPr>
              <w:t>139,499</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96,675</w:t>
            </w:r>
          </w:p>
        </w:tc>
        <w:tc>
          <w:tcPr>
            <w:tcW w:w="1140" w:type="dxa"/>
            <w:vAlign w:val="bottom"/>
            <w:tcBorders>
              <w:bottom w:val="single" w:sz="8" w:color="auto"/>
            </w:tcBorders>
          </w:tcPr>
          <w:p>
            <w:pPr>
              <w:jc w:val="center"/>
              <w:ind w:right="226"/>
              <w:spacing w:after="0"/>
              <w:rPr>
                <w:sz w:val="20"/>
                <w:szCs w:val="20"/>
                <w:color w:val="auto"/>
              </w:rPr>
            </w:pPr>
            <w:r>
              <w:rPr>
                <w:rFonts w:ascii="Calibri" w:cs="Calibri" w:eastAsia="Calibri" w:hAnsi="Calibri"/>
                <w:sz w:val="11"/>
                <w:szCs w:val="11"/>
                <w:color w:val="auto"/>
                <w:w w:val="97"/>
              </w:rPr>
              <w:t>-30.7%</w:t>
            </w:r>
          </w:p>
        </w:tc>
        <w:tc>
          <w:tcPr>
            <w:tcW w:w="700" w:type="dxa"/>
            <w:vAlign w:val="bottom"/>
            <w:tcBorders>
              <w:bottom w:val="single" w:sz="8" w:color="auto"/>
              <w:right w:val="single" w:sz="8" w:color="auto"/>
            </w:tcBorders>
          </w:tcPr>
          <w:p>
            <w:pPr>
              <w:jc w:val="center"/>
              <w:ind w:right="246"/>
              <w:spacing w:after="0"/>
              <w:rPr>
                <w:sz w:val="20"/>
                <w:szCs w:val="20"/>
                <w:color w:val="auto"/>
              </w:rPr>
            </w:pPr>
            <w:r>
              <w:rPr>
                <w:rFonts w:ascii="Calibri" w:cs="Calibri" w:eastAsia="Calibri" w:hAnsi="Calibri"/>
                <w:sz w:val="11"/>
                <w:szCs w:val="11"/>
                <w:color w:val="auto"/>
                <w:w w:val="91"/>
              </w:rPr>
              <w:t>8.3%</w:t>
            </w:r>
          </w:p>
        </w:tc>
        <w:tc>
          <w:tcPr>
            <w:tcW w:w="680" w:type="dxa"/>
            <w:vAlign w:val="bottom"/>
            <w:tcBorders>
              <w:bottom w:val="single" w:sz="8" w:color="auto"/>
            </w:tcBorders>
          </w:tcPr>
          <w:p>
            <w:pPr>
              <w:jc w:val="center"/>
              <w:ind w:left="106"/>
              <w:spacing w:after="0"/>
              <w:rPr>
                <w:sz w:val="20"/>
                <w:szCs w:val="20"/>
                <w:color w:val="auto"/>
              </w:rPr>
            </w:pPr>
            <w:r>
              <w:rPr>
                <w:rFonts w:ascii="Calibri" w:cs="Calibri" w:eastAsia="Calibri" w:hAnsi="Calibri"/>
                <w:sz w:val="11"/>
                <w:szCs w:val="11"/>
                <w:color w:val="auto"/>
                <w:w w:val="99"/>
              </w:rPr>
              <w:t>328,281</w:t>
            </w:r>
          </w:p>
        </w:tc>
        <w:tc>
          <w:tcPr>
            <w:tcW w:w="1140" w:type="dxa"/>
            <w:vAlign w:val="bottom"/>
            <w:tcBorders>
              <w:bottom w:val="single" w:sz="8" w:color="auto"/>
              <w:right w:val="single" w:sz="8" w:color="auto"/>
            </w:tcBorders>
          </w:tcPr>
          <w:p>
            <w:pPr>
              <w:jc w:val="center"/>
              <w:ind w:left="126"/>
              <w:spacing w:after="0"/>
              <w:rPr>
                <w:sz w:val="20"/>
                <w:szCs w:val="20"/>
                <w:color w:val="auto"/>
              </w:rPr>
            </w:pPr>
            <w:r>
              <w:rPr>
                <w:rFonts w:ascii="Calibri" w:cs="Calibri" w:eastAsia="Calibri" w:hAnsi="Calibri"/>
                <w:sz w:val="11"/>
                <w:szCs w:val="11"/>
                <w:color w:val="auto"/>
                <w:w w:val="99"/>
              </w:rPr>
              <w:t>338,395</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3.1%</w:t>
            </w:r>
          </w:p>
        </w:tc>
      </w:tr>
      <w:tr>
        <w:trPr>
          <w:trHeight w:val="131"/>
        </w:trPr>
        <w:tc>
          <w:tcPr>
            <w:tcW w:w="3400" w:type="dxa"/>
            <w:vAlign w:val="bottom"/>
            <w:tcBorders>
              <w:left w:val="single" w:sz="8" w:color="auto"/>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b w:val="1"/>
                <w:bCs w:val="1"/>
                <w:color w:val="auto"/>
              </w:rPr>
              <w:t>Total Other Non-Core Income</w:t>
            </w:r>
          </w:p>
        </w:tc>
        <w:tc>
          <w:tcPr>
            <w:tcW w:w="90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9"/>
              </w:rPr>
              <w:t>218,028</w:t>
            </w:r>
          </w:p>
        </w:tc>
        <w:tc>
          <w:tcPr>
            <w:tcW w:w="940" w:type="dxa"/>
            <w:vAlign w:val="bottom"/>
            <w:tcBorders>
              <w:bottom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9"/>
              </w:rPr>
              <w:t>294,753</w:t>
            </w:r>
          </w:p>
        </w:tc>
        <w:tc>
          <w:tcPr>
            <w:tcW w:w="9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9"/>
              </w:rPr>
              <w:t>339,970</w:t>
            </w:r>
          </w:p>
        </w:tc>
        <w:tc>
          <w:tcPr>
            <w:tcW w:w="1140" w:type="dxa"/>
            <w:vAlign w:val="bottom"/>
            <w:tcBorders>
              <w:bottom w:val="single" w:sz="8" w:color="auto"/>
            </w:tcBorders>
          </w:tcPr>
          <w:p>
            <w:pPr>
              <w:jc w:val="center"/>
              <w:ind w:right="226"/>
              <w:spacing w:after="0" w:line="127" w:lineRule="exact"/>
              <w:rPr>
                <w:sz w:val="20"/>
                <w:szCs w:val="20"/>
                <w:color w:val="auto"/>
              </w:rPr>
            </w:pPr>
            <w:r>
              <w:rPr>
                <w:rFonts w:ascii="Calibri" w:cs="Calibri" w:eastAsia="Calibri" w:hAnsi="Calibri"/>
                <w:sz w:val="11"/>
                <w:szCs w:val="11"/>
                <w:b w:val="1"/>
                <w:bCs w:val="1"/>
                <w:color w:val="auto"/>
                <w:w w:val="93"/>
              </w:rPr>
              <w:t>15.3%</w:t>
            </w:r>
          </w:p>
        </w:tc>
        <w:tc>
          <w:tcPr>
            <w:tcW w:w="700" w:type="dxa"/>
            <w:vAlign w:val="bottom"/>
            <w:tcBorders>
              <w:bottom w:val="single" w:sz="8" w:color="auto"/>
              <w:right w:val="single" w:sz="8" w:color="auto"/>
            </w:tcBorders>
          </w:tcPr>
          <w:p>
            <w:pPr>
              <w:jc w:val="center"/>
              <w:ind w:right="246"/>
              <w:spacing w:after="0" w:line="127" w:lineRule="exact"/>
              <w:rPr>
                <w:sz w:val="20"/>
                <w:szCs w:val="20"/>
                <w:color w:val="auto"/>
              </w:rPr>
            </w:pPr>
            <w:r>
              <w:rPr>
                <w:rFonts w:ascii="Calibri" w:cs="Calibri" w:eastAsia="Calibri" w:hAnsi="Calibri"/>
                <w:sz w:val="11"/>
                <w:szCs w:val="11"/>
                <w:b w:val="1"/>
                <w:bCs w:val="1"/>
                <w:color w:val="auto"/>
              </w:rPr>
              <w:t>55.9%</w:t>
            </w:r>
          </w:p>
        </w:tc>
        <w:tc>
          <w:tcPr>
            <w:tcW w:w="680" w:type="dxa"/>
            <w:vAlign w:val="bottom"/>
            <w:tcBorders>
              <w:bottom w:val="single" w:sz="8" w:color="auto"/>
            </w:tcBorders>
          </w:tcPr>
          <w:p>
            <w:pPr>
              <w:jc w:val="center"/>
              <w:ind w:left="106"/>
              <w:spacing w:after="0" w:line="127" w:lineRule="exact"/>
              <w:rPr>
                <w:sz w:val="20"/>
                <w:szCs w:val="20"/>
                <w:color w:val="auto"/>
              </w:rPr>
            </w:pPr>
            <w:r>
              <w:rPr>
                <w:rFonts w:ascii="Calibri" w:cs="Calibri" w:eastAsia="Calibri" w:hAnsi="Calibri"/>
                <w:sz w:val="11"/>
                <w:szCs w:val="11"/>
                <w:b w:val="1"/>
                <w:bCs w:val="1"/>
                <w:color w:val="auto"/>
                <w:w w:val="99"/>
              </w:rPr>
              <w:t>682,637</w:t>
            </w:r>
          </w:p>
        </w:tc>
        <w:tc>
          <w:tcPr>
            <w:tcW w:w="1140" w:type="dxa"/>
            <w:vAlign w:val="bottom"/>
            <w:tcBorders>
              <w:bottom w:val="single" w:sz="8" w:color="auto"/>
              <w:right w:val="single" w:sz="8" w:color="auto"/>
            </w:tcBorders>
          </w:tcPr>
          <w:p>
            <w:pPr>
              <w:jc w:val="center"/>
              <w:ind w:left="126"/>
              <w:spacing w:after="0" w:line="127" w:lineRule="exact"/>
              <w:rPr>
                <w:sz w:val="20"/>
                <w:szCs w:val="20"/>
                <w:color w:val="auto"/>
              </w:rPr>
            </w:pPr>
            <w:r>
              <w:rPr>
                <w:rFonts w:ascii="Calibri" w:cs="Calibri" w:eastAsia="Calibri" w:hAnsi="Calibri"/>
                <w:sz w:val="11"/>
                <w:szCs w:val="11"/>
                <w:b w:val="1"/>
                <w:bCs w:val="1"/>
                <w:color w:val="auto"/>
                <w:w w:val="99"/>
              </w:rPr>
              <w:t>865,347</w:t>
            </w:r>
          </w:p>
        </w:tc>
        <w:tc>
          <w:tcPr>
            <w:tcW w:w="138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26.8%</w:t>
            </w:r>
          </w:p>
        </w:tc>
      </w:tr>
    </w:tbl>
    <w:p>
      <w:pPr>
        <w:spacing w:after="0" w:line="17" w:lineRule="exact"/>
        <w:rPr>
          <w:sz w:val="20"/>
          <w:szCs w:val="20"/>
          <w:color w:val="auto"/>
        </w:rPr>
      </w:pPr>
    </w:p>
    <w:p>
      <w:pPr>
        <w:spacing w:after="0"/>
        <w:rPr>
          <w:sz w:val="20"/>
          <w:szCs w:val="20"/>
          <w:color w:val="auto"/>
        </w:rPr>
      </w:pPr>
      <w:r>
        <w:rPr>
          <w:rFonts w:ascii="Calibri" w:cs="Calibri" w:eastAsia="Calibri" w:hAnsi="Calibri"/>
          <w:sz w:val="12"/>
          <w:szCs w:val="12"/>
          <w:color w:val="auto"/>
        </w:rPr>
        <w:t>(1) Includes gains on other investments, which are mainly atributable to the Banmedica result.</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5" w:name="page36"/>
    <w:bookmarkEnd w:id="35"/>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5"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color w:val="FFFFFF"/>
        </w:rPr>
        <w:t>06. Other Income</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20"/>
        </w:trPr>
        <w:tc>
          <w:tcPr>
            <w:tcW w:w="3780" w:type="dxa"/>
            <w:vAlign w:val="bottom"/>
          </w:tcPr>
          <w:p>
            <w:pPr>
              <w:jc w:val="center"/>
              <w:ind w:right="1953"/>
              <w:spacing w:after="0"/>
              <w:rPr>
                <w:sz w:val="20"/>
                <w:szCs w:val="20"/>
                <w:color w:val="auto"/>
              </w:rPr>
            </w:pPr>
            <w:r>
              <w:rPr>
                <w:rFonts w:ascii="Calibri" w:cs="Calibri" w:eastAsia="Calibri" w:hAnsi="Calibri"/>
                <w:sz w:val="18"/>
                <w:szCs w:val="18"/>
                <w:b w:val="1"/>
                <w:bCs w:val="1"/>
                <w:color w:val="auto"/>
                <w:w w:val="97"/>
              </w:rPr>
              <w:t>Other Non-Core Income</w:t>
            </w:r>
          </w:p>
        </w:tc>
        <w:tc>
          <w:tcPr>
            <w:tcW w:w="3800" w:type="dxa"/>
            <w:vAlign w:val="bottom"/>
          </w:tcPr>
          <w:p>
            <w:pPr>
              <w:jc w:val="center"/>
              <w:ind w:left="1973"/>
              <w:spacing w:after="0"/>
              <w:rPr>
                <w:sz w:val="20"/>
                <w:szCs w:val="20"/>
                <w:color w:val="auto"/>
              </w:rPr>
            </w:pPr>
            <w:r>
              <w:rPr>
                <w:rFonts w:ascii="Calibri" w:cs="Calibri" w:eastAsia="Calibri" w:hAnsi="Calibri"/>
                <w:sz w:val="18"/>
                <w:szCs w:val="18"/>
                <w:b w:val="1"/>
                <w:bCs w:val="1"/>
                <w:color w:val="auto"/>
                <w:w w:val="97"/>
              </w:rPr>
              <w:t>Other Non-Core Income</w:t>
            </w:r>
          </w:p>
        </w:tc>
      </w:tr>
      <w:tr>
        <w:trPr>
          <w:trHeight w:val="216"/>
        </w:trPr>
        <w:tc>
          <w:tcPr>
            <w:tcW w:w="3780" w:type="dxa"/>
            <w:vAlign w:val="bottom"/>
          </w:tcPr>
          <w:p>
            <w:pPr>
              <w:jc w:val="center"/>
              <w:ind w:right="1953"/>
              <w:spacing w:after="0" w:line="216" w:lineRule="exact"/>
              <w:rPr>
                <w:sz w:val="20"/>
                <w:szCs w:val="20"/>
                <w:color w:val="auto"/>
              </w:rPr>
            </w:pPr>
            <w:r>
              <w:rPr>
                <w:rFonts w:ascii="Calibri" w:cs="Calibri" w:eastAsia="Calibri" w:hAnsi="Calibri"/>
                <w:sz w:val="18"/>
                <w:szCs w:val="18"/>
                <w:b w:val="1"/>
                <w:bCs w:val="1"/>
                <w:color w:val="auto"/>
              </w:rPr>
              <w:t>QoQ evoluton</w:t>
            </w:r>
          </w:p>
        </w:tc>
        <w:tc>
          <w:tcPr>
            <w:tcW w:w="3800" w:type="dxa"/>
            <w:vAlign w:val="bottom"/>
          </w:tcPr>
          <w:p>
            <w:pPr>
              <w:jc w:val="center"/>
              <w:ind w:left="1953"/>
              <w:spacing w:after="0" w:line="216" w:lineRule="exact"/>
              <w:rPr>
                <w:sz w:val="20"/>
                <w:szCs w:val="20"/>
                <w:color w:val="auto"/>
              </w:rPr>
            </w:pPr>
            <w:r>
              <w:rPr>
                <w:rFonts w:ascii="Calibri" w:cs="Calibri" w:eastAsia="Calibri" w:hAnsi="Calibri"/>
                <w:sz w:val="18"/>
                <w:szCs w:val="18"/>
                <w:b w:val="1"/>
                <w:bCs w:val="1"/>
                <w:color w:val="auto"/>
              </w:rPr>
              <w:t>YoY evoluton</w:t>
            </w:r>
          </w:p>
        </w:tc>
      </w:tr>
      <w:tr>
        <w:trPr>
          <w:trHeight w:val="198"/>
        </w:trPr>
        <w:tc>
          <w:tcPr>
            <w:tcW w:w="3780" w:type="dxa"/>
            <w:vAlign w:val="bottom"/>
          </w:tcPr>
          <w:p>
            <w:pPr>
              <w:jc w:val="center"/>
              <w:ind w:right="1953"/>
              <w:spacing w:after="0"/>
              <w:rPr>
                <w:sz w:val="20"/>
                <w:szCs w:val="20"/>
                <w:color w:val="auto"/>
              </w:rPr>
            </w:pPr>
            <w:r>
              <w:rPr>
                <w:rFonts w:ascii="Calibri" w:cs="Calibri" w:eastAsia="Calibri" w:hAnsi="Calibri"/>
                <w:sz w:val="16"/>
                <w:szCs w:val="16"/>
                <w:color w:val="auto"/>
              </w:rPr>
              <w:t>(Thousands of soles)</w:t>
            </w:r>
          </w:p>
        </w:tc>
        <w:tc>
          <w:tcPr>
            <w:tcW w:w="3800" w:type="dxa"/>
            <w:vAlign w:val="bottom"/>
          </w:tcPr>
          <w:p>
            <w:pPr>
              <w:jc w:val="center"/>
              <w:ind w:left="1973"/>
              <w:spacing w:after="0"/>
              <w:rPr>
                <w:sz w:val="20"/>
                <w:szCs w:val="20"/>
                <w:color w:val="auto"/>
              </w:rPr>
            </w:pPr>
            <w:r>
              <w:rPr>
                <w:rFonts w:ascii="Calibri" w:cs="Calibri" w:eastAsia="Calibri" w:hAnsi="Calibri"/>
                <w:sz w:val="16"/>
                <w:szCs w:val="16"/>
                <w:color w:val="auto"/>
              </w:rPr>
              <w:t>(Thousands of soles)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146050</wp:posOffset>
            </wp:positionV>
            <wp:extent cx="6069330" cy="1414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693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Other Non-Core Income</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YTD evoluton</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146050</wp:posOffset>
            </wp:positionV>
            <wp:extent cx="2048510" cy="1602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4851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alibri" w:cs="Calibri" w:eastAsia="Calibri" w:hAnsi="Calibri"/>
          <w:sz w:val="12"/>
          <w:szCs w:val="12"/>
          <w:color w:val="auto"/>
        </w:rPr>
        <w:t>(1) Others: includes Grupo Crédito, Credicorp Individual, eliminatons and others.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auto"/>
        </w:rPr>
        <w:t>If we exclude BCP Bolivia’s operatons, the Other Non-Core Income lines show the following dynamics: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QoQ</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Other Non-Core Income </w:t>
      </w:r>
      <w:r>
        <w:rPr>
          <w:rFonts w:ascii="Calibri" w:cs="Calibri" w:eastAsia="Calibri" w:hAnsi="Calibri"/>
          <w:sz w:val="18"/>
          <w:szCs w:val="18"/>
          <w:color w:val="auto"/>
        </w:rPr>
        <w:t>dropped 13.6%, driven primarily by:</w:t>
      </w:r>
    </w:p>
    <w:p>
      <w:pPr>
        <w:spacing w:after="0" w:line="1" w:lineRule="exact"/>
        <w:rPr>
          <w:sz w:val="20"/>
          <w:szCs w:val="20"/>
          <w:color w:val="auto"/>
        </w:rPr>
      </w:pPr>
    </w:p>
    <w:p>
      <w:pPr>
        <w:ind w:left="840" w:hanging="346"/>
        <w:spacing w:after="0" w:line="235" w:lineRule="auto"/>
        <w:tabs>
          <w:tab w:leader="none" w:pos="840" w:val="left"/>
        </w:tabs>
        <w:numPr>
          <w:ilvl w:val="0"/>
          <w:numId w:val="37"/>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Universal Banking: </w:t>
      </w:r>
      <w:r>
        <w:rPr>
          <w:rFonts w:ascii="Calibri" w:cs="Calibri" w:eastAsia="Calibri" w:hAnsi="Calibri"/>
          <w:sz w:val="18"/>
          <w:szCs w:val="18"/>
          <w:color w:val="auto"/>
        </w:rPr>
        <w:t>fueled by a base efect from last quarter, which impacted (i)</w:t>
      </w:r>
      <w:r>
        <w:rPr>
          <w:rFonts w:ascii="Calibri" w:cs="Calibri" w:eastAsia="Calibri" w:hAnsi="Calibri"/>
          <w:sz w:val="18"/>
          <w:szCs w:val="18"/>
          <w:b w:val="1"/>
          <w:bCs w:val="1"/>
          <w:color w:val="auto"/>
        </w:rPr>
        <w:t xml:space="preserve"> Other Non-operatng Income </w:t>
      </w:r>
      <w:r>
        <w:rPr>
          <w:rFonts w:ascii="Calibri" w:cs="Calibri" w:eastAsia="Calibri" w:hAnsi="Calibri"/>
          <w:sz w:val="18"/>
          <w:szCs w:val="18"/>
          <w:color w:val="auto"/>
        </w:rPr>
        <w:t>due to a property sale and (ii)</w:t>
      </w:r>
      <w:r>
        <w:rPr>
          <w:rFonts w:ascii="Calibri" w:cs="Calibri" w:eastAsia="Calibri" w:hAnsi="Calibri"/>
          <w:sz w:val="18"/>
          <w:szCs w:val="18"/>
          <w:b w:val="1"/>
          <w:bCs w:val="1"/>
          <w:color w:val="auto"/>
        </w:rPr>
        <w:t xml:space="preserve"> Net gain on Securites, </w:t>
      </w:r>
      <w:r>
        <w:rPr>
          <w:rFonts w:ascii="Calibri" w:cs="Calibri" w:eastAsia="Calibri" w:hAnsi="Calibri"/>
          <w:sz w:val="18"/>
          <w:szCs w:val="18"/>
          <w:color w:val="auto"/>
        </w:rPr>
        <w:t>spurred by a revaluaton of the trading portolio.</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YoY, </w:t>
      </w:r>
      <w:r>
        <w:rPr>
          <w:rFonts w:ascii="Calibri" w:cs="Calibri" w:eastAsia="Calibri" w:hAnsi="Calibri"/>
          <w:sz w:val="18"/>
          <w:szCs w:val="18"/>
          <w:color w:val="auto"/>
        </w:rPr>
        <w:t>Other</w:t>
      </w:r>
      <w:r>
        <w:rPr>
          <w:rFonts w:ascii="Calibri" w:cs="Calibri" w:eastAsia="Calibri" w:hAnsi="Calibri"/>
          <w:sz w:val="18"/>
          <w:szCs w:val="18"/>
          <w:b w:val="1"/>
          <w:bCs w:val="1"/>
          <w:color w:val="auto"/>
        </w:rPr>
        <w:t xml:space="preserve"> Non-Core Income </w:t>
      </w:r>
      <w:r>
        <w:rPr>
          <w:rFonts w:ascii="Calibri" w:cs="Calibri" w:eastAsia="Calibri" w:hAnsi="Calibri"/>
          <w:sz w:val="18"/>
          <w:szCs w:val="18"/>
          <w:color w:val="auto"/>
        </w:rPr>
        <w:t>rose 13.4% atributable to:</w:t>
      </w:r>
    </w:p>
    <w:p>
      <w:pPr>
        <w:spacing w:after="0" w:line="1" w:lineRule="exact"/>
        <w:rPr>
          <w:sz w:val="20"/>
          <w:szCs w:val="20"/>
          <w:color w:val="auto"/>
        </w:rPr>
      </w:pPr>
    </w:p>
    <w:p>
      <w:pPr>
        <w:ind w:left="840" w:hanging="346"/>
        <w:spacing w:after="0" w:line="235" w:lineRule="auto"/>
        <w:tabs>
          <w:tab w:leader="none" w:pos="840" w:val="left"/>
        </w:tabs>
        <w:numPr>
          <w:ilvl w:val="0"/>
          <w:numId w:val="38"/>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Investment Management and Advisory: </w:t>
      </w:r>
      <w:r>
        <w:rPr>
          <w:rFonts w:ascii="Calibri" w:cs="Calibri" w:eastAsia="Calibri" w:hAnsi="Calibri"/>
          <w:sz w:val="18"/>
          <w:szCs w:val="18"/>
          <w:color w:val="auto"/>
        </w:rPr>
        <w:t>growth in</w:t>
      </w:r>
      <w:r>
        <w:rPr>
          <w:rFonts w:ascii="Calibri" w:cs="Calibri" w:eastAsia="Calibri" w:hAnsi="Calibri"/>
          <w:sz w:val="18"/>
          <w:szCs w:val="18"/>
          <w:b w:val="1"/>
          <w:bCs w:val="1"/>
          <w:color w:val="auto"/>
        </w:rPr>
        <w:t xml:space="preserve"> Net gain on Securites</w:t>
      </w:r>
      <w:r>
        <w:rPr>
          <w:rFonts w:ascii="Calibri" w:cs="Calibri" w:eastAsia="Calibri" w:hAnsi="Calibri"/>
          <w:sz w:val="18"/>
          <w:szCs w:val="18"/>
          <w:color w:val="auto"/>
        </w:rPr>
        <w:t>, which was fueled mainly by successful trading strategies in Capital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Markets and to a lesser extent, by a revaluaton of seed capital in Asset Management.</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This expansion was partally ofset by a drop in </w:t>
      </w:r>
      <w:r>
        <w:rPr>
          <w:rFonts w:ascii="Calibri" w:cs="Calibri" w:eastAsia="Calibri" w:hAnsi="Calibri"/>
          <w:sz w:val="18"/>
          <w:szCs w:val="18"/>
          <w:b w:val="1"/>
          <w:bCs w:val="1"/>
          <w:color w:val="auto"/>
        </w:rPr>
        <w:t>Net gain on Exchange Rate Diferences</w:t>
      </w:r>
      <w:r>
        <w:rPr>
          <w:rFonts w:ascii="Calibri" w:cs="Calibri" w:eastAsia="Calibri" w:hAnsi="Calibri"/>
          <w:sz w:val="18"/>
          <w:szCs w:val="18"/>
          <w:color w:val="auto"/>
        </w:rPr>
        <w:t xml:space="preserve"> at </w:t>
      </w:r>
      <w:r>
        <w:rPr>
          <w:rFonts w:ascii="Calibri" w:cs="Calibri" w:eastAsia="Calibri" w:hAnsi="Calibri"/>
          <w:sz w:val="18"/>
          <w:szCs w:val="18"/>
          <w:b w:val="1"/>
          <w:bCs w:val="1"/>
          <w:color w:val="auto"/>
        </w:rPr>
        <w:t>Pacífco</w:t>
      </w:r>
      <w:r>
        <w:rPr>
          <w:rFonts w:ascii="Calibri" w:cs="Calibri" w:eastAsia="Calibri" w:hAnsi="Calibri"/>
          <w:sz w:val="18"/>
          <w:szCs w:val="18"/>
          <w:color w:val="auto"/>
        </w:rPr>
        <w:t>, which was driven by a base efect fueled by a regularizaton of diferences in exchange rate.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YTD, Other Non-Operatng Income </w:t>
      </w:r>
      <w:r>
        <w:rPr>
          <w:rFonts w:ascii="Calibri" w:cs="Calibri" w:eastAsia="Calibri" w:hAnsi="Calibri"/>
          <w:sz w:val="18"/>
          <w:szCs w:val="18"/>
          <w:color w:val="auto"/>
        </w:rPr>
        <w:t>rose 8.3%, driven mainly by:</w:t>
      </w:r>
    </w:p>
    <w:p>
      <w:pPr>
        <w:spacing w:after="0" w:line="1" w:lineRule="exact"/>
        <w:rPr>
          <w:sz w:val="20"/>
          <w:szCs w:val="20"/>
          <w:color w:val="auto"/>
        </w:rPr>
      </w:pPr>
    </w:p>
    <w:p>
      <w:pPr>
        <w:ind w:left="840" w:hanging="346"/>
        <w:spacing w:after="0" w:line="235" w:lineRule="auto"/>
        <w:tabs>
          <w:tab w:leader="none" w:pos="840" w:val="left"/>
        </w:tabs>
        <w:numPr>
          <w:ilvl w:val="0"/>
          <w:numId w:val="39"/>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Investment Management and Advisory: </w:t>
      </w:r>
      <w:r>
        <w:rPr>
          <w:rFonts w:ascii="Calibri" w:cs="Calibri" w:eastAsia="Calibri" w:hAnsi="Calibri"/>
          <w:sz w:val="18"/>
          <w:szCs w:val="18"/>
          <w:color w:val="auto"/>
        </w:rPr>
        <w:t>growth in (i)</w:t>
      </w:r>
      <w:r>
        <w:rPr>
          <w:rFonts w:ascii="Calibri" w:cs="Calibri" w:eastAsia="Calibri" w:hAnsi="Calibri"/>
          <w:sz w:val="18"/>
          <w:szCs w:val="18"/>
          <w:b w:val="1"/>
          <w:bCs w:val="1"/>
          <w:color w:val="auto"/>
        </w:rPr>
        <w:t xml:space="preserve"> Net Gain on Securites</w:t>
      </w:r>
      <w:r>
        <w:rPr>
          <w:rFonts w:ascii="Calibri" w:cs="Calibri" w:eastAsia="Calibri" w:hAnsi="Calibri"/>
          <w:sz w:val="18"/>
          <w:szCs w:val="18"/>
          <w:color w:val="auto"/>
        </w:rPr>
        <w:t>, fueled by the same drivers as those seen YoY and (ii) an expansion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the </w:t>
      </w:r>
      <w:r>
        <w:rPr>
          <w:rFonts w:ascii="Calibri" w:cs="Calibri" w:eastAsia="Calibri" w:hAnsi="Calibri"/>
          <w:sz w:val="18"/>
          <w:szCs w:val="18"/>
          <w:b w:val="1"/>
          <w:bCs w:val="1"/>
          <w:color w:val="auto"/>
        </w:rPr>
        <w:t>Net Gain on Derivatves Held for Trading</w:t>
      </w:r>
      <w:r>
        <w:rPr>
          <w:rFonts w:ascii="Calibri" w:cs="Calibri" w:eastAsia="Calibri" w:hAnsi="Calibri"/>
          <w:sz w:val="18"/>
          <w:szCs w:val="18"/>
          <w:color w:val="auto"/>
        </w:rPr>
        <w:t xml:space="preserve"> in </w:t>
      </w:r>
      <w:r>
        <w:rPr>
          <w:rFonts w:ascii="Calibri" w:cs="Calibri" w:eastAsia="Calibri" w:hAnsi="Calibri"/>
          <w:sz w:val="18"/>
          <w:szCs w:val="18"/>
          <w:b w:val="1"/>
          <w:bCs w:val="1"/>
          <w:color w:val="auto"/>
        </w:rPr>
        <w:t>ASB</w:t>
      </w:r>
      <w:r>
        <w:rPr>
          <w:rFonts w:ascii="Calibri" w:cs="Calibri" w:eastAsia="Calibri" w:hAnsi="Calibri"/>
          <w:sz w:val="18"/>
          <w:szCs w:val="18"/>
          <w:color w:val="auto"/>
        </w:rPr>
        <w:t xml:space="preserve"> and </w:t>
      </w:r>
      <w:r>
        <w:rPr>
          <w:rFonts w:ascii="Calibri" w:cs="Calibri" w:eastAsia="Calibri" w:hAnsi="Calibri"/>
          <w:sz w:val="18"/>
          <w:szCs w:val="18"/>
          <w:b w:val="1"/>
          <w:bCs w:val="1"/>
          <w:color w:val="auto"/>
        </w:rPr>
        <w:t>Credicorp Capital</w:t>
      </w:r>
      <w:r>
        <w:rPr>
          <w:rFonts w:ascii="Calibri" w:cs="Calibri" w:eastAsia="Calibri" w:hAnsi="Calibri"/>
          <w:sz w:val="18"/>
          <w:szCs w:val="18"/>
          <w:color w:val="auto"/>
        </w:rPr>
        <w:t>, due to positve returns on their derivatves strategies.</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The growth described above was ofset by a drop in Other Non-Operatng Income at </w:t>
      </w:r>
      <w:r>
        <w:rPr>
          <w:rFonts w:ascii="Calibri" w:cs="Calibri" w:eastAsia="Calibri" w:hAnsi="Calibri"/>
          <w:sz w:val="18"/>
          <w:szCs w:val="18"/>
          <w:b w:val="1"/>
          <w:bCs w:val="1"/>
          <w:color w:val="auto"/>
        </w:rPr>
        <w:t>BCP Stand- alone</w:t>
      </w:r>
      <w:r>
        <w:rPr>
          <w:rFonts w:ascii="Calibri" w:cs="Calibri" w:eastAsia="Calibri" w:hAnsi="Calibri"/>
          <w:sz w:val="18"/>
          <w:szCs w:val="18"/>
          <w:color w:val="auto"/>
        </w:rPr>
        <w:t xml:space="preserve">, via the same dynamics seen </w:t>
      </w:r>
      <w:r>
        <w:rPr>
          <w:rFonts w:ascii="Calibri" w:cs="Calibri" w:eastAsia="Calibri" w:hAnsi="Calibri"/>
          <w:sz w:val="18"/>
          <w:szCs w:val="18"/>
          <w:b w:val="1"/>
          <w:bCs w:val="1"/>
          <w:color w:val="auto"/>
        </w:rPr>
        <w:t>QoQ</w:t>
      </w:r>
      <w:r>
        <w:rPr>
          <w:rFonts w:ascii="Calibri" w:cs="Calibri" w:eastAsia="Calibri" w:hAnsi="Calibri"/>
          <w:sz w:val="18"/>
          <w:szCs w:val="18"/>
          <w:color w:val="auto"/>
        </w:rPr>
        <w:t>.</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6" w:name="page37"/>
    <w:bookmarkEnd w:id="36"/>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07  </w:t>
      </w:r>
      <w:r>
        <w:rPr>
          <w:rFonts w:ascii="Calibri" w:cs="Calibri" w:eastAsia="Calibri" w:hAnsi="Calibri"/>
          <w:sz w:val="32"/>
          <w:szCs w:val="32"/>
          <w:color w:val="E93BAC"/>
        </w:rPr>
        <w:t>Insurance Underwritng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9944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73" w:lineRule="exact"/>
        <w:rPr>
          <w:sz w:val="20"/>
          <w:szCs w:val="20"/>
          <w:color w:val="auto"/>
        </w:rPr>
      </w:pPr>
    </w:p>
    <w:p>
      <w:pPr>
        <w:jc w:val="both"/>
        <w:ind w:left="160" w:right="140"/>
        <w:spacing w:after="0" w:line="235" w:lineRule="auto"/>
        <w:rPr>
          <w:sz w:val="20"/>
          <w:szCs w:val="20"/>
          <w:color w:val="auto"/>
        </w:rPr>
      </w:pPr>
      <w:r>
        <w:rPr>
          <w:rFonts w:ascii="Calibri" w:cs="Calibri" w:eastAsia="Calibri" w:hAnsi="Calibri"/>
          <w:sz w:val="18"/>
          <w:szCs w:val="18"/>
          <w:color w:val="FFFFFF"/>
        </w:rPr>
        <w:t>QoQ, the Insurance Underwritng Result dropped 7.5%. This evoluton was driven primarily by (i) deterioraton in the Reinsurance Result, which was fueled primarily by the P &amp; C business and (ii) growth in Insurance Service Expenses, mainly via Credit Life, which reported an uptck in claims. It is worth mentoning that, in lines of business terms, this drop was driven by the higher claims recorded in Life, partcularly in Credit Life. YoY, the Insurance Underwritng Result declined 11.8%, due to (i) deterioraton in the Reinsurance Result, primarily via P &amp; C, and (ii) an increase in Insurance Service Expenses in P &amp; C and in AMED in partcular. YTD, the Insurance Underwritng Result dropped 4.1%, driven mainly by a downturn in the Reinsurance Result, which was fueled primarily by P &amp; C. In lines of business terms, this drop was driven by the higher claims recorded in Life, partcularly in Credit Life.</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3740" w:type="dxa"/>
            <w:vAlign w:val="bottom"/>
            <w:tcBorders>
              <w:top w:val="single" w:sz="8" w:color="auto"/>
              <w:left w:val="single" w:sz="8" w:color="auto"/>
              <w:right w:val="single" w:sz="8" w:color="auto"/>
            </w:tcBorders>
            <w:gridSpan w:val="2"/>
            <w:shd w:val="clear" w:color="auto" w:fill="33CCCC"/>
          </w:tcPr>
          <w:p>
            <w:pPr>
              <w:ind w:left="20"/>
              <w:spacing w:after="0"/>
              <w:rPr>
                <w:sz w:val="20"/>
                <w:szCs w:val="20"/>
                <w:color w:val="auto"/>
              </w:rPr>
            </w:pPr>
            <w:r>
              <w:rPr>
                <w:rFonts w:ascii="Calibri" w:cs="Calibri" w:eastAsia="Calibri" w:hAnsi="Calibri"/>
                <w:sz w:val="13"/>
                <w:szCs w:val="13"/>
                <w:b w:val="1"/>
                <w:bCs w:val="1"/>
                <w:color w:val="FFFFFF"/>
              </w:rPr>
              <w:t>Insurance Underwritng Results</w:t>
            </w:r>
          </w:p>
        </w:tc>
        <w:tc>
          <w:tcPr>
            <w:tcW w:w="1000" w:type="dxa"/>
            <w:vAlign w:val="bottom"/>
            <w:tcBorders>
              <w:top w:val="single" w:sz="8" w:color="auto"/>
            </w:tcBorders>
            <w:shd w:val="clear" w:color="auto" w:fill="33CCCC"/>
          </w:tcPr>
          <w:p>
            <w:pPr>
              <w:spacing w:after="0"/>
              <w:rPr>
                <w:sz w:val="15"/>
                <w:szCs w:val="15"/>
                <w:color w:val="auto"/>
              </w:rPr>
            </w:pPr>
          </w:p>
        </w:tc>
        <w:tc>
          <w:tcPr>
            <w:tcW w:w="1000" w:type="dxa"/>
            <w:vAlign w:val="bottom"/>
            <w:tcBorders>
              <w:top w:val="single" w:sz="8" w:color="auto"/>
            </w:tcBorders>
            <w:shd w:val="clear" w:color="auto" w:fill="33CCCC"/>
          </w:tcPr>
          <w:p>
            <w:pPr>
              <w:jc w:val="right"/>
              <w:ind w:right="273"/>
              <w:spacing w:after="0"/>
              <w:rPr>
                <w:sz w:val="20"/>
                <w:szCs w:val="20"/>
                <w:color w:val="auto"/>
              </w:rPr>
            </w:pPr>
            <w:r>
              <w:rPr>
                <w:rFonts w:ascii="Calibri" w:cs="Calibri" w:eastAsia="Calibri" w:hAnsi="Calibri"/>
                <w:sz w:val="13"/>
                <w:szCs w:val="13"/>
                <w:b w:val="1"/>
                <w:bCs w:val="1"/>
                <w:color w:val="FFFFFF"/>
              </w:rPr>
              <w:t>Quarterly</w:t>
            </w:r>
          </w:p>
        </w:tc>
        <w:tc>
          <w:tcPr>
            <w:tcW w:w="800" w:type="dxa"/>
            <w:vAlign w:val="bottom"/>
            <w:tcBorders>
              <w:top w:val="single" w:sz="8" w:color="auto"/>
              <w:right w:val="single" w:sz="8" w:color="auto"/>
            </w:tcBorders>
            <w:shd w:val="clear" w:color="auto" w:fill="33CCCC"/>
          </w:tcPr>
          <w:p>
            <w:pPr>
              <w:spacing w:after="0"/>
              <w:rPr>
                <w:sz w:val="15"/>
                <w:szCs w:val="15"/>
                <w:color w:val="auto"/>
              </w:rPr>
            </w:pPr>
          </w:p>
        </w:tc>
        <w:tc>
          <w:tcPr>
            <w:tcW w:w="1840" w:type="dxa"/>
            <w:vAlign w:val="bottom"/>
            <w:tcBorders>
              <w:top w:val="single" w:sz="8" w:color="auto"/>
              <w:right w:val="single" w:sz="8" w:color="auto"/>
            </w:tcBorders>
            <w:gridSpan w:val="2"/>
            <w:shd w:val="clear" w:color="auto" w:fill="33CCCC"/>
          </w:tcPr>
          <w:p>
            <w:pPr>
              <w:ind w:left="640"/>
              <w:spacing w:after="0"/>
              <w:rPr>
                <w:sz w:val="20"/>
                <w:szCs w:val="20"/>
                <w:color w:val="auto"/>
              </w:rPr>
            </w:pPr>
            <w:r>
              <w:rPr>
                <w:rFonts w:ascii="Calibri" w:cs="Calibri" w:eastAsia="Calibri" w:hAnsi="Calibri"/>
                <w:sz w:val="13"/>
                <w:szCs w:val="13"/>
                <w:b w:val="1"/>
                <w:bCs w:val="1"/>
                <w:color w:val="FFFFFF"/>
              </w:rPr>
              <w:t>% change</w:t>
            </w:r>
          </w:p>
        </w:tc>
        <w:tc>
          <w:tcPr>
            <w:tcW w:w="1100" w:type="dxa"/>
            <w:vAlign w:val="bottom"/>
            <w:tcBorders>
              <w:top w:val="single" w:sz="8" w:color="auto"/>
            </w:tcBorders>
            <w:shd w:val="clear" w:color="auto" w:fill="33CCCC"/>
          </w:tcPr>
          <w:p>
            <w:pPr>
              <w:jc w:val="right"/>
              <w:spacing w:after="0"/>
              <w:rPr>
                <w:sz w:val="20"/>
                <w:szCs w:val="20"/>
                <w:color w:val="auto"/>
              </w:rPr>
            </w:pPr>
            <w:r>
              <w:rPr>
                <w:rFonts w:ascii="Calibri" w:cs="Calibri" w:eastAsia="Calibri" w:hAnsi="Calibri"/>
                <w:sz w:val="13"/>
                <w:szCs w:val="13"/>
                <w:b w:val="1"/>
                <w:bCs w:val="1"/>
                <w:color w:val="FFFFFF"/>
              </w:rPr>
              <w:t>As of</w:t>
            </w:r>
          </w:p>
        </w:tc>
        <w:tc>
          <w:tcPr>
            <w:tcW w:w="740" w:type="dxa"/>
            <w:vAlign w:val="bottom"/>
            <w:tcBorders>
              <w:top w:val="single" w:sz="8" w:color="auto"/>
              <w:right w:val="single" w:sz="8" w:color="auto"/>
            </w:tcBorders>
            <w:shd w:val="clear" w:color="auto" w:fill="33CCCC"/>
          </w:tcPr>
          <w:p>
            <w:pPr>
              <w:spacing w:after="0"/>
              <w:rPr>
                <w:sz w:val="15"/>
                <w:szCs w:val="15"/>
                <w:color w:val="auto"/>
              </w:rPr>
            </w:pPr>
          </w:p>
        </w:tc>
        <w:tc>
          <w:tcPr>
            <w:tcW w:w="10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 change</w:t>
            </w:r>
          </w:p>
        </w:tc>
        <w:tc>
          <w:tcPr>
            <w:tcW w:w="0" w:type="dxa"/>
            <w:vAlign w:val="bottom"/>
          </w:tcPr>
          <w:p>
            <w:pPr>
              <w:spacing w:after="0"/>
              <w:rPr>
                <w:sz w:val="1"/>
                <w:szCs w:val="1"/>
                <w:color w:val="auto"/>
              </w:rPr>
            </w:pPr>
          </w:p>
        </w:tc>
      </w:tr>
      <w:tr>
        <w:trPr>
          <w:trHeight w:val="197"/>
        </w:trPr>
        <w:tc>
          <w:tcPr>
            <w:tcW w:w="1040" w:type="dxa"/>
            <w:vAlign w:val="bottom"/>
            <w:tcBorders>
              <w:left w:val="single" w:sz="8" w:color="auto"/>
              <w:bottom w:val="single" w:sz="8" w:color="33CCCC"/>
              <w:right w:val="single" w:sz="8" w:color="33CCCC"/>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 000</w:t>
            </w:r>
          </w:p>
        </w:tc>
        <w:tc>
          <w:tcPr>
            <w:tcW w:w="2700" w:type="dxa"/>
            <w:vAlign w:val="bottom"/>
            <w:tcBorders>
              <w:bottom w:val="single" w:sz="8" w:color="33CCCC"/>
              <w:right w:val="single" w:sz="8" w:color="auto"/>
            </w:tcBorders>
            <w:shd w:val="clear" w:color="auto" w:fill="33CCCC"/>
          </w:tcPr>
          <w:p>
            <w:pPr>
              <w:spacing w:after="0"/>
              <w:rPr>
                <w:sz w:val="16"/>
                <w:szCs w:val="16"/>
                <w:color w:val="auto"/>
              </w:rPr>
            </w:pPr>
          </w:p>
        </w:tc>
        <w:tc>
          <w:tcPr>
            <w:tcW w:w="1000" w:type="dxa"/>
            <w:vAlign w:val="bottom"/>
            <w:tcBorders>
              <w:bottom w:val="single" w:sz="8" w:color="33CCCC"/>
            </w:tcBorders>
            <w:shd w:val="clear" w:color="auto" w:fill="33CCCC"/>
          </w:tcPr>
          <w:p>
            <w:pPr>
              <w:jc w:val="right"/>
              <w:ind w:right="353"/>
              <w:spacing w:after="0"/>
              <w:rPr>
                <w:sz w:val="20"/>
                <w:szCs w:val="20"/>
                <w:color w:val="auto"/>
              </w:rPr>
            </w:pPr>
            <w:r>
              <w:rPr>
                <w:rFonts w:ascii="Calibri" w:cs="Calibri" w:eastAsia="Calibri" w:hAnsi="Calibri"/>
                <w:sz w:val="13"/>
                <w:szCs w:val="13"/>
                <w:b w:val="1"/>
                <w:bCs w:val="1"/>
                <w:color w:val="FFFFFF"/>
              </w:rPr>
              <w:t>3Q23</w:t>
            </w:r>
          </w:p>
        </w:tc>
        <w:tc>
          <w:tcPr>
            <w:tcW w:w="1000" w:type="dxa"/>
            <w:vAlign w:val="bottom"/>
            <w:tcBorders>
              <w:bottom w:val="single" w:sz="8" w:color="33CCCC"/>
            </w:tcBorders>
            <w:shd w:val="clear" w:color="auto" w:fill="33CCCC"/>
          </w:tcPr>
          <w:p>
            <w:pPr>
              <w:jc w:val="right"/>
              <w:ind w:right="413"/>
              <w:spacing w:after="0"/>
              <w:rPr>
                <w:sz w:val="20"/>
                <w:szCs w:val="20"/>
                <w:color w:val="auto"/>
              </w:rPr>
            </w:pPr>
            <w:r>
              <w:rPr>
                <w:rFonts w:ascii="Calibri" w:cs="Calibri" w:eastAsia="Calibri" w:hAnsi="Calibri"/>
                <w:sz w:val="13"/>
                <w:szCs w:val="13"/>
                <w:b w:val="1"/>
                <w:bCs w:val="1"/>
                <w:color w:val="FFFFFF"/>
              </w:rPr>
              <w:t>2Q24</w:t>
            </w:r>
          </w:p>
        </w:tc>
        <w:tc>
          <w:tcPr>
            <w:tcW w:w="800" w:type="dxa"/>
            <w:vAlign w:val="bottom"/>
            <w:tcBorders>
              <w:bottom w:val="single" w:sz="8" w:color="33CCCC"/>
              <w:right w:val="single" w:sz="8" w:color="auto"/>
            </w:tcBorders>
            <w:shd w:val="clear" w:color="auto" w:fill="33CCCC"/>
          </w:tcPr>
          <w:p>
            <w:pPr>
              <w:jc w:val="right"/>
              <w:ind w:right="273"/>
              <w:spacing w:after="0"/>
              <w:rPr>
                <w:sz w:val="20"/>
                <w:szCs w:val="20"/>
                <w:color w:val="auto"/>
              </w:rPr>
            </w:pPr>
            <w:r>
              <w:rPr>
                <w:rFonts w:ascii="Calibri" w:cs="Calibri" w:eastAsia="Calibri" w:hAnsi="Calibri"/>
                <w:sz w:val="13"/>
                <w:szCs w:val="13"/>
                <w:b w:val="1"/>
                <w:bCs w:val="1"/>
                <w:color w:val="FFFFFF"/>
              </w:rPr>
              <w:t>3Q24</w:t>
            </w:r>
          </w:p>
        </w:tc>
        <w:tc>
          <w:tcPr>
            <w:tcW w:w="920" w:type="dxa"/>
            <w:vAlign w:val="bottom"/>
            <w:tcBorders>
              <w:bottom w:val="single" w:sz="8" w:color="33CCCC"/>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QoQ</w:t>
            </w:r>
          </w:p>
        </w:tc>
        <w:tc>
          <w:tcPr>
            <w:tcW w:w="920" w:type="dxa"/>
            <w:vAlign w:val="bottom"/>
            <w:tcBorders>
              <w:bottom w:val="single" w:sz="8" w:color="33CCCC"/>
              <w:right w:val="single" w:sz="8" w:color="auto"/>
            </w:tcBorders>
            <w:shd w:val="clear" w:color="auto" w:fill="33CCCC"/>
          </w:tcPr>
          <w:p>
            <w:pPr>
              <w:ind w:left="340"/>
              <w:spacing w:after="0"/>
              <w:rPr>
                <w:sz w:val="20"/>
                <w:szCs w:val="20"/>
                <w:color w:val="auto"/>
              </w:rPr>
            </w:pPr>
            <w:r>
              <w:rPr>
                <w:rFonts w:ascii="Calibri" w:cs="Calibri" w:eastAsia="Calibri" w:hAnsi="Calibri"/>
                <w:sz w:val="13"/>
                <w:szCs w:val="13"/>
                <w:b w:val="1"/>
                <w:bCs w:val="1"/>
                <w:color w:val="FFFFFF"/>
              </w:rPr>
              <w:t>YoY</w:t>
            </w:r>
          </w:p>
        </w:tc>
        <w:tc>
          <w:tcPr>
            <w:tcW w:w="1100" w:type="dxa"/>
            <w:vAlign w:val="bottom"/>
            <w:tcBorders>
              <w:bottom w:val="single" w:sz="8" w:color="33CCCC"/>
            </w:tcBorders>
            <w:shd w:val="clear" w:color="auto" w:fill="33CCCC"/>
          </w:tcPr>
          <w:p>
            <w:pPr>
              <w:jc w:val="right"/>
              <w:ind w:right="413"/>
              <w:spacing w:after="0"/>
              <w:rPr>
                <w:sz w:val="20"/>
                <w:szCs w:val="20"/>
                <w:color w:val="auto"/>
              </w:rPr>
            </w:pPr>
            <w:r>
              <w:rPr>
                <w:rFonts w:ascii="Calibri" w:cs="Calibri" w:eastAsia="Calibri" w:hAnsi="Calibri"/>
                <w:sz w:val="13"/>
                <w:szCs w:val="13"/>
                <w:b w:val="1"/>
                <w:bCs w:val="1"/>
                <w:color w:val="FFFFFF"/>
              </w:rPr>
              <w:t>Sep 23</w:t>
            </w:r>
          </w:p>
        </w:tc>
        <w:tc>
          <w:tcPr>
            <w:tcW w:w="740" w:type="dxa"/>
            <w:vAlign w:val="bottom"/>
            <w:tcBorders>
              <w:bottom w:val="single" w:sz="8" w:color="33CCCC"/>
              <w:right w:val="single" w:sz="8" w:color="auto"/>
            </w:tcBorders>
            <w:shd w:val="clear" w:color="auto" w:fill="33CCCC"/>
          </w:tcPr>
          <w:p>
            <w:pPr>
              <w:jc w:val="right"/>
              <w:ind w:right="233"/>
              <w:spacing w:after="0"/>
              <w:rPr>
                <w:sz w:val="20"/>
                <w:szCs w:val="20"/>
                <w:color w:val="auto"/>
              </w:rPr>
            </w:pPr>
            <w:r>
              <w:rPr>
                <w:rFonts w:ascii="Calibri" w:cs="Calibri" w:eastAsia="Calibri" w:hAnsi="Calibri"/>
                <w:sz w:val="13"/>
                <w:szCs w:val="13"/>
                <w:b w:val="1"/>
                <w:bCs w:val="1"/>
                <w:color w:val="FFFFFF"/>
              </w:rPr>
              <w:t>Sep 24</w:t>
            </w:r>
          </w:p>
        </w:tc>
        <w:tc>
          <w:tcPr>
            <w:tcW w:w="102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Sep 24 / Sep 23</w:t>
            </w:r>
          </w:p>
        </w:tc>
        <w:tc>
          <w:tcPr>
            <w:tcW w:w="0" w:type="dxa"/>
            <w:vAlign w:val="bottom"/>
          </w:tcPr>
          <w:p>
            <w:pPr>
              <w:spacing w:after="0"/>
              <w:rPr>
                <w:sz w:val="1"/>
                <w:szCs w:val="1"/>
                <w:color w:val="auto"/>
              </w:rPr>
            </w:pPr>
          </w:p>
        </w:tc>
      </w:tr>
      <w:tr>
        <w:trPr>
          <w:trHeight w:val="153"/>
        </w:trPr>
        <w:tc>
          <w:tcPr>
            <w:tcW w:w="1040" w:type="dxa"/>
            <w:vAlign w:val="bottom"/>
            <w:tcBorders>
              <w:top w:val="single" w:sz="8" w:color="auto"/>
              <w:left w:val="single" w:sz="8" w:color="auto"/>
              <w:right w:val="single" w:sz="8" w:color="auto"/>
            </w:tcBorders>
          </w:tcPr>
          <w:p>
            <w:pPr>
              <w:spacing w:after="0"/>
              <w:rPr>
                <w:sz w:val="13"/>
                <w:szCs w:val="13"/>
                <w:color w:val="auto"/>
              </w:rPr>
            </w:pPr>
          </w:p>
        </w:tc>
        <w:tc>
          <w:tcPr>
            <w:tcW w:w="2700" w:type="dxa"/>
            <w:vAlign w:val="bottom"/>
            <w:tcBorders>
              <w:top w:val="single" w:sz="8" w:color="auto"/>
              <w:right w:val="single" w:sz="8" w:color="auto"/>
            </w:tcBorders>
          </w:tcPr>
          <w:p>
            <w:pPr>
              <w:spacing w:after="0" w:line="153" w:lineRule="exact"/>
              <w:rPr>
                <w:sz w:val="20"/>
                <w:szCs w:val="20"/>
                <w:color w:val="auto"/>
              </w:rPr>
            </w:pPr>
            <w:r>
              <w:rPr>
                <w:rFonts w:ascii="Calibri" w:cs="Calibri" w:eastAsia="Calibri" w:hAnsi="Calibri"/>
                <w:sz w:val="13"/>
                <w:szCs w:val="13"/>
                <w:color w:val="auto"/>
              </w:rPr>
              <w:t>Income from Insurance Services</w:t>
            </w:r>
          </w:p>
        </w:tc>
        <w:tc>
          <w:tcPr>
            <w:tcW w:w="1000" w:type="dxa"/>
            <w:vAlign w:val="bottom"/>
            <w:tcBorders>
              <w:top w:val="single" w:sz="8" w:color="auto"/>
            </w:tcBorders>
          </w:tcPr>
          <w:p>
            <w:pPr>
              <w:jc w:val="right"/>
              <w:ind w:right="53"/>
              <w:spacing w:after="0" w:line="153" w:lineRule="exact"/>
              <w:rPr>
                <w:sz w:val="20"/>
                <w:szCs w:val="20"/>
                <w:color w:val="auto"/>
              </w:rPr>
            </w:pPr>
            <w:r>
              <w:rPr>
                <w:rFonts w:ascii="Calibri" w:cs="Calibri" w:eastAsia="Calibri" w:hAnsi="Calibri"/>
                <w:sz w:val="13"/>
                <w:szCs w:val="13"/>
                <w:color w:val="auto"/>
              </w:rPr>
              <w:t>923.7</w:t>
            </w:r>
          </w:p>
        </w:tc>
        <w:tc>
          <w:tcPr>
            <w:tcW w:w="1000" w:type="dxa"/>
            <w:vAlign w:val="bottom"/>
            <w:tcBorders>
              <w:top w:val="single" w:sz="8" w:color="auto"/>
            </w:tcBorders>
          </w:tcPr>
          <w:p>
            <w:pPr>
              <w:jc w:val="right"/>
              <w:ind w:right="93"/>
              <w:spacing w:after="0" w:line="153" w:lineRule="exact"/>
              <w:rPr>
                <w:sz w:val="20"/>
                <w:szCs w:val="20"/>
                <w:color w:val="auto"/>
              </w:rPr>
            </w:pPr>
            <w:r>
              <w:rPr>
                <w:rFonts w:ascii="Calibri" w:cs="Calibri" w:eastAsia="Calibri" w:hAnsi="Calibri"/>
                <w:sz w:val="13"/>
                <w:szCs w:val="13"/>
                <w:color w:val="auto"/>
              </w:rPr>
              <w:t>909.1</w:t>
            </w:r>
          </w:p>
        </w:tc>
        <w:tc>
          <w:tcPr>
            <w:tcW w:w="800" w:type="dxa"/>
            <w:vAlign w:val="bottom"/>
            <w:tcBorders>
              <w:top w:val="single" w:sz="8" w:color="auto"/>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940.9</w:t>
            </w:r>
          </w:p>
        </w:tc>
        <w:tc>
          <w:tcPr>
            <w:tcW w:w="920" w:type="dxa"/>
            <w:vAlign w:val="bottom"/>
            <w:tcBorders>
              <w:top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3.5%</w:t>
            </w:r>
          </w:p>
        </w:tc>
        <w:tc>
          <w:tcPr>
            <w:tcW w:w="920" w:type="dxa"/>
            <w:vAlign w:val="bottom"/>
            <w:tcBorders>
              <w:top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1.9%</w:t>
            </w:r>
          </w:p>
        </w:tc>
        <w:tc>
          <w:tcPr>
            <w:tcW w:w="1100" w:type="dxa"/>
            <w:vAlign w:val="bottom"/>
            <w:tcBorders>
              <w:top w:val="single" w:sz="8" w:color="auto"/>
            </w:tcBorders>
          </w:tcPr>
          <w:p>
            <w:pPr>
              <w:jc w:val="right"/>
              <w:ind w:right="153"/>
              <w:spacing w:after="0" w:line="153" w:lineRule="exact"/>
              <w:rPr>
                <w:sz w:val="20"/>
                <w:szCs w:val="20"/>
                <w:color w:val="auto"/>
              </w:rPr>
            </w:pPr>
            <w:r>
              <w:rPr>
                <w:rFonts w:ascii="Calibri" w:cs="Calibri" w:eastAsia="Calibri" w:hAnsi="Calibri"/>
                <w:sz w:val="13"/>
                <w:szCs w:val="13"/>
                <w:color w:val="auto"/>
              </w:rPr>
              <w:t>2823.5</w:t>
            </w:r>
          </w:p>
        </w:tc>
        <w:tc>
          <w:tcPr>
            <w:tcW w:w="740" w:type="dxa"/>
            <w:vAlign w:val="bottom"/>
            <w:tcBorders>
              <w:top w:val="single" w:sz="8" w:color="auto"/>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2788.0</w:t>
            </w:r>
          </w:p>
        </w:tc>
        <w:tc>
          <w:tcPr>
            <w:tcW w:w="1020" w:type="dxa"/>
            <w:vAlign w:val="bottom"/>
            <w:tcBorders>
              <w:top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-1.3%</w:t>
            </w:r>
          </w:p>
        </w:tc>
        <w:tc>
          <w:tcPr>
            <w:tcW w:w="0" w:type="dxa"/>
            <w:vAlign w:val="bottom"/>
          </w:tcPr>
          <w:p>
            <w:pPr>
              <w:spacing w:after="0"/>
              <w:rPr>
                <w:sz w:val="1"/>
                <w:szCs w:val="1"/>
                <w:color w:val="auto"/>
              </w:rPr>
            </w:pPr>
          </w:p>
        </w:tc>
      </w:tr>
      <w:tr>
        <w:trPr>
          <w:trHeight w:val="170"/>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Total</w:t>
            </w: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color w:val="auto"/>
              </w:rPr>
              <w:t>Expenses for Insurance Services</w:t>
            </w:r>
          </w:p>
        </w:tc>
        <w:tc>
          <w:tcPr>
            <w:tcW w:w="1000" w:type="dxa"/>
            <w:vAlign w:val="bottom"/>
          </w:tcPr>
          <w:p>
            <w:pPr>
              <w:jc w:val="right"/>
              <w:ind w:right="53"/>
              <w:spacing w:after="0"/>
              <w:rPr>
                <w:sz w:val="20"/>
                <w:szCs w:val="20"/>
                <w:color w:val="auto"/>
              </w:rPr>
            </w:pPr>
            <w:r>
              <w:rPr>
                <w:rFonts w:ascii="Calibri" w:cs="Calibri" w:eastAsia="Calibri" w:hAnsi="Calibri"/>
                <w:sz w:val="13"/>
                <w:szCs w:val="13"/>
                <w:color w:val="auto"/>
              </w:rPr>
              <w:t>(505.4)</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(496.1)</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(514.7)</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3.8%</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1.8%</w:t>
            </w:r>
          </w:p>
        </w:tc>
        <w:tc>
          <w:tcPr>
            <w:tcW w:w="1100" w:type="dxa"/>
            <w:vAlign w:val="bottom"/>
          </w:tcPr>
          <w:p>
            <w:pPr>
              <w:jc w:val="right"/>
              <w:ind w:right="153"/>
              <w:spacing w:after="0"/>
              <w:rPr>
                <w:sz w:val="20"/>
                <w:szCs w:val="20"/>
                <w:color w:val="auto"/>
              </w:rPr>
            </w:pPr>
            <w:r>
              <w:rPr>
                <w:rFonts w:ascii="Calibri" w:cs="Calibri" w:eastAsia="Calibri" w:hAnsi="Calibri"/>
                <w:sz w:val="13"/>
                <w:szCs w:val="13"/>
                <w:color w:val="auto"/>
              </w:rPr>
              <w:t>-1601.0</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-1487.1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-7.1%</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Calibri" w:cs="Calibri" w:eastAsia="Calibri" w:hAnsi="Calibri"/>
                <w:sz w:val="13"/>
                <w:szCs w:val="13"/>
                <w:color w:val="auto"/>
              </w:rPr>
              <w:t>Reinsurance Results</w:t>
            </w:r>
          </w:p>
        </w:tc>
        <w:tc>
          <w:tcPr>
            <w:tcW w:w="1000" w:type="dxa"/>
            <w:vAlign w:val="bottom"/>
            <w:vMerge w:val="restart"/>
          </w:tcPr>
          <w:p>
            <w:pPr>
              <w:jc w:val="right"/>
              <w:ind w:right="53"/>
              <w:spacing w:after="0"/>
              <w:rPr>
                <w:sz w:val="20"/>
                <w:szCs w:val="20"/>
                <w:color w:val="auto"/>
              </w:rPr>
            </w:pPr>
            <w:r>
              <w:rPr>
                <w:rFonts w:ascii="Calibri" w:cs="Calibri" w:eastAsia="Calibri" w:hAnsi="Calibri"/>
                <w:sz w:val="13"/>
                <w:szCs w:val="13"/>
                <w:color w:val="auto"/>
              </w:rPr>
              <w:t>(87.4)</w:t>
            </w:r>
          </w:p>
        </w:tc>
        <w:tc>
          <w:tcPr>
            <w:tcW w:w="1000" w:type="dxa"/>
            <w:vAlign w:val="bottom"/>
            <w:vMerge w:val="restart"/>
          </w:tcPr>
          <w:p>
            <w:pPr>
              <w:jc w:val="right"/>
              <w:ind w:right="93"/>
              <w:spacing w:after="0"/>
              <w:rPr>
                <w:sz w:val="20"/>
                <w:szCs w:val="20"/>
                <w:color w:val="auto"/>
              </w:rPr>
            </w:pPr>
            <w:r>
              <w:rPr>
                <w:rFonts w:ascii="Calibri" w:cs="Calibri" w:eastAsia="Calibri" w:hAnsi="Calibri"/>
                <w:sz w:val="13"/>
                <w:szCs w:val="13"/>
                <w:color w:val="auto"/>
              </w:rPr>
              <w:t>(97.5)</w:t>
            </w:r>
          </w:p>
        </w:tc>
        <w:tc>
          <w:tcPr>
            <w:tcW w:w="8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(134.4)</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98"/>
              </w:rPr>
              <w:t>37.8%</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53.9%</w:t>
            </w:r>
          </w:p>
        </w:tc>
        <w:tc>
          <w:tcPr>
            <w:tcW w:w="1100" w:type="dxa"/>
            <w:vAlign w:val="bottom"/>
            <w:vMerge w:val="restart"/>
          </w:tcPr>
          <w:p>
            <w:pPr>
              <w:jc w:val="right"/>
              <w:ind w:right="153"/>
              <w:spacing w:after="0"/>
              <w:rPr>
                <w:sz w:val="20"/>
                <w:szCs w:val="20"/>
                <w:color w:val="auto"/>
              </w:rPr>
            </w:pPr>
            <w:r>
              <w:rPr>
                <w:rFonts w:ascii="Calibri" w:cs="Calibri" w:eastAsia="Calibri" w:hAnsi="Calibri"/>
                <w:sz w:val="13"/>
                <w:szCs w:val="13"/>
                <w:color w:val="auto"/>
              </w:rPr>
              <w:t>-298.7</w:t>
            </w:r>
          </w:p>
        </w:tc>
        <w:tc>
          <w:tcPr>
            <w:tcW w:w="74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-414.6</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38.8%</w:t>
            </w:r>
          </w:p>
        </w:tc>
        <w:tc>
          <w:tcPr>
            <w:tcW w:w="0" w:type="dxa"/>
            <w:vAlign w:val="bottom"/>
          </w:tcPr>
          <w:p>
            <w:pPr>
              <w:spacing w:after="0"/>
              <w:rPr>
                <w:sz w:val="1"/>
                <w:szCs w:val="1"/>
                <w:color w:val="auto"/>
              </w:rPr>
            </w:pPr>
          </w:p>
        </w:tc>
      </w:tr>
      <w:tr>
        <w:trPr>
          <w:trHeight w:val="94"/>
        </w:trPr>
        <w:tc>
          <w:tcPr>
            <w:tcW w:w="104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b w:val="1"/>
                <w:bCs w:val="1"/>
                <w:color w:val="auto"/>
              </w:rPr>
              <w:t>Insurance Underwritng Result</w:t>
            </w:r>
          </w:p>
        </w:tc>
        <w:tc>
          <w:tcPr>
            <w:tcW w:w="1000" w:type="dxa"/>
            <w:vAlign w:val="bottom"/>
          </w:tcPr>
          <w:p>
            <w:pPr>
              <w:jc w:val="right"/>
              <w:ind w:right="53"/>
              <w:spacing w:after="0"/>
              <w:rPr>
                <w:sz w:val="20"/>
                <w:szCs w:val="20"/>
                <w:color w:val="auto"/>
              </w:rPr>
            </w:pPr>
            <w:r>
              <w:rPr>
                <w:rFonts w:ascii="Calibri" w:cs="Calibri" w:eastAsia="Calibri" w:hAnsi="Calibri"/>
                <w:sz w:val="13"/>
                <w:szCs w:val="13"/>
                <w:b w:val="1"/>
                <w:bCs w:val="1"/>
                <w:color w:val="auto"/>
              </w:rPr>
              <w:t>330.9</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315.5</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291.8</w:t>
            </w: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rPr>
              <w:t>-7.5%</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-11.8%</w:t>
            </w:r>
          </w:p>
        </w:tc>
        <w:tc>
          <w:tcPr>
            <w:tcW w:w="1100" w:type="dxa"/>
            <w:vAlign w:val="bottom"/>
          </w:tcPr>
          <w:p>
            <w:pPr>
              <w:jc w:val="right"/>
              <w:ind w:right="153"/>
              <w:spacing w:after="0"/>
              <w:rPr>
                <w:sz w:val="20"/>
                <w:szCs w:val="20"/>
                <w:color w:val="auto"/>
              </w:rPr>
            </w:pPr>
            <w:r>
              <w:rPr>
                <w:rFonts w:ascii="Calibri" w:cs="Calibri" w:eastAsia="Calibri" w:hAnsi="Calibri"/>
                <w:sz w:val="13"/>
                <w:szCs w:val="13"/>
                <w:b w:val="1"/>
                <w:bCs w:val="1"/>
                <w:color w:val="auto"/>
              </w:rPr>
              <w:t>923.8</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886.3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-4.1%</w:t>
            </w:r>
          </w:p>
        </w:tc>
        <w:tc>
          <w:tcPr>
            <w:tcW w:w="0" w:type="dxa"/>
            <w:vAlign w:val="bottom"/>
          </w:tcPr>
          <w:p>
            <w:pPr>
              <w:spacing w:after="0"/>
              <w:rPr>
                <w:sz w:val="1"/>
                <w:szCs w:val="1"/>
                <w:color w:val="auto"/>
              </w:rPr>
            </w:pPr>
          </w:p>
        </w:tc>
      </w:tr>
      <w:tr>
        <w:trPr>
          <w:trHeight w:val="22"/>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040" w:type="dxa"/>
            <w:vAlign w:val="bottom"/>
            <w:tcBorders>
              <w:left w:val="single" w:sz="8" w:color="auto"/>
              <w:right w:val="single" w:sz="8" w:color="auto"/>
            </w:tcBorders>
          </w:tcPr>
          <w:p>
            <w:pPr>
              <w:spacing w:after="0"/>
              <w:rPr>
                <w:sz w:val="13"/>
                <w:szCs w:val="13"/>
                <w:color w:val="auto"/>
              </w:rPr>
            </w:pPr>
          </w:p>
        </w:tc>
        <w:tc>
          <w:tcPr>
            <w:tcW w:w="2700" w:type="dxa"/>
            <w:vAlign w:val="bottom"/>
            <w:tcBorders>
              <w:right w:val="single" w:sz="8" w:color="auto"/>
            </w:tcBorders>
          </w:tcPr>
          <w:p>
            <w:pPr>
              <w:spacing w:after="0" w:line="153" w:lineRule="exact"/>
              <w:rPr>
                <w:sz w:val="20"/>
                <w:szCs w:val="20"/>
                <w:color w:val="auto"/>
              </w:rPr>
            </w:pPr>
            <w:r>
              <w:rPr>
                <w:rFonts w:ascii="Calibri" w:cs="Calibri" w:eastAsia="Calibri" w:hAnsi="Calibri"/>
                <w:sz w:val="13"/>
                <w:szCs w:val="13"/>
                <w:color w:val="auto"/>
              </w:rPr>
              <w:t>Income from Insurance Services</w:t>
            </w:r>
          </w:p>
        </w:tc>
        <w:tc>
          <w:tcPr>
            <w:tcW w:w="1000" w:type="dxa"/>
            <w:vAlign w:val="bottom"/>
          </w:tcPr>
          <w:p>
            <w:pPr>
              <w:jc w:val="right"/>
              <w:ind w:right="53"/>
              <w:spacing w:after="0" w:line="153" w:lineRule="exact"/>
              <w:rPr>
                <w:sz w:val="20"/>
                <w:szCs w:val="20"/>
                <w:color w:val="auto"/>
              </w:rPr>
            </w:pPr>
            <w:r>
              <w:rPr>
                <w:rFonts w:ascii="Calibri" w:cs="Calibri" w:eastAsia="Calibri" w:hAnsi="Calibri"/>
                <w:sz w:val="13"/>
                <w:szCs w:val="13"/>
                <w:color w:val="auto"/>
              </w:rPr>
              <w:t>404.6</w:t>
            </w:r>
          </w:p>
        </w:tc>
        <w:tc>
          <w:tcPr>
            <w:tcW w:w="1000" w:type="dxa"/>
            <w:vAlign w:val="bottom"/>
          </w:tcPr>
          <w:p>
            <w:pPr>
              <w:jc w:val="right"/>
              <w:ind w:right="93"/>
              <w:spacing w:after="0" w:line="153" w:lineRule="exact"/>
              <w:rPr>
                <w:sz w:val="20"/>
                <w:szCs w:val="20"/>
                <w:color w:val="auto"/>
              </w:rPr>
            </w:pPr>
            <w:r>
              <w:rPr>
                <w:rFonts w:ascii="Calibri" w:cs="Calibri" w:eastAsia="Calibri" w:hAnsi="Calibri"/>
                <w:sz w:val="13"/>
                <w:szCs w:val="13"/>
                <w:color w:val="auto"/>
              </w:rPr>
              <w:t>443.3</w:t>
            </w:r>
          </w:p>
        </w:tc>
        <w:tc>
          <w:tcPr>
            <w:tcW w:w="800" w:type="dxa"/>
            <w:vAlign w:val="bottom"/>
            <w:tcBorders>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471.1</w:t>
            </w:r>
          </w:p>
        </w:tc>
        <w:tc>
          <w:tcPr>
            <w:tcW w:w="920" w:type="dxa"/>
            <w:vAlign w:val="bottom"/>
          </w:tcPr>
          <w:p>
            <w:pPr>
              <w:jc w:val="center"/>
              <w:spacing w:after="0" w:line="153" w:lineRule="exact"/>
              <w:rPr>
                <w:sz w:val="20"/>
                <w:szCs w:val="20"/>
                <w:color w:val="auto"/>
              </w:rPr>
            </w:pPr>
            <w:r>
              <w:rPr>
                <w:rFonts w:ascii="Calibri" w:cs="Calibri" w:eastAsia="Calibri" w:hAnsi="Calibri"/>
                <w:sz w:val="13"/>
                <w:szCs w:val="13"/>
                <w:b w:val="1"/>
                <w:bCs w:val="1"/>
                <w:color w:val="auto"/>
              </w:rPr>
              <w:t>6.3%</w:t>
            </w:r>
          </w:p>
        </w:tc>
        <w:tc>
          <w:tcPr>
            <w:tcW w:w="9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16.4%</w:t>
            </w:r>
          </w:p>
        </w:tc>
        <w:tc>
          <w:tcPr>
            <w:tcW w:w="1100" w:type="dxa"/>
            <w:vAlign w:val="bottom"/>
          </w:tcPr>
          <w:p>
            <w:pPr>
              <w:jc w:val="right"/>
              <w:ind w:right="153"/>
              <w:spacing w:after="0" w:line="153" w:lineRule="exact"/>
              <w:rPr>
                <w:sz w:val="20"/>
                <w:szCs w:val="20"/>
                <w:color w:val="auto"/>
              </w:rPr>
            </w:pPr>
            <w:r>
              <w:rPr>
                <w:rFonts w:ascii="Calibri" w:cs="Calibri" w:eastAsia="Calibri" w:hAnsi="Calibri"/>
                <w:sz w:val="13"/>
                <w:szCs w:val="13"/>
                <w:color w:val="auto"/>
              </w:rPr>
              <w:t>1244.9</w:t>
            </w:r>
          </w:p>
        </w:tc>
        <w:tc>
          <w:tcPr>
            <w:tcW w:w="740" w:type="dxa"/>
            <w:vAlign w:val="bottom"/>
            <w:tcBorders>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1382.8</w:t>
            </w:r>
          </w:p>
        </w:tc>
        <w:tc>
          <w:tcPr>
            <w:tcW w:w="10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w w:val="98"/>
              </w:rPr>
              <w:t>11.1%</w:t>
            </w:r>
          </w:p>
        </w:tc>
        <w:tc>
          <w:tcPr>
            <w:tcW w:w="0" w:type="dxa"/>
            <w:vAlign w:val="bottom"/>
          </w:tcPr>
          <w:p>
            <w:pPr>
              <w:spacing w:after="0"/>
              <w:rPr>
                <w:sz w:val="1"/>
                <w:szCs w:val="1"/>
                <w:color w:val="auto"/>
              </w:rPr>
            </w:pPr>
          </w:p>
        </w:tc>
      </w:tr>
      <w:tr>
        <w:trPr>
          <w:trHeight w:val="170"/>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P&amp;C</w:t>
            </w: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color w:val="auto"/>
              </w:rPr>
              <w:t>Expenses for Insurance Services</w:t>
            </w:r>
          </w:p>
        </w:tc>
        <w:tc>
          <w:tcPr>
            <w:tcW w:w="1000" w:type="dxa"/>
            <w:vAlign w:val="bottom"/>
          </w:tcPr>
          <w:p>
            <w:pPr>
              <w:jc w:val="right"/>
              <w:ind w:right="53"/>
              <w:spacing w:after="0"/>
              <w:rPr>
                <w:sz w:val="20"/>
                <w:szCs w:val="20"/>
                <w:color w:val="auto"/>
              </w:rPr>
            </w:pPr>
            <w:r>
              <w:rPr>
                <w:rFonts w:ascii="Calibri" w:cs="Calibri" w:eastAsia="Calibri" w:hAnsi="Calibri"/>
                <w:sz w:val="13"/>
                <w:szCs w:val="13"/>
                <w:color w:val="auto"/>
              </w:rPr>
              <w:t>(256.2)</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(302.0)</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(278.1)</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-7.9%</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8.6%</w:t>
            </w:r>
          </w:p>
        </w:tc>
        <w:tc>
          <w:tcPr>
            <w:tcW w:w="1100" w:type="dxa"/>
            <w:vAlign w:val="bottom"/>
          </w:tcPr>
          <w:p>
            <w:pPr>
              <w:jc w:val="right"/>
              <w:ind w:right="153"/>
              <w:spacing w:after="0"/>
              <w:rPr>
                <w:sz w:val="20"/>
                <w:szCs w:val="20"/>
                <w:color w:val="auto"/>
              </w:rPr>
            </w:pPr>
            <w:r>
              <w:rPr>
                <w:rFonts w:ascii="Calibri" w:cs="Calibri" w:eastAsia="Calibri" w:hAnsi="Calibri"/>
                <w:sz w:val="13"/>
                <w:szCs w:val="13"/>
                <w:color w:val="auto"/>
              </w:rPr>
              <w:t>-814.9</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-818.0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0.4%</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Calibri" w:cs="Calibri" w:eastAsia="Calibri" w:hAnsi="Calibri"/>
                <w:sz w:val="13"/>
                <w:szCs w:val="13"/>
                <w:color w:val="auto"/>
              </w:rPr>
              <w:t>Reinsurance Results</w:t>
            </w:r>
          </w:p>
        </w:tc>
        <w:tc>
          <w:tcPr>
            <w:tcW w:w="1000" w:type="dxa"/>
            <w:vAlign w:val="bottom"/>
            <w:vMerge w:val="restart"/>
          </w:tcPr>
          <w:p>
            <w:pPr>
              <w:jc w:val="right"/>
              <w:ind w:right="53"/>
              <w:spacing w:after="0"/>
              <w:rPr>
                <w:sz w:val="20"/>
                <w:szCs w:val="20"/>
                <w:color w:val="auto"/>
              </w:rPr>
            </w:pPr>
            <w:r>
              <w:rPr>
                <w:rFonts w:ascii="Calibri" w:cs="Calibri" w:eastAsia="Calibri" w:hAnsi="Calibri"/>
                <w:sz w:val="13"/>
                <w:szCs w:val="13"/>
                <w:color w:val="auto"/>
              </w:rPr>
              <w:t>(64.3)</w:t>
            </w:r>
          </w:p>
        </w:tc>
        <w:tc>
          <w:tcPr>
            <w:tcW w:w="1000" w:type="dxa"/>
            <w:vAlign w:val="bottom"/>
            <w:vMerge w:val="restart"/>
          </w:tcPr>
          <w:p>
            <w:pPr>
              <w:jc w:val="right"/>
              <w:ind w:right="93"/>
              <w:spacing w:after="0"/>
              <w:rPr>
                <w:sz w:val="20"/>
                <w:szCs w:val="20"/>
                <w:color w:val="auto"/>
              </w:rPr>
            </w:pPr>
            <w:r>
              <w:rPr>
                <w:rFonts w:ascii="Calibri" w:cs="Calibri" w:eastAsia="Calibri" w:hAnsi="Calibri"/>
                <w:sz w:val="13"/>
                <w:szCs w:val="13"/>
                <w:color w:val="auto"/>
              </w:rPr>
              <w:t>(75.6)</w:t>
            </w:r>
          </w:p>
        </w:tc>
        <w:tc>
          <w:tcPr>
            <w:tcW w:w="8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(120.4)</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98"/>
              </w:rPr>
              <w:t>59.3%</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87.2%</w:t>
            </w:r>
          </w:p>
        </w:tc>
        <w:tc>
          <w:tcPr>
            <w:tcW w:w="1100" w:type="dxa"/>
            <w:vAlign w:val="bottom"/>
            <w:vMerge w:val="restart"/>
          </w:tcPr>
          <w:p>
            <w:pPr>
              <w:jc w:val="right"/>
              <w:ind w:right="153"/>
              <w:spacing w:after="0"/>
              <w:rPr>
                <w:sz w:val="20"/>
                <w:szCs w:val="20"/>
                <w:color w:val="auto"/>
              </w:rPr>
            </w:pPr>
            <w:r>
              <w:rPr>
                <w:rFonts w:ascii="Calibri" w:cs="Calibri" w:eastAsia="Calibri" w:hAnsi="Calibri"/>
                <w:sz w:val="13"/>
                <w:szCs w:val="13"/>
                <w:color w:val="auto"/>
              </w:rPr>
              <w:t>-216.3</w:t>
            </w:r>
          </w:p>
        </w:tc>
        <w:tc>
          <w:tcPr>
            <w:tcW w:w="74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-348.6</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61.2%</w:t>
            </w:r>
          </w:p>
        </w:tc>
        <w:tc>
          <w:tcPr>
            <w:tcW w:w="0" w:type="dxa"/>
            <w:vAlign w:val="bottom"/>
          </w:tcPr>
          <w:p>
            <w:pPr>
              <w:spacing w:after="0"/>
              <w:rPr>
                <w:sz w:val="1"/>
                <w:szCs w:val="1"/>
                <w:color w:val="auto"/>
              </w:rPr>
            </w:pPr>
          </w:p>
        </w:tc>
      </w:tr>
      <w:tr>
        <w:trPr>
          <w:trHeight w:val="94"/>
        </w:trPr>
        <w:tc>
          <w:tcPr>
            <w:tcW w:w="104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b w:val="1"/>
                <w:bCs w:val="1"/>
                <w:color w:val="auto"/>
              </w:rPr>
              <w:t>Insurance Underwritng Result</w:t>
            </w:r>
          </w:p>
        </w:tc>
        <w:tc>
          <w:tcPr>
            <w:tcW w:w="1000" w:type="dxa"/>
            <w:vAlign w:val="bottom"/>
          </w:tcPr>
          <w:p>
            <w:pPr>
              <w:jc w:val="right"/>
              <w:ind w:right="53"/>
              <w:spacing w:after="0"/>
              <w:rPr>
                <w:sz w:val="20"/>
                <w:szCs w:val="20"/>
                <w:color w:val="auto"/>
              </w:rPr>
            </w:pPr>
            <w:r>
              <w:rPr>
                <w:rFonts w:ascii="Calibri" w:cs="Calibri" w:eastAsia="Calibri" w:hAnsi="Calibri"/>
                <w:sz w:val="13"/>
                <w:szCs w:val="13"/>
                <w:b w:val="1"/>
                <w:bCs w:val="1"/>
                <w:color w:val="auto"/>
              </w:rPr>
              <w:t>84.2</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65.8</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72.6</w:t>
            </w: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rPr>
              <w:t>10.4%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-13.7%</w:t>
            </w:r>
          </w:p>
        </w:tc>
        <w:tc>
          <w:tcPr>
            <w:tcW w:w="1100" w:type="dxa"/>
            <w:vAlign w:val="bottom"/>
          </w:tcPr>
          <w:p>
            <w:pPr>
              <w:jc w:val="right"/>
              <w:ind w:right="153"/>
              <w:spacing w:after="0"/>
              <w:rPr>
                <w:sz w:val="20"/>
                <w:szCs w:val="20"/>
                <w:color w:val="auto"/>
              </w:rPr>
            </w:pPr>
            <w:r>
              <w:rPr>
                <w:rFonts w:ascii="Calibri" w:cs="Calibri" w:eastAsia="Calibri" w:hAnsi="Calibri"/>
                <w:sz w:val="13"/>
                <w:szCs w:val="13"/>
                <w:b w:val="1"/>
                <w:bCs w:val="1"/>
                <w:color w:val="auto"/>
              </w:rPr>
              <w:t>213.8</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216.2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1.2%</w:t>
            </w:r>
          </w:p>
        </w:tc>
        <w:tc>
          <w:tcPr>
            <w:tcW w:w="0" w:type="dxa"/>
            <w:vAlign w:val="bottom"/>
          </w:tcPr>
          <w:p>
            <w:pPr>
              <w:spacing w:after="0"/>
              <w:rPr>
                <w:sz w:val="1"/>
                <w:szCs w:val="1"/>
                <w:color w:val="auto"/>
              </w:rPr>
            </w:pPr>
          </w:p>
        </w:tc>
      </w:tr>
      <w:tr>
        <w:trPr>
          <w:trHeight w:val="22"/>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040" w:type="dxa"/>
            <w:vAlign w:val="bottom"/>
            <w:tcBorders>
              <w:left w:val="single" w:sz="8" w:color="auto"/>
              <w:right w:val="single" w:sz="8" w:color="auto"/>
            </w:tcBorders>
          </w:tcPr>
          <w:p>
            <w:pPr>
              <w:spacing w:after="0"/>
              <w:rPr>
                <w:sz w:val="13"/>
                <w:szCs w:val="13"/>
                <w:color w:val="auto"/>
              </w:rPr>
            </w:pPr>
          </w:p>
        </w:tc>
        <w:tc>
          <w:tcPr>
            <w:tcW w:w="2700" w:type="dxa"/>
            <w:vAlign w:val="bottom"/>
            <w:tcBorders>
              <w:right w:val="single" w:sz="8" w:color="auto"/>
            </w:tcBorders>
          </w:tcPr>
          <w:p>
            <w:pPr>
              <w:spacing w:after="0" w:line="153" w:lineRule="exact"/>
              <w:rPr>
                <w:sz w:val="20"/>
                <w:szCs w:val="20"/>
                <w:color w:val="auto"/>
              </w:rPr>
            </w:pPr>
            <w:r>
              <w:rPr>
                <w:rFonts w:ascii="Calibri" w:cs="Calibri" w:eastAsia="Calibri" w:hAnsi="Calibri"/>
                <w:sz w:val="13"/>
                <w:szCs w:val="13"/>
                <w:color w:val="auto"/>
              </w:rPr>
              <w:t>Income from Insurance Services</w:t>
            </w:r>
          </w:p>
        </w:tc>
        <w:tc>
          <w:tcPr>
            <w:tcW w:w="1000" w:type="dxa"/>
            <w:vAlign w:val="bottom"/>
          </w:tcPr>
          <w:p>
            <w:pPr>
              <w:jc w:val="right"/>
              <w:ind w:right="53"/>
              <w:spacing w:after="0" w:line="153" w:lineRule="exact"/>
              <w:rPr>
                <w:sz w:val="20"/>
                <w:szCs w:val="20"/>
                <w:color w:val="auto"/>
              </w:rPr>
            </w:pPr>
            <w:r>
              <w:rPr>
                <w:rFonts w:ascii="Calibri" w:cs="Calibri" w:eastAsia="Calibri" w:hAnsi="Calibri"/>
                <w:sz w:val="13"/>
                <w:szCs w:val="13"/>
                <w:color w:val="auto"/>
              </w:rPr>
              <w:t>487.1</w:t>
            </w:r>
          </w:p>
        </w:tc>
        <w:tc>
          <w:tcPr>
            <w:tcW w:w="1000" w:type="dxa"/>
            <w:vAlign w:val="bottom"/>
          </w:tcPr>
          <w:p>
            <w:pPr>
              <w:jc w:val="right"/>
              <w:ind w:right="93"/>
              <w:spacing w:after="0" w:line="153" w:lineRule="exact"/>
              <w:rPr>
                <w:sz w:val="20"/>
                <w:szCs w:val="20"/>
                <w:color w:val="auto"/>
              </w:rPr>
            </w:pPr>
            <w:r>
              <w:rPr>
                <w:rFonts w:ascii="Calibri" w:cs="Calibri" w:eastAsia="Calibri" w:hAnsi="Calibri"/>
                <w:sz w:val="13"/>
                <w:szCs w:val="13"/>
                <w:color w:val="auto"/>
              </w:rPr>
              <w:t>456.1</w:t>
            </w:r>
          </w:p>
        </w:tc>
        <w:tc>
          <w:tcPr>
            <w:tcW w:w="800" w:type="dxa"/>
            <w:vAlign w:val="bottom"/>
            <w:tcBorders>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453.0</w:t>
            </w:r>
          </w:p>
        </w:tc>
        <w:tc>
          <w:tcPr>
            <w:tcW w:w="920" w:type="dxa"/>
            <w:vAlign w:val="bottom"/>
          </w:tcPr>
          <w:p>
            <w:pPr>
              <w:jc w:val="center"/>
              <w:spacing w:after="0" w:line="153" w:lineRule="exact"/>
              <w:rPr>
                <w:sz w:val="20"/>
                <w:szCs w:val="20"/>
                <w:color w:val="auto"/>
              </w:rPr>
            </w:pPr>
            <w:r>
              <w:rPr>
                <w:rFonts w:ascii="Calibri" w:cs="Calibri" w:eastAsia="Calibri" w:hAnsi="Calibri"/>
                <w:sz w:val="13"/>
                <w:szCs w:val="13"/>
                <w:color w:val="auto"/>
              </w:rPr>
              <w:t>-0.7%</w:t>
            </w:r>
          </w:p>
        </w:tc>
        <w:tc>
          <w:tcPr>
            <w:tcW w:w="9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-7.0%</w:t>
            </w:r>
          </w:p>
        </w:tc>
        <w:tc>
          <w:tcPr>
            <w:tcW w:w="1100" w:type="dxa"/>
            <w:vAlign w:val="bottom"/>
          </w:tcPr>
          <w:p>
            <w:pPr>
              <w:jc w:val="right"/>
              <w:ind w:right="153"/>
              <w:spacing w:after="0" w:line="153" w:lineRule="exact"/>
              <w:rPr>
                <w:sz w:val="20"/>
                <w:szCs w:val="20"/>
                <w:color w:val="auto"/>
              </w:rPr>
            </w:pPr>
            <w:r>
              <w:rPr>
                <w:rFonts w:ascii="Calibri" w:cs="Calibri" w:eastAsia="Calibri" w:hAnsi="Calibri"/>
                <w:sz w:val="13"/>
                <w:szCs w:val="13"/>
                <w:color w:val="auto"/>
              </w:rPr>
              <w:t>1498.3</w:t>
            </w:r>
          </w:p>
        </w:tc>
        <w:tc>
          <w:tcPr>
            <w:tcW w:w="740" w:type="dxa"/>
            <w:vAlign w:val="bottom"/>
            <w:tcBorders>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1347.2</w:t>
            </w:r>
          </w:p>
        </w:tc>
        <w:tc>
          <w:tcPr>
            <w:tcW w:w="10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w w:val="98"/>
              </w:rPr>
              <w:t>-10.1%</w:t>
            </w:r>
          </w:p>
        </w:tc>
        <w:tc>
          <w:tcPr>
            <w:tcW w:w="0" w:type="dxa"/>
            <w:vAlign w:val="bottom"/>
          </w:tcPr>
          <w:p>
            <w:pPr>
              <w:spacing w:after="0"/>
              <w:rPr>
                <w:sz w:val="1"/>
                <w:szCs w:val="1"/>
                <w:color w:val="auto"/>
              </w:rPr>
            </w:pPr>
          </w:p>
        </w:tc>
      </w:tr>
      <w:tr>
        <w:trPr>
          <w:trHeight w:val="170"/>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Life</w:t>
            </w: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color w:val="auto"/>
              </w:rPr>
              <w:t>Expenses for Insurance Services</w:t>
            </w:r>
          </w:p>
        </w:tc>
        <w:tc>
          <w:tcPr>
            <w:tcW w:w="1000" w:type="dxa"/>
            <w:vAlign w:val="bottom"/>
          </w:tcPr>
          <w:p>
            <w:pPr>
              <w:jc w:val="right"/>
              <w:ind w:right="53"/>
              <w:spacing w:after="0"/>
              <w:rPr>
                <w:sz w:val="20"/>
                <w:szCs w:val="20"/>
                <w:color w:val="auto"/>
              </w:rPr>
            </w:pPr>
            <w:r>
              <w:rPr>
                <w:rFonts w:ascii="Calibri" w:cs="Calibri" w:eastAsia="Calibri" w:hAnsi="Calibri"/>
                <w:sz w:val="13"/>
                <w:szCs w:val="13"/>
                <w:color w:val="auto"/>
              </w:rPr>
              <w:t>(243.3)</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(205.3)</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(234.5)</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8"/>
              </w:rPr>
              <w:t>14.2%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-3.6%</w:t>
            </w:r>
          </w:p>
        </w:tc>
        <w:tc>
          <w:tcPr>
            <w:tcW w:w="1100" w:type="dxa"/>
            <w:vAlign w:val="bottom"/>
          </w:tcPr>
          <w:p>
            <w:pPr>
              <w:jc w:val="right"/>
              <w:ind w:right="153"/>
              <w:spacing w:after="0"/>
              <w:rPr>
                <w:sz w:val="20"/>
                <w:szCs w:val="20"/>
                <w:color w:val="auto"/>
              </w:rPr>
            </w:pPr>
            <w:r>
              <w:rPr>
                <w:rFonts w:ascii="Calibri" w:cs="Calibri" w:eastAsia="Calibri" w:hAnsi="Calibri"/>
                <w:sz w:val="13"/>
                <w:szCs w:val="13"/>
                <w:color w:val="auto"/>
              </w:rPr>
              <w:t>-771.2</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-671.8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-12.9%</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Calibri" w:cs="Calibri" w:eastAsia="Calibri" w:hAnsi="Calibri"/>
                <w:sz w:val="13"/>
                <w:szCs w:val="13"/>
                <w:color w:val="auto"/>
              </w:rPr>
              <w:t>Reinsurance Results</w:t>
            </w:r>
          </w:p>
        </w:tc>
        <w:tc>
          <w:tcPr>
            <w:tcW w:w="1000" w:type="dxa"/>
            <w:vAlign w:val="bottom"/>
            <w:vMerge w:val="restart"/>
          </w:tcPr>
          <w:p>
            <w:pPr>
              <w:jc w:val="right"/>
              <w:ind w:right="53"/>
              <w:spacing w:after="0"/>
              <w:rPr>
                <w:sz w:val="20"/>
                <w:szCs w:val="20"/>
                <w:color w:val="auto"/>
              </w:rPr>
            </w:pPr>
            <w:r>
              <w:rPr>
                <w:rFonts w:ascii="Calibri" w:cs="Calibri" w:eastAsia="Calibri" w:hAnsi="Calibri"/>
                <w:sz w:val="13"/>
                <w:szCs w:val="13"/>
                <w:color w:val="auto"/>
              </w:rPr>
              <w:t>(17.3)</w:t>
            </w:r>
          </w:p>
        </w:tc>
        <w:tc>
          <w:tcPr>
            <w:tcW w:w="1000" w:type="dxa"/>
            <w:vAlign w:val="bottom"/>
            <w:vMerge w:val="restart"/>
          </w:tcPr>
          <w:p>
            <w:pPr>
              <w:jc w:val="right"/>
              <w:ind w:right="93"/>
              <w:spacing w:after="0"/>
              <w:rPr>
                <w:sz w:val="20"/>
                <w:szCs w:val="20"/>
                <w:color w:val="auto"/>
              </w:rPr>
            </w:pPr>
            <w:r>
              <w:rPr>
                <w:rFonts w:ascii="Calibri" w:cs="Calibri" w:eastAsia="Calibri" w:hAnsi="Calibri"/>
                <w:sz w:val="13"/>
                <w:szCs w:val="13"/>
                <w:color w:val="auto"/>
              </w:rPr>
              <w:t>(18.0)</w:t>
            </w:r>
          </w:p>
        </w:tc>
        <w:tc>
          <w:tcPr>
            <w:tcW w:w="8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(9.4)</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98"/>
              </w:rPr>
              <w:t>-48.0%</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-45.8%</w:t>
            </w:r>
          </w:p>
        </w:tc>
        <w:tc>
          <w:tcPr>
            <w:tcW w:w="1100" w:type="dxa"/>
            <w:vAlign w:val="bottom"/>
            <w:vMerge w:val="restart"/>
          </w:tcPr>
          <w:p>
            <w:pPr>
              <w:jc w:val="right"/>
              <w:ind w:right="153"/>
              <w:spacing w:after="0"/>
              <w:rPr>
                <w:sz w:val="20"/>
                <w:szCs w:val="20"/>
                <w:color w:val="auto"/>
              </w:rPr>
            </w:pPr>
            <w:r>
              <w:rPr>
                <w:rFonts w:ascii="Calibri" w:cs="Calibri" w:eastAsia="Calibri" w:hAnsi="Calibri"/>
                <w:sz w:val="13"/>
                <w:szCs w:val="13"/>
                <w:color w:val="auto"/>
              </w:rPr>
              <w:t>-68.5</w:t>
            </w:r>
          </w:p>
        </w:tc>
        <w:tc>
          <w:tcPr>
            <w:tcW w:w="74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-51.7</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-24.6%</w:t>
            </w:r>
          </w:p>
        </w:tc>
        <w:tc>
          <w:tcPr>
            <w:tcW w:w="0" w:type="dxa"/>
            <w:vAlign w:val="bottom"/>
          </w:tcPr>
          <w:p>
            <w:pPr>
              <w:spacing w:after="0"/>
              <w:rPr>
                <w:sz w:val="1"/>
                <w:szCs w:val="1"/>
                <w:color w:val="auto"/>
              </w:rPr>
            </w:pPr>
          </w:p>
        </w:tc>
      </w:tr>
      <w:tr>
        <w:trPr>
          <w:trHeight w:val="95"/>
        </w:trPr>
        <w:tc>
          <w:tcPr>
            <w:tcW w:w="104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b w:val="1"/>
                <w:bCs w:val="1"/>
                <w:color w:val="auto"/>
              </w:rPr>
              <w:t>Insurance Underwritng Result</w:t>
            </w:r>
          </w:p>
        </w:tc>
        <w:tc>
          <w:tcPr>
            <w:tcW w:w="1000" w:type="dxa"/>
            <w:vAlign w:val="bottom"/>
          </w:tcPr>
          <w:p>
            <w:pPr>
              <w:jc w:val="right"/>
              <w:ind w:right="53"/>
              <w:spacing w:after="0"/>
              <w:rPr>
                <w:sz w:val="20"/>
                <w:szCs w:val="20"/>
                <w:color w:val="auto"/>
              </w:rPr>
            </w:pPr>
            <w:r>
              <w:rPr>
                <w:rFonts w:ascii="Calibri" w:cs="Calibri" w:eastAsia="Calibri" w:hAnsi="Calibri"/>
                <w:sz w:val="13"/>
                <w:szCs w:val="13"/>
                <w:b w:val="1"/>
                <w:bCs w:val="1"/>
                <w:color w:val="auto"/>
              </w:rPr>
              <w:t>226.6</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232.8</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209.1</w:t>
            </w: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rPr>
              <w:t>-10.2%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9"/>
              </w:rPr>
              <w:t>-7.7%</w:t>
            </w:r>
          </w:p>
        </w:tc>
        <w:tc>
          <w:tcPr>
            <w:tcW w:w="1100" w:type="dxa"/>
            <w:vAlign w:val="bottom"/>
          </w:tcPr>
          <w:p>
            <w:pPr>
              <w:jc w:val="right"/>
              <w:ind w:right="153"/>
              <w:spacing w:after="0"/>
              <w:rPr>
                <w:sz w:val="20"/>
                <w:szCs w:val="20"/>
                <w:color w:val="auto"/>
              </w:rPr>
            </w:pPr>
            <w:r>
              <w:rPr>
                <w:rFonts w:ascii="Calibri" w:cs="Calibri" w:eastAsia="Calibri" w:hAnsi="Calibri"/>
                <w:sz w:val="13"/>
                <w:szCs w:val="13"/>
                <w:b w:val="1"/>
                <w:bCs w:val="1"/>
                <w:color w:val="auto"/>
              </w:rPr>
              <w:t>658.6</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623.8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-5.3%</w:t>
            </w:r>
          </w:p>
        </w:tc>
        <w:tc>
          <w:tcPr>
            <w:tcW w:w="0" w:type="dxa"/>
            <w:vAlign w:val="bottom"/>
          </w:tcPr>
          <w:p>
            <w:pPr>
              <w:spacing w:after="0"/>
              <w:rPr>
                <w:sz w:val="1"/>
                <w:szCs w:val="1"/>
                <w:color w:val="auto"/>
              </w:rPr>
            </w:pPr>
          </w:p>
        </w:tc>
      </w:tr>
      <w:tr>
        <w:trPr>
          <w:trHeight w:val="22"/>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040" w:type="dxa"/>
            <w:vAlign w:val="bottom"/>
            <w:tcBorders>
              <w:left w:val="single" w:sz="8" w:color="auto"/>
              <w:right w:val="single" w:sz="8" w:color="auto"/>
            </w:tcBorders>
          </w:tcPr>
          <w:p>
            <w:pPr>
              <w:spacing w:after="0"/>
              <w:rPr>
                <w:sz w:val="13"/>
                <w:szCs w:val="13"/>
                <w:color w:val="auto"/>
              </w:rPr>
            </w:pPr>
          </w:p>
        </w:tc>
        <w:tc>
          <w:tcPr>
            <w:tcW w:w="2700" w:type="dxa"/>
            <w:vAlign w:val="bottom"/>
            <w:tcBorders>
              <w:right w:val="single" w:sz="8" w:color="auto"/>
            </w:tcBorders>
          </w:tcPr>
          <w:p>
            <w:pPr>
              <w:spacing w:after="0" w:line="153" w:lineRule="exact"/>
              <w:rPr>
                <w:sz w:val="20"/>
                <w:szCs w:val="20"/>
                <w:color w:val="auto"/>
              </w:rPr>
            </w:pPr>
            <w:r>
              <w:rPr>
                <w:rFonts w:ascii="Calibri" w:cs="Calibri" w:eastAsia="Calibri" w:hAnsi="Calibri"/>
                <w:sz w:val="13"/>
                <w:szCs w:val="13"/>
                <w:color w:val="auto"/>
              </w:rPr>
              <w:t>Income from Insurance Services</w:t>
            </w:r>
          </w:p>
        </w:tc>
        <w:tc>
          <w:tcPr>
            <w:tcW w:w="1000" w:type="dxa"/>
            <w:vAlign w:val="bottom"/>
          </w:tcPr>
          <w:p>
            <w:pPr>
              <w:jc w:val="right"/>
              <w:ind w:right="53"/>
              <w:spacing w:after="0" w:line="153" w:lineRule="exact"/>
              <w:rPr>
                <w:sz w:val="20"/>
                <w:szCs w:val="20"/>
                <w:color w:val="auto"/>
              </w:rPr>
            </w:pPr>
            <w:r>
              <w:rPr>
                <w:rFonts w:ascii="Calibri" w:cs="Calibri" w:eastAsia="Calibri" w:hAnsi="Calibri"/>
                <w:sz w:val="13"/>
                <w:szCs w:val="13"/>
                <w:color w:val="auto"/>
              </w:rPr>
              <w:t>33.9</w:t>
            </w:r>
          </w:p>
        </w:tc>
        <w:tc>
          <w:tcPr>
            <w:tcW w:w="1000" w:type="dxa"/>
            <w:vAlign w:val="bottom"/>
          </w:tcPr>
          <w:p>
            <w:pPr>
              <w:jc w:val="right"/>
              <w:ind w:right="93"/>
              <w:spacing w:after="0" w:line="153" w:lineRule="exact"/>
              <w:rPr>
                <w:sz w:val="20"/>
                <w:szCs w:val="20"/>
                <w:color w:val="auto"/>
              </w:rPr>
            </w:pPr>
            <w:r>
              <w:rPr>
                <w:rFonts w:ascii="Calibri" w:cs="Calibri" w:eastAsia="Calibri" w:hAnsi="Calibri"/>
                <w:sz w:val="13"/>
                <w:szCs w:val="13"/>
                <w:color w:val="auto"/>
              </w:rPr>
              <w:t>16.0</w:t>
            </w:r>
          </w:p>
        </w:tc>
        <w:tc>
          <w:tcPr>
            <w:tcW w:w="800" w:type="dxa"/>
            <w:vAlign w:val="bottom"/>
            <w:tcBorders>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23.5</w:t>
            </w:r>
          </w:p>
        </w:tc>
        <w:tc>
          <w:tcPr>
            <w:tcW w:w="920" w:type="dxa"/>
            <w:vAlign w:val="bottom"/>
          </w:tcPr>
          <w:p>
            <w:pPr>
              <w:jc w:val="center"/>
              <w:spacing w:after="0" w:line="153" w:lineRule="exact"/>
              <w:rPr>
                <w:sz w:val="20"/>
                <w:szCs w:val="20"/>
                <w:color w:val="auto"/>
              </w:rPr>
            </w:pPr>
            <w:r>
              <w:rPr>
                <w:rFonts w:ascii="Calibri" w:cs="Calibri" w:eastAsia="Calibri" w:hAnsi="Calibri"/>
                <w:sz w:val="13"/>
                <w:szCs w:val="13"/>
                <w:color w:val="auto"/>
                <w:w w:val="98"/>
              </w:rPr>
              <w:t>47.0%</w:t>
            </w:r>
          </w:p>
        </w:tc>
        <w:tc>
          <w:tcPr>
            <w:tcW w:w="9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-30.7%</w:t>
            </w:r>
          </w:p>
        </w:tc>
        <w:tc>
          <w:tcPr>
            <w:tcW w:w="1100" w:type="dxa"/>
            <w:vAlign w:val="bottom"/>
          </w:tcPr>
          <w:p>
            <w:pPr>
              <w:jc w:val="right"/>
              <w:ind w:right="153"/>
              <w:spacing w:after="0" w:line="153" w:lineRule="exact"/>
              <w:rPr>
                <w:sz w:val="20"/>
                <w:szCs w:val="20"/>
                <w:color w:val="auto"/>
              </w:rPr>
            </w:pPr>
            <w:r>
              <w:rPr>
                <w:rFonts w:ascii="Calibri" w:cs="Calibri" w:eastAsia="Calibri" w:hAnsi="Calibri"/>
                <w:sz w:val="13"/>
                <w:szCs w:val="13"/>
                <w:color w:val="auto"/>
              </w:rPr>
              <w:t>86.5</w:t>
            </w:r>
          </w:p>
        </w:tc>
        <w:tc>
          <w:tcPr>
            <w:tcW w:w="740" w:type="dxa"/>
            <w:vAlign w:val="bottom"/>
            <w:tcBorders>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73.9</w:t>
            </w:r>
          </w:p>
        </w:tc>
        <w:tc>
          <w:tcPr>
            <w:tcW w:w="10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w w:val="98"/>
              </w:rPr>
              <w:t>-14.6%</w:t>
            </w:r>
          </w:p>
        </w:tc>
        <w:tc>
          <w:tcPr>
            <w:tcW w:w="0" w:type="dxa"/>
            <w:vAlign w:val="bottom"/>
          </w:tcPr>
          <w:p>
            <w:pPr>
              <w:spacing w:after="0"/>
              <w:rPr>
                <w:sz w:val="1"/>
                <w:szCs w:val="1"/>
                <w:color w:val="auto"/>
              </w:rPr>
            </w:pPr>
          </w:p>
        </w:tc>
      </w:tr>
      <w:tr>
        <w:trPr>
          <w:trHeight w:val="170"/>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Crediseguros</w:t>
            </w: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color w:val="auto"/>
              </w:rPr>
              <w:t>Expenses for Insurance Services</w:t>
            </w:r>
          </w:p>
        </w:tc>
        <w:tc>
          <w:tcPr>
            <w:tcW w:w="1000" w:type="dxa"/>
            <w:vAlign w:val="bottom"/>
          </w:tcPr>
          <w:p>
            <w:pPr>
              <w:jc w:val="right"/>
              <w:ind w:right="53"/>
              <w:spacing w:after="0"/>
              <w:rPr>
                <w:sz w:val="20"/>
                <w:szCs w:val="20"/>
                <w:color w:val="auto"/>
              </w:rPr>
            </w:pPr>
            <w:r>
              <w:rPr>
                <w:rFonts w:ascii="Calibri" w:cs="Calibri" w:eastAsia="Calibri" w:hAnsi="Calibri"/>
                <w:sz w:val="13"/>
                <w:szCs w:val="13"/>
                <w:color w:val="auto"/>
              </w:rPr>
              <w:t>(11.3)</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5.9</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(7.1)</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-219.6%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-37.0%</w:t>
            </w:r>
          </w:p>
        </w:tc>
        <w:tc>
          <w:tcPr>
            <w:tcW w:w="1100" w:type="dxa"/>
            <w:vAlign w:val="bottom"/>
          </w:tcPr>
          <w:p>
            <w:pPr>
              <w:jc w:val="right"/>
              <w:ind w:right="153"/>
              <w:spacing w:after="0"/>
              <w:rPr>
                <w:sz w:val="20"/>
                <w:szCs w:val="20"/>
                <w:color w:val="auto"/>
              </w:rPr>
            </w:pPr>
            <w:r>
              <w:rPr>
                <w:rFonts w:ascii="Calibri" w:cs="Calibri" w:eastAsia="Calibri" w:hAnsi="Calibri"/>
                <w:sz w:val="13"/>
                <w:szCs w:val="13"/>
                <w:color w:val="auto"/>
              </w:rPr>
              <w:t>-27.7</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-54.1%</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right w:val="single" w:sz="8" w:color="auto"/>
            </w:tcBorders>
            <w:vMerge w:val="continue"/>
          </w:tcPr>
          <w:p>
            <w:pPr>
              <w:spacing w:after="0"/>
              <w:rPr>
                <w:sz w:val="7"/>
                <w:szCs w:val="7"/>
                <w:color w:val="auto"/>
              </w:rPr>
            </w:pPr>
          </w:p>
        </w:tc>
        <w:tc>
          <w:tcPr>
            <w:tcW w:w="2700" w:type="dxa"/>
            <w:vAlign w:val="bottom"/>
            <w:tcBorders>
              <w:right w:val="single" w:sz="8" w:color="auto"/>
            </w:tcBorders>
            <w:vMerge w:val="restart"/>
          </w:tcPr>
          <w:p>
            <w:pPr>
              <w:spacing w:after="0"/>
              <w:rPr>
                <w:sz w:val="20"/>
                <w:szCs w:val="20"/>
                <w:color w:val="auto"/>
              </w:rPr>
            </w:pPr>
            <w:r>
              <w:rPr>
                <w:rFonts w:ascii="Calibri" w:cs="Calibri" w:eastAsia="Calibri" w:hAnsi="Calibri"/>
                <w:sz w:val="13"/>
                <w:szCs w:val="13"/>
                <w:color w:val="auto"/>
              </w:rPr>
              <w:t>Reinsurance Results</w:t>
            </w:r>
          </w:p>
        </w:tc>
        <w:tc>
          <w:tcPr>
            <w:tcW w:w="1000" w:type="dxa"/>
            <w:vAlign w:val="bottom"/>
            <w:vMerge w:val="restart"/>
          </w:tcPr>
          <w:p>
            <w:pPr>
              <w:jc w:val="right"/>
              <w:ind w:right="53"/>
              <w:spacing w:after="0"/>
              <w:rPr>
                <w:sz w:val="20"/>
                <w:szCs w:val="20"/>
                <w:color w:val="auto"/>
              </w:rPr>
            </w:pPr>
            <w:r>
              <w:rPr>
                <w:rFonts w:ascii="Calibri" w:cs="Calibri" w:eastAsia="Calibri" w:hAnsi="Calibri"/>
                <w:sz w:val="13"/>
                <w:szCs w:val="13"/>
                <w:color w:val="auto"/>
              </w:rPr>
              <w:t>(7.6)</w:t>
            </w:r>
          </w:p>
        </w:tc>
        <w:tc>
          <w:tcPr>
            <w:tcW w:w="1000" w:type="dxa"/>
            <w:vAlign w:val="bottom"/>
            <w:vMerge w:val="restart"/>
          </w:tcPr>
          <w:p>
            <w:pPr>
              <w:jc w:val="right"/>
              <w:ind w:right="93"/>
              <w:spacing w:after="0"/>
              <w:rPr>
                <w:sz w:val="20"/>
                <w:szCs w:val="20"/>
                <w:color w:val="auto"/>
              </w:rPr>
            </w:pPr>
            <w:r>
              <w:rPr>
                <w:rFonts w:ascii="Calibri" w:cs="Calibri" w:eastAsia="Calibri" w:hAnsi="Calibri"/>
                <w:sz w:val="13"/>
                <w:szCs w:val="13"/>
                <w:color w:val="auto"/>
              </w:rPr>
              <w:t>(10.1)</w:t>
            </w:r>
          </w:p>
        </w:tc>
        <w:tc>
          <w:tcPr>
            <w:tcW w:w="8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(11.2)</w:t>
            </w:r>
          </w:p>
        </w:tc>
        <w:tc>
          <w:tcPr>
            <w:tcW w:w="920" w:type="dxa"/>
            <w:vAlign w:val="bottom"/>
            <w:vMerge w:val="restart"/>
          </w:tcPr>
          <w:p>
            <w:pPr>
              <w:jc w:val="center"/>
              <w:spacing w:after="0"/>
              <w:rPr>
                <w:sz w:val="20"/>
                <w:szCs w:val="20"/>
                <w:color w:val="auto"/>
              </w:rPr>
            </w:pPr>
            <w:r>
              <w:rPr>
                <w:rFonts w:ascii="Calibri" w:cs="Calibri" w:eastAsia="Calibri" w:hAnsi="Calibri"/>
                <w:sz w:val="13"/>
                <w:szCs w:val="13"/>
                <w:color w:val="auto"/>
                <w:w w:val="98"/>
              </w:rPr>
              <w:t>11.1%</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47.2%</w:t>
            </w:r>
          </w:p>
        </w:tc>
        <w:tc>
          <w:tcPr>
            <w:tcW w:w="1100" w:type="dxa"/>
            <w:vAlign w:val="bottom"/>
            <w:vMerge w:val="restart"/>
          </w:tcPr>
          <w:p>
            <w:pPr>
              <w:jc w:val="right"/>
              <w:ind w:right="153"/>
              <w:spacing w:after="0"/>
              <w:rPr>
                <w:sz w:val="20"/>
                <w:szCs w:val="20"/>
                <w:color w:val="auto"/>
              </w:rPr>
            </w:pPr>
            <w:r>
              <w:rPr>
                <w:rFonts w:ascii="Calibri" w:cs="Calibri" w:eastAsia="Calibri" w:hAnsi="Calibri"/>
                <w:sz w:val="13"/>
                <w:szCs w:val="13"/>
                <w:color w:val="auto"/>
              </w:rPr>
              <w:t>-20.9</w:t>
            </w:r>
          </w:p>
        </w:tc>
        <w:tc>
          <w:tcPr>
            <w:tcW w:w="74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color w:val="auto"/>
              </w:rPr>
              <w:t>-29.8</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42.8%</w:t>
            </w:r>
          </w:p>
        </w:tc>
        <w:tc>
          <w:tcPr>
            <w:tcW w:w="0" w:type="dxa"/>
            <w:vAlign w:val="bottom"/>
          </w:tcPr>
          <w:p>
            <w:pPr>
              <w:spacing w:after="0"/>
              <w:rPr>
                <w:sz w:val="1"/>
                <w:szCs w:val="1"/>
                <w:color w:val="auto"/>
              </w:rPr>
            </w:pPr>
          </w:p>
        </w:tc>
      </w:tr>
      <w:tr>
        <w:trPr>
          <w:trHeight w:val="95"/>
        </w:trPr>
        <w:tc>
          <w:tcPr>
            <w:tcW w:w="1040" w:type="dxa"/>
            <w:vAlign w:val="bottom"/>
            <w:tcBorders>
              <w:left w:val="single" w:sz="8" w:color="auto"/>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Calibri" w:cs="Calibri" w:eastAsia="Calibri" w:hAnsi="Calibri"/>
                <w:sz w:val="13"/>
                <w:szCs w:val="13"/>
                <w:b w:val="1"/>
                <w:bCs w:val="1"/>
                <w:color w:val="auto"/>
              </w:rPr>
              <w:t>Insurance Underwritng Result</w:t>
            </w:r>
          </w:p>
        </w:tc>
        <w:tc>
          <w:tcPr>
            <w:tcW w:w="1000" w:type="dxa"/>
            <w:vAlign w:val="bottom"/>
          </w:tcPr>
          <w:p>
            <w:pPr>
              <w:jc w:val="right"/>
              <w:ind w:right="53"/>
              <w:spacing w:after="0"/>
              <w:rPr>
                <w:sz w:val="20"/>
                <w:szCs w:val="20"/>
                <w:color w:val="auto"/>
              </w:rPr>
            </w:pPr>
            <w:r>
              <w:rPr>
                <w:rFonts w:ascii="Calibri" w:cs="Calibri" w:eastAsia="Calibri" w:hAnsi="Calibri"/>
                <w:sz w:val="13"/>
                <w:szCs w:val="13"/>
                <w:b w:val="1"/>
                <w:bCs w:val="1"/>
                <w:color w:val="auto"/>
              </w:rPr>
              <w:t>15.0</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11.8</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5.2</w:t>
            </w: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rPr>
              <w:t>-56.3%</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-65.7%</w:t>
            </w:r>
          </w:p>
        </w:tc>
        <w:tc>
          <w:tcPr>
            <w:tcW w:w="1100" w:type="dxa"/>
            <w:vAlign w:val="bottom"/>
          </w:tcPr>
          <w:p>
            <w:pPr>
              <w:jc w:val="right"/>
              <w:ind w:right="153"/>
              <w:spacing w:after="0"/>
              <w:rPr>
                <w:sz w:val="20"/>
                <w:szCs w:val="20"/>
                <w:color w:val="auto"/>
              </w:rPr>
            </w:pPr>
            <w:r>
              <w:rPr>
                <w:rFonts w:ascii="Calibri" w:cs="Calibri" w:eastAsia="Calibri" w:hAnsi="Calibri"/>
                <w:sz w:val="13"/>
                <w:szCs w:val="13"/>
                <w:b w:val="1"/>
                <w:bCs w:val="1"/>
                <w:color w:val="auto"/>
              </w:rPr>
              <w:t>37.9</w:t>
            </w:r>
          </w:p>
        </w:tc>
        <w:tc>
          <w:tcPr>
            <w:tcW w:w="74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31.3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-17.3%</w:t>
            </w:r>
          </w:p>
        </w:tc>
        <w:tc>
          <w:tcPr>
            <w:tcW w:w="0" w:type="dxa"/>
            <w:vAlign w:val="bottom"/>
          </w:tcPr>
          <w:p>
            <w:pPr>
              <w:spacing w:after="0"/>
              <w:rPr>
                <w:sz w:val="1"/>
                <w:szCs w:val="1"/>
                <w:color w:val="auto"/>
              </w:rPr>
            </w:pPr>
          </w:p>
        </w:tc>
      </w:tr>
      <w:tr>
        <w:trPr>
          <w:trHeight w:val="22"/>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QoQ and YoY, the Insurance Underwritng Result dropped 7.5% and 11.8%, respectvely due to a deterioraton in the Reinsurance Underwritng Result (+37.8% and +53.9%, respectvely) and an increase in Insurance Service Expenses (+3.8% y +1.8%, respectvely). This evoluton was partally atenuated by growth in Insurance Service Income (+3.5% y +1.9%, respectvely). YTD, the Insurance Underwritng Result dropped -4.1%. This evoluton was primarily atributable to a deterioraton in the Reinsurance Result (+38.8%) and a drop in Insurance Service Income (-1.3%). The aforementoned was partally ofset by a decrease in Insurance Service Expenses (-7.1%).</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 &amp; C</w:t>
      </w:r>
    </w:p>
    <w:p>
      <w:pPr>
        <w:spacing w:after="0" w:line="199" w:lineRule="exact"/>
        <w:rPr>
          <w:sz w:val="20"/>
          <w:szCs w:val="20"/>
          <w:color w:val="auto"/>
        </w:rPr>
      </w:pPr>
    </w:p>
    <w:p>
      <w:pPr>
        <w:ind w:left="1780"/>
        <w:spacing w:after="0"/>
        <w:tabs>
          <w:tab w:leader="none" w:pos="7540" w:val="left"/>
        </w:tabs>
        <w:rPr>
          <w:sz w:val="20"/>
          <w:szCs w:val="20"/>
          <w:color w:val="auto"/>
        </w:rPr>
      </w:pPr>
      <w:r>
        <w:rPr>
          <w:rFonts w:ascii="Calibri" w:cs="Calibri" w:eastAsia="Calibri" w:hAnsi="Calibri"/>
          <w:sz w:val="18"/>
          <w:szCs w:val="18"/>
          <w:b w:val="1"/>
          <w:bCs w:val="1"/>
          <w:color w:val="auto"/>
        </w:rPr>
        <w:t>Insurance Service Income</w:t>
      </w:r>
      <w:r>
        <w:rPr>
          <w:sz w:val="20"/>
          <w:szCs w:val="20"/>
          <w:color w:val="auto"/>
        </w:rPr>
        <w:tab/>
      </w:r>
      <w:r>
        <w:rPr>
          <w:rFonts w:ascii="Calibri" w:cs="Calibri" w:eastAsia="Calibri" w:hAnsi="Calibri"/>
          <w:sz w:val="17"/>
          <w:szCs w:val="17"/>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152400</wp:posOffset>
            </wp:positionV>
            <wp:extent cx="6540500" cy="1842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4050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color w:val="auto"/>
        </w:rPr>
        <w:t>QoQ, the Insurance Underwritng Result increased 10.4%. The following dynamics drove this evoluton:</w:t>
      </w:r>
    </w:p>
    <w:p>
      <w:pPr>
        <w:ind w:left="840" w:right="440" w:hanging="346"/>
        <w:spacing w:after="0" w:line="248" w:lineRule="auto"/>
        <w:tabs>
          <w:tab w:leader="none" w:pos="8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Insurance Service Income rose 6.3%, given that premiums alloted for the period</w:t>
      </w:r>
      <w:r>
        <w:rPr>
          <w:rFonts w:ascii="Calibri" w:cs="Calibri" w:eastAsia="Calibri" w:hAnsi="Calibri"/>
          <w:sz w:val="19"/>
          <w:szCs w:val="19"/>
          <w:color w:val="auto"/>
        </w:rPr>
        <w:t>1</w:t>
      </w:r>
      <w:r>
        <w:rPr>
          <w:rFonts w:ascii="Calibri" w:cs="Calibri" w:eastAsia="Calibri" w:hAnsi="Calibri"/>
          <w:sz w:val="18"/>
          <w:szCs w:val="18"/>
          <w:color w:val="auto"/>
        </w:rPr>
        <w:t xml:space="preserve"> rose in P &amp; C Risks, partcularly in the Card Protecton and Mortgage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423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ind w:left="120" w:hanging="112"/>
        <w:spacing w:after="0"/>
        <w:tabs>
          <w:tab w:leader="none" w:pos="120" w:val="left"/>
        </w:tabs>
        <w:numPr>
          <w:ilvl w:val="0"/>
          <w:numId w:val="41"/>
        </w:numPr>
        <w:rPr>
          <w:rFonts w:ascii="Calibri" w:cs="Calibri" w:eastAsia="Calibri" w:hAnsi="Calibri"/>
          <w:sz w:val="30"/>
          <w:szCs w:val="30"/>
          <w:color w:val="auto"/>
          <w:vertAlign w:val="superscript"/>
        </w:rPr>
      </w:pPr>
      <w:r>
        <w:rPr>
          <w:rFonts w:ascii="Calibri" w:cs="Calibri" w:eastAsia="Calibri" w:hAnsi="Calibri"/>
          <w:sz w:val="18"/>
          <w:szCs w:val="18"/>
          <w:color w:val="auto"/>
        </w:rPr>
        <w:t>Premiums alloted for the period = Direct premiums + change of RRC + Fees</w:t>
      </w:r>
    </w:p>
    <w:p>
      <w:pPr>
        <w:spacing w:after="0" w:line="37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7" w:name="page38"/>
    <w:bookmarkEnd w:id="37"/>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497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38" w:lineRule="exact"/>
        <w:rPr>
          <w:sz w:val="20"/>
          <w:szCs w:val="20"/>
          <w:color w:val="auto"/>
        </w:rPr>
      </w:pPr>
    </w:p>
    <w:p>
      <w:pPr>
        <w:ind w:left="440" w:hanging="324"/>
        <w:spacing w:after="0"/>
        <w:tabs>
          <w:tab w:leader="none" w:pos="440" w:val="left"/>
        </w:tabs>
        <w:numPr>
          <w:ilvl w:val="0"/>
          <w:numId w:val="42"/>
        </w:numPr>
        <w:rPr>
          <w:rFonts w:ascii="Calibri" w:cs="Calibri" w:eastAsia="Calibri" w:hAnsi="Calibri"/>
          <w:sz w:val="22"/>
          <w:szCs w:val="22"/>
          <w:b w:val="1"/>
          <w:bCs w:val="1"/>
          <w:color w:val="FFFFFF"/>
        </w:rPr>
      </w:pPr>
      <w:r>
        <w:rPr>
          <w:rFonts w:ascii="Calibri" w:cs="Calibri" w:eastAsia="Calibri" w:hAnsi="Calibri"/>
          <w:sz w:val="22"/>
          <w:szCs w:val="22"/>
          <w:b w:val="1"/>
          <w:bCs w:val="1"/>
          <w:color w:val="FFFFFF"/>
        </w:rPr>
        <w:t>Insurance Underwritng Result</w:t>
      </w:r>
    </w:p>
    <w:p>
      <w:pPr>
        <w:spacing w:after="0" w:line="261" w:lineRule="exact"/>
        <w:rPr>
          <w:rFonts w:ascii="Calibri" w:cs="Calibri" w:eastAsia="Calibri" w:hAnsi="Calibri"/>
          <w:sz w:val="22"/>
          <w:szCs w:val="22"/>
          <w:b w:val="1"/>
          <w:bCs w:val="1"/>
          <w:color w:val="FFFFFF"/>
        </w:rPr>
      </w:pPr>
    </w:p>
    <w:p>
      <w:pPr>
        <w:ind w:left="560" w:hanging="228"/>
        <w:spacing w:after="0" w:line="235" w:lineRule="auto"/>
        <w:tabs>
          <w:tab w:leader="none" w:pos="560"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Insurance Service Expenses dropped 7.9%. This dynamic is atributable to P&amp;C Risks, and partcularly to the Aviaton product, where a base efect was recorded, as partcularly high claims were recorded in 2Q24.</w:t>
      </w:r>
    </w:p>
    <w:p>
      <w:pPr>
        <w:spacing w:after="0" w:line="1" w:lineRule="exact"/>
        <w:rPr>
          <w:rFonts w:ascii="Calibri" w:cs="Calibri" w:eastAsia="Calibri" w:hAnsi="Calibri"/>
          <w:sz w:val="18"/>
          <w:szCs w:val="18"/>
          <w:color w:val="auto"/>
        </w:rPr>
      </w:pPr>
    </w:p>
    <w:p>
      <w:pPr>
        <w:ind w:left="560" w:right="20" w:hanging="228"/>
        <w:spacing w:after="0" w:line="235" w:lineRule="auto"/>
        <w:tabs>
          <w:tab w:leader="none" w:pos="560"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The Reinsurance Result deteriorated, primarily due to the evoluton in P &amp; C Risks, which was impacted by a base efect given that in 2Q24, the level of claims recovered from the reinsurer was partcularly high in the Aviaton product.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YoY, the Insurance Underwritng Result dropped 13.7%. The following dynamics were noteworthy:</w:t>
      </w:r>
    </w:p>
    <w:p>
      <w:pPr>
        <w:spacing w:after="0" w:line="1" w:lineRule="exact"/>
        <w:rPr>
          <w:sz w:val="20"/>
          <w:szCs w:val="20"/>
          <w:color w:val="auto"/>
        </w:rPr>
      </w:pPr>
    </w:p>
    <w:p>
      <w:pPr>
        <w:ind w:left="560" w:hanging="228"/>
        <w:spacing w:after="0" w:line="235" w:lineRule="auto"/>
        <w:tabs>
          <w:tab w:leader="none" w:pos="56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Insurance Service Income increased 16.4%, driven by an increase in premiums allocated to the period in P &amp; C, which refected growth in premium turnover in Third-Party Liability and Card Protecton.</w:t>
      </w:r>
    </w:p>
    <w:p>
      <w:pPr>
        <w:spacing w:after="0" w:line="1" w:lineRule="exact"/>
        <w:rPr>
          <w:rFonts w:ascii="Calibri" w:cs="Calibri" w:eastAsia="Calibri" w:hAnsi="Calibri"/>
          <w:sz w:val="18"/>
          <w:szCs w:val="18"/>
          <w:color w:val="auto"/>
        </w:rPr>
      </w:pPr>
    </w:p>
    <w:p>
      <w:pPr>
        <w:ind w:left="560" w:hanging="228"/>
        <w:spacing w:after="0" w:line="235" w:lineRule="auto"/>
        <w:tabs>
          <w:tab w:leader="none" w:pos="56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Insurance Service Expenses rose 8.6%, fueled primarily by Medical Assistance, which registered growth in expenses for claims in a context marked by higher average costs and growth in the IBNR reserve.</w:t>
      </w:r>
    </w:p>
    <w:p>
      <w:pPr>
        <w:ind w:left="560" w:hanging="228"/>
        <w:spacing w:after="0" w:line="235" w:lineRule="auto"/>
        <w:tabs>
          <w:tab w:leader="none" w:pos="56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Reinsurance Result deteriorated primarily in P &amp; C, driven by growth in ceded premiums.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YTD, the Insurance Underwritng Result rose 1.2%, spurred by an increase in Insurance Service Income in P &amp; C in partcular</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Life Insurance</w:t>
      </w:r>
    </w:p>
    <w:p>
      <w:pPr>
        <w:spacing w:after="0" w:line="212" w:lineRule="exact"/>
        <w:rPr>
          <w:sz w:val="20"/>
          <w:szCs w:val="20"/>
          <w:color w:val="auto"/>
        </w:rPr>
      </w:pPr>
    </w:p>
    <w:p>
      <w:pPr>
        <w:ind w:left="40"/>
        <w:spacing w:after="0"/>
        <w:tabs>
          <w:tab w:leader="none" w:pos="5760" w:val="left"/>
        </w:tabs>
        <w:rPr>
          <w:sz w:val="20"/>
          <w:szCs w:val="20"/>
          <w:color w:val="auto"/>
        </w:rPr>
      </w:pPr>
      <w:r>
        <w:rPr>
          <w:rFonts w:ascii="Calibri" w:cs="Calibri" w:eastAsia="Calibri" w:hAnsi="Calibri"/>
          <w:sz w:val="18"/>
          <w:szCs w:val="18"/>
          <w:b w:val="1"/>
          <w:bCs w:val="1"/>
          <w:color w:val="auto"/>
        </w:rPr>
        <w:t>Insurance Service Income</w:t>
      </w:r>
      <w:r>
        <w:rPr>
          <w:sz w:val="20"/>
          <w:szCs w:val="20"/>
          <w:color w:val="auto"/>
        </w:rPr>
        <w:tab/>
      </w:r>
      <w:r>
        <w:rPr>
          <w:rFonts w:ascii="Calibri" w:cs="Calibri" w:eastAsia="Calibri" w:hAnsi="Calibri"/>
          <w:sz w:val="17"/>
          <w:szCs w:val="17"/>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6737985" cy="2049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798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QoQ, the Insurance Underwritng Result dropped 10.2%. The following dynamics were noteworthy:</w:t>
      </w:r>
    </w:p>
    <w:p>
      <w:pPr>
        <w:spacing w:after="0" w:line="1" w:lineRule="exact"/>
        <w:rPr>
          <w:sz w:val="20"/>
          <w:szCs w:val="20"/>
          <w:color w:val="auto"/>
        </w:rPr>
      </w:pPr>
    </w:p>
    <w:p>
      <w:pPr>
        <w:ind w:left="560" w:right="360" w:hanging="228"/>
        <w:spacing w:after="0" w:line="235" w:lineRule="auto"/>
        <w:tabs>
          <w:tab w:leader="none" w:pos="56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Insurance Service Income dropped 0.7%, driven mainly by Credit Life and via a drop in premiums allocated to the period and distributed primarily through bancassurance. This evoluton was partally ofset by an increase in income through Group Life and D &amp; S.</w:t>
      </w:r>
    </w:p>
    <w:p>
      <w:pPr>
        <w:spacing w:after="0" w:line="1" w:lineRule="exact"/>
        <w:rPr>
          <w:rFonts w:ascii="Calibri" w:cs="Calibri" w:eastAsia="Calibri" w:hAnsi="Calibri"/>
          <w:sz w:val="18"/>
          <w:szCs w:val="18"/>
          <w:color w:val="auto"/>
        </w:rPr>
      </w:pPr>
    </w:p>
    <w:p>
      <w:pPr>
        <w:ind w:left="560" w:hanging="228"/>
        <w:spacing w:after="0" w:line="235" w:lineRule="auto"/>
        <w:tabs>
          <w:tab w:leader="none" w:pos="56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Insurance Service Expenses increased 14.2%, fueled primarily by Credit Life, which reported an increase in expenses for claims in a context marked by growth in claims frequency.</w:t>
      </w:r>
    </w:p>
    <w:p>
      <w:pPr>
        <w:ind w:left="560" w:hanging="228"/>
        <w:spacing w:after="0" w:line="235" w:lineRule="auto"/>
        <w:tabs>
          <w:tab w:leader="none" w:pos="56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 Reinsurance Result improved, driven mainly by Credit Life, which reported an uptck in claims recovered from the reinsurer.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YoY, the Insurance Underwritng Result dropped 7.7%, fueled by the following dynamics:</w:t>
      </w:r>
    </w:p>
    <w:p>
      <w:pPr>
        <w:spacing w:after="0" w:line="1" w:lineRule="exact"/>
        <w:rPr>
          <w:sz w:val="20"/>
          <w:szCs w:val="20"/>
          <w:color w:val="auto"/>
        </w:rPr>
      </w:pPr>
    </w:p>
    <w:p>
      <w:pPr>
        <w:jc w:val="both"/>
        <w:ind w:left="560" w:hanging="228"/>
        <w:spacing w:after="0" w:line="235" w:lineRule="auto"/>
        <w:tabs>
          <w:tab w:leader="none" w:pos="56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Insurance Service Income dropped 7.0%. This reducton was driven mainly by D &amp; S and refected a drop in the rate and tranche awarded under SISCO VII compared to the terms secured under SISCO VI. This was partally ofset by Credit Life, which reported growth in premiums alloted to the period and distributed mainly through bancassurance.</w:t>
      </w:r>
    </w:p>
    <w:p>
      <w:pPr>
        <w:spacing w:after="0" w:line="2" w:lineRule="exact"/>
        <w:rPr>
          <w:rFonts w:ascii="Calibri" w:cs="Calibri" w:eastAsia="Calibri" w:hAnsi="Calibri"/>
          <w:sz w:val="18"/>
          <w:szCs w:val="18"/>
          <w:color w:val="auto"/>
        </w:rPr>
      </w:pPr>
    </w:p>
    <w:p>
      <w:pPr>
        <w:ind w:left="560" w:hanging="228"/>
        <w:spacing w:after="0" w:line="235" w:lineRule="auto"/>
        <w:tabs>
          <w:tab w:leader="none" w:pos="56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Insurance Service Expenses declined 3.6% mainly through D &amp; S, in line with a decrease in the tranches obtained through the new SISCO VII contract. This result was partally atenuated by the evoluton at Credit Life, which reported an increase in expenses for claims.</w:t>
      </w:r>
    </w:p>
    <w:p>
      <w:pPr>
        <w:spacing w:after="0" w:line="1" w:lineRule="exact"/>
        <w:rPr>
          <w:rFonts w:ascii="Calibri" w:cs="Calibri" w:eastAsia="Calibri" w:hAnsi="Calibri"/>
          <w:sz w:val="18"/>
          <w:szCs w:val="18"/>
          <w:color w:val="auto"/>
        </w:rPr>
      </w:pPr>
    </w:p>
    <w:p>
      <w:pPr>
        <w:ind w:left="560" w:right="700" w:hanging="228"/>
        <w:spacing w:after="0" w:line="235" w:lineRule="auto"/>
        <w:tabs>
          <w:tab w:leader="none" w:pos="56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The Reinsurance Result improved, driven primarily by growth in claims recovered from the reinsurer in Individual Life and by a drop in ceded premiums in D &amp; S.</w:t>
      </w:r>
    </w:p>
    <w:p>
      <w:pPr>
        <w:spacing w:after="0" w:line="236" w:lineRule="auto"/>
        <w:rPr>
          <w:sz w:val="20"/>
          <w:szCs w:val="20"/>
          <w:color w:val="auto"/>
        </w:rPr>
      </w:pPr>
      <w:r>
        <w:rPr>
          <w:rFonts w:ascii="Calibri" w:cs="Calibri" w:eastAsia="Calibri" w:hAnsi="Calibri"/>
          <w:sz w:val="18"/>
          <w:szCs w:val="18"/>
          <w:color w:val="auto"/>
        </w:rPr>
        <w:t>YTD, the Insurance Underwritng Result dropped 5.3%, driven by a decrease in Insurance Service Income, partcularly in the D &amp; S line.</w:t>
      </w:r>
    </w:p>
    <w:p>
      <w:pPr>
        <w:spacing w:after="0" w:line="39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8" w:name="page39"/>
    <w:bookmarkEnd w:id="38"/>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4972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08 </w:t>
      </w:r>
      <w:r>
        <w:rPr>
          <w:rFonts w:ascii="Calibri" w:cs="Calibri" w:eastAsia="Calibri" w:hAnsi="Calibri"/>
          <w:sz w:val="32"/>
          <w:szCs w:val="32"/>
          <w:color w:val="E93BAC"/>
        </w:rPr>
        <w:t>Operatng Expenses</w:t>
      </w:r>
    </w:p>
    <w:p>
      <w:pPr>
        <w:spacing w:after="0" w:line="253" w:lineRule="exact"/>
        <w:rPr>
          <w:sz w:val="20"/>
          <w:szCs w:val="20"/>
          <w:color w:val="auto"/>
        </w:rPr>
      </w:pPr>
    </w:p>
    <w:p>
      <w:pPr>
        <w:jc w:val="both"/>
        <w:ind w:left="120" w:right="100"/>
        <w:spacing w:after="0" w:line="235" w:lineRule="auto"/>
        <w:rPr>
          <w:sz w:val="20"/>
          <w:szCs w:val="20"/>
          <w:color w:val="auto"/>
        </w:rPr>
      </w:pPr>
      <w:r>
        <w:rPr>
          <w:rFonts w:ascii="Calibri" w:cs="Calibri" w:eastAsia="Calibri" w:hAnsi="Calibri"/>
          <w:sz w:val="18"/>
          <w:szCs w:val="18"/>
          <w:color w:val="FFFFFF"/>
        </w:rPr>
        <w:t>Operatng expenses increased 8.2% YTD, driven primarily by core businesses at BCP Stand-alone and disruptve initatves at the Credicorp level. Core business expenses at BCP rose due to: (i) an increase in headcount in the traditonal business and the hiring of new, more specialized digital talent; and (ii) a rise in the administratve expense, led by expenses for cloud use, which rose alongside growth in transactons among increasingly digitalized clients. Expenses for disruptve initatves at Credicorp rose 28.1%, driven primarily by Yape, where IT expenses rose due to higher transactons and new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685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Total Operatng Expenses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52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3"/>
                <w:szCs w:val="13"/>
                <w:b w:val="1"/>
                <w:bCs w:val="1"/>
                <w:color w:val="FFFFFF"/>
              </w:rPr>
              <w:t>Operatng expenses</w:t>
            </w:r>
          </w:p>
        </w:tc>
        <w:tc>
          <w:tcPr>
            <w:tcW w:w="1100" w:type="dxa"/>
            <w:vAlign w:val="bottom"/>
            <w:tcBorders>
              <w:top w:val="single" w:sz="8" w:color="auto"/>
            </w:tcBorders>
            <w:shd w:val="clear" w:color="auto" w:fill="2AD2C9"/>
          </w:tcPr>
          <w:p>
            <w:pPr>
              <w:spacing w:after="0"/>
              <w:rPr>
                <w:sz w:val="15"/>
                <w:szCs w:val="15"/>
                <w:color w:val="auto"/>
              </w:rPr>
            </w:pPr>
          </w:p>
        </w:tc>
        <w:tc>
          <w:tcPr>
            <w:tcW w:w="960" w:type="dxa"/>
            <w:vAlign w:val="bottom"/>
            <w:tcBorders>
              <w:top w:val="single" w:sz="8" w:color="auto"/>
            </w:tcBorders>
            <w:shd w:val="clear" w:color="auto" w:fill="2AD2C9"/>
          </w:tcPr>
          <w:p>
            <w:pPr>
              <w:jc w:val="right"/>
              <w:ind w:right="382"/>
              <w:spacing w:after="0"/>
              <w:rPr>
                <w:sz w:val="20"/>
                <w:szCs w:val="20"/>
                <w:color w:val="auto"/>
              </w:rPr>
            </w:pPr>
            <w:r>
              <w:rPr>
                <w:rFonts w:ascii="Calibri" w:cs="Calibri" w:eastAsia="Calibri" w:hAnsi="Calibri"/>
                <w:sz w:val="13"/>
                <w:szCs w:val="13"/>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5"/>
                <w:szCs w:val="15"/>
                <w:color w:val="auto"/>
              </w:rPr>
            </w:pPr>
          </w:p>
        </w:tc>
        <w:tc>
          <w:tcPr>
            <w:tcW w:w="1100" w:type="dxa"/>
            <w:vAlign w:val="bottom"/>
            <w:tcBorders>
              <w:top w:val="single" w:sz="8" w:color="auto"/>
              <w:right w:val="single" w:sz="8" w:color="auto"/>
            </w:tcBorders>
            <w:gridSpan w:val="2"/>
            <w:shd w:val="clear" w:color="auto" w:fill="2AD2C9"/>
          </w:tcPr>
          <w:p>
            <w:pPr>
              <w:jc w:val="right"/>
              <w:ind w:right="244"/>
              <w:spacing w:after="0"/>
              <w:rPr>
                <w:sz w:val="20"/>
                <w:szCs w:val="20"/>
                <w:color w:val="auto"/>
              </w:rPr>
            </w:pPr>
            <w:r>
              <w:rPr>
                <w:rFonts w:ascii="Calibri" w:cs="Calibri" w:eastAsia="Calibri" w:hAnsi="Calibri"/>
                <w:sz w:val="13"/>
                <w:szCs w:val="13"/>
                <w:b w:val="1"/>
                <w:bCs w:val="1"/>
                <w:color w:val="FFFFFF"/>
              </w:rPr>
              <w:t>% change</w:t>
            </w:r>
          </w:p>
        </w:tc>
        <w:tc>
          <w:tcPr>
            <w:tcW w:w="1080" w:type="dxa"/>
            <w:vAlign w:val="bottom"/>
            <w:tcBorders>
              <w:top w:val="single" w:sz="8" w:color="auto"/>
            </w:tcBorders>
            <w:shd w:val="clear" w:color="auto" w:fill="2AD2C9"/>
          </w:tcPr>
          <w:p>
            <w:pPr>
              <w:jc w:val="right"/>
              <w:spacing w:after="0"/>
              <w:rPr>
                <w:sz w:val="20"/>
                <w:szCs w:val="20"/>
                <w:color w:val="auto"/>
              </w:rPr>
            </w:pPr>
            <w:r>
              <w:rPr>
                <w:rFonts w:ascii="Calibri" w:cs="Calibri" w:eastAsia="Calibri" w:hAnsi="Calibri"/>
                <w:sz w:val="13"/>
                <w:szCs w:val="13"/>
                <w:b w:val="1"/>
                <w:bCs w:val="1"/>
                <w:color w:val="FFFFFF"/>
              </w:rPr>
              <w:t>Up to</w:t>
            </w:r>
          </w:p>
        </w:tc>
        <w:tc>
          <w:tcPr>
            <w:tcW w:w="700" w:type="dxa"/>
            <w:vAlign w:val="bottom"/>
            <w:tcBorders>
              <w:top w:val="single" w:sz="8" w:color="auto"/>
              <w:right w:val="single" w:sz="8" w:color="auto"/>
            </w:tcBorders>
            <w:shd w:val="clear" w:color="auto" w:fill="2AD2C9"/>
          </w:tcPr>
          <w:p>
            <w:pPr>
              <w:spacing w:after="0"/>
              <w:rPr>
                <w:sz w:val="15"/>
                <w:szCs w:val="15"/>
                <w:color w:val="auto"/>
              </w:rPr>
            </w:pPr>
          </w:p>
        </w:tc>
        <w:tc>
          <w:tcPr>
            <w:tcW w:w="1000" w:type="dxa"/>
            <w:vAlign w:val="bottom"/>
            <w:tcBorders>
              <w:top w:val="single" w:sz="8" w:color="auto"/>
              <w:right w:val="single" w:sz="8" w:color="auto"/>
            </w:tcBorders>
            <w:shd w:val="clear" w:color="auto" w:fill="2AD2C9"/>
          </w:tcPr>
          <w:p>
            <w:pPr>
              <w:jc w:val="right"/>
              <w:ind w:right="182"/>
              <w:spacing w:after="0"/>
              <w:rPr>
                <w:sz w:val="20"/>
                <w:szCs w:val="20"/>
                <w:color w:val="auto"/>
              </w:rPr>
            </w:pPr>
            <w:r>
              <w:rPr>
                <w:rFonts w:ascii="Calibri" w:cs="Calibri" w:eastAsia="Calibri" w:hAnsi="Calibri"/>
                <w:sz w:val="13"/>
                <w:szCs w:val="13"/>
                <w:b w:val="1"/>
                <w:bCs w:val="1"/>
                <w:color w:val="FFFFFF"/>
              </w:rPr>
              <w:t>% change</w:t>
            </w:r>
          </w:p>
        </w:tc>
      </w:tr>
      <w:tr>
        <w:trPr>
          <w:trHeight w:val="197"/>
        </w:trPr>
        <w:tc>
          <w:tcPr>
            <w:tcW w:w="452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3"/>
                <w:szCs w:val="13"/>
                <w:b w:val="1"/>
                <w:bCs w:val="1"/>
                <w:color w:val="FFFFFF"/>
              </w:rPr>
              <w:t>S/ 000</w:t>
            </w:r>
          </w:p>
        </w:tc>
        <w:tc>
          <w:tcPr>
            <w:tcW w:w="1100" w:type="dxa"/>
            <w:vAlign w:val="bottom"/>
            <w:tcBorders>
              <w:bottom w:val="single" w:sz="8" w:color="2AD2C9"/>
            </w:tcBorders>
            <w:shd w:val="clear" w:color="auto" w:fill="2AD2C9"/>
          </w:tcPr>
          <w:p>
            <w:pPr>
              <w:jc w:val="right"/>
              <w:ind w:right="404"/>
              <w:spacing w:after="0"/>
              <w:rPr>
                <w:sz w:val="20"/>
                <w:szCs w:val="20"/>
                <w:color w:val="auto"/>
              </w:rPr>
            </w:pPr>
            <w:r>
              <w:rPr>
                <w:rFonts w:ascii="Calibri" w:cs="Calibri" w:eastAsia="Calibri" w:hAnsi="Calibri"/>
                <w:sz w:val="13"/>
                <w:szCs w:val="13"/>
                <w:b w:val="1"/>
                <w:bCs w:val="1"/>
                <w:color w:val="FFFFFF"/>
              </w:rPr>
              <w:t>3Q23</w:t>
            </w:r>
          </w:p>
        </w:tc>
        <w:tc>
          <w:tcPr>
            <w:tcW w:w="960" w:type="dxa"/>
            <w:vAlign w:val="bottom"/>
            <w:tcBorders>
              <w:bottom w:val="single" w:sz="8" w:color="2AD2C9"/>
            </w:tcBorders>
            <w:shd w:val="clear" w:color="auto" w:fill="2AD2C9"/>
          </w:tcPr>
          <w:p>
            <w:pPr>
              <w:jc w:val="right"/>
              <w:ind w:right="402"/>
              <w:spacing w:after="0"/>
              <w:rPr>
                <w:sz w:val="20"/>
                <w:szCs w:val="20"/>
                <w:color w:val="auto"/>
              </w:rPr>
            </w:pPr>
            <w:r>
              <w:rPr>
                <w:rFonts w:ascii="Calibri" w:cs="Calibri" w:eastAsia="Calibri" w:hAnsi="Calibri"/>
                <w:sz w:val="13"/>
                <w:szCs w:val="13"/>
                <w:b w:val="1"/>
                <w:bCs w:val="1"/>
                <w:color w:val="FFFFFF"/>
              </w:rPr>
              <w:t>2Q24</w:t>
            </w:r>
          </w:p>
        </w:tc>
        <w:tc>
          <w:tcPr>
            <w:tcW w:w="780" w:type="dxa"/>
            <w:vAlign w:val="bottom"/>
            <w:tcBorders>
              <w:bottom w:val="single" w:sz="8" w:color="2AD2C9"/>
              <w:right w:val="single" w:sz="8" w:color="auto"/>
            </w:tcBorders>
            <w:shd w:val="clear" w:color="auto" w:fill="2AD2C9"/>
          </w:tcPr>
          <w:p>
            <w:pPr>
              <w:jc w:val="right"/>
              <w:ind w:right="284"/>
              <w:spacing w:after="0"/>
              <w:rPr>
                <w:sz w:val="20"/>
                <w:szCs w:val="20"/>
                <w:color w:val="auto"/>
              </w:rPr>
            </w:pPr>
            <w:r>
              <w:rPr>
                <w:rFonts w:ascii="Calibri" w:cs="Calibri" w:eastAsia="Calibri" w:hAnsi="Calibri"/>
                <w:sz w:val="13"/>
                <w:szCs w:val="13"/>
                <w:b w:val="1"/>
                <w:bCs w:val="1"/>
                <w:color w:val="FFFFFF"/>
              </w:rPr>
              <w:t>3Q24</w:t>
            </w:r>
          </w:p>
        </w:tc>
        <w:tc>
          <w:tcPr>
            <w:tcW w:w="620" w:type="dxa"/>
            <w:vAlign w:val="bottom"/>
            <w:tcBorders>
              <w:bottom w:val="single" w:sz="8" w:color="2AD2C9"/>
            </w:tcBorders>
            <w:shd w:val="clear" w:color="auto" w:fill="2AD2C9"/>
          </w:tcPr>
          <w:p>
            <w:pPr>
              <w:jc w:val="right"/>
              <w:ind w:right="162"/>
              <w:spacing w:after="0"/>
              <w:rPr>
                <w:sz w:val="20"/>
                <w:szCs w:val="20"/>
                <w:color w:val="auto"/>
              </w:rPr>
            </w:pPr>
            <w:r>
              <w:rPr>
                <w:rFonts w:ascii="Calibri" w:cs="Calibri" w:eastAsia="Calibri" w:hAnsi="Calibri"/>
                <w:sz w:val="13"/>
                <w:szCs w:val="13"/>
                <w:b w:val="1"/>
                <w:bCs w:val="1"/>
                <w:color w:val="FFFFFF"/>
              </w:rPr>
              <w:t>QoQ</w:t>
            </w:r>
          </w:p>
        </w:tc>
        <w:tc>
          <w:tcPr>
            <w:tcW w:w="480" w:type="dxa"/>
            <w:vAlign w:val="bottom"/>
            <w:tcBorders>
              <w:bottom w:val="single" w:sz="8" w:color="2AD2C9"/>
              <w:right w:val="single" w:sz="8" w:color="auto"/>
            </w:tcBorders>
            <w:shd w:val="clear" w:color="auto" w:fill="2AD2C9"/>
          </w:tcPr>
          <w:p>
            <w:pPr>
              <w:jc w:val="right"/>
              <w:ind w:right="144"/>
              <w:spacing w:after="0"/>
              <w:rPr>
                <w:sz w:val="20"/>
                <w:szCs w:val="20"/>
                <w:color w:val="auto"/>
              </w:rPr>
            </w:pPr>
            <w:r>
              <w:rPr>
                <w:rFonts w:ascii="Calibri" w:cs="Calibri" w:eastAsia="Calibri" w:hAnsi="Calibri"/>
                <w:sz w:val="13"/>
                <w:szCs w:val="13"/>
                <w:b w:val="1"/>
                <w:bCs w:val="1"/>
                <w:color w:val="FFFFFF"/>
              </w:rPr>
              <w:t>YoY</w:t>
            </w:r>
          </w:p>
        </w:tc>
        <w:tc>
          <w:tcPr>
            <w:tcW w:w="1080" w:type="dxa"/>
            <w:vAlign w:val="bottom"/>
            <w:tcBorders>
              <w:bottom w:val="single" w:sz="8" w:color="2AD2C9"/>
            </w:tcBorders>
            <w:shd w:val="clear" w:color="auto" w:fill="2AD2C9"/>
          </w:tcPr>
          <w:p>
            <w:pPr>
              <w:jc w:val="right"/>
              <w:ind w:right="402"/>
              <w:spacing w:after="0"/>
              <w:rPr>
                <w:sz w:val="20"/>
                <w:szCs w:val="20"/>
                <w:color w:val="auto"/>
              </w:rPr>
            </w:pPr>
            <w:r>
              <w:rPr>
                <w:rFonts w:ascii="Calibri" w:cs="Calibri" w:eastAsia="Calibri" w:hAnsi="Calibri"/>
                <w:sz w:val="13"/>
                <w:szCs w:val="13"/>
                <w:b w:val="1"/>
                <w:bCs w:val="1"/>
                <w:color w:val="FFFFFF"/>
              </w:rPr>
              <w:t>Sep 23</w:t>
            </w:r>
          </w:p>
        </w:tc>
        <w:tc>
          <w:tcPr>
            <w:tcW w:w="700" w:type="dxa"/>
            <w:vAlign w:val="bottom"/>
            <w:tcBorders>
              <w:bottom w:val="single" w:sz="8" w:color="2AD2C9"/>
              <w:right w:val="single" w:sz="8" w:color="auto"/>
            </w:tcBorders>
            <w:shd w:val="clear" w:color="auto" w:fill="2AD2C9"/>
          </w:tcPr>
          <w:p>
            <w:pPr>
              <w:jc w:val="right"/>
              <w:ind w:right="224"/>
              <w:spacing w:after="0"/>
              <w:rPr>
                <w:sz w:val="20"/>
                <w:szCs w:val="20"/>
                <w:color w:val="auto"/>
              </w:rPr>
            </w:pPr>
            <w:r>
              <w:rPr>
                <w:rFonts w:ascii="Calibri" w:cs="Calibri" w:eastAsia="Calibri" w:hAnsi="Calibri"/>
                <w:sz w:val="13"/>
                <w:szCs w:val="13"/>
                <w:b w:val="1"/>
                <w:bCs w:val="1"/>
                <w:color w:val="FFFFFF"/>
              </w:rPr>
              <w:t>Sep 24</w:t>
            </w:r>
          </w:p>
        </w:tc>
        <w:tc>
          <w:tcPr>
            <w:tcW w:w="1000" w:type="dxa"/>
            <w:vAlign w:val="bottom"/>
            <w:tcBorders>
              <w:bottom w:val="single" w:sz="8" w:color="2AD2C9"/>
              <w:right w:val="single" w:sz="8" w:color="auto"/>
            </w:tcBorders>
            <w:shd w:val="clear" w:color="auto" w:fill="2AD2C9"/>
          </w:tcPr>
          <w:p>
            <w:pPr>
              <w:jc w:val="right"/>
              <w:ind w:right="22"/>
              <w:spacing w:after="0"/>
              <w:rPr>
                <w:sz w:val="20"/>
                <w:szCs w:val="20"/>
                <w:color w:val="auto"/>
              </w:rPr>
            </w:pPr>
            <w:r>
              <w:rPr>
                <w:rFonts w:ascii="Calibri" w:cs="Calibri" w:eastAsia="Calibri" w:hAnsi="Calibri"/>
                <w:sz w:val="13"/>
                <w:szCs w:val="13"/>
                <w:b w:val="1"/>
                <w:bCs w:val="1"/>
                <w:color w:val="FFFFFF"/>
              </w:rPr>
              <w:t>Sep 24 / Sep 23</w:t>
            </w:r>
          </w:p>
        </w:tc>
      </w:tr>
      <w:tr>
        <w:trPr>
          <w:trHeight w:val="154"/>
        </w:trPr>
        <w:tc>
          <w:tcPr>
            <w:tcW w:w="4520" w:type="dxa"/>
            <w:vAlign w:val="bottom"/>
            <w:tcBorders>
              <w:top w:val="single" w:sz="8" w:color="auto"/>
              <w:left w:val="single" w:sz="8" w:color="auto"/>
              <w:right w:val="single" w:sz="8" w:color="auto"/>
            </w:tcBorders>
          </w:tcPr>
          <w:p>
            <w:pPr>
              <w:ind w:left="20"/>
              <w:spacing w:after="0" w:line="155" w:lineRule="exact"/>
              <w:rPr>
                <w:sz w:val="20"/>
                <w:szCs w:val="20"/>
                <w:color w:val="auto"/>
              </w:rPr>
            </w:pPr>
            <w:r>
              <w:rPr>
                <w:rFonts w:ascii="Calibri" w:cs="Calibri" w:eastAsia="Calibri" w:hAnsi="Calibri"/>
                <w:sz w:val="13"/>
                <w:szCs w:val="13"/>
                <w:color w:val="auto"/>
              </w:rPr>
              <w:t>Salaries and employees benefts</w:t>
            </w:r>
          </w:p>
        </w:tc>
        <w:tc>
          <w:tcPr>
            <w:tcW w:w="1100" w:type="dxa"/>
            <w:vAlign w:val="bottom"/>
            <w:tcBorders>
              <w:top w:val="single" w:sz="8" w:color="auto"/>
            </w:tcBorders>
          </w:tcPr>
          <w:p>
            <w:pPr>
              <w:jc w:val="right"/>
              <w:ind w:right="44"/>
              <w:spacing w:after="0"/>
              <w:rPr>
                <w:sz w:val="20"/>
                <w:szCs w:val="20"/>
                <w:color w:val="auto"/>
              </w:rPr>
            </w:pPr>
            <w:r>
              <w:rPr>
                <w:rFonts w:ascii="Calibri" w:cs="Calibri" w:eastAsia="Calibri" w:hAnsi="Calibri"/>
                <w:sz w:val="11"/>
                <w:szCs w:val="11"/>
                <w:color w:val="auto"/>
              </w:rPr>
              <w:t>1,061,402</w:t>
            </w:r>
          </w:p>
        </w:tc>
        <w:tc>
          <w:tcPr>
            <w:tcW w:w="960" w:type="dxa"/>
            <w:vAlign w:val="bottom"/>
            <w:tcBorders>
              <w:top w:val="single" w:sz="8" w:color="auto"/>
            </w:tcBorders>
          </w:tcPr>
          <w:p>
            <w:pPr>
              <w:jc w:val="right"/>
              <w:ind w:right="102"/>
              <w:spacing w:after="0"/>
              <w:rPr>
                <w:sz w:val="20"/>
                <w:szCs w:val="20"/>
                <w:color w:val="auto"/>
              </w:rPr>
            </w:pPr>
            <w:r>
              <w:rPr>
                <w:rFonts w:ascii="Calibri" w:cs="Calibri" w:eastAsia="Calibri" w:hAnsi="Calibri"/>
                <w:sz w:val="11"/>
                <w:szCs w:val="11"/>
                <w:color w:val="auto"/>
              </w:rPr>
              <w:t>1,141,823</w:t>
            </w:r>
          </w:p>
        </w:tc>
        <w:tc>
          <w:tcPr>
            <w:tcW w:w="780" w:type="dxa"/>
            <w:vAlign w:val="bottom"/>
            <w:tcBorders>
              <w:top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1,155,966</w:t>
            </w:r>
          </w:p>
        </w:tc>
        <w:tc>
          <w:tcPr>
            <w:tcW w:w="620" w:type="dxa"/>
            <w:vAlign w:val="bottom"/>
            <w:tcBorders>
              <w:top w:val="single" w:sz="8" w:color="auto"/>
            </w:tcBorders>
          </w:tcPr>
          <w:p>
            <w:pPr>
              <w:jc w:val="right"/>
              <w:ind w:right="22"/>
              <w:spacing w:after="0"/>
              <w:rPr>
                <w:sz w:val="20"/>
                <w:szCs w:val="20"/>
                <w:color w:val="auto"/>
              </w:rPr>
            </w:pPr>
            <w:r>
              <w:rPr>
                <w:rFonts w:ascii="Calibri" w:cs="Calibri" w:eastAsia="Calibri" w:hAnsi="Calibri"/>
                <w:sz w:val="11"/>
                <w:szCs w:val="11"/>
                <w:color w:val="auto"/>
              </w:rPr>
              <w:t>1.2%</w:t>
            </w:r>
          </w:p>
        </w:tc>
        <w:tc>
          <w:tcPr>
            <w:tcW w:w="480" w:type="dxa"/>
            <w:vAlign w:val="bottom"/>
            <w:tcBorders>
              <w:top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8.9%</w:t>
            </w:r>
          </w:p>
        </w:tc>
        <w:tc>
          <w:tcPr>
            <w:tcW w:w="1080" w:type="dxa"/>
            <w:vAlign w:val="bottom"/>
            <w:tcBorders>
              <w:top w:val="single" w:sz="8" w:color="auto"/>
            </w:tcBorders>
          </w:tcPr>
          <w:p>
            <w:pPr>
              <w:jc w:val="right"/>
              <w:ind w:right="142"/>
              <w:spacing w:after="0" w:line="128" w:lineRule="exact"/>
              <w:rPr>
                <w:sz w:val="20"/>
                <w:szCs w:val="20"/>
                <w:color w:val="auto"/>
              </w:rPr>
            </w:pPr>
            <w:r>
              <w:rPr>
                <w:rFonts w:ascii="Calibri" w:cs="Calibri" w:eastAsia="Calibri" w:hAnsi="Calibri"/>
                <w:sz w:val="11"/>
                <w:szCs w:val="11"/>
                <w:color w:val="auto"/>
              </w:rPr>
              <w:t>3,145,695</w:t>
            </w:r>
          </w:p>
        </w:tc>
        <w:tc>
          <w:tcPr>
            <w:tcW w:w="700" w:type="dxa"/>
            <w:vAlign w:val="bottom"/>
            <w:tcBorders>
              <w:top w:val="single" w:sz="8" w:color="auto"/>
            </w:tcBorders>
          </w:tcPr>
          <w:p>
            <w:pPr>
              <w:jc w:val="right"/>
              <w:spacing w:after="0" w:line="128" w:lineRule="exact"/>
              <w:rPr>
                <w:sz w:val="20"/>
                <w:szCs w:val="20"/>
                <w:color w:val="auto"/>
              </w:rPr>
            </w:pPr>
            <w:r>
              <w:rPr>
                <w:rFonts w:ascii="Calibri" w:cs="Calibri" w:eastAsia="Calibri" w:hAnsi="Calibri"/>
                <w:sz w:val="11"/>
                <w:szCs w:val="11"/>
                <w:color w:val="auto"/>
              </w:rPr>
              <w:t>3,404,858</w:t>
            </w:r>
          </w:p>
        </w:tc>
        <w:tc>
          <w:tcPr>
            <w:tcW w:w="1000" w:type="dxa"/>
            <w:vAlign w:val="bottom"/>
            <w:tcBorders>
              <w:top w:val="single" w:sz="8" w:color="auto"/>
              <w:right w:val="single" w:sz="8" w:color="auto"/>
            </w:tcBorders>
          </w:tcPr>
          <w:p>
            <w:pPr>
              <w:jc w:val="right"/>
              <w:spacing w:after="0" w:line="128" w:lineRule="exact"/>
              <w:rPr>
                <w:sz w:val="20"/>
                <w:szCs w:val="20"/>
                <w:color w:val="auto"/>
              </w:rPr>
            </w:pPr>
            <w:r>
              <w:rPr>
                <w:rFonts w:ascii="Calibri" w:cs="Calibri" w:eastAsia="Calibri" w:hAnsi="Calibri"/>
                <w:sz w:val="11"/>
                <w:szCs w:val="11"/>
                <w:color w:val="auto"/>
              </w:rPr>
              <w:t>8.2%</w:t>
            </w:r>
          </w:p>
        </w:tc>
      </w:tr>
      <w:tr>
        <w:trPr>
          <w:trHeight w:val="176"/>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Administratve, general and tax expenses</w:t>
            </w:r>
          </w:p>
        </w:tc>
        <w:tc>
          <w:tcPr>
            <w:tcW w:w="1100" w:type="dxa"/>
            <w:vAlign w:val="bottom"/>
          </w:tcPr>
          <w:p>
            <w:pPr>
              <w:jc w:val="right"/>
              <w:ind w:right="44"/>
              <w:spacing w:after="0"/>
              <w:rPr>
                <w:sz w:val="20"/>
                <w:szCs w:val="20"/>
                <w:color w:val="auto"/>
              </w:rPr>
            </w:pPr>
            <w:r>
              <w:rPr>
                <w:rFonts w:ascii="Calibri" w:cs="Calibri" w:eastAsia="Calibri" w:hAnsi="Calibri"/>
                <w:sz w:val="11"/>
                <w:szCs w:val="11"/>
                <w:color w:val="auto"/>
              </w:rPr>
              <w:t>1,007,894</w:t>
            </w:r>
          </w:p>
        </w:tc>
        <w:tc>
          <w:tcPr>
            <w:tcW w:w="960" w:type="dxa"/>
            <w:vAlign w:val="bottom"/>
          </w:tcPr>
          <w:p>
            <w:pPr>
              <w:jc w:val="right"/>
              <w:ind w:right="102"/>
              <w:spacing w:after="0"/>
              <w:rPr>
                <w:sz w:val="20"/>
                <w:szCs w:val="20"/>
                <w:color w:val="auto"/>
              </w:rPr>
            </w:pPr>
            <w:r>
              <w:rPr>
                <w:rFonts w:ascii="Calibri" w:cs="Calibri" w:eastAsia="Calibri" w:hAnsi="Calibri"/>
                <w:sz w:val="11"/>
                <w:szCs w:val="11"/>
                <w:color w:val="auto"/>
              </w:rPr>
              <w:t>1,017,707</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1,047,386</w:t>
            </w:r>
          </w:p>
        </w:tc>
        <w:tc>
          <w:tcPr>
            <w:tcW w:w="620" w:type="dxa"/>
            <w:vAlign w:val="bottom"/>
          </w:tcPr>
          <w:p>
            <w:pPr>
              <w:jc w:val="right"/>
              <w:ind w:right="22"/>
              <w:spacing w:after="0"/>
              <w:rPr>
                <w:sz w:val="20"/>
                <w:szCs w:val="20"/>
                <w:color w:val="auto"/>
              </w:rPr>
            </w:pPr>
            <w:r>
              <w:rPr>
                <w:rFonts w:ascii="Calibri" w:cs="Calibri" w:eastAsia="Calibri" w:hAnsi="Calibri"/>
                <w:sz w:val="11"/>
                <w:szCs w:val="11"/>
                <w:color w:val="auto"/>
              </w:rPr>
              <w:t>2.9%</w:t>
            </w:r>
          </w:p>
        </w:tc>
        <w:tc>
          <w:tcPr>
            <w:tcW w:w="4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3.9%</w:t>
            </w:r>
          </w:p>
        </w:tc>
        <w:tc>
          <w:tcPr>
            <w:tcW w:w="1080" w:type="dxa"/>
            <w:vAlign w:val="bottom"/>
          </w:tcPr>
          <w:p>
            <w:pPr>
              <w:jc w:val="right"/>
              <w:ind w:right="142"/>
              <w:spacing w:after="0"/>
              <w:rPr>
                <w:sz w:val="20"/>
                <w:szCs w:val="20"/>
                <w:color w:val="auto"/>
              </w:rPr>
            </w:pPr>
            <w:r>
              <w:rPr>
                <w:rFonts w:ascii="Calibri" w:cs="Calibri" w:eastAsia="Calibri" w:hAnsi="Calibri"/>
                <w:sz w:val="11"/>
                <w:szCs w:val="11"/>
                <w:color w:val="auto"/>
              </w:rPr>
              <w:t>2,714,000</w:t>
            </w:r>
          </w:p>
        </w:tc>
        <w:tc>
          <w:tcPr>
            <w:tcW w:w="700" w:type="dxa"/>
            <w:vAlign w:val="bottom"/>
          </w:tcPr>
          <w:p>
            <w:pPr>
              <w:jc w:val="right"/>
              <w:spacing w:after="0"/>
              <w:rPr>
                <w:sz w:val="20"/>
                <w:szCs w:val="20"/>
                <w:color w:val="auto"/>
              </w:rPr>
            </w:pPr>
            <w:r>
              <w:rPr>
                <w:rFonts w:ascii="Calibri" w:cs="Calibri" w:eastAsia="Calibri" w:hAnsi="Calibri"/>
                <w:sz w:val="11"/>
                <w:szCs w:val="11"/>
                <w:color w:val="auto"/>
              </w:rPr>
              <w:t>2,953,676</w:t>
            </w:r>
          </w:p>
        </w:tc>
        <w:tc>
          <w:tcPr>
            <w:tcW w:w="10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8.8%</w:t>
            </w:r>
          </w:p>
        </w:tc>
      </w:tr>
      <w:tr>
        <w:trPr>
          <w:trHeight w:val="175"/>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Depreciaton and amortzaton</w:t>
            </w:r>
          </w:p>
        </w:tc>
        <w:tc>
          <w:tcPr>
            <w:tcW w:w="1100" w:type="dxa"/>
            <w:vAlign w:val="bottom"/>
          </w:tcPr>
          <w:p>
            <w:pPr>
              <w:jc w:val="right"/>
              <w:ind w:right="44"/>
              <w:spacing w:after="0"/>
              <w:rPr>
                <w:sz w:val="20"/>
                <w:szCs w:val="20"/>
                <w:color w:val="auto"/>
              </w:rPr>
            </w:pPr>
            <w:r>
              <w:rPr>
                <w:rFonts w:ascii="Calibri" w:cs="Calibri" w:eastAsia="Calibri" w:hAnsi="Calibri"/>
                <w:sz w:val="11"/>
                <w:szCs w:val="11"/>
                <w:color w:val="auto"/>
              </w:rPr>
              <w:t>159,761</w:t>
            </w:r>
          </w:p>
        </w:tc>
        <w:tc>
          <w:tcPr>
            <w:tcW w:w="960" w:type="dxa"/>
            <w:vAlign w:val="bottom"/>
          </w:tcPr>
          <w:p>
            <w:pPr>
              <w:jc w:val="right"/>
              <w:ind w:right="102"/>
              <w:spacing w:after="0"/>
              <w:rPr>
                <w:sz w:val="20"/>
                <w:szCs w:val="20"/>
                <w:color w:val="auto"/>
              </w:rPr>
            </w:pPr>
            <w:r>
              <w:rPr>
                <w:rFonts w:ascii="Calibri" w:cs="Calibri" w:eastAsia="Calibri" w:hAnsi="Calibri"/>
                <w:sz w:val="11"/>
                <w:szCs w:val="11"/>
                <w:color w:val="auto"/>
              </w:rPr>
              <w:t>172,204</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179,495</w:t>
            </w:r>
          </w:p>
        </w:tc>
        <w:tc>
          <w:tcPr>
            <w:tcW w:w="620" w:type="dxa"/>
            <w:vAlign w:val="bottom"/>
          </w:tcPr>
          <w:p>
            <w:pPr>
              <w:jc w:val="right"/>
              <w:ind w:right="22"/>
              <w:spacing w:after="0"/>
              <w:rPr>
                <w:sz w:val="20"/>
                <w:szCs w:val="20"/>
                <w:color w:val="auto"/>
              </w:rPr>
            </w:pPr>
            <w:r>
              <w:rPr>
                <w:rFonts w:ascii="Calibri" w:cs="Calibri" w:eastAsia="Calibri" w:hAnsi="Calibri"/>
                <w:sz w:val="11"/>
                <w:szCs w:val="11"/>
                <w:color w:val="auto"/>
              </w:rPr>
              <w:t>4.2%</w:t>
            </w:r>
          </w:p>
        </w:tc>
        <w:tc>
          <w:tcPr>
            <w:tcW w:w="4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12.4%</w:t>
            </w:r>
          </w:p>
        </w:tc>
        <w:tc>
          <w:tcPr>
            <w:tcW w:w="1080" w:type="dxa"/>
            <w:vAlign w:val="bottom"/>
          </w:tcPr>
          <w:p>
            <w:pPr>
              <w:jc w:val="right"/>
              <w:ind w:right="142"/>
              <w:spacing w:after="0"/>
              <w:rPr>
                <w:sz w:val="20"/>
                <w:szCs w:val="20"/>
                <w:color w:val="auto"/>
              </w:rPr>
            </w:pPr>
            <w:r>
              <w:rPr>
                <w:rFonts w:ascii="Calibri" w:cs="Calibri" w:eastAsia="Calibri" w:hAnsi="Calibri"/>
                <w:sz w:val="11"/>
                <w:szCs w:val="11"/>
                <w:color w:val="auto"/>
              </w:rPr>
              <w:t>481,389</w:t>
            </w:r>
          </w:p>
        </w:tc>
        <w:tc>
          <w:tcPr>
            <w:tcW w:w="700" w:type="dxa"/>
            <w:vAlign w:val="bottom"/>
          </w:tcPr>
          <w:p>
            <w:pPr>
              <w:jc w:val="right"/>
              <w:spacing w:after="0"/>
              <w:rPr>
                <w:sz w:val="20"/>
                <w:szCs w:val="20"/>
                <w:color w:val="auto"/>
              </w:rPr>
            </w:pPr>
            <w:r>
              <w:rPr>
                <w:rFonts w:ascii="Calibri" w:cs="Calibri" w:eastAsia="Calibri" w:hAnsi="Calibri"/>
                <w:sz w:val="11"/>
                <w:szCs w:val="11"/>
                <w:color w:val="auto"/>
              </w:rPr>
              <w:t>526,845</w:t>
            </w:r>
          </w:p>
        </w:tc>
        <w:tc>
          <w:tcPr>
            <w:tcW w:w="10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9.4%</w:t>
            </w:r>
          </w:p>
        </w:tc>
      </w:tr>
      <w:tr>
        <w:trPr>
          <w:trHeight w:val="183"/>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Associaton in partcipaton</w:t>
            </w:r>
          </w:p>
        </w:tc>
        <w:tc>
          <w:tcPr>
            <w:tcW w:w="1100" w:type="dxa"/>
            <w:vAlign w:val="bottom"/>
            <w:tcBorders>
              <w:bottom w:val="single" w:sz="8" w:color="auto"/>
            </w:tcBorders>
          </w:tcPr>
          <w:p>
            <w:pPr>
              <w:jc w:val="right"/>
              <w:ind w:right="44"/>
              <w:spacing w:after="0"/>
              <w:rPr>
                <w:sz w:val="20"/>
                <w:szCs w:val="20"/>
                <w:color w:val="auto"/>
              </w:rPr>
            </w:pPr>
            <w:r>
              <w:rPr>
                <w:rFonts w:ascii="Calibri" w:cs="Calibri" w:eastAsia="Calibri" w:hAnsi="Calibri"/>
                <w:sz w:val="11"/>
                <w:szCs w:val="11"/>
                <w:color w:val="auto"/>
              </w:rPr>
              <w:t>14,634</w:t>
            </w:r>
          </w:p>
        </w:tc>
        <w:tc>
          <w:tcPr>
            <w:tcW w:w="960" w:type="dxa"/>
            <w:vAlign w:val="bottom"/>
            <w:tcBorders>
              <w:bottom w:val="single" w:sz="8" w:color="auto"/>
            </w:tcBorders>
          </w:tcPr>
          <w:p>
            <w:pPr>
              <w:jc w:val="right"/>
              <w:ind w:right="102"/>
              <w:spacing w:after="0"/>
              <w:rPr>
                <w:sz w:val="20"/>
                <w:szCs w:val="20"/>
                <w:color w:val="auto"/>
              </w:rPr>
            </w:pPr>
            <w:r>
              <w:rPr>
                <w:rFonts w:ascii="Calibri" w:cs="Calibri" w:eastAsia="Calibri" w:hAnsi="Calibri"/>
                <w:sz w:val="11"/>
                <w:szCs w:val="11"/>
                <w:color w:val="auto"/>
              </w:rPr>
              <w:t>9,200</w:t>
            </w:r>
          </w:p>
        </w:tc>
        <w:tc>
          <w:tcPr>
            <w:tcW w:w="7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6,414</w:t>
            </w:r>
          </w:p>
        </w:tc>
        <w:tc>
          <w:tcPr>
            <w:tcW w:w="620" w:type="dxa"/>
            <w:vAlign w:val="bottom"/>
            <w:tcBorders>
              <w:bottom w:val="single" w:sz="8" w:color="auto"/>
            </w:tcBorders>
          </w:tcPr>
          <w:p>
            <w:pPr>
              <w:jc w:val="right"/>
              <w:ind w:right="22"/>
              <w:spacing w:after="0"/>
              <w:rPr>
                <w:sz w:val="20"/>
                <w:szCs w:val="20"/>
                <w:color w:val="auto"/>
              </w:rPr>
            </w:pPr>
            <w:r>
              <w:rPr>
                <w:rFonts w:ascii="Calibri" w:cs="Calibri" w:eastAsia="Calibri" w:hAnsi="Calibri"/>
                <w:sz w:val="11"/>
                <w:szCs w:val="11"/>
                <w:color w:val="auto"/>
              </w:rPr>
              <w:t>-30.3%</w:t>
            </w:r>
          </w:p>
        </w:tc>
        <w:tc>
          <w:tcPr>
            <w:tcW w:w="4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-56.2%</w:t>
            </w:r>
          </w:p>
        </w:tc>
        <w:tc>
          <w:tcPr>
            <w:tcW w:w="1080" w:type="dxa"/>
            <w:vAlign w:val="bottom"/>
            <w:tcBorders>
              <w:bottom w:val="single" w:sz="8" w:color="auto"/>
            </w:tcBorders>
          </w:tcPr>
          <w:p>
            <w:pPr>
              <w:jc w:val="right"/>
              <w:ind w:right="142"/>
              <w:spacing w:after="0"/>
              <w:rPr>
                <w:sz w:val="20"/>
                <w:szCs w:val="20"/>
                <w:color w:val="auto"/>
              </w:rPr>
            </w:pPr>
            <w:r>
              <w:rPr>
                <w:rFonts w:ascii="Calibri" w:cs="Calibri" w:eastAsia="Calibri" w:hAnsi="Calibri"/>
                <w:sz w:val="11"/>
                <w:szCs w:val="11"/>
                <w:color w:val="auto"/>
              </w:rPr>
              <w:t>43,988</w:t>
            </w:r>
          </w:p>
        </w:tc>
        <w:tc>
          <w:tcPr>
            <w:tcW w:w="700" w:type="dxa"/>
            <w:vAlign w:val="bottom"/>
            <w:tcBorders>
              <w:bottom w:val="single" w:sz="8" w:color="auto"/>
            </w:tcBorders>
          </w:tcPr>
          <w:p>
            <w:pPr>
              <w:jc w:val="right"/>
              <w:spacing w:after="0"/>
              <w:rPr>
                <w:sz w:val="20"/>
                <w:szCs w:val="20"/>
                <w:color w:val="auto"/>
              </w:rPr>
            </w:pPr>
            <w:r>
              <w:rPr>
                <w:rFonts w:ascii="Calibri" w:cs="Calibri" w:eastAsia="Calibri" w:hAnsi="Calibri"/>
                <w:sz w:val="11"/>
                <w:szCs w:val="11"/>
                <w:color w:val="auto"/>
              </w:rPr>
              <w:t>24,461</w:t>
            </w:r>
          </w:p>
        </w:tc>
        <w:tc>
          <w:tcPr>
            <w:tcW w:w="10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-44.4%</w:t>
            </w:r>
          </w:p>
        </w:tc>
      </w:tr>
      <w:tr>
        <w:trPr>
          <w:trHeight w:val="169"/>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Operatng expenses</w:t>
            </w:r>
          </w:p>
        </w:tc>
        <w:tc>
          <w:tcPr>
            <w:tcW w:w="1100" w:type="dxa"/>
            <w:vAlign w:val="bottom"/>
            <w:tcBorders>
              <w:bottom w:val="single" w:sz="8" w:color="auto"/>
            </w:tcBorders>
          </w:tcPr>
          <w:p>
            <w:pPr>
              <w:jc w:val="right"/>
              <w:ind w:right="44"/>
              <w:spacing w:after="0"/>
              <w:rPr>
                <w:sz w:val="20"/>
                <w:szCs w:val="20"/>
                <w:color w:val="auto"/>
              </w:rPr>
            </w:pPr>
            <w:r>
              <w:rPr>
                <w:rFonts w:ascii="Calibri" w:cs="Calibri" w:eastAsia="Calibri" w:hAnsi="Calibri"/>
                <w:sz w:val="11"/>
                <w:szCs w:val="11"/>
                <w:b w:val="1"/>
                <w:bCs w:val="1"/>
                <w:color w:val="auto"/>
              </w:rPr>
              <w:t>2,243,691</w:t>
            </w:r>
          </w:p>
        </w:tc>
        <w:tc>
          <w:tcPr>
            <w:tcW w:w="960" w:type="dxa"/>
            <w:vAlign w:val="bottom"/>
            <w:tcBorders>
              <w:bottom w:val="single" w:sz="8" w:color="auto"/>
            </w:tcBorders>
          </w:tcPr>
          <w:p>
            <w:pPr>
              <w:jc w:val="right"/>
              <w:ind w:right="102"/>
              <w:spacing w:after="0"/>
              <w:rPr>
                <w:sz w:val="20"/>
                <w:szCs w:val="20"/>
                <w:color w:val="auto"/>
              </w:rPr>
            </w:pPr>
            <w:r>
              <w:rPr>
                <w:rFonts w:ascii="Calibri" w:cs="Calibri" w:eastAsia="Calibri" w:hAnsi="Calibri"/>
                <w:sz w:val="11"/>
                <w:szCs w:val="11"/>
                <w:b w:val="1"/>
                <w:bCs w:val="1"/>
                <w:color w:val="auto"/>
              </w:rPr>
              <w:t>2,340,934</w:t>
            </w:r>
          </w:p>
        </w:tc>
        <w:tc>
          <w:tcPr>
            <w:tcW w:w="7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2,389,261</w:t>
            </w:r>
          </w:p>
        </w:tc>
        <w:tc>
          <w:tcPr>
            <w:tcW w:w="620" w:type="dxa"/>
            <w:vAlign w:val="bottom"/>
            <w:tcBorders>
              <w:bottom w:val="single" w:sz="8" w:color="auto"/>
            </w:tcBorders>
          </w:tcPr>
          <w:p>
            <w:pPr>
              <w:jc w:val="right"/>
              <w:ind w:right="22"/>
              <w:spacing w:after="0"/>
              <w:rPr>
                <w:sz w:val="20"/>
                <w:szCs w:val="20"/>
                <w:color w:val="auto"/>
              </w:rPr>
            </w:pPr>
            <w:r>
              <w:rPr>
                <w:rFonts w:ascii="Calibri" w:cs="Calibri" w:eastAsia="Calibri" w:hAnsi="Calibri"/>
                <w:sz w:val="11"/>
                <w:szCs w:val="11"/>
                <w:b w:val="1"/>
                <w:bCs w:val="1"/>
                <w:color w:val="auto"/>
              </w:rPr>
              <w:t>2.1%</w:t>
            </w:r>
          </w:p>
        </w:tc>
        <w:tc>
          <w:tcPr>
            <w:tcW w:w="4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6.5%</w:t>
            </w:r>
          </w:p>
        </w:tc>
        <w:tc>
          <w:tcPr>
            <w:tcW w:w="1080" w:type="dxa"/>
            <w:vAlign w:val="bottom"/>
            <w:tcBorders>
              <w:bottom w:val="single" w:sz="8" w:color="auto"/>
            </w:tcBorders>
          </w:tcPr>
          <w:p>
            <w:pPr>
              <w:jc w:val="right"/>
              <w:ind w:right="142"/>
              <w:spacing w:after="0"/>
              <w:rPr>
                <w:sz w:val="20"/>
                <w:szCs w:val="20"/>
                <w:color w:val="auto"/>
              </w:rPr>
            </w:pPr>
            <w:r>
              <w:rPr>
                <w:rFonts w:ascii="Calibri" w:cs="Calibri" w:eastAsia="Calibri" w:hAnsi="Calibri"/>
                <w:sz w:val="11"/>
                <w:szCs w:val="11"/>
                <w:b w:val="1"/>
                <w:bCs w:val="1"/>
                <w:color w:val="auto"/>
              </w:rPr>
              <w:t>6,385,072</w:t>
            </w:r>
          </w:p>
        </w:tc>
        <w:tc>
          <w:tcPr>
            <w:tcW w:w="700" w:type="dxa"/>
            <w:vAlign w:val="bottom"/>
            <w:tcBorders>
              <w:bottom w:val="single" w:sz="8" w:color="auto"/>
            </w:tcBorders>
          </w:tcPr>
          <w:p>
            <w:pPr>
              <w:jc w:val="right"/>
              <w:spacing w:after="0"/>
              <w:rPr>
                <w:sz w:val="20"/>
                <w:szCs w:val="20"/>
                <w:color w:val="auto"/>
              </w:rPr>
            </w:pPr>
            <w:r>
              <w:rPr>
                <w:rFonts w:ascii="Calibri" w:cs="Calibri" w:eastAsia="Calibri" w:hAnsi="Calibri"/>
                <w:sz w:val="11"/>
                <w:szCs w:val="11"/>
                <w:b w:val="1"/>
                <w:bCs w:val="1"/>
                <w:color w:val="auto"/>
              </w:rPr>
              <w:t>6,909,840</w:t>
            </w:r>
          </w:p>
        </w:tc>
        <w:tc>
          <w:tcPr>
            <w:tcW w:w="10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8.2%</w:t>
            </w:r>
          </w:p>
        </w:tc>
      </w:tr>
    </w:tbl>
    <w:p>
      <w:pPr>
        <w:spacing w:after="0" w:line="210" w:lineRule="auto"/>
        <w:rPr>
          <w:sz w:val="20"/>
          <w:szCs w:val="20"/>
          <w:color w:val="auto"/>
        </w:rPr>
      </w:pPr>
      <w:r>
        <w:rPr>
          <w:rFonts w:ascii="Calibri" w:cs="Calibri" w:eastAsia="Calibri" w:hAnsi="Calibri"/>
          <w:sz w:val="18"/>
          <w:szCs w:val="18"/>
          <w:color w:val="auto"/>
        </w:rPr>
        <w:t>The analysis of expenses will focus on YTD movements to eliminate the impact of seasonality across quarters.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Operatng expenses rose 8.2% YTD due to:</w:t>
      </w:r>
    </w:p>
    <w:p>
      <w:pPr>
        <w:spacing w:after="0" w:line="231" w:lineRule="exact"/>
        <w:rPr>
          <w:sz w:val="20"/>
          <w:szCs w:val="20"/>
          <w:color w:val="auto"/>
        </w:rPr>
      </w:pPr>
    </w:p>
    <w:p>
      <w:pPr>
        <w:ind w:left="400" w:right="720" w:hanging="392"/>
        <w:spacing w:after="0" w:line="235" w:lineRule="auto"/>
        <w:tabs>
          <w:tab w:leader="none" w:pos="40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An increase in expenses for Salaries and Employee Benefts, which was driven primarily by growth in the headcount and hiring of specialized IT personnel; followed by higher provisions for variable compensaton.</w:t>
      </w:r>
    </w:p>
    <w:p>
      <w:pPr>
        <w:spacing w:after="0" w:line="1" w:lineRule="exact"/>
        <w:rPr>
          <w:rFonts w:ascii="Calibri" w:cs="Calibri" w:eastAsia="Calibri" w:hAnsi="Calibri"/>
          <w:sz w:val="18"/>
          <w:szCs w:val="18"/>
          <w:color w:val="auto"/>
        </w:rPr>
      </w:pPr>
    </w:p>
    <w:p>
      <w:pPr>
        <w:ind w:left="400" w:right="480" w:hanging="392"/>
        <w:spacing w:after="0" w:line="235" w:lineRule="auto"/>
        <w:tabs>
          <w:tab w:leader="none" w:pos="40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Growth in administratve and general expenses over the period was fueled by higher transactons through digital channels, which generated more expenses for cloud use and other IT-related actvites.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Administratve and General Expenses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8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4"/>
                <w:szCs w:val="14"/>
                <w:b w:val="1"/>
                <w:bCs w:val="1"/>
                <w:color w:val="FFFFFF"/>
              </w:rPr>
              <w:t>Administratve and general expenses</w:t>
            </w:r>
          </w:p>
        </w:tc>
        <w:tc>
          <w:tcPr>
            <w:tcW w:w="1220" w:type="dxa"/>
            <w:vAlign w:val="bottom"/>
            <w:tcBorders>
              <w:top w:val="single" w:sz="8" w:color="auto"/>
            </w:tcBorders>
            <w:shd w:val="clear" w:color="auto" w:fill="2AD2C9"/>
          </w:tcPr>
          <w:p>
            <w:pPr>
              <w:spacing w:after="0"/>
              <w:rPr>
                <w:sz w:val="15"/>
                <w:szCs w:val="15"/>
                <w:color w:val="auto"/>
              </w:rPr>
            </w:pPr>
          </w:p>
        </w:tc>
        <w:tc>
          <w:tcPr>
            <w:tcW w:w="1140" w:type="dxa"/>
            <w:vAlign w:val="bottom"/>
            <w:tcBorders>
              <w:top w:val="single" w:sz="8" w:color="auto"/>
            </w:tcBorders>
            <w:shd w:val="clear" w:color="auto" w:fill="2AD2C9"/>
          </w:tcPr>
          <w:p>
            <w:pPr>
              <w:jc w:val="right"/>
              <w:ind w:right="468"/>
              <w:spacing w:after="0"/>
              <w:rPr>
                <w:sz w:val="20"/>
                <w:szCs w:val="20"/>
                <w:color w:val="auto"/>
              </w:rPr>
            </w:pPr>
            <w:r>
              <w:rPr>
                <w:rFonts w:ascii="Calibri" w:cs="Calibri" w:eastAsia="Calibri" w:hAnsi="Calibri"/>
                <w:sz w:val="14"/>
                <w:szCs w:val="14"/>
                <w:b w:val="1"/>
                <w:bCs w:val="1"/>
                <w:color w:val="FFFFFF"/>
              </w:rPr>
              <w:t>Quarter</w:t>
            </w:r>
          </w:p>
        </w:tc>
        <w:tc>
          <w:tcPr>
            <w:tcW w:w="840" w:type="dxa"/>
            <w:vAlign w:val="bottom"/>
            <w:tcBorders>
              <w:top w:val="single" w:sz="8" w:color="auto"/>
              <w:right w:val="single" w:sz="8" w:color="auto"/>
            </w:tcBorders>
            <w:shd w:val="clear" w:color="auto" w:fill="2AD2C9"/>
          </w:tcPr>
          <w:p>
            <w:pPr>
              <w:spacing w:after="0"/>
              <w:rPr>
                <w:sz w:val="15"/>
                <w:szCs w:val="15"/>
                <w:color w:val="auto"/>
              </w:rPr>
            </w:pPr>
          </w:p>
        </w:tc>
        <w:tc>
          <w:tcPr>
            <w:tcW w:w="1160" w:type="dxa"/>
            <w:vAlign w:val="bottom"/>
            <w:tcBorders>
              <w:top w:val="single" w:sz="8" w:color="auto"/>
            </w:tcBorders>
            <w:shd w:val="clear" w:color="auto" w:fill="2AD2C9"/>
          </w:tcPr>
          <w:p>
            <w:pPr>
              <w:jc w:val="right"/>
              <w:spacing w:after="0"/>
              <w:rPr>
                <w:sz w:val="20"/>
                <w:szCs w:val="20"/>
                <w:color w:val="auto"/>
              </w:rPr>
            </w:pPr>
            <w:r>
              <w:rPr>
                <w:rFonts w:ascii="Calibri" w:cs="Calibri" w:eastAsia="Calibri" w:hAnsi="Calibri"/>
                <w:sz w:val="14"/>
                <w:szCs w:val="14"/>
                <w:b w:val="1"/>
                <w:bCs w:val="1"/>
                <w:color w:val="FFFFFF"/>
              </w:rPr>
              <w:t>% change</w:t>
            </w:r>
          </w:p>
        </w:tc>
        <w:tc>
          <w:tcPr>
            <w:tcW w:w="560" w:type="dxa"/>
            <w:vAlign w:val="bottom"/>
            <w:tcBorders>
              <w:top w:val="single" w:sz="8" w:color="auto"/>
              <w:right w:val="single" w:sz="8" w:color="auto"/>
            </w:tcBorders>
            <w:shd w:val="clear" w:color="auto" w:fill="2AD2C9"/>
          </w:tcPr>
          <w:p>
            <w:pPr>
              <w:spacing w:after="0"/>
              <w:rPr>
                <w:sz w:val="15"/>
                <w:szCs w:val="15"/>
                <w:color w:val="auto"/>
              </w:rPr>
            </w:pPr>
          </w:p>
        </w:tc>
        <w:tc>
          <w:tcPr>
            <w:tcW w:w="1280" w:type="dxa"/>
            <w:vAlign w:val="bottom"/>
            <w:tcBorders>
              <w:top w:val="single" w:sz="8" w:color="auto"/>
            </w:tcBorders>
            <w:shd w:val="clear" w:color="auto" w:fill="2AD2C9"/>
          </w:tcPr>
          <w:p>
            <w:pPr>
              <w:jc w:val="right"/>
              <w:ind w:right="8"/>
              <w:spacing w:after="0"/>
              <w:rPr>
                <w:sz w:val="20"/>
                <w:szCs w:val="20"/>
                <w:color w:val="auto"/>
              </w:rPr>
            </w:pPr>
            <w:r>
              <w:rPr>
                <w:rFonts w:ascii="Calibri" w:cs="Calibri" w:eastAsia="Calibri" w:hAnsi="Calibri"/>
                <w:sz w:val="14"/>
                <w:szCs w:val="14"/>
                <w:b w:val="1"/>
                <w:bCs w:val="1"/>
                <w:color w:val="FFFFFF"/>
              </w:rPr>
              <w:t>Up to</w:t>
            </w:r>
          </w:p>
        </w:tc>
        <w:tc>
          <w:tcPr>
            <w:tcW w:w="840" w:type="dxa"/>
            <w:vAlign w:val="bottom"/>
            <w:tcBorders>
              <w:top w:val="single" w:sz="8" w:color="auto"/>
              <w:right w:val="single" w:sz="8" w:color="auto"/>
            </w:tcBorders>
            <w:shd w:val="clear" w:color="auto" w:fill="2AD2C9"/>
          </w:tcPr>
          <w:p>
            <w:pPr>
              <w:spacing w:after="0"/>
              <w:rPr>
                <w:sz w:val="15"/>
                <w:szCs w:val="15"/>
                <w:color w:val="auto"/>
              </w:rPr>
            </w:pPr>
          </w:p>
        </w:tc>
        <w:tc>
          <w:tcPr>
            <w:tcW w:w="1320" w:type="dxa"/>
            <w:vAlign w:val="bottom"/>
            <w:tcBorders>
              <w:top w:val="single" w:sz="8" w:color="auto"/>
              <w:right w:val="single" w:sz="8" w:color="auto"/>
            </w:tcBorders>
            <w:shd w:val="clear" w:color="auto" w:fill="2AD2C9"/>
          </w:tcPr>
          <w:p>
            <w:pPr>
              <w:jc w:val="right"/>
              <w:ind w:right="308"/>
              <w:spacing w:after="0"/>
              <w:rPr>
                <w:sz w:val="20"/>
                <w:szCs w:val="20"/>
                <w:color w:val="auto"/>
              </w:rPr>
            </w:pPr>
            <w:r>
              <w:rPr>
                <w:rFonts w:ascii="Calibri" w:cs="Calibri" w:eastAsia="Calibri" w:hAnsi="Calibri"/>
                <w:sz w:val="14"/>
                <w:szCs w:val="14"/>
                <w:b w:val="1"/>
                <w:bCs w:val="1"/>
                <w:color w:val="FFFFFF"/>
              </w:rPr>
              <w:t>% change</w:t>
            </w:r>
          </w:p>
        </w:tc>
      </w:tr>
      <w:tr>
        <w:trPr>
          <w:trHeight w:val="176"/>
        </w:trPr>
        <w:tc>
          <w:tcPr>
            <w:tcW w:w="28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4"/>
                <w:szCs w:val="14"/>
                <w:b w:val="1"/>
                <w:bCs w:val="1"/>
                <w:color w:val="FFFFFF"/>
              </w:rPr>
              <w:t>S/ 000</w:t>
            </w:r>
          </w:p>
        </w:tc>
        <w:tc>
          <w:tcPr>
            <w:tcW w:w="1220" w:type="dxa"/>
            <w:vAlign w:val="bottom"/>
            <w:tcBorders>
              <w:bottom w:val="single" w:sz="8" w:color="auto"/>
            </w:tcBorders>
            <w:shd w:val="clear" w:color="auto" w:fill="2AD2C9"/>
          </w:tcPr>
          <w:p>
            <w:pPr>
              <w:jc w:val="right"/>
              <w:ind w:right="448"/>
              <w:spacing w:after="0"/>
              <w:rPr>
                <w:sz w:val="20"/>
                <w:szCs w:val="20"/>
                <w:color w:val="auto"/>
              </w:rPr>
            </w:pPr>
            <w:r>
              <w:rPr>
                <w:rFonts w:ascii="Calibri" w:cs="Calibri" w:eastAsia="Calibri" w:hAnsi="Calibri"/>
                <w:sz w:val="14"/>
                <w:szCs w:val="14"/>
                <w:b w:val="1"/>
                <w:bCs w:val="1"/>
                <w:color w:val="FFFFFF"/>
              </w:rPr>
              <w:t>3Q23</w:t>
            </w:r>
          </w:p>
        </w:tc>
        <w:tc>
          <w:tcPr>
            <w:tcW w:w="1140" w:type="dxa"/>
            <w:vAlign w:val="bottom"/>
            <w:tcBorders>
              <w:bottom w:val="single" w:sz="8" w:color="auto"/>
            </w:tcBorders>
            <w:shd w:val="clear" w:color="auto" w:fill="2AD2C9"/>
          </w:tcPr>
          <w:p>
            <w:pPr>
              <w:jc w:val="right"/>
              <w:ind w:right="488"/>
              <w:spacing w:after="0"/>
              <w:rPr>
                <w:sz w:val="20"/>
                <w:szCs w:val="20"/>
                <w:color w:val="auto"/>
              </w:rPr>
            </w:pPr>
            <w:r>
              <w:rPr>
                <w:rFonts w:ascii="Calibri" w:cs="Calibri" w:eastAsia="Calibri" w:hAnsi="Calibri"/>
                <w:sz w:val="14"/>
                <w:szCs w:val="14"/>
                <w:b w:val="1"/>
                <w:bCs w:val="1"/>
                <w:color w:val="FFFFFF"/>
              </w:rPr>
              <w:t>2Q24</w:t>
            </w:r>
          </w:p>
        </w:tc>
        <w:tc>
          <w:tcPr>
            <w:tcW w:w="840" w:type="dxa"/>
            <w:vAlign w:val="bottom"/>
            <w:tcBorders>
              <w:bottom w:val="single" w:sz="8" w:color="auto"/>
              <w:right w:val="single" w:sz="8" w:color="auto"/>
            </w:tcBorders>
            <w:shd w:val="clear" w:color="auto" w:fill="2AD2C9"/>
          </w:tcPr>
          <w:p>
            <w:pPr>
              <w:jc w:val="right"/>
              <w:ind w:right="288"/>
              <w:spacing w:after="0"/>
              <w:rPr>
                <w:sz w:val="20"/>
                <w:szCs w:val="20"/>
                <w:color w:val="auto"/>
              </w:rPr>
            </w:pPr>
            <w:r>
              <w:rPr>
                <w:rFonts w:ascii="Calibri" w:cs="Calibri" w:eastAsia="Calibri" w:hAnsi="Calibri"/>
                <w:sz w:val="14"/>
                <w:szCs w:val="14"/>
                <w:b w:val="1"/>
                <w:bCs w:val="1"/>
                <w:color w:val="FFFFFF"/>
              </w:rPr>
              <w:t>3Q24</w:t>
            </w:r>
          </w:p>
        </w:tc>
        <w:tc>
          <w:tcPr>
            <w:tcW w:w="1160" w:type="dxa"/>
            <w:vAlign w:val="bottom"/>
            <w:tcBorders>
              <w:bottom w:val="single" w:sz="8" w:color="auto"/>
            </w:tcBorders>
            <w:shd w:val="clear" w:color="auto" w:fill="2AD2C9"/>
          </w:tcPr>
          <w:p>
            <w:pPr>
              <w:jc w:val="right"/>
              <w:ind w:right="508"/>
              <w:spacing w:after="0"/>
              <w:rPr>
                <w:sz w:val="20"/>
                <w:szCs w:val="20"/>
                <w:color w:val="auto"/>
              </w:rPr>
            </w:pPr>
            <w:r>
              <w:rPr>
                <w:rFonts w:ascii="Calibri" w:cs="Calibri" w:eastAsia="Calibri" w:hAnsi="Calibri"/>
                <w:sz w:val="14"/>
                <w:szCs w:val="14"/>
                <w:b w:val="1"/>
                <w:bCs w:val="1"/>
                <w:color w:val="FFFFFF"/>
              </w:rPr>
              <w:t>QoQ</w:t>
            </w:r>
          </w:p>
        </w:tc>
        <w:tc>
          <w:tcPr>
            <w:tcW w:w="560" w:type="dxa"/>
            <w:vAlign w:val="bottom"/>
            <w:tcBorders>
              <w:bottom w:val="single" w:sz="8" w:color="auto"/>
              <w:right w:val="single" w:sz="8" w:color="auto"/>
            </w:tcBorders>
            <w:shd w:val="clear" w:color="auto" w:fill="2AD2C9"/>
          </w:tcPr>
          <w:p>
            <w:pPr>
              <w:jc w:val="right"/>
              <w:ind w:right="248"/>
              <w:spacing w:after="0"/>
              <w:rPr>
                <w:sz w:val="20"/>
                <w:szCs w:val="20"/>
                <w:color w:val="auto"/>
              </w:rPr>
            </w:pPr>
            <w:r>
              <w:rPr>
                <w:rFonts w:ascii="Calibri" w:cs="Calibri" w:eastAsia="Calibri" w:hAnsi="Calibri"/>
                <w:sz w:val="14"/>
                <w:szCs w:val="14"/>
                <w:b w:val="1"/>
                <w:bCs w:val="1"/>
                <w:color w:val="FFFFFF"/>
                <w:w w:val="99"/>
              </w:rPr>
              <w:t>YoY</w:t>
            </w:r>
          </w:p>
        </w:tc>
        <w:tc>
          <w:tcPr>
            <w:tcW w:w="1280" w:type="dxa"/>
            <w:vAlign w:val="bottom"/>
            <w:tcBorders>
              <w:bottom w:val="single" w:sz="8" w:color="auto"/>
            </w:tcBorders>
            <w:shd w:val="clear" w:color="auto" w:fill="2AD2C9"/>
          </w:tcPr>
          <w:p>
            <w:pPr>
              <w:jc w:val="right"/>
              <w:ind w:right="528"/>
              <w:spacing w:after="0"/>
              <w:rPr>
                <w:sz w:val="20"/>
                <w:szCs w:val="20"/>
                <w:color w:val="auto"/>
              </w:rPr>
            </w:pPr>
            <w:r>
              <w:rPr>
                <w:rFonts w:ascii="Calibri" w:cs="Calibri" w:eastAsia="Calibri" w:hAnsi="Calibri"/>
                <w:sz w:val="14"/>
                <w:szCs w:val="14"/>
                <w:b w:val="1"/>
                <w:bCs w:val="1"/>
                <w:color w:val="FFFFFF"/>
              </w:rPr>
              <w:t>Sep 23</w:t>
            </w:r>
          </w:p>
        </w:tc>
        <w:tc>
          <w:tcPr>
            <w:tcW w:w="840" w:type="dxa"/>
            <w:vAlign w:val="bottom"/>
            <w:tcBorders>
              <w:bottom w:val="single" w:sz="8" w:color="auto"/>
              <w:right w:val="single" w:sz="8" w:color="auto"/>
            </w:tcBorders>
            <w:shd w:val="clear" w:color="auto" w:fill="2AD2C9"/>
          </w:tcPr>
          <w:p>
            <w:pPr>
              <w:jc w:val="right"/>
              <w:ind w:right="308"/>
              <w:spacing w:after="0"/>
              <w:rPr>
                <w:sz w:val="20"/>
                <w:szCs w:val="20"/>
                <w:color w:val="auto"/>
              </w:rPr>
            </w:pPr>
            <w:r>
              <w:rPr>
                <w:rFonts w:ascii="Calibri" w:cs="Calibri" w:eastAsia="Calibri" w:hAnsi="Calibri"/>
                <w:sz w:val="14"/>
                <w:szCs w:val="14"/>
                <w:b w:val="1"/>
                <w:bCs w:val="1"/>
                <w:color w:val="FFFFFF"/>
              </w:rPr>
              <w:t>Sep 24</w:t>
            </w:r>
          </w:p>
        </w:tc>
        <w:tc>
          <w:tcPr>
            <w:tcW w:w="1320" w:type="dxa"/>
            <w:vAlign w:val="bottom"/>
            <w:tcBorders>
              <w:bottom w:val="single" w:sz="8" w:color="auto"/>
              <w:right w:val="single" w:sz="8" w:color="auto"/>
            </w:tcBorders>
            <w:shd w:val="clear" w:color="auto" w:fill="2AD2C9"/>
          </w:tcPr>
          <w:p>
            <w:pPr>
              <w:jc w:val="right"/>
              <w:ind w:right="128"/>
              <w:spacing w:after="0"/>
              <w:rPr>
                <w:sz w:val="20"/>
                <w:szCs w:val="20"/>
                <w:color w:val="auto"/>
              </w:rPr>
            </w:pPr>
            <w:r>
              <w:rPr>
                <w:rFonts w:ascii="Calibri" w:cs="Calibri" w:eastAsia="Calibri" w:hAnsi="Calibri"/>
                <w:sz w:val="14"/>
                <w:szCs w:val="14"/>
                <w:b w:val="1"/>
                <w:bCs w:val="1"/>
                <w:color w:val="FFFFFF"/>
              </w:rPr>
              <w:t>Sep 24 / Sep 23</w:t>
            </w:r>
          </w:p>
        </w:tc>
      </w:tr>
      <w:tr>
        <w:trPr>
          <w:trHeight w:val="160"/>
        </w:trPr>
        <w:tc>
          <w:tcPr>
            <w:tcW w:w="2880" w:type="dxa"/>
            <w:vAlign w:val="bottom"/>
            <w:tcBorders>
              <w:left w:val="single" w:sz="8" w:color="auto"/>
              <w:right w:val="single" w:sz="8" w:color="auto"/>
            </w:tcBorders>
          </w:tcPr>
          <w:p>
            <w:pPr>
              <w:ind w:left="20"/>
              <w:spacing w:after="0" w:line="160" w:lineRule="exact"/>
              <w:rPr>
                <w:sz w:val="20"/>
                <w:szCs w:val="20"/>
                <w:color w:val="auto"/>
              </w:rPr>
            </w:pPr>
            <w:r>
              <w:rPr>
                <w:rFonts w:ascii="Calibri" w:cs="Calibri" w:eastAsia="Calibri" w:hAnsi="Calibri"/>
                <w:sz w:val="14"/>
                <w:szCs w:val="14"/>
                <w:color w:val="auto"/>
              </w:rPr>
              <w:t>IT expenses and IT third-party services</w:t>
            </w:r>
          </w:p>
        </w:tc>
        <w:tc>
          <w:tcPr>
            <w:tcW w:w="1220" w:type="dxa"/>
            <w:vAlign w:val="bottom"/>
          </w:tcPr>
          <w:p>
            <w:pPr>
              <w:jc w:val="right"/>
              <w:ind w:right="48"/>
              <w:spacing w:after="0" w:line="160" w:lineRule="exact"/>
              <w:rPr>
                <w:sz w:val="20"/>
                <w:szCs w:val="20"/>
                <w:color w:val="auto"/>
              </w:rPr>
            </w:pPr>
            <w:r>
              <w:rPr>
                <w:rFonts w:ascii="Calibri" w:cs="Calibri" w:eastAsia="Calibri" w:hAnsi="Calibri"/>
                <w:sz w:val="14"/>
                <w:szCs w:val="14"/>
                <w:color w:val="auto"/>
              </w:rPr>
              <w:t>271,304</w:t>
            </w:r>
          </w:p>
        </w:tc>
        <w:tc>
          <w:tcPr>
            <w:tcW w:w="1140" w:type="dxa"/>
            <w:vAlign w:val="bottom"/>
          </w:tcPr>
          <w:p>
            <w:pPr>
              <w:jc w:val="right"/>
              <w:ind w:right="88"/>
              <w:spacing w:after="0" w:line="160" w:lineRule="exact"/>
              <w:rPr>
                <w:sz w:val="20"/>
                <w:szCs w:val="20"/>
                <w:color w:val="auto"/>
              </w:rPr>
            </w:pPr>
            <w:r>
              <w:rPr>
                <w:rFonts w:ascii="Calibri" w:cs="Calibri" w:eastAsia="Calibri" w:hAnsi="Calibri"/>
                <w:sz w:val="14"/>
                <w:szCs w:val="14"/>
                <w:color w:val="auto"/>
              </w:rPr>
              <w:t>294,997</w:t>
            </w:r>
          </w:p>
        </w:tc>
        <w:tc>
          <w:tcPr>
            <w:tcW w:w="840" w:type="dxa"/>
            <w:vAlign w:val="bottom"/>
            <w:tcBorders>
              <w:right w:val="single" w:sz="8" w:color="auto"/>
            </w:tcBorders>
          </w:tcPr>
          <w:p>
            <w:pPr>
              <w:jc w:val="right"/>
              <w:spacing w:after="0" w:line="160" w:lineRule="exact"/>
              <w:rPr>
                <w:sz w:val="20"/>
                <w:szCs w:val="20"/>
                <w:color w:val="auto"/>
              </w:rPr>
            </w:pPr>
            <w:r>
              <w:rPr>
                <w:rFonts w:ascii="Calibri" w:cs="Calibri" w:eastAsia="Calibri" w:hAnsi="Calibri"/>
                <w:sz w:val="14"/>
                <w:szCs w:val="14"/>
                <w:color w:val="auto"/>
              </w:rPr>
              <w:t>287,372</w:t>
            </w:r>
          </w:p>
        </w:tc>
        <w:tc>
          <w:tcPr>
            <w:tcW w:w="1160" w:type="dxa"/>
            <w:vAlign w:val="bottom"/>
          </w:tcPr>
          <w:p>
            <w:pPr>
              <w:jc w:val="right"/>
              <w:ind w:right="208"/>
              <w:spacing w:after="0" w:line="160" w:lineRule="exact"/>
              <w:rPr>
                <w:sz w:val="20"/>
                <w:szCs w:val="20"/>
                <w:color w:val="auto"/>
              </w:rPr>
            </w:pPr>
            <w:r>
              <w:rPr>
                <w:rFonts w:ascii="Calibri" w:cs="Calibri" w:eastAsia="Calibri" w:hAnsi="Calibri"/>
                <w:sz w:val="14"/>
                <w:szCs w:val="14"/>
                <w:color w:val="auto"/>
              </w:rPr>
              <w:t>-2.6%</w:t>
            </w:r>
          </w:p>
        </w:tc>
        <w:tc>
          <w:tcPr>
            <w:tcW w:w="560" w:type="dxa"/>
            <w:vAlign w:val="bottom"/>
            <w:tcBorders>
              <w:right w:val="single" w:sz="8" w:color="auto"/>
            </w:tcBorders>
          </w:tcPr>
          <w:p>
            <w:pPr>
              <w:jc w:val="right"/>
              <w:spacing w:after="0" w:line="160" w:lineRule="exact"/>
              <w:rPr>
                <w:sz w:val="20"/>
                <w:szCs w:val="20"/>
                <w:color w:val="auto"/>
              </w:rPr>
            </w:pPr>
            <w:r>
              <w:rPr>
                <w:rFonts w:ascii="Calibri" w:cs="Calibri" w:eastAsia="Calibri" w:hAnsi="Calibri"/>
                <w:sz w:val="14"/>
                <w:szCs w:val="14"/>
                <w:color w:val="auto"/>
              </w:rPr>
              <w:t>5.9%</w:t>
            </w:r>
          </w:p>
        </w:tc>
        <w:tc>
          <w:tcPr>
            <w:tcW w:w="1280" w:type="dxa"/>
            <w:vAlign w:val="bottom"/>
          </w:tcPr>
          <w:p>
            <w:pPr>
              <w:jc w:val="right"/>
              <w:ind w:right="228"/>
              <w:spacing w:after="0" w:line="160" w:lineRule="exact"/>
              <w:rPr>
                <w:sz w:val="20"/>
                <w:szCs w:val="20"/>
                <w:color w:val="auto"/>
              </w:rPr>
            </w:pPr>
            <w:r>
              <w:rPr>
                <w:rFonts w:ascii="Calibri" w:cs="Calibri" w:eastAsia="Calibri" w:hAnsi="Calibri"/>
                <w:sz w:val="14"/>
                <w:szCs w:val="14"/>
                <w:color w:val="auto"/>
              </w:rPr>
              <w:t>768,584</w:t>
            </w:r>
          </w:p>
        </w:tc>
        <w:tc>
          <w:tcPr>
            <w:tcW w:w="840" w:type="dxa"/>
            <w:vAlign w:val="bottom"/>
            <w:tcBorders>
              <w:right w:val="single" w:sz="8" w:color="auto"/>
            </w:tcBorders>
          </w:tcPr>
          <w:p>
            <w:pPr>
              <w:jc w:val="right"/>
              <w:spacing w:after="0" w:line="160" w:lineRule="exact"/>
              <w:rPr>
                <w:sz w:val="20"/>
                <w:szCs w:val="20"/>
                <w:color w:val="auto"/>
              </w:rPr>
            </w:pPr>
            <w:r>
              <w:rPr>
                <w:rFonts w:ascii="Calibri" w:cs="Calibri" w:eastAsia="Calibri" w:hAnsi="Calibri"/>
                <w:sz w:val="14"/>
                <w:szCs w:val="14"/>
                <w:color w:val="auto"/>
              </w:rPr>
              <w:t>865,274</w:t>
            </w:r>
          </w:p>
        </w:tc>
        <w:tc>
          <w:tcPr>
            <w:tcW w:w="1320" w:type="dxa"/>
            <w:vAlign w:val="bottom"/>
            <w:tcBorders>
              <w:right w:val="single" w:sz="8" w:color="auto"/>
            </w:tcBorders>
          </w:tcPr>
          <w:p>
            <w:pPr>
              <w:jc w:val="right"/>
              <w:spacing w:after="0" w:line="160" w:lineRule="exact"/>
              <w:rPr>
                <w:sz w:val="20"/>
                <w:szCs w:val="20"/>
                <w:color w:val="auto"/>
              </w:rPr>
            </w:pPr>
            <w:r>
              <w:rPr>
                <w:rFonts w:ascii="Calibri" w:cs="Calibri" w:eastAsia="Calibri" w:hAnsi="Calibri"/>
                <w:sz w:val="14"/>
                <w:szCs w:val="14"/>
                <w:color w:val="auto"/>
              </w:rPr>
              <w:t>12.6%</w:t>
            </w:r>
          </w:p>
        </w:tc>
      </w:tr>
      <w:tr>
        <w:trPr>
          <w:trHeight w:val="170"/>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Advertsing and customer loyalty programs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171,902</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204,156</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199,111</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-2.5%</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15.8%</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481,690</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527,836</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9.6%</w:t>
            </w:r>
          </w:p>
        </w:tc>
      </w:tr>
      <w:tr>
        <w:trPr>
          <w:trHeight w:val="176"/>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Taxes and contributons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65,606</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94,448</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90,080</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-4.6%</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37.3%</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171,236</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277,415</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62.0%</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Audit Services, Consultng and professional fees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112,480</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75,845</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101,570</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33.9%</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-9.7%</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231,375</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236,407</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2.2%</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Transport and communicatons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57,518</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60,225</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62,568</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3.9%</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8.8%</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165,991</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176,857</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6.5%</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Repair and maintenance</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44,084</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34,598</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36,316</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5.0%</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-17.6%</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107,429</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103,552</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-3.6%</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Agents' Fees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29,310</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29,375</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29,957</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2.0%</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2.2%</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83,209</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86,720</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4.2%</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Services by third-party</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45,426</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35,950</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36,689</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2.1%</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-19.2%</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100,598</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101,054</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0.5%</w:t>
            </w:r>
          </w:p>
        </w:tc>
      </w:tr>
      <w:tr>
        <w:trPr>
          <w:trHeight w:val="176"/>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Leases of low value and short-term</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27,754</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31,002</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26,378</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-14.9%</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-5.0%</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78,152</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87,845</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12.4%</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Miscellaneous supplies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27,091</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24,700</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23,552</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-4.6%</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-13.1%</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87,921</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66,905</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-23.9%</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Security and protecton</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16,064</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16,544</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16,909</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2.2%</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5.3%</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47,857</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49,356</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3.1%</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Subscriptons and quotes</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14,391</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24,220</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18,349</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-24.2%</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27.5%</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43,501</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59,741</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37.3%</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Electricity and water</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13,592</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13,614</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11,857</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-12.9%</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-12.8%</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40,043</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37,207</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-7.1%</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Electronic processing</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9,959</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6,016</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7,578</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26.0%</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-23.9%</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28,480</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21,342</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-25.1%</w:t>
            </w:r>
          </w:p>
        </w:tc>
      </w:tr>
      <w:tr>
        <w:trPr>
          <w:trHeight w:val="176"/>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Insurance</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38,034</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7,370</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28,296</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283.9%</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-25.6%</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51,806</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40,838</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-21.2%</w:t>
            </w:r>
          </w:p>
        </w:tc>
      </w:tr>
      <w:tr>
        <w:trPr>
          <w:trHeight w:val="175"/>
        </w:trPr>
        <w:tc>
          <w:tcPr>
            <w:tcW w:w="2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Cleaning</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auto"/>
              </w:rPr>
              <w:t>5,930</w:t>
            </w:r>
          </w:p>
        </w:tc>
        <w:tc>
          <w:tcPr>
            <w:tcW w:w="1140" w:type="dxa"/>
            <w:vAlign w:val="bottom"/>
          </w:tcPr>
          <w:p>
            <w:pPr>
              <w:jc w:val="right"/>
              <w:ind w:right="88"/>
              <w:spacing w:after="0"/>
              <w:rPr>
                <w:sz w:val="20"/>
                <w:szCs w:val="20"/>
                <w:color w:val="auto"/>
              </w:rPr>
            </w:pPr>
            <w:r>
              <w:rPr>
                <w:rFonts w:ascii="Calibri" w:cs="Calibri" w:eastAsia="Calibri" w:hAnsi="Calibri"/>
                <w:sz w:val="14"/>
                <w:szCs w:val="14"/>
                <w:color w:val="auto"/>
              </w:rPr>
              <w:t>5,629</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5,761</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2.3%</w:t>
            </w:r>
          </w:p>
        </w:tc>
        <w:tc>
          <w:tcPr>
            <w:tcW w:w="56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-2.8%</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16,555</w:t>
            </w:r>
          </w:p>
        </w:tc>
        <w:tc>
          <w:tcPr>
            <w:tcW w:w="8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17,134</w:t>
            </w:r>
          </w:p>
        </w:tc>
        <w:tc>
          <w:tcPr>
            <w:tcW w:w="1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3.5%</w:t>
            </w:r>
          </w:p>
        </w:tc>
      </w:tr>
      <w:tr>
        <w:trPr>
          <w:trHeight w:val="189"/>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Others</w:t>
            </w:r>
          </w:p>
        </w:tc>
        <w:tc>
          <w:tcPr>
            <w:tcW w:w="1220" w:type="dxa"/>
            <w:vAlign w:val="bottom"/>
            <w:tcBorders>
              <w:bottom w:val="single" w:sz="8" w:color="auto"/>
            </w:tcBorders>
          </w:tcPr>
          <w:p>
            <w:pPr>
              <w:jc w:val="right"/>
              <w:ind w:right="48"/>
              <w:spacing w:after="0"/>
              <w:rPr>
                <w:sz w:val="20"/>
                <w:szCs w:val="20"/>
                <w:color w:val="auto"/>
              </w:rPr>
            </w:pPr>
            <w:r>
              <w:rPr>
                <w:rFonts w:ascii="Calibri" w:cs="Calibri" w:eastAsia="Calibri" w:hAnsi="Calibri"/>
                <w:sz w:val="14"/>
                <w:szCs w:val="14"/>
                <w:color w:val="auto"/>
              </w:rPr>
              <w:t>57,449</w:t>
            </w:r>
          </w:p>
        </w:tc>
        <w:tc>
          <w:tcPr>
            <w:tcW w:w="1140" w:type="dxa"/>
            <w:vAlign w:val="bottom"/>
            <w:tcBorders>
              <w:bottom w:val="single" w:sz="8" w:color="auto"/>
            </w:tcBorders>
          </w:tcPr>
          <w:p>
            <w:pPr>
              <w:jc w:val="right"/>
              <w:ind w:right="88"/>
              <w:spacing w:after="0"/>
              <w:rPr>
                <w:sz w:val="20"/>
                <w:szCs w:val="20"/>
                <w:color w:val="auto"/>
              </w:rPr>
            </w:pPr>
            <w:r>
              <w:rPr>
                <w:rFonts w:ascii="Calibri" w:cs="Calibri" w:eastAsia="Calibri" w:hAnsi="Calibri"/>
                <w:sz w:val="14"/>
                <w:szCs w:val="14"/>
                <w:color w:val="auto"/>
              </w:rPr>
              <w:t>59,018</w:t>
            </w:r>
          </w:p>
        </w:tc>
        <w:tc>
          <w:tcPr>
            <w:tcW w:w="8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color w:val="auto"/>
              </w:rPr>
              <w:t>65,043</w:t>
            </w:r>
          </w:p>
        </w:tc>
        <w:tc>
          <w:tcPr>
            <w:tcW w:w="1160" w:type="dxa"/>
            <w:vAlign w:val="bottom"/>
            <w:tcBorders>
              <w:bottom w:val="single" w:sz="8" w:color="auto"/>
            </w:tcBorders>
          </w:tcPr>
          <w:p>
            <w:pPr>
              <w:jc w:val="right"/>
              <w:ind w:right="208"/>
              <w:spacing w:after="0"/>
              <w:rPr>
                <w:sz w:val="20"/>
                <w:szCs w:val="20"/>
                <w:color w:val="auto"/>
              </w:rPr>
            </w:pPr>
            <w:r>
              <w:rPr>
                <w:rFonts w:ascii="Calibri" w:cs="Calibri" w:eastAsia="Calibri" w:hAnsi="Calibri"/>
                <w:sz w:val="14"/>
                <w:szCs w:val="14"/>
                <w:color w:val="auto"/>
              </w:rPr>
              <w:t>10.2%</w:t>
            </w:r>
          </w:p>
        </w:tc>
        <w:tc>
          <w:tcPr>
            <w:tcW w:w="5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color w:val="auto"/>
              </w:rPr>
              <w:t>13.2%</w:t>
            </w:r>
          </w:p>
        </w:tc>
        <w:tc>
          <w:tcPr>
            <w:tcW w:w="1280" w:type="dxa"/>
            <w:vAlign w:val="bottom"/>
            <w:tcBorders>
              <w:bottom w:val="single" w:sz="8" w:color="auto"/>
            </w:tcBorders>
          </w:tcPr>
          <w:p>
            <w:pPr>
              <w:jc w:val="right"/>
              <w:ind w:right="228"/>
              <w:spacing w:after="0"/>
              <w:rPr>
                <w:sz w:val="20"/>
                <w:szCs w:val="20"/>
                <w:color w:val="auto"/>
              </w:rPr>
            </w:pPr>
            <w:r>
              <w:rPr>
                <w:rFonts w:ascii="Calibri" w:cs="Calibri" w:eastAsia="Calibri" w:hAnsi="Calibri"/>
                <w:sz w:val="14"/>
                <w:szCs w:val="14"/>
                <w:color w:val="auto"/>
              </w:rPr>
              <w:t>209,573</w:t>
            </w:r>
          </w:p>
        </w:tc>
        <w:tc>
          <w:tcPr>
            <w:tcW w:w="8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color w:val="auto"/>
              </w:rPr>
              <w:t>198,193</w:t>
            </w:r>
          </w:p>
        </w:tc>
        <w:tc>
          <w:tcPr>
            <w:tcW w:w="13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color w:val="auto"/>
              </w:rPr>
              <w:t>-5.4%</w:t>
            </w:r>
          </w:p>
        </w:tc>
      </w:tr>
      <w:tr>
        <w:trPr>
          <w:trHeight w:val="173"/>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4"/>
                <w:szCs w:val="14"/>
                <w:b w:val="1"/>
                <w:bCs w:val="1"/>
                <w:color w:val="auto"/>
              </w:rPr>
              <w:t>Total</w:t>
            </w:r>
          </w:p>
        </w:tc>
        <w:tc>
          <w:tcPr>
            <w:tcW w:w="1220" w:type="dxa"/>
            <w:vAlign w:val="bottom"/>
            <w:tcBorders>
              <w:bottom w:val="single" w:sz="8" w:color="auto"/>
            </w:tcBorders>
          </w:tcPr>
          <w:p>
            <w:pPr>
              <w:jc w:val="right"/>
              <w:ind w:right="48"/>
              <w:spacing w:after="0"/>
              <w:rPr>
                <w:sz w:val="20"/>
                <w:szCs w:val="20"/>
                <w:color w:val="auto"/>
              </w:rPr>
            </w:pPr>
            <w:r>
              <w:rPr>
                <w:rFonts w:ascii="Calibri" w:cs="Calibri" w:eastAsia="Calibri" w:hAnsi="Calibri"/>
                <w:sz w:val="14"/>
                <w:szCs w:val="14"/>
                <w:b w:val="1"/>
                <w:bCs w:val="1"/>
                <w:color w:val="auto"/>
              </w:rPr>
              <w:t>1,007,894</w:t>
            </w:r>
          </w:p>
        </w:tc>
        <w:tc>
          <w:tcPr>
            <w:tcW w:w="1140" w:type="dxa"/>
            <w:vAlign w:val="bottom"/>
            <w:tcBorders>
              <w:bottom w:val="single" w:sz="8" w:color="auto"/>
            </w:tcBorders>
          </w:tcPr>
          <w:p>
            <w:pPr>
              <w:jc w:val="right"/>
              <w:ind w:right="88"/>
              <w:spacing w:after="0"/>
              <w:rPr>
                <w:sz w:val="20"/>
                <w:szCs w:val="20"/>
                <w:color w:val="auto"/>
              </w:rPr>
            </w:pPr>
            <w:r>
              <w:rPr>
                <w:rFonts w:ascii="Calibri" w:cs="Calibri" w:eastAsia="Calibri" w:hAnsi="Calibri"/>
                <w:sz w:val="14"/>
                <w:szCs w:val="14"/>
                <w:b w:val="1"/>
                <w:bCs w:val="1"/>
                <w:color w:val="auto"/>
              </w:rPr>
              <w:t>1,017,707</w:t>
            </w:r>
          </w:p>
        </w:tc>
        <w:tc>
          <w:tcPr>
            <w:tcW w:w="8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1,047,386</w:t>
            </w:r>
          </w:p>
        </w:tc>
        <w:tc>
          <w:tcPr>
            <w:tcW w:w="1160" w:type="dxa"/>
            <w:vAlign w:val="bottom"/>
            <w:tcBorders>
              <w:bottom w:val="single" w:sz="8" w:color="auto"/>
            </w:tcBorders>
          </w:tcPr>
          <w:p>
            <w:pPr>
              <w:jc w:val="right"/>
              <w:ind w:right="208"/>
              <w:spacing w:after="0"/>
              <w:rPr>
                <w:sz w:val="20"/>
                <w:szCs w:val="20"/>
                <w:color w:val="auto"/>
              </w:rPr>
            </w:pPr>
            <w:r>
              <w:rPr>
                <w:rFonts w:ascii="Calibri" w:cs="Calibri" w:eastAsia="Calibri" w:hAnsi="Calibri"/>
                <w:sz w:val="14"/>
                <w:szCs w:val="14"/>
                <w:b w:val="1"/>
                <w:bCs w:val="1"/>
                <w:color w:val="auto"/>
              </w:rPr>
              <w:t>2.9%</w:t>
            </w:r>
          </w:p>
        </w:tc>
        <w:tc>
          <w:tcPr>
            <w:tcW w:w="5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3.9%</w:t>
            </w:r>
          </w:p>
        </w:tc>
        <w:tc>
          <w:tcPr>
            <w:tcW w:w="1280" w:type="dxa"/>
            <w:vAlign w:val="bottom"/>
            <w:tcBorders>
              <w:bottom w:val="single" w:sz="8" w:color="auto"/>
            </w:tcBorders>
          </w:tcPr>
          <w:p>
            <w:pPr>
              <w:jc w:val="right"/>
              <w:ind w:right="228"/>
              <w:spacing w:after="0"/>
              <w:rPr>
                <w:sz w:val="20"/>
                <w:szCs w:val="20"/>
                <w:color w:val="auto"/>
              </w:rPr>
            </w:pPr>
            <w:r>
              <w:rPr>
                <w:rFonts w:ascii="Calibri" w:cs="Calibri" w:eastAsia="Calibri" w:hAnsi="Calibri"/>
                <w:sz w:val="14"/>
                <w:szCs w:val="14"/>
                <w:b w:val="1"/>
                <w:bCs w:val="1"/>
                <w:color w:val="auto"/>
              </w:rPr>
              <w:t>2,714,000</w:t>
            </w:r>
          </w:p>
        </w:tc>
        <w:tc>
          <w:tcPr>
            <w:tcW w:w="8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2,953,677</w:t>
            </w:r>
          </w:p>
        </w:tc>
        <w:tc>
          <w:tcPr>
            <w:tcW w:w="13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8.8%</w:t>
            </w:r>
          </w:p>
        </w:tc>
      </w:tr>
    </w:tbl>
    <w:p>
      <w:pPr>
        <w:spacing w:after="0" w:line="11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Administratve and general expenses rose 8.8% YTD. This growth was over a partcularly low base in 2Q23. The increase registered in the operatng expense was driven by an increase in expenses for IT and system outsourcing at BCP as well as by disruptve initatves at the Credicorp level.</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9" w:name="page40"/>
    <w:bookmarkEnd w:id="39"/>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4972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FFFFFF"/>
        </w:rPr>
        <w:t>08. Operatng Expenses</w:t>
      </w:r>
    </w:p>
    <w:p>
      <w:pPr>
        <w:spacing w:after="0" w:line="2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Operatng Expenses for Core Businesses and Disrupton </w:t>
      </w:r>
      <w:r>
        <w:rPr>
          <w:rFonts w:ascii="Calibri" w:cs="Calibri" w:eastAsia="Calibri" w:hAnsi="Calibri"/>
          <w:sz w:val="29"/>
          <w:szCs w:val="29"/>
          <w:b w:val="1"/>
          <w:bCs w:val="1"/>
          <w:color w:val="auto"/>
          <w:vertAlign w:val="superscript"/>
        </w:rPr>
        <w:t>(1)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52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3"/>
                <w:szCs w:val="13"/>
                <w:b w:val="1"/>
                <w:bCs w:val="1"/>
                <w:color w:val="FFFFFF"/>
              </w:rPr>
              <w:t>Operatng Expenses</w:t>
            </w:r>
          </w:p>
        </w:tc>
        <w:tc>
          <w:tcPr>
            <w:tcW w:w="1080" w:type="dxa"/>
            <w:vAlign w:val="bottom"/>
            <w:tcBorders>
              <w:top w:val="single" w:sz="8" w:color="auto"/>
            </w:tcBorders>
            <w:shd w:val="clear" w:color="auto" w:fill="2AD2C9"/>
          </w:tcPr>
          <w:p>
            <w:pPr>
              <w:spacing w:after="0"/>
              <w:rPr>
                <w:sz w:val="15"/>
                <w:szCs w:val="15"/>
                <w:color w:val="auto"/>
              </w:rPr>
            </w:pPr>
          </w:p>
        </w:tc>
        <w:tc>
          <w:tcPr>
            <w:tcW w:w="980" w:type="dxa"/>
            <w:vAlign w:val="bottom"/>
            <w:tcBorders>
              <w:top w:val="single" w:sz="8" w:color="auto"/>
            </w:tcBorders>
            <w:shd w:val="clear" w:color="auto" w:fill="2AD2C9"/>
          </w:tcPr>
          <w:p>
            <w:pPr>
              <w:jc w:val="right"/>
              <w:ind w:right="373"/>
              <w:spacing w:after="0"/>
              <w:rPr>
                <w:sz w:val="20"/>
                <w:szCs w:val="20"/>
                <w:color w:val="auto"/>
              </w:rPr>
            </w:pPr>
            <w:r>
              <w:rPr>
                <w:rFonts w:ascii="Calibri" w:cs="Calibri" w:eastAsia="Calibri" w:hAnsi="Calibri"/>
                <w:sz w:val="13"/>
                <w:szCs w:val="13"/>
                <w:b w:val="1"/>
                <w:bCs w:val="1"/>
                <w:color w:val="FFFFFF"/>
              </w:rPr>
              <w:t>Quarter</w:t>
            </w:r>
          </w:p>
        </w:tc>
        <w:tc>
          <w:tcPr>
            <w:tcW w:w="760" w:type="dxa"/>
            <w:vAlign w:val="bottom"/>
            <w:tcBorders>
              <w:top w:val="single" w:sz="8" w:color="auto"/>
              <w:right w:val="single" w:sz="8" w:color="auto"/>
            </w:tcBorders>
            <w:shd w:val="clear" w:color="auto" w:fill="2AD2C9"/>
          </w:tcPr>
          <w:p>
            <w:pPr>
              <w:spacing w:after="0"/>
              <w:rPr>
                <w:sz w:val="15"/>
                <w:szCs w:val="15"/>
                <w:color w:val="auto"/>
              </w:rPr>
            </w:pPr>
          </w:p>
        </w:tc>
        <w:tc>
          <w:tcPr>
            <w:tcW w:w="1120" w:type="dxa"/>
            <w:vAlign w:val="bottom"/>
            <w:tcBorders>
              <w:top w:val="single" w:sz="8" w:color="auto"/>
              <w:right w:val="single" w:sz="8" w:color="auto"/>
            </w:tcBorders>
            <w:gridSpan w:val="2"/>
            <w:shd w:val="clear" w:color="auto" w:fill="2AD2C9"/>
          </w:tcPr>
          <w:p>
            <w:pPr>
              <w:jc w:val="right"/>
              <w:ind w:right="233"/>
              <w:spacing w:after="0"/>
              <w:rPr>
                <w:sz w:val="20"/>
                <w:szCs w:val="20"/>
                <w:color w:val="auto"/>
              </w:rPr>
            </w:pPr>
            <w:r>
              <w:rPr>
                <w:rFonts w:ascii="Calibri" w:cs="Calibri" w:eastAsia="Calibri" w:hAnsi="Calibri"/>
                <w:sz w:val="13"/>
                <w:szCs w:val="13"/>
                <w:b w:val="1"/>
                <w:bCs w:val="1"/>
                <w:color w:val="FFFFFF"/>
              </w:rPr>
              <w:t>% change</w:t>
            </w:r>
          </w:p>
        </w:tc>
        <w:tc>
          <w:tcPr>
            <w:tcW w:w="1080" w:type="dxa"/>
            <w:vAlign w:val="bottom"/>
            <w:tcBorders>
              <w:top w:val="single" w:sz="8" w:color="auto"/>
            </w:tcBorders>
            <w:shd w:val="clear" w:color="auto" w:fill="2AD2C9"/>
          </w:tcPr>
          <w:p>
            <w:pPr>
              <w:jc w:val="right"/>
              <w:spacing w:after="0"/>
              <w:rPr>
                <w:sz w:val="20"/>
                <w:szCs w:val="20"/>
                <w:color w:val="auto"/>
              </w:rPr>
            </w:pPr>
            <w:r>
              <w:rPr>
                <w:rFonts w:ascii="Calibri" w:cs="Calibri" w:eastAsia="Calibri" w:hAnsi="Calibri"/>
                <w:sz w:val="13"/>
                <w:szCs w:val="13"/>
                <w:b w:val="1"/>
                <w:bCs w:val="1"/>
                <w:color w:val="FFFFFF"/>
              </w:rPr>
              <w:t>Up to</w:t>
            </w:r>
          </w:p>
        </w:tc>
        <w:tc>
          <w:tcPr>
            <w:tcW w:w="700" w:type="dxa"/>
            <w:vAlign w:val="bottom"/>
            <w:tcBorders>
              <w:top w:val="single" w:sz="8" w:color="auto"/>
              <w:right w:val="single" w:sz="8" w:color="auto"/>
            </w:tcBorders>
            <w:shd w:val="clear" w:color="auto" w:fill="2AD2C9"/>
          </w:tcPr>
          <w:p>
            <w:pPr>
              <w:spacing w:after="0"/>
              <w:rPr>
                <w:sz w:val="15"/>
                <w:szCs w:val="15"/>
                <w:color w:val="auto"/>
              </w:rPr>
            </w:pPr>
          </w:p>
        </w:tc>
        <w:tc>
          <w:tcPr>
            <w:tcW w:w="1000" w:type="dxa"/>
            <w:vAlign w:val="bottom"/>
            <w:tcBorders>
              <w:top w:val="single" w:sz="8" w:color="auto"/>
              <w:right w:val="single" w:sz="8" w:color="auto"/>
            </w:tcBorders>
            <w:shd w:val="clear" w:color="auto" w:fill="2AD2C9"/>
          </w:tcPr>
          <w:p>
            <w:pPr>
              <w:jc w:val="right"/>
              <w:ind w:right="173"/>
              <w:spacing w:after="0"/>
              <w:rPr>
                <w:sz w:val="20"/>
                <w:szCs w:val="20"/>
                <w:color w:val="auto"/>
              </w:rPr>
            </w:pPr>
            <w:r>
              <w:rPr>
                <w:rFonts w:ascii="Calibri" w:cs="Calibri" w:eastAsia="Calibri" w:hAnsi="Calibri"/>
                <w:sz w:val="13"/>
                <w:szCs w:val="13"/>
                <w:b w:val="1"/>
                <w:bCs w:val="1"/>
                <w:color w:val="FFFFFF"/>
              </w:rPr>
              <w:t>% change</w:t>
            </w:r>
          </w:p>
        </w:tc>
      </w:tr>
      <w:tr>
        <w:trPr>
          <w:trHeight w:val="197"/>
        </w:trPr>
        <w:tc>
          <w:tcPr>
            <w:tcW w:w="452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Calibri" w:cs="Calibri" w:eastAsia="Calibri" w:hAnsi="Calibri"/>
                <w:sz w:val="13"/>
                <w:szCs w:val="13"/>
                <w:b w:val="1"/>
                <w:bCs w:val="1"/>
                <w:color w:val="FFFFFF"/>
              </w:rPr>
              <w:t>S/ 000</w:t>
            </w:r>
          </w:p>
        </w:tc>
        <w:tc>
          <w:tcPr>
            <w:tcW w:w="1080" w:type="dxa"/>
            <w:vAlign w:val="bottom"/>
            <w:tcBorders>
              <w:bottom w:val="single" w:sz="8" w:color="2AD2C9"/>
            </w:tcBorders>
            <w:shd w:val="clear" w:color="auto" w:fill="2AD2C9"/>
          </w:tcPr>
          <w:p>
            <w:pPr>
              <w:jc w:val="right"/>
              <w:ind w:right="373"/>
              <w:spacing w:after="0"/>
              <w:rPr>
                <w:sz w:val="20"/>
                <w:szCs w:val="20"/>
                <w:color w:val="auto"/>
              </w:rPr>
            </w:pPr>
            <w:r>
              <w:rPr>
                <w:rFonts w:ascii="Calibri" w:cs="Calibri" w:eastAsia="Calibri" w:hAnsi="Calibri"/>
                <w:sz w:val="13"/>
                <w:szCs w:val="13"/>
                <w:b w:val="1"/>
                <w:bCs w:val="1"/>
                <w:color w:val="FFFFFF"/>
              </w:rPr>
              <w:t>3Q23</w:t>
            </w:r>
          </w:p>
        </w:tc>
        <w:tc>
          <w:tcPr>
            <w:tcW w:w="980" w:type="dxa"/>
            <w:vAlign w:val="bottom"/>
            <w:tcBorders>
              <w:bottom w:val="single" w:sz="8" w:color="2AD2C9"/>
            </w:tcBorders>
            <w:shd w:val="clear" w:color="auto" w:fill="2AD2C9"/>
          </w:tcPr>
          <w:p>
            <w:pPr>
              <w:jc w:val="right"/>
              <w:ind w:right="393"/>
              <w:spacing w:after="0"/>
              <w:rPr>
                <w:sz w:val="20"/>
                <w:szCs w:val="20"/>
                <w:color w:val="auto"/>
              </w:rPr>
            </w:pPr>
            <w:r>
              <w:rPr>
                <w:rFonts w:ascii="Calibri" w:cs="Calibri" w:eastAsia="Calibri" w:hAnsi="Calibri"/>
                <w:sz w:val="13"/>
                <w:szCs w:val="13"/>
                <w:b w:val="1"/>
                <w:bCs w:val="1"/>
                <w:color w:val="FFFFFF"/>
              </w:rPr>
              <w:t>2Q24</w:t>
            </w:r>
          </w:p>
        </w:tc>
        <w:tc>
          <w:tcPr>
            <w:tcW w:w="760" w:type="dxa"/>
            <w:vAlign w:val="bottom"/>
            <w:tcBorders>
              <w:bottom w:val="single" w:sz="8" w:color="2AD2C9"/>
              <w:right w:val="single" w:sz="8" w:color="auto"/>
            </w:tcBorders>
            <w:shd w:val="clear" w:color="auto" w:fill="2AD2C9"/>
          </w:tcPr>
          <w:p>
            <w:pPr>
              <w:jc w:val="right"/>
              <w:ind w:right="253"/>
              <w:spacing w:after="0"/>
              <w:rPr>
                <w:sz w:val="20"/>
                <w:szCs w:val="20"/>
                <w:color w:val="auto"/>
              </w:rPr>
            </w:pPr>
            <w:r>
              <w:rPr>
                <w:rFonts w:ascii="Calibri" w:cs="Calibri" w:eastAsia="Calibri" w:hAnsi="Calibri"/>
                <w:sz w:val="13"/>
                <w:szCs w:val="13"/>
                <w:b w:val="1"/>
                <w:bCs w:val="1"/>
                <w:color w:val="FFFFFF"/>
              </w:rPr>
              <w:t>3Q24</w:t>
            </w:r>
          </w:p>
        </w:tc>
        <w:tc>
          <w:tcPr>
            <w:tcW w:w="640" w:type="dxa"/>
            <w:vAlign w:val="bottom"/>
            <w:tcBorders>
              <w:bottom w:val="single" w:sz="8" w:color="2AD2C9"/>
            </w:tcBorders>
            <w:shd w:val="clear" w:color="auto" w:fill="2AD2C9"/>
          </w:tcPr>
          <w:p>
            <w:pPr>
              <w:jc w:val="right"/>
              <w:ind w:right="173"/>
              <w:spacing w:after="0"/>
              <w:rPr>
                <w:sz w:val="20"/>
                <w:szCs w:val="20"/>
                <w:color w:val="auto"/>
              </w:rPr>
            </w:pPr>
            <w:r>
              <w:rPr>
                <w:rFonts w:ascii="Calibri" w:cs="Calibri" w:eastAsia="Calibri" w:hAnsi="Calibri"/>
                <w:sz w:val="13"/>
                <w:szCs w:val="13"/>
                <w:b w:val="1"/>
                <w:bCs w:val="1"/>
                <w:color w:val="FFFFFF"/>
              </w:rPr>
              <w:t>QoQ</w:t>
            </w:r>
          </w:p>
        </w:tc>
        <w:tc>
          <w:tcPr>
            <w:tcW w:w="480" w:type="dxa"/>
            <w:vAlign w:val="bottom"/>
            <w:tcBorders>
              <w:bottom w:val="single" w:sz="8" w:color="2AD2C9"/>
              <w:right w:val="single" w:sz="8" w:color="auto"/>
            </w:tcBorders>
            <w:shd w:val="clear" w:color="auto" w:fill="2AD2C9"/>
          </w:tcPr>
          <w:p>
            <w:pPr>
              <w:jc w:val="right"/>
              <w:ind w:right="133"/>
              <w:spacing w:after="0"/>
              <w:rPr>
                <w:sz w:val="20"/>
                <w:szCs w:val="20"/>
                <w:color w:val="auto"/>
              </w:rPr>
            </w:pPr>
            <w:r>
              <w:rPr>
                <w:rFonts w:ascii="Calibri" w:cs="Calibri" w:eastAsia="Calibri" w:hAnsi="Calibri"/>
                <w:sz w:val="13"/>
                <w:szCs w:val="13"/>
                <w:b w:val="1"/>
                <w:bCs w:val="1"/>
                <w:color w:val="FFFFFF"/>
              </w:rPr>
              <w:t>YoY</w:t>
            </w:r>
          </w:p>
        </w:tc>
        <w:tc>
          <w:tcPr>
            <w:tcW w:w="1080" w:type="dxa"/>
            <w:vAlign w:val="bottom"/>
            <w:tcBorders>
              <w:bottom w:val="single" w:sz="8" w:color="2AD2C9"/>
            </w:tcBorders>
            <w:shd w:val="clear" w:color="auto" w:fill="2AD2C9"/>
          </w:tcPr>
          <w:p>
            <w:pPr>
              <w:jc w:val="right"/>
              <w:ind w:right="393"/>
              <w:spacing w:after="0"/>
              <w:rPr>
                <w:sz w:val="20"/>
                <w:szCs w:val="20"/>
                <w:color w:val="auto"/>
              </w:rPr>
            </w:pPr>
            <w:r>
              <w:rPr>
                <w:rFonts w:ascii="Calibri" w:cs="Calibri" w:eastAsia="Calibri" w:hAnsi="Calibri"/>
                <w:sz w:val="13"/>
                <w:szCs w:val="13"/>
                <w:b w:val="1"/>
                <w:bCs w:val="1"/>
                <w:color w:val="FFFFFF"/>
              </w:rPr>
              <w:t>Sep 23</w:t>
            </w:r>
          </w:p>
        </w:tc>
        <w:tc>
          <w:tcPr>
            <w:tcW w:w="700" w:type="dxa"/>
            <w:vAlign w:val="bottom"/>
            <w:tcBorders>
              <w:bottom w:val="single" w:sz="8" w:color="2AD2C9"/>
              <w:right w:val="single" w:sz="8" w:color="auto"/>
            </w:tcBorders>
            <w:shd w:val="clear" w:color="auto" w:fill="2AD2C9"/>
          </w:tcPr>
          <w:p>
            <w:pPr>
              <w:jc w:val="right"/>
              <w:ind w:right="213"/>
              <w:spacing w:after="0"/>
              <w:rPr>
                <w:sz w:val="20"/>
                <w:szCs w:val="20"/>
                <w:color w:val="auto"/>
              </w:rPr>
            </w:pPr>
            <w:r>
              <w:rPr>
                <w:rFonts w:ascii="Calibri" w:cs="Calibri" w:eastAsia="Calibri" w:hAnsi="Calibri"/>
                <w:sz w:val="13"/>
                <w:szCs w:val="13"/>
                <w:b w:val="1"/>
                <w:bCs w:val="1"/>
                <w:color w:val="FFFFFF"/>
              </w:rPr>
              <w:t>Sep 24</w:t>
            </w:r>
          </w:p>
        </w:tc>
        <w:tc>
          <w:tcPr>
            <w:tcW w:w="1000" w:type="dxa"/>
            <w:vAlign w:val="bottom"/>
            <w:tcBorders>
              <w:bottom w:val="single" w:sz="8" w:color="2AD2C9"/>
              <w:right w:val="single" w:sz="8" w:color="auto"/>
            </w:tcBorders>
            <w:shd w:val="clear" w:color="auto" w:fill="2AD2C9"/>
          </w:tcPr>
          <w:p>
            <w:pPr>
              <w:jc w:val="right"/>
              <w:ind w:right="13"/>
              <w:spacing w:after="0"/>
              <w:rPr>
                <w:sz w:val="20"/>
                <w:szCs w:val="20"/>
                <w:color w:val="auto"/>
              </w:rPr>
            </w:pPr>
            <w:r>
              <w:rPr>
                <w:rFonts w:ascii="Calibri" w:cs="Calibri" w:eastAsia="Calibri" w:hAnsi="Calibri"/>
                <w:sz w:val="13"/>
                <w:szCs w:val="13"/>
                <w:b w:val="1"/>
                <w:bCs w:val="1"/>
                <w:color w:val="FFFFFF"/>
              </w:rPr>
              <w:t>Sep 24 / Sep 23</w:t>
            </w:r>
          </w:p>
        </w:tc>
      </w:tr>
      <w:tr>
        <w:trPr>
          <w:trHeight w:val="153"/>
        </w:trPr>
        <w:tc>
          <w:tcPr>
            <w:tcW w:w="4520" w:type="dxa"/>
            <w:vAlign w:val="bottom"/>
            <w:tcBorders>
              <w:top w:val="single" w:sz="8" w:color="auto"/>
              <w:left w:val="single" w:sz="8" w:color="auto"/>
              <w:right w:val="single" w:sz="8" w:color="auto"/>
            </w:tcBorders>
          </w:tcPr>
          <w:p>
            <w:pPr>
              <w:ind w:left="20"/>
              <w:spacing w:after="0" w:line="153" w:lineRule="exact"/>
              <w:rPr>
                <w:sz w:val="20"/>
                <w:szCs w:val="20"/>
                <w:color w:val="auto"/>
              </w:rPr>
            </w:pPr>
            <w:r>
              <w:rPr>
                <w:rFonts w:ascii="Calibri" w:cs="Calibri" w:eastAsia="Calibri" w:hAnsi="Calibri"/>
                <w:sz w:val="13"/>
                <w:szCs w:val="13"/>
                <w:color w:val="auto"/>
              </w:rPr>
              <w:t>Core Business BCP</w:t>
            </w:r>
          </w:p>
        </w:tc>
        <w:tc>
          <w:tcPr>
            <w:tcW w:w="1080" w:type="dxa"/>
            <w:vAlign w:val="bottom"/>
            <w:tcBorders>
              <w:top w:val="single" w:sz="8" w:color="auto"/>
            </w:tcBorders>
          </w:tcPr>
          <w:p>
            <w:pPr>
              <w:jc w:val="right"/>
              <w:ind w:right="13"/>
              <w:spacing w:after="0" w:line="153" w:lineRule="exact"/>
              <w:rPr>
                <w:sz w:val="20"/>
                <w:szCs w:val="20"/>
                <w:color w:val="auto"/>
              </w:rPr>
            </w:pPr>
            <w:r>
              <w:rPr>
                <w:rFonts w:ascii="Calibri" w:cs="Calibri" w:eastAsia="Calibri" w:hAnsi="Calibri"/>
                <w:sz w:val="13"/>
                <w:szCs w:val="13"/>
                <w:color w:val="auto"/>
              </w:rPr>
              <w:t>1,232,663</w:t>
            </w:r>
          </w:p>
        </w:tc>
        <w:tc>
          <w:tcPr>
            <w:tcW w:w="980" w:type="dxa"/>
            <w:vAlign w:val="bottom"/>
            <w:tcBorders>
              <w:top w:val="single" w:sz="8" w:color="auto"/>
            </w:tcBorders>
          </w:tcPr>
          <w:p>
            <w:pPr>
              <w:jc w:val="right"/>
              <w:ind w:right="93"/>
              <w:spacing w:after="0" w:line="153" w:lineRule="exact"/>
              <w:rPr>
                <w:sz w:val="20"/>
                <w:szCs w:val="20"/>
                <w:color w:val="auto"/>
              </w:rPr>
            </w:pPr>
            <w:r>
              <w:rPr>
                <w:rFonts w:ascii="Calibri" w:cs="Calibri" w:eastAsia="Calibri" w:hAnsi="Calibri"/>
                <w:sz w:val="13"/>
                <w:szCs w:val="13"/>
                <w:color w:val="auto"/>
              </w:rPr>
              <w:t>1,302,494</w:t>
            </w:r>
          </w:p>
        </w:tc>
        <w:tc>
          <w:tcPr>
            <w:tcW w:w="760" w:type="dxa"/>
            <w:vAlign w:val="bottom"/>
            <w:tcBorders>
              <w:top w:val="single" w:sz="8" w:color="auto"/>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1,316,399</w:t>
            </w:r>
          </w:p>
        </w:tc>
        <w:tc>
          <w:tcPr>
            <w:tcW w:w="640" w:type="dxa"/>
            <w:vAlign w:val="bottom"/>
            <w:tcBorders>
              <w:top w:val="single" w:sz="8" w:color="auto"/>
            </w:tcBorders>
          </w:tcPr>
          <w:p>
            <w:pPr>
              <w:jc w:val="right"/>
              <w:ind w:right="13"/>
              <w:spacing w:after="0" w:line="153" w:lineRule="exact"/>
              <w:rPr>
                <w:sz w:val="20"/>
                <w:szCs w:val="20"/>
                <w:color w:val="auto"/>
              </w:rPr>
            </w:pPr>
            <w:r>
              <w:rPr>
                <w:rFonts w:ascii="Calibri" w:cs="Calibri" w:eastAsia="Calibri" w:hAnsi="Calibri"/>
                <w:sz w:val="13"/>
                <w:szCs w:val="13"/>
                <w:color w:val="auto"/>
              </w:rPr>
              <w:t>1.1%</w:t>
            </w:r>
          </w:p>
        </w:tc>
        <w:tc>
          <w:tcPr>
            <w:tcW w:w="480" w:type="dxa"/>
            <w:vAlign w:val="bottom"/>
            <w:tcBorders>
              <w:top w:val="single" w:sz="8" w:color="auto"/>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6.8%</w:t>
            </w:r>
          </w:p>
        </w:tc>
        <w:tc>
          <w:tcPr>
            <w:tcW w:w="1080" w:type="dxa"/>
            <w:vAlign w:val="bottom"/>
            <w:tcBorders>
              <w:top w:val="single" w:sz="8" w:color="auto"/>
            </w:tcBorders>
          </w:tcPr>
          <w:p>
            <w:pPr>
              <w:jc w:val="right"/>
              <w:ind w:right="133"/>
              <w:spacing w:after="0" w:line="153" w:lineRule="exact"/>
              <w:rPr>
                <w:sz w:val="20"/>
                <w:szCs w:val="20"/>
                <w:color w:val="auto"/>
              </w:rPr>
            </w:pPr>
            <w:r>
              <w:rPr>
                <w:rFonts w:ascii="Calibri" w:cs="Calibri" w:eastAsia="Calibri" w:hAnsi="Calibri"/>
                <w:sz w:val="13"/>
                <w:szCs w:val="13"/>
                <w:color w:val="auto"/>
              </w:rPr>
              <w:t>3,622,682</w:t>
            </w:r>
          </w:p>
        </w:tc>
        <w:tc>
          <w:tcPr>
            <w:tcW w:w="700" w:type="dxa"/>
            <w:vAlign w:val="bottom"/>
            <w:tcBorders>
              <w:top w:val="single" w:sz="8" w:color="auto"/>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3,821,327</w:t>
            </w:r>
          </w:p>
        </w:tc>
        <w:tc>
          <w:tcPr>
            <w:tcW w:w="1000" w:type="dxa"/>
            <w:vAlign w:val="bottom"/>
            <w:tcBorders>
              <w:top w:val="single" w:sz="8" w:color="auto"/>
              <w:right w:val="single" w:sz="8" w:color="auto"/>
            </w:tcBorders>
          </w:tcPr>
          <w:p>
            <w:pPr>
              <w:jc w:val="right"/>
              <w:spacing w:after="0" w:line="153" w:lineRule="exact"/>
              <w:rPr>
                <w:sz w:val="20"/>
                <w:szCs w:val="20"/>
                <w:color w:val="auto"/>
              </w:rPr>
            </w:pPr>
            <w:r>
              <w:rPr>
                <w:rFonts w:ascii="Calibri" w:cs="Calibri" w:eastAsia="Calibri" w:hAnsi="Calibri"/>
                <w:sz w:val="13"/>
                <w:szCs w:val="13"/>
                <w:color w:val="auto"/>
              </w:rPr>
              <w:t>5.5%</w:t>
            </w:r>
          </w:p>
        </w:tc>
      </w:tr>
      <w:tr>
        <w:trPr>
          <w:trHeight w:val="170"/>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Core Business Mibanco</w:t>
            </w:r>
          </w:p>
        </w:tc>
        <w:tc>
          <w:tcPr>
            <w:tcW w:w="1080" w:type="dxa"/>
            <w:vAlign w:val="bottom"/>
          </w:tcPr>
          <w:p>
            <w:pPr>
              <w:jc w:val="right"/>
              <w:ind w:right="13"/>
              <w:spacing w:after="0"/>
              <w:rPr>
                <w:sz w:val="20"/>
                <w:szCs w:val="20"/>
                <w:color w:val="auto"/>
              </w:rPr>
            </w:pPr>
            <w:r>
              <w:rPr>
                <w:rFonts w:ascii="Calibri" w:cs="Calibri" w:eastAsia="Calibri" w:hAnsi="Calibri"/>
                <w:sz w:val="13"/>
                <w:szCs w:val="13"/>
                <w:color w:val="auto"/>
              </w:rPr>
              <w:t>302,729</w:t>
            </w:r>
          </w:p>
        </w:tc>
        <w:tc>
          <w:tcPr>
            <w:tcW w:w="980" w:type="dxa"/>
            <w:vAlign w:val="bottom"/>
          </w:tcPr>
          <w:p>
            <w:pPr>
              <w:jc w:val="right"/>
              <w:ind w:right="93"/>
              <w:spacing w:after="0"/>
              <w:rPr>
                <w:sz w:val="20"/>
                <w:szCs w:val="20"/>
                <w:color w:val="auto"/>
              </w:rPr>
            </w:pPr>
            <w:r>
              <w:rPr>
                <w:rFonts w:ascii="Calibri" w:cs="Calibri" w:eastAsia="Calibri" w:hAnsi="Calibri"/>
                <w:sz w:val="13"/>
                <w:szCs w:val="13"/>
                <w:color w:val="auto"/>
              </w:rPr>
              <w:t>295,728</w:t>
            </w:r>
          </w:p>
        </w:tc>
        <w:tc>
          <w:tcPr>
            <w:tcW w:w="7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315,089</w:t>
            </w:r>
          </w:p>
        </w:tc>
        <w:tc>
          <w:tcPr>
            <w:tcW w:w="640" w:type="dxa"/>
            <w:vAlign w:val="bottom"/>
          </w:tcPr>
          <w:p>
            <w:pPr>
              <w:jc w:val="right"/>
              <w:ind w:right="13"/>
              <w:spacing w:after="0"/>
              <w:rPr>
                <w:sz w:val="20"/>
                <w:szCs w:val="20"/>
                <w:color w:val="auto"/>
              </w:rPr>
            </w:pPr>
            <w:r>
              <w:rPr>
                <w:rFonts w:ascii="Calibri" w:cs="Calibri" w:eastAsia="Calibri" w:hAnsi="Calibri"/>
                <w:sz w:val="13"/>
                <w:szCs w:val="13"/>
                <w:color w:val="auto"/>
              </w:rPr>
              <w:t>6.5%</w:t>
            </w:r>
          </w:p>
        </w:tc>
        <w:tc>
          <w:tcPr>
            <w:tcW w:w="4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4.1%</w:t>
            </w:r>
          </w:p>
        </w:tc>
        <w:tc>
          <w:tcPr>
            <w:tcW w:w="1080" w:type="dxa"/>
            <w:vAlign w:val="bottom"/>
          </w:tcPr>
          <w:p>
            <w:pPr>
              <w:jc w:val="right"/>
              <w:ind w:right="133"/>
              <w:spacing w:after="0"/>
              <w:rPr>
                <w:sz w:val="20"/>
                <w:szCs w:val="20"/>
                <w:color w:val="auto"/>
              </w:rPr>
            </w:pPr>
            <w:r>
              <w:rPr>
                <w:rFonts w:ascii="Calibri" w:cs="Calibri" w:eastAsia="Calibri" w:hAnsi="Calibri"/>
                <w:sz w:val="13"/>
                <w:szCs w:val="13"/>
                <w:color w:val="auto"/>
              </w:rPr>
              <w:t>901,634</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915,206</w:t>
            </w:r>
          </w:p>
        </w:tc>
        <w:tc>
          <w:tcPr>
            <w:tcW w:w="10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1.5%</w:t>
            </w:r>
          </w:p>
        </w:tc>
      </w:tr>
      <w:tr>
        <w:trPr>
          <w:trHeight w:val="175"/>
        </w:trPr>
        <w:tc>
          <w:tcPr>
            <w:tcW w:w="45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Core Business Pacifco</w:t>
            </w:r>
          </w:p>
        </w:tc>
        <w:tc>
          <w:tcPr>
            <w:tcW w:w="1080" w:type="dxa"/>
            <w:vAlign w:val="bottom"/>
          </w:tcPr>
          <w:p>
            <w:pPr>
              <w:jc w:val="right"/>
              <w:ind w:right="13"/>
              <w:spacing w:after="0"/>
              <w:rPr>
                <w:sz w:val="20"/>
                <w:szCs w:val="20"/>
                <w:color w:val="auto"/>
              </w:rPr>
            </w:pPr>
            <w:r>
              <w:rPr>
                <w:rFonts w:ascii="Calibri" w:cs="Calibri" w:eastAsia="Calibri" w:hAnsi="Calibri"/>
                <w:sz w:val="13"/>
                <w:szCs w:val="13"/>
                <w:color w:val="auto"/>
              </w:rPr>
              <w:t>79,355</w:t>
            </w:r>
          </w:p>
        </w:tc>
        <w:tc>
          <w:tcPr>
            <w:tcW w:w="980" w:type="dxa"/>
            <w:vAlign w:val="bottom"/>
          </w:tcPr>
          <w:p>
            <w:pPr>
              <w:jc w:val="right"/>
              <w:ind w:right="93"/>
              <w:spacing w:after="0"/>
              <w:rPr>
                <w:sz w:val="20"/>
                <w:szCs w:val="20"/>
                <w:color w:val="auto"/>
              </w:rPr>
            </w:pPr>
            <w:r>
              <w:rPr>
                <w:rFonts w:ascii="Calibri" w:cs="Calibri" w:eastAsia="Calibri" w:hAnsi="Calibri"/>
                <w:sz w:val="13"/>
                <w:szCs w:val="13"/>
                <w:color w:val="auto"/>
              </w:rPr>
              <w:t>75,397</w:t>
            </w:r>
          </w:p>
        </w:tc>
        <w:tc>
          <w:tcPr>
            <w:tcW w:w="7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64,306</w:t>
            </w:r>
          </w:p>
        </w:tc>
        <w:tc>
          <w:tcPr>
            <w:tcW w:w="640" w:type="dxa"/>
            <w:vAlign w:val="bottom"/>
          </w:tcPr>
          <w:p>
            <w:pPr>
              <w:jc w:val="right"/>
              <w:ind w:right="13"/>
              <w:spacing w:after="0"/>
              <w:rPr>
                <w:sz w:val="20"/>
                <w:szCs w:val="20"/>
                <w:color w:val="auto"/>
              </w:rPr>
            </w:pPr>
            <w:r>
              <w:rPr>
                <w:rFonts w:ascii="Calibri" w:cs="Calibri" w:eastAsia="Calibri" w:hAnsi="Calibri"/>
                <w:sz w:val="13"/>
                <w:szCs w:val="13"/>
                <w:color w:val="auto"/>
              </w:rPr>
              <w:t>-14.7%</w:t>
            </w:r>
          </w:p>
        </w:tc>
        <w:tc>
          <w:tcPr>
            <w:tcW w:w="4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-19.0%</w:t>
            </w:r>
          </w:p>
        </w:tc>
        <w:tc>
          <w:tcPr>
            <w:tcW w:w="1080" w:type="dxa"/>
            <w:vAlign w:val="bottom"/>
          </w:tcPr>
          <w:p>
            <w:pPr>
              <w:jc w:val="right"/>
              <w:ind w:right="133"/>
              <w:spacing w:after="0"/>
              <w:rPr>
                <w:sz w:val="20"/>
                <w:szCs w:val="20"/>
                <w:color w:val="auto"/>
              </w:rPr>
            </w:pPr>
            <w:r>
              <w:rPr>
                <w:rFonts w:ascii="Calibri" w:cs="Calibri" w:eastAsia="Calibri" w:hAnsi="Calibri"/>
                <w:sz w:val="13"/>
                <w:szCs w:val="13"/>
                <w:color w:val="auto"/>
              </w:rPr>
              <w:t>216,331</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215,877</w:t>
            </w:r>
          </w:p>
        </w:tc>
        <w:tc>
          <w:tcPr>
            <w:tcW w:w="10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-0.2%</w:t>
            </w:r>
          </w:p>
        </w:tc>
      </w:tr>
      <w:tr>
        <w:trPr>
          <w:trHeight w:val="186"/>
        </w:trPr>
        <w:tc>
          <w:tcPr>
            <w:tcW w:w="4520" w:type="dxa"/>
            <w:vAlign w:val="bottom"/>
            <w:tcBorders>
              <w:left w:val="single" w:sz="8" w:color="auto"/>
              <w:right w:val="single" w:sz="8" w:color="auto"/>
            </w:tcBorders>
          </w:tcPr>
          <w:p>
            <w:pPr>
              <w:ind w:left="20"/>
              <w:spacing w:after="0" w:line="186" w:lineRule="exact"/>
              <w:rPr>
                <w:sz w:val="20"/>
                <w:szCs w:val="20"/>
                <w:color w:val="auto"/>
              </w:rPr>
            </w:pPr>
            <w:r>
              <w:rPr>
                <w:rFonts w:ascii="Calibri" w:cs="Calibri" w:eastAsia="Calibri" w:hAnsi="Calibri"/>
                <w:sz w:val="12"/>
                <w:szCs w:val="12"/>
                <w:color w:val="auto"/>
              </w:rPr>
              <w:t xml:space="preserve">Disrupton </w:t>
            </w:r>
            <w:r>
              <w:rPr>
                <w:rFonts w:ascii="Calibri" w:cs="Calibri" w:eastAsia="Calibri" w:hAnsi="Calibri"/>
                <w:sz w:val="20"/>
                <w:szCs w:val="20"/>
                <w:color w:val="auto"/>
                <w:vertAlign w:val="superscript"/>
              </w:rPr>
              <w:t>(2)</w:t>
            </w:r>
          </w:p>
        </w:tc>
        <w:tc>
          <w:tcPr>
            <w:tcW w:w="1080" w:type="dxa"/>
            <w:vAlign w:val="bottom"/>
          </w:tcPr>
          <w:p>
            <w:pPr>
              <w:jc w:val="right"/>
              <w:ind w:right="13"/>
              <w:spacing w:after="0"/>
              <w:rPr>
                <w:sz w:val="20"/>
                <w:szCs w:val="20"/>
                <w:color w:val="auto"/>
              </w:rPr>
            </w:pPr>
            <w:r>
              <w:rPr>
                <w:rFonts w:ascii="Calibri" w:cs="Calibri" w:eastAsia="Calibri" w:hAnsi="Calibri"/>
                <w:sz w:val="13"/>
                <w:szCs w:val="13"/>
                <w:color w:val="auto"/>
              </w:rPr>
              <w:t>235,311</w:t>
            </w:r>
          </w:p>
        </w:tc>
        <w:tc>
          <w:tcPr>
            <w:tcW w:w="980" w:type="dxa"/>
            <w:vAlign w:val="bottom"/>
          </w:tcPr>
          <w:p>
            <w:pPr>
              <w:jc w:val="right"/>
              <w:ind w:right="93"/>
              <w:spacing w:after="0"/>
              <w:rPr>
                <w:sz w:val="20"/>
                <w:szCs w:val="20"/>
                <w:color w:val="auto"/>
              </w:rPr>
            </w:pPr>
            <w:r>
              <w:rPr>
                <w:rFonts w:ascii="Calibri" w:cs="Calibri" w:eastAsia="Calibri" w:hAnsi="Calibri"/>
                <w:sz w:val="13"/>
                <w:szCs w:val="13"/>
                <w:color w:val="auto"/>
              </w:rPr>
              <w:t>283,966</w:t>
            </w:r>
          </w:p>
        </w:tc>
        <w:tc>
          <w:tcPr>
            <w:tcW w:w="7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295,848</w:t>
            </w:r>
          </w:p>
        </w:tc>
        <w:tc>
          <w:tcPr>
            <w:tcW w:w="640" w:type="dxa"/>
            <w:vAlign w:val="bottom"/>
          </w:tcPr>
          <w:p>
            <w:pPr>
              <w:jc w:val="right"/>
              <w:ind w:right="13"/>
              <w:spacing w:after="0"/>
              <w:rPr>
                <w:sz w:val="20"/>
                <w:szCs w:val="20"/>
                <w:color w:val="auto"/>
              </w:rPr>
            </w:pPr>
            <w:r>
              <w:rPr>
                <w:rFonts w:ascii="Calibri" w:cs="Calibri" w:eastAsia="Calibri" w:hAnsi="Calibri"/>
                <w:sz w:val="13"/>
                <w:szCs w:val="13"/>
                <w:color w:val="auto"/>
              </w:rPr>
              <w:t>4.2%</w:t>
            </w:r>
          </w:p>
        </w:tc>
        <w:tc>
          <w:tcPr>
            <w:tcW w:w="4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25.7%</w:t>
            </w:r>
          </w:p>
        </w:tc>
        <w:tc>
          <w:tcPr>
            <w:tcW w:w="1080" w:type="dxa"/>
            <w:vAlign w:val="bottom"/>
          </w:tcPr>
          <w:p>
            <w:pPr>
              <w:jc w:val="right"/>
              <w:ind w:right="133"/>
              <w:spacing w:after="0"/>
              <w:rPr>
                <w:sz w:val="20"/>
                <w:szCs w:val="20"/>
                <w:color w:val="auto"/>
              </w:rPr>
            </w:pPr>
            <w:r>
              <w:rPr>
                <w:rFonts w:ascii="Calibri" w:cs="Calibri" w:eastAsia="Calibri" w:hAnsi="Calibri"/>
                <w:sz w:val="13"/>
                <w:szCs w:val="13"/>
                <w:color w:val="auto"/>
              </w:rPr>
              <w:t>644,925</w:t>
            </w:r>
          </w:p>
        </w:tc>
        <w:tc>
          <w:tcPr>
            <w:tcW w:w="7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826,431</w:t>
            </w:r>
          </w:p>
        </w:tc>
        <w:tc>
          <w:tcPr>
            <w:tcW w:w="10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28.1%</w:t>
            </w:r>
          </w:p>
        </w:tc>
      </w:tr>
      <w:tr>
        <w:trPr>
          <w:trHeight w:val="187"/>
        </w:trPr>
        <w:tc>
          <w:tcPr>
            <w:tcW w:w="4520" w:type="dxa"/>
            <w:vAlign w:val="bottom"/>
            <w:tcBorders>
              <w:left w:val="single" w:sz="8" w:color="auto"/>
              <w:bottom w:val="single" w:sz="8" w:color="auto"/>
              <w:right w:val="single" w:sz="8" w:color="auto"/>
            </w:tcBorders>
          </w:tcPr>
          <w:p>
            <w:pPr>
              <w:ind w:left="20"/>
              <w:spacing w:after="0" w:line="188" w:lineRule="exact"/>
              <w:rPr>
                <w:sz w:val="20"/>
                <w:szCs w:val="20"/>
                <w:color w:val="auto"/>
              </w:rPr>
            </w:pPr>
            <w:r>
              <w:rPr>
                <w:rFonts w:ascii="Calibri" w:cs="Calibri" w:eastAsia="Calibri" w:hAnsi="Calibri"/>
                <w:sz w:val="12"/>
                <w:szCs w:val="12"/>
                <w:color w:val="auto"/>
              </w:rPr>
              <w:t xml:space="preserve">Others </w:t>
            </w:r>
            <w:r>
              <w:rPr>
                <w:rFonts w:ascii="Calibri" w:cs="Calibri" w:eastAsia="Calibri" w:hAnsi="Calibri"/>
                <w:sz w:val="20"/>
                <w:szCs w:val="20"/>
                <w:color w:val="auto"/>
                <w:vertAlign w:val="superscript"/>
              </w:rPr>
              <w:t>(3)</w:t>
            </w:r>
          </w:p>
        </w:tc>
        <w:tc>
          <w:tcPr>
            <w:tcW w:w="1080" w:type="dxa"/>
            <w:vAlign w:val="bottom"/>
            <w:tcBorders>
              <w:bottom w:val="single" w:sz="8" w:color="auto"/>
            </w:tcBorders>
          </w:tcPr>
          <w:p>
            <w:pPr>
              <w:jc w:val="right"/>
              <w:ind w:right="13"/>
              <w:spacing w:after="0"/>
              <w:rPr>
                <w:sz w:val="20"/>
                <w:szCs w:val="20"/>
                <w:color w:val="auto"/>
              </w:rPr>
            </w:pPr>
            <w:r>
              <w:rPr>
                <w:rFonts w:ascii="Calibri" w:cs="Calibri" w:eastAsia="Calibri" w:hAnsi="Calibri"/>
                <w:sz w:val="13"/>
                <w:szCs w:val="13"/>
                <w:color w:val="auto"/>
              </w:rPr>
              <w:t>393,633</w:t>
            </w:r>
          </w:p>
        </w:tc>
        <w:tc>
          <w:tcPr>
            <w:tcW w:w="980" w:type="dxa"/>
            <w:vAlign w:val="bottom"/>
            <w:tcBorders>
              <w:bottom w:val="single" w:sz="8" w:color="auto"/>
            </w:tcBorders>
          </w:tcPr>
          <w:p>
            <w:pPr>
              <w:jc w:val="right"/>
              <w:ind w:right="93"/>
              <w:spacing w:after="0"/>
              <w:rPr>
                <w:sz w:val="20"/>
                <w:szCs w:val="20"/>
                <w:color w:val="auto"/>
              </w:rPr>
            </w:pPr>
            <w:r>
              <w:rPr>
                <w:rFonts w:ascii="Calibri" w:cs="Calibri" w:eastAsia="Calibri" w:hAnsi="Calibri"/>
                <w:sz w:val="13"/>
                <w:szCs w:val="13"/>
                <w:color w:val="auto"/>
              </w:rPr>
              <w:t>383,349</w:t>
            </w:r>
          </w:p>
        </w:tc>
        <w:tc>
          <w:tcPr>
            <w:tcW w:w="7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color w:val="auto"/>
              </w:rPr>
              <w:t>397,619</w:t>
            </w:r>
          </w:p>
        </w:tc>
        <w:tc>
          <w:tcPr>
            <w:tcW w:w="640" w:type="dxa"/>
            <w:vAlign w:val="bottom"/>
            <w:tcBorders>
              <w:bottom w:val="single" w:sz="8" w:color="auto"/>
            </w:tcBorders>
          </w:tcPr>
          <w:p>
            <w:pPr>
              <w:jc w:val="right"/>
              <w:ind w:right="13"/>
              <w:spacing w:after="0"/>
              <w:rPr>
                <w:sz w:val="20"/>
                <w:szCs w:val="20"/>
                <w:color w:val="auto"/>
              </w:rPr>
            </w:pPr>
            <w:r>
              <w:rPr>
                <w:rFonts w:ascii="Calibri" w:cs="Calibri" w:eastAsia="Calibri" w:hAnsi="Calibri"/>
                <w:sz w:val="13"/>
                <w:szCs w:val="13"/>
                <w:color w:val="auto"/>
              </w:rPr>
              <w:t>3.7%</w:t>
            </w:r>
          </w:p>
        </w:tc>
        <w:tc>
          <w:tcPr>
            <w:tcW w:w="4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color w:val="auto"/>
              </w:rPr>
              <w:t>1.0%</w:t>
            </w:r>
          </w:p>
        </w:tc>
        <w:tc>
          <w:tcPr>
            <w:tcW w:w="1080" w:type="dxa"/>
            <w:vAlign w:val="bottom"/>
            <w:tcBorders>
              <w:bottom w:val="single" w:sz="8" w:color="auto"/>
            </w:tcBorders>
          </w:tcPr>
          <w:p>
            <w:pPr>
              <w:jc w:val="right"/>
              <w:ind w:right="133"/>
              <w:spacing w:after="0"/>
              <w:rPr>
                <w:sz w:val="20"/>
                <w:szCs w:val="20"/>
                <w:color w:val="auto"/>
              </w:rPr>
            </w:pPr>
            <w:r>
              <w:rPr>
                <w:rFonts w:ascii="Calibri" w:cs="Calibri" w:eastAsia="Calibri" w:hAnsi="Calibri"/>
                <w:sz w:val="13"/>
                <w:szCs w:val="13"/>
                <w:color w:val="auto"/>
              </w:rPr>
              <w:t>999,500</w:t>
            </w:r>
          </w:p>
        </w:tc>
        <w:tc>
          <w:tcPr>
            <w:tcW w:w="7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color w:val="auto"/>
              </w:rPr>
              <w:t>1,130,999</w:t>
            </w:r>
          </w:p>
        </w:tc>
        <w:tc>
          <w:tcPr>
            <w:tcW w:w="10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color w:val="auto"/>
              </w:rPr>
              <w:t>13.2%</w:t>
            </w:r>
          </w:p>
        </w:tc>
      </w:tr>
      <w:tr>
        <w:trPr>
          <w:trHeight w:val="163"/>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w:t>
            </w:r>
          </w:p>
        </w:tc>
        <w:tc>
          <w:tcPr>
            <w:tcW w:w="1080" w:type="dxa"/>
            <w:vAlign w:val="bottom"/>
            <w:tcBorders>
              <w:bottom w:val="single" w:sz="8" w:color="auto"/>
            </w:tcBorders>
          </w:tcPr>
          <w:p>
            <w:pPr>
              <w:jc w:val="right"/>
              <w:ind w:right="13"/>
              <w:spacing w:after="0"/>
              <w:rPr>
                <w:sz w:val="20"/>
                <w:szCs w:val="20"/>
                <w:color w:val="auto"/>
              </w:rPr>
            </w:pPr>
            <w:r>
              <w:rPr>
                <w:rFonts w:ascii="Calibri" w:cs="Calibri" w:eastAsia="Calibri" w:hAnsi="Calibri"/>
                <w:sz w:val="13"/>
                <w:szCs w:val="13"/>
                <w:b w:val="1"/>
                <w:bCs w:val="1"/>
                <w:color w:val="auto"/>
              </w:rPr>
              <w:t>2,243,691</w:t>
            </w:r>
          </w:p>
        </w:tc>
        <w:tc>
          <w:tcPr>
            <w:tcW w:w="980" w:type="dxa"/>
            <w:vAlign w:val="bottom"/>
            <w:tcBorders>
              <w:bottom w:val="single" w:sz="8" w:color="auto"/>
            </w:tcBorders>
          </w:tcPr>
          <w:p>
            <w:pPr>
              <w:jc w:val="right"/>
              <w:ind w:right="93"/>
              <w:spacing w:after="0"/>
              <w:rPr>
                <w:sz w:val="20"/>
                <w:szCs w:val="20"/>
                <w:color w:val="auto"/>
              </w:rPr>
            </w:pPr>
            <w:r>
              <w:rPr>
                <w:rFonts w:ascii="Calibri" w:cs="Calibri" w:eastAsia="Calibri" w:hAnsi="Calibri"/>
                <w:sz w:val="13"/>
                <w:szCs w:val="13"/>
                <w:b w:val="1"/>
                <w:bCs w:val="1"/>
                <w:color w:val="auto"/>
              </w:rPr>
              <w:t>2,340,934</w:t>
            </w:r>
          </w:p>
        </w:tc>
        <w:tc>
          <w:tcPr>
            <w:tcW w:w="7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2,389,261</w:t>
            </w:r>
          </w:p>
        </w:tc>
        <w:tc>
          <w:tcPr>
            <w:tcW w:w="640" w:type="dxa"/>
            <w:vAlign w:val="bottom"/>
            <w:tcBorders>
              <w:bottom w:val="single" w:sz="8" w:color="auto"/>
            </w:tcBorders>
          </w:tcPr>
          <w:p>
            <w:pPr>
              <w:jc w:val="right"/>
              <w:ind w:right="13"/>
              <w:spacing w:after="0"/>
              <w:rPr>
                <w:sz w:val="20"/>
                <w:szCs w:val="20"/>
                <w:color w:val="auto"/>
              </w:rPr>
            </w:pPr>
            <w:r>
              <w:rPr>
                <w:rFonts w:ascii="Calibri" w:cs="Calibri" w:eastAsia="Calibri" w:hAnsi="Calibri"/>
                <w:sz w:val="13"/>
                <w:szCs w:val="13"/>
                <w:b w:val="1"/>
                <w:bCs w:val="1"/>
                <w:color w:val="auto"/>
              </w:rPr>
              <w:t>2.1%</w:t>
            </w:r>
          </w:p>
        </w:tc>
        <w:tc>
          <w:tcPr>
            <w:tcW w:w="4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6.5%</w:t>
            </w:r>
          </w:p>
        </w:tc>
        <w:tc>
          <w:tcPr>
            <w:tcW w:w="1080" w:type="dxa"/>
            <w:vAlign w:val="bottom"/>
            <w:tcBorders>
              <w:bottom w:val="single" w:sz="8" w:color="auto"/>
            </w:tcBorders>
          </w:tcPr>
          <w:p>
            <w:pPr>
              <w:jc w:val="right"/>
              <w:ind w:right="133"/>
              <w:spacing w:after="0"/>
              <w:rPr>
                <w:sz w:val="20"/>
                <w:szCs w:val="20"/>
                <w:color w:val="auto"/>
              </w:rPr>
            </w:pPr>
            <w:r>
              <w:rPr>
                <w:rFonts w:ascii="Calibri" w:cs="Calibri" w:eastAsia="Calibri" w:hAnsi="Calibri"/>
                <w:sz w:val="13"/>
                <w:szCs w:val="13"/>
                <w:b w:val="1"/>
                <w:bCs w:val="1"/>
                <w:color w:val="auto"/>
              </w:rPr>
              <w:t>6,385,072</w:t>
            </w:r>
          </w:p>
        </w:tc>
        <w:tc>
          <w:tcPr>
            <w:tcW w:w="7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6,909,840</w:t>
            </w:r>
          </w:p>
        </w:tc>
        <w:tc>
          <w:tcPr>
            <w:tcW w:w="10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8.2%</w:t>
            </w:r>
          </w:p>
        </w:tc>
      </w:tr>
    </w:tbl>
    <w:p>
      <w:pPr>
        <w:ind w:left="220" w:hanging="212"/>
        <w:spacing w:after="0" w:line="200" w:lineRule="auto"/>
        <w:tabs>
          <w:tab w:leader="none" w:pos="220" w:val="left"/>
        </w:tabs>
        <w:numPr>
          <w:ilvl w:val="0"/>
          <w:numId w:val="47"/>
        </w:numPr>
        <w:rPr>
          <w:rFonts w:ascii="Calibri" w:cs="Calibri" w:eastAsia="Calibri" w:hAnsi="Calibri"/>
          <w:sz w:val="12"/>
          <w:szCs w:val="12"/>
          <w:color w:val="auto"/>
        </w:rPr>
      </w:pPr>
      <w:r>
        <w:rPr>
          <w:rFonts w:ascii="Calibri" w:cs="Calibri" w:eastAsia="Calibri" w:hAnsi="Calibri"/>
          <w:sz w:val="12"/>
          <w:szCs w:val="12"/>
          <w:color w:val="auto"/>
        </w:rPr>
        <w:t>Management fgures.</w:t>
      </w:r>
    </w:p>
    <w:p>
      <w:pPr>
        <w:ind w:left="220" w:hanging="212"/>
        <w:spacing w:after="0" w:line="221" w:lineRule="auto"/>
        <w:tabs>
          <w:tab w:leader="none" w:pos="220" w:val="left"/>
        </w:tabs>
        <w:numPr>
          <w:ilvl w:val="0"/>
          <w:numId w:val="47"/>
        </w:numPr>
        <w:rPr>
          <w:rFonts w:ascii="Calibri" w:cs="Calibri" w:eastAsia="Calibri" w:hAnsi="Calibri"/>
          <w:sz w:val="12"/>
          <w:szCs w:val="12"/>
          <w:color w:val="auto"/>
        </w:rPr>
      </w:pPr>
      <w:r>
        <w:rPr>
          <w:rFonts w:ascii="Calibri" w:cs="Calibri" w:eastAsia="Calibri" w:hAnsi="Calibri"/>
          <w:sz w:val="12"/>
          <w:szCs w:val="12"/>
          <w:color w:val="auto"/>
        </w:rPr>
        <w:t>Includes disruptve initatves at the subsidiaries and Krealo.</w:t>
      </w:r>
    </w:p>
    <w:p>
      <w:pPr>
        <w:ind w:left="220" w:hanging="212"/>
        <w:spacing w:after="0" w:line="221" w:lineRule="auto"/>
        <w:tabs>
          <w:tab w:leader="none" w:pos="220" w:val="left"/>
        </w:tabs>
        <w:numPr>
          <w:ilvl w:val="0"/>
          <w:numId w:val="47"/>
        </w:numPr>
        <w:rPr>
          <w:rFonts w:ascii="Calibri" w:cs="Calibri" w:eastAsia="Calibri" w:hAnsi="Calibri"/>
          <w:sz w:val="12"/>
          <w:szCs w:val="12"/>
          <w:color w:val="auto"/>
        </w:rPr>
      </w:pPr>
      <w:r>
        <w:rPr>
          <w:rFonts w:ascii="Calibri" w:cs="Calibri" w:eastAsia="Calibri" w:hAnsi="Calibri"/>
          <w:sz w:val="12"/>
          <w:szCs w:val="12"/>
          <w:color w:val="auto"/>
        </w:rPr>
        <w:t>Includes Credicorp Capital, ASB, Prima, BCP Bolivia, Mibanco Colombia, and other enttes within the Group.</w:t>
      </w:r>
    </w:p>
    <w:p>
      <w:pPr>
        <w:spacing w:after="0" w:line="260"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The 8.2% YTD increase in operatng expenses was atributable to the Core business at BCP and our disruptve initatves, which accounted for 37.9% and 34.6% of YTD growth respectvely.</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The uptck in expenses for the core business at BCP was driven by:</w:t>
      </w:r>
    </w:p>
    <w:p>
      <w:pPr>
        <w:spacing w:after="0" w:line="199" w:lineRule="exact"/>
        <w:rPr>
          <w:sz w:val="20"/>
          <w:szCs w:val="20"/>
          <w:color w:val="auto"/>
        </w:rPr>
      </w:pPr>
    </w:p>
    <w:p>
      <w:pPr>
        <w:ind w:left="720" w:hanging="388"/>
        <w:spacing w:after="0"/>
        <w:tabs>
          <w:tab w:leader="none" w:pos="720" w:val="left"/>
        </w:tabs>
        <w:numPr>
          <w:ilvl w:val="0"/>
          <w:numId w:val="4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Expenses for the core business, excluding IT</w:t>
      </w:r>
    </w:p>
    <w:p>
      <w:pPr>
        <w:spacing w:after="0" w:line="1" w:lineRule="exact"/>
        <w:rPr>
          <w:rFonts w:ascii="Calibri" w:cs="Calibri" w:eastAsia="Calibri" w:hAnsi="Calibri"/>
          <w:sz w:val="18"/>
          <w:szCs w:val="18"/>
          <w:b w:val="1"/>
          <w:bCs w:val="1"/>
          <w:color w:val="auto"/>
        </w:rPr>
      </w:pPr>
    </w:p>
    <w:p>
      <w:pPr>
        <w:ind w:left="1040" w:right="160" w:hanging="222"/>
        <w:spacing w:after="0" w:line="235" w:lineRule="auto"/>
        <w:tabs>
          <w:tab w:leader="none" w:pos="1040" w:val="left"/>
        </w:tabs>
        <w:numPr>
          <w:ilvl w:val="1"/>
          <w:numId w:val="48"/>
        </w:numPr>
        <w:rPr>
          <w:rFonts w:ascii="Calibri" w:cs="Calibri" w:eastAsia="Calibri" w:hAnsi="Calibri"/>
          <w:sz w:val="18"/>
          <w:szCs w:val="18"/>
          <w:color w:val="auto"/>
        </w:rPr>
      </w:pPr>
      <w:r>
        <w:rPr>
          <w:rFonts w:ascii="Calibri" w:cs="Calibri" w:eastAsia="Calibri" w:hAnsi="Calibri"/>
          <w:sz w:val="18"/>
          <w:szCs w:val="18"/>
          <w:color w:val="auto"/>
        </w:rPr>
        <w:t>Growth in salaries and employee benefts, driven by an uptck in headcount and in provisions for variable compensaton, which was triggered by higher results.</w:t>
      </w:r>
    </w:p>
    <w:p>
      <w:pPr>
        <w:ind w:left="720" w:hanging="388"/>
        <w:spacing w:after="0" w:line="235" w:lineRule="auto"/>
        <w:tabs>
          <w:tab w:leader="none" w:pos="720" w:val="left"/>
        </w:tabs>
        <w:numPr>
          <w:ilvl w:val="0"/>
          <w:numId w:val="4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Technology Expenses (IT)</w:t>
      </w:r>
    </w:p>
    <w:p>
      <w:pPr>
        <w:spacing w:after="0" w:line="1" w:lineRule="exact"/>
        <w:rPr>
          <w:rFonts w:ascii="Calibri" w:cs="Calibri" w:eastAsia="Calibri" w:hAnsi="Calibri"/>
          <w:sz w:val="18"/>
          <w:szCs w:val="18"/>
          <w:b w:val="1"/>
          <w:bCs w:val="1"/>
          <w:color w:val="auto"/>
        </w:rPr>
      </w:pPr>
    </w:p>
    <w:p>
      <w:pPr>
        <w:jc w:val="both"/>
        <w:ind w:left="1200" w:hanging="220"/>
        <w:spacing w:after="0" w:line="235" w:lineRule="auto"/>
        <w:tabs>
          <w:tab w:leader="none" w:pos="1200" w:val="left"/>
        </w:tabs>
        <w:numPr>
          <w:ilvl w:val="2"/>
          <w:numId w:val="48"/>
        </w:numPr>
        <w:rPr>
          <w:rFonts w:ascii="Calibri" w:cs="Calibri" w:eastAsia="Calibri" w:hAnsi="Calibri"/>
          <w:sz w:val="18"/>
          <w:szCs w:val="18"/>
          <w:color w:val="auto"/>
        </w:rPr>
      </w:pPr>
      <w:r>
        <w:rPr>
          <w:rFonts w:ascii="Calibri" w:cs="Calibri" w:eastAsia="Calibri" w:hAnsi="Calibri"/>
          <w:sz w:val="18"/>
          <w:szCs w:val="18"/>
          <w:color w:val="auto"/>
        </w:rPr>
        <w:t>Growth in expenses for server use, which refected growth in the volume of transactons via an uptck in transactonality through digital channels among increasingly digitalized clients. Total monetary transactons and transactons through digital channels increased 89.0% and 113.7%, respectvely.</w:t>
      </w:r>
    </w:p>
    <w:p>
      <w:pPr>
        <w:spacing w:after="0" w:line="1" w:lineRule="exact"/>
        <w:rPr>
          <w:rFonts w:ascii="Calibri" w:cs="Calibri" w:eastAsia="Calibri" w:hAnsi="Calibri"/>
          <w:sz w:val="18"/>
          <w:szCs w:val="18"/>
          <w:color w:val="auto"/>
        </w:rPr>
      </w:pPr>
    </w:p>
    <w:p>
      <w:pPr>
        <w:ind w:left="1200" w:hanging="220"/>
        <w:spacing w:after="0" w:line="235" w:lineRule="auto"/>
        <w:tabs>
          <w:tab w:leader="none" w:pos="1200" w:val="left"/>
        </w:tabs>
        <w:numPr>
          <w:ilvl w:val="2"/>
          <w:numId w:val="48"/>
        </w:numPr>
        <w:rPr>
          <w:rFonts w:ascii="Calibri" w:cs="Calibri" w:eastAsia="Calibri" w:hAnsi="Calibri"/>
          <w:sz w:val="18"/>
          <w:szCs w:val="18"/>
          <w:color w:val="auto"/>
        </w:rPr>
      </w:pPr>
      <w:r>
        <w:rPr>
          <w:rFonts w:ascii="Calibri" w:cs="Calibri" w:eastAsia="Calibri" w:hAnsi="Calibri"/>
          <w:sz w:val="18"/>
          <w:szCs w:val="18"/>
          <w:color w:val="auto"/>
        </w:rPr>
        <w:t>More specialized personnel with digital capacites were hired with higher average salaries, in line with the executon of strategic projects.</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Disruptve expenses represented 12.0% of total expenses and rose 28.1% YTD. These expenses correspond primarily to disruptve initatves such as Yape, where higher transactonality and new product development generate IT-related expenses. YTD, Yape, Culqui and Tenpo were the main consumers of expenses, representng 71% of total expenses for disruptve initatves.</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0" w:name="page41"/>
    <w:bookmarkEnd w:id="40"/>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497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09 </w:t>
      </w:r>
      <w:r>
        <w:rPr>
          <w:rFonts w:ascii="Calibri" w:cs="Calibri" w:eastAsia="Calibri" w:hAnsi="Calibri"/>
          <w:sz w:val="32"/>
          <w:szCs w:val="32"/>
          <w:color w:val="E93BAC"/>
        </w:rPr>
        <w:t>Operatng Efciency</w:t>
      </w:r>
    </w:p>
    <w:p>
      <w:pPr>
        <w:spacing w:after="0" w:line="50" w:lineRule="exact"/>
        <w:rPr>
          <w:sz w:val="20"/>
          <w:szCs w:val="20"/>
          <w:color w:val="auto"/>
        </w:rPr>
      </w:pPr>
    </w:p>
    <w:p>
      <w:pPr>
        <w:jc w:val="both"/>
        <w:ind w:left="120" w:right="120"/>
        <w:spacing w:after="0" w:line="235" w:lineRule="auto"/>
        <w:rPr>
          <w:sz w:val="20"/>
          <w:szCs w:val="20"/>
          <w:color w:val="auto"/>
        </w:rPr>
      </w:pPr>
      <w:r>
        <w:rPr>
          <w:rFonts w:ascii="Calibri" w:cs="Calibri" w:eastAsia="Calibri" w:hAnsi="Calibri"/>
          <w:sz w:val="18"/>
          <w:szCs w:val="18"/>
          <w:color w:val="FFFFFF"/>
        </w:rPr>
        <w:t>The efciency rato improved 50 bps YTD, afer income growth outpaced the expansion registered for expenses. This evoluton was atributable to an uptck in core income which was driven by (i) growth in net interest income, via a positve pricing efect on loans and by (ii) an improvement in fee income, which was led by Yape and core transactonal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Efciency Rato </w:t>
      </w:r>
      <w:r>
        <w:rPr>
          <w:rFonts w:ascii="Calibri" w:cs="Calibri" w:eastAsia="Calibri" w:hAnsi="Calibri"/>
          <w:sz w:val="29"/>
          <w:szCs w:val="29"/>
          <w:b w:val="1"/>
          <w:bCs w:val="1"/>
          <w:color w:val="auto"/>
          <w:vertAlign w:val="superscript"/>
        </w:rPr>
        <w:t>(1)</w:t>
      </w:r>
      <w:r>
        <w:rPr>
          <w:rFonts w:ascii="Calibri" w:cs="Calibri" w:eastAsia="Calibri" w:hAnsi="Calibri"/>
          <w:sz w:val="18"/>
          <w:szCs w:val="18"/>
          <w:b w:val="1"/>
          <w:bCs w:val="1"/>
          <w:color w:val="auto"/>
        </w:rPr>
        <w:t xml:space="preserve"> reported by subsidiary</w:t>
      </w:r>
    </w:p>
    <w:tbl>
      <w:tblPr>
        <w:tblLayout w:type="fixed"/>
        <w:tblInd w:w="10" w:type="dxa"/>
        <w:tblCellMar>
          <w:top w:w="0" w:type="dxa"/>
          <w:left w:w="0" w:type="dxa"/>
          <w:bottom w:w="0" w:type="dxa"/>
          <w:right w:w="0" w:type="dxa"/>
        </w:tblCellMar>
      </w:tblPr>
      <w:tr>
        <w:trPr>
          <w:trHeight w:val="196"/>
        </w:trPr>
        <w:tc>
          <w:tcPr>
            <w:tcW w:w="1820" w:type="dxa"/>
            <w:vAlign w:val="bottom"/>
            <w:tcBorders>
              <w:top w:val="single" w:sz="8" w:color="auto"/>
              <w:left w:val="single" w:sz="8" w:color="auto"/>
              <w:right w:val="single" w:sz="8" w:color="auto"/>
            </w:tcBorders>
            <w:shd w:val="clear" w:color="auto" w:fill="33CCCC"/>
          </w:tcPr>
          <w:p>
            <w:pPr>
              <w:ind w:left="540"/>
              <w:spacing w:after="0" w:line="196" w:lineRule="exact"/>
              <w:rPr>
                <w:sz w:val="20"/>
                <w:szCs w:val="20"/>
                <w:color w:val="auto"/>
              </w:rPr>
            </w:pPr>
            <w:r>
              <w:rPr>
                <w:rFonts w:ascii="Calibri" w:cs="Calibri" w:eastAsia="Calibri" w:hAnsi="Calibri"/>
                <w:sz w:val="17"/>
                <w:szCs w:val="17"/>
                <w:b w:val="1"/>
                <w:bCs w:val="1"/>
                <w:color w:val="FFFFFF"/>
              </w:rPr>
              <w:t>Subsidiary</w:t>
            </w:r>
          </w:p>
        </w:tc>
        <w:tc>
          <w:tcPr>
            <w:tcW w:w="1160" w:type="dxa"/>
            <w:vAlign w:val="bottom"/>
            <w:tcBorders>
              <w:top w:val="single" w:sz="8" w:color="auto"/>
            </w:tcBorders>
            <w:shd w:val="clear" w:color="auto" w:fill="33CCCC"/>
          </w:tcPr>
          <w:p>
            <w:pPr>
              <w:ind w:left="280"/>
              <w:spacing w:after="0" w:line="196" w:lineRule="exact"/>
              <w:rPr>
                <w:sz w:val="20"/>
                <w:szCs w:val="20"/>
                <w:color w:val="auto"/>
              </w:rPr>
            </w:pPr>
            <w:r>
              <w:rPr>
                <w:rFonts w:ascii="Calibri" w:cs="Calibri" w:eastAsia="Calibri" w:hAnsi="Calibri"/>
                <w:sz w:val="17"/>
                <w:szCs w:val="17"/>
                <w:b w:val="1"/>
                <w:bCs w:val="1"/>
                <w:color w:val="FFFFFF"/>
              </w:rPr>
              <w:t>Quarter</w:t>
            </w:r>
          </w:p>
        </w:tc>
        <w:tc>
          <w:tcPr>
            <w:tcW w:w="1120" w:type="dxa"/>
            <w:vAlign w:val="bottom"/>
            <w:tcBorders>
              <w:top w:val="single" w:sz="8" w:color="auto"/>
            </w:tcBorders>
            <w:shd w:val="clear" w:color="auto" w:fill="33CCCC"/>
          </w:tcPr>
          <w:p>
            <w:pPr>
              <w:spacing w:after="0"/>
              <w:rPr>
                <w:sz w:val="17"/>
                <w:szCs w:val="17"/>
                <w:color w:val="auto"/>
              </w:rPr>
            </w:pPr>
          </w:p>
        </w:tc>
        <w:tc>
          <w:tcPr>
            <w:tcW w:w="1160" w:type="dxa"/>
            <w:vAlign w:val="bottom"/>
            <w:tcBorders>
              <w:top w:val="single" w:sz="8" w:color="auto"/>
              <w:right w:val="single" w:sz="8" w:color="auto"/>
            </w:tcBorders>
            <w:shd w:val="clear" w:color="auto" w:fill="33CCCC"/>
          </w:tcPr>
          <w:p>
            <w:pPr>
              <w:spacing w:after="0"/>
              <w:rPr>
                <w:sz w:val="17"/>
                <w:szCs w:val="17"/>
                <w:color w:val="auto"/>
              </w:rPr>
            </w:pPr>
          </w:p>
        </w:tc>
        <w:tc>
          <w:tcPr>
            <w:tcW w:w="1160" w:type="dxa"/>
            <w:vAlign w:val="bottom"/>
            <w:tcBorders>
              <w:top w:val="single" w:sz="8" w:color="auto"/>
            </w:tcBorders>
            <w:shd w:val="clear" w:color="auto" w:fill="33CCCC"/>
          </w:tcPr>
          <w:p>
            <w:pPr>
              <w:jc w:val="center"/>
              <w:spacing w:after="0" w:line="196" w:lineRule="exact"/>
              <w:rPr>
                <w:sz w:val="20"/>
                <w:szCs w:val="20"/>
                <w:color w:val="auto"/>
              </w:rPr>
            </w:pPr>
            <w:r>
              <w:rPr>
                <w:rFonts w:ascii="Calibri" w:cs="Calibri" w:eastAsia="Calibri" w:hAnsi="Calibri"/>
                <w:sz w:val="17"/>
                <w:szCs w:val="17"/>
                <w:b w:val="1"/>
                <w:bCs w:val="1"/>
                <w:color w:val="FFFFFF"/>
              </w:rPr>
              <w:t>% change</w:t>
            </w:r>
          </w:p>
        </w:tc>
        <w:tc>
          <w:tcPr>
            <w:tcW w:w="1140" w:type="dxa"/>
            <w:vAlign w:val="bottom"/>
            <w:tcBorders>
              <w:top w:val="single" w:sz="8" w:color="auto"/>
              <w:right w:val="single" w:sz="8" w:color="auto"/>
            </w:tcBorders>
            <w:shd w:val="clear" w:color="auto" w:fill="33CCCC"/>
          </w:tcPr>
          <w:p>
            <w:pPr>
              <w:spacing w:after="0"/>
              <w:rPr>
                <w:sz w:val="17"/>
                <w:szCs w:val="17"/>
                <w:color w:val="auto"/>
              </w:rPr>
            </w:pPr>
          </w:p>
        </w:tc>
        <w:tc>
          <w:tcPr>
            <w:tcW w:w="1120" w:type="dxa"/>
            <w:vAlign w:val="bottom"/>
            <w:tcBorders>
              <w:top w:val="single" w:sz="8" w:color="auto"/>
            </w:tcBorders>
            <w:shd w:val="clear" w:color="auto" w:fill="33CCCC"/>
          </w:tcPr>
          <w:p>
            <w:pPr>
              <w:jc w:val="center"/>
              <w:spacing w:after="0" w:line="196" w:lineRule="exact"/>
              <w:rPr>
                <w:sz w:val="20"/>
                <w:szCs w:val="20"/>
                <w:color w:val="auto"/>
              </w:rPr>
            </w:pPr>
            <w:r>
              <w:rPr>
                <w:rFonts w:ascii="Calibri" w:cs="Calibri" w:eastAsia="Calibri" w:hAnsi="Calibri"/>
                <w:sz w:val="17"/>
                <w:szCs w:val="17"/>
                <w:b w:val="1"/>
                <w:bCs w:val="1"/>
                <w:color w:val="FFFFFF"/>
              </w:rPr>
              <w:t>As of</w:t>
            </w:r>
          </w:p>
        </w:tc>
        <w:tc>
          <w:tcPr>
            <w:tcW w:w="1140" w:type="dxa"/>
            <w:vAlign w:val="bottom"/>
            <w:tcBorders>
              <w:top w:val="single" w:sz="8" w:color="auto"/>
              <w:right w:val="single" w:sz="8" w:color="auto"/>
            </w:tcBorders>
            <w:shd w:val="clear" w:color="auto" w:fill="33CCCC"/>
          </w:tcPr>
          <w:p>
            <w:pPr>
              <w:spacing w:after="0"/>
              <w:rPr>
                <w:sz w:val="17"/>
                <w:szCs w:val="17"/>
                <w:color w:val="auto"/>
              </w:rPr>
            </w:pPr>
          </w:p>
        </w:tc>
        <w:tc>
          <w:tcPr>
            <w:tcW w:w="1420" w:type="dxa"/>
            <w:vAlign w:val="bottom"/>
            <w:tcBorders>
              <w:top w:val="single" w:sz="8" w:color="auto"/>
              <w:right w:val="single" w:sz="8" w:color="auto"/>
            </w:tcBorders>
            <w:shd w:val="clear" w:color="auto" w:fill="33CCCC"/>
          </w:tcPr>
          <w:p>
            <w:pPr>
              <w:jc w:val="center"/>
              <w:spacing w:after="0" w:line="196" w:lineRule="exact"/>
              <w:rPr>
                <w:sz w:val="20"/>
                <w:szCs w:val="20"/>
                <w:color w:val="auto"/>
              </w:rPr>
            </w:pPr>
            <w:r>
              <w:rPr>
                <w:rFonts w:ascii="Calibri" w:cs="Calibri" w:eastAsia="Calibri" w:hAnsi="Calibri"/>
                <w:sz w:val="17"/>
                <w:szCs w:val="17"/>
                <w:b w:val="1"/>
                <w:bCs w:val="1"/>
                <w:color w:val="FFFFFF"/>
              </w:rPr>
              <w:t>% change</w:t>
            </w:r>
          </w:p>
        </w:tc>
      </w:tr>
      <w:tr>
        <w:trPr>
          <w:trHeight w:val="203"/>
        </w:trPr>
        <w:tc>
          <w:tcPr>
            <w:tcW w:w="1820" w:type="dxa"/>
            <w:vAlign w:val="bottom"/>
            <w:tcBorders>
              <w:left w:val="single" w:sz="8" w:color="auto"/>
              <w:bottom w:val="single" w:sz="8" w:color="646464"/>
              <w:right w:val="single" w:sz="8" w:color="auto"/>
            </w:tcBorders>
            <w:shd w:val="clear" w:color="auto" w:fill="33CCCC"/>
          </w:tcPr>
          <w:p>
            <w:pPr>
              <w:spacing w:after="0"/>
              <w:rPr>
                <w:sz w:val="17"/>
                <w:szCs w:val="17"/>
                <w:color w:val="auto"/>
              </w:rPr>
            </w:pPr>
          </w:p>
        </w:tc>
        <w:tc>
          <w:tcPr>
            <w:tcW w:w="1160" w:type="dxa"/>
            <w:vAlign w:val="bottom"/>
            <w:tcBorders>
              <w:bottom w:val="single" w:sz="8" w:color="646464"/>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3Q23</w:t>
            </w:r>
          </w:p>
        </w:tc>
        <w:tc>
          <w:tcPr>
            <w:tcW w:w="1120" w:type="dxa"/>
            <w:vAlign w:val="bottom"/>
            <w:tcBorders>
              <w:bottom w:val="single" w:sz="8" w:color="646464"/>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2Q24</w:t>
            </w:r>
          </w:p>
        </w:tc>
        <w:tc>
          <w:tcPr>
            <w:tcW w:w="1160" w:type="dxa"/>
            <w:vAlign w:val="bottom"/>
            <w:tcBorders>
              <w:bottom w:val="single" w:sz="8" w:color="646464"/>
              <w:right w:val="single" w:sz="8" w:color="auto"/>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3Q24</w:t>
            </w:r>
          </w:p>
        </w:tc>
        <w:tc>
          <w:tcPr>
            <w:tcW w:w="1160" w:type="dxa"/>
            <w:vAlign w:val="bottom"/>
            <w:tcBorders>
              <w:bottom w:val="single" w:sz="8" w:color="646464"/>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QoQ</w:t>
            </w:r>
          </w:p>
        </w:tc>
        <w:tc>
          <w:tcPr>
            <w:tcW w:w="1140" w:type="dxa"/>
            <w:vAlign w:val="bottom"/>
            <w:tcBorders>
              <w:bottom w:val="single" w:sz="8" w:color="646464"/>
              <w:right w:val="single" w:sz="8" w:color="auto"/>
            </w:tcBorders>
            <w:shd w:val="clear" w:color="auto" w:fill="33CCCC"/>
          </w:tcPr>
          <w:p>
            <w:pPr>
              <w:ind w:left="420"/>
              <w:spacing w:after="0" w:line="203" w:lineRule="exact"/>
              <w:rPr>
                <w:sz w:val="20"/>
                <w:szCs w:val="20"/>
                <w:color w:val="auto"/>
              </w:rPr>
            </w:pPr>
            <w:r>
              <w:rPr>
                <w:rFonts w:ascii="Calibri" w:cs="Calibri" w:eastAsia="Calibri" w:hAnsi="Calibri"/>
                <w:sz w:val="17"/>
                <w:szCs w:val="17"/>
                <w:b w:val="1"/>
                <w:bCs w:val="1"/>
                <w:color w:val="FFFFFF"/>
              </w:rPr>
              <w:t>YoY</w:t>
            </w:r>
          </w:p>
        </w:tc>
        <w:tc>
          <w:tcPr>
            <w:tcW w:w="1120" w:type="dxa"/>
            <w:vAlign w:val="bottom"/>
            <w:tcBorders>
              <w:bottom w:val="single" w:sz="8" w:color="646464"/>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Sep 23</w:t>
            </w:r>
          </w:p>
        </w:tc>
        <w:tc>
          <w:tcPr>
            <w:tcW w:w="1140" w:type="dxa"/>
            <w:vAlign w:val="bottom"/>
            <w:tcBorders>
              <w:bottom w:val="single" w:sz="8" w:color="646464"/>
              <w:right w:val="single" w:sz="8" w:color="auto"/>
            </w:tcBorders>
            <w:shd w:val="clear" w:color="auto" w:fill="33CCCC"/>
          </w:tcPr>
          <w:p>
            <w:pPr>
              <w:ind w:left="320"/>
              <w:spacing w:after="0" w:line="203" w:lineRule="exact"/>
              <w:rPr>
                <w:sz w:val="20"/>
                <w:szCs w:val="20"/>
                <w:color w:val="auto"/>
              </w:rPr>
            </w:pPr>
            <w:r>
              <w:rPr>
                <w:rFonts w:ascii="Calibri" w:cs="Calibri" w:eastAsia="Calibri" w:hAnsi="Calibri"/>
                <w:sz w:val="17"/>
                <w:szCs w:val="17"/>
                <w:b w:val="1"/>
                <w:bCs w:val="1"/>
                <w:color w:val="FFFFFF"/>
              </w:rPr>
              <w:t>Sep 24</w:t>
            </w:r>
          </w:p>
        </w:tc>
        <w:tc>
          <w:tcPr>
            <w:tcW w:w="1420" w:type="dxa"/>
            <w:vAlign w:val="bottom"/>
            <w:tcBorders>
              <w:bottom w:val="single" w:sz="8" w:color="auto"/>
              <w:right w:val="single" w:sz="8" w:color="auto"/>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Sep 24 / Sep 23</w:t>
            </w:r>
          </w:p>
        </w:tc>
      </w:tr>
      <w:tr>
        <w:trPr>
          <w:trHeight w:val="169"/>
        </w:trPr>
        <w:tc>
          <w:tcPr>
            <w:tcW w:w="1820" w:type="dxa"/>
            <w:vAlign w:val="bottom"/>
            <w:tcBorders>
              <w:left w:val="single" w:sz="8" w:color="auto"/>
              <w:right w:val="single" w:sz="8" w:color="auto"/>
            </w:tcBorders>
          </w:tcPr>
          <w:p>
            <w:pPr>
              <w:ind w:left="20"/>
              <w:spacing w:after="0" w:line="169" w:lineRule="exact"/>
              <w:rPr>
                <w:sz w:val="20"/>
                <w:szCs w:val="20"/>
                <w:color w:val="auto"/>
              </w:rPr>
            </w:pPr>
            <w:r>
              <w:rPr>
                <w:rFonts w:ascii="Calibri" w:cs="Calibri" w:eastAsia="Calibri" w:hAnsi="Calibri"/>
                <w:sz w:val="17"/>
                <w:szCs w:val="17"/>
                <w:color w:val="auto"/>
              </w:rPr>
              <w:t>BCP</w:t>
            </w:r>
          </w:p>
        </w:tc>
        <w:tc>
          <w:tcPr>
            <w:tcW w:w="1160" w:type="dxa"/>
            <w:vAlign w:val="bottom"/>
          </w:tcPr>
          <w:p>
            <w:pPr>
              <w:jc w:val="center"/>
              <w:spacing w:after="0" w:line="169" w:lineRule="exact"/>
              <w:rPr>
                <w:sz w:val="20"/>
                <w:szCs w:val="20"/>
                <w:color w:val="auto"/>
              </w:rPr>
            </w:pPr>
            <w:r>
              <w:rPr>
                <w:rFonts w:ascii="Calibri" w:cs="Calibri" w:eastAsia="Calibri" w:hAnsi="Calibri"/>
                <w:sz w:val="17"/>
                <w:szCs w:val="17"/>
                <w:color w:val="auto"/>
              </w:rPr>
              <w:t>39.2%</w:t>
            </w:r>
          </w:p>
        </w:tc>
        <w:tc>
          <w:tcPr>
            <w:tcW w:w="1120" w:type="dxa"/>
            <w:vAlign w:val="bottom"/>
          </w:tcPr>
          <w:p>
            <w:pPr>
              <w:jc w:val="center"/>
              <w:spacing w:after="0" w:line="169" w:lineRule="exact"/>
              <w:rPr>
                <w:sz w:val="20"/>
                <w:szCs w:val="20"/>
                <w:color w:val="auto"/>
              </w:rPr>
            </w:pPr>
            <w:r>
              <w:rPr>
                <w:rFonts w:ascii="Calibri" w:cs="Calibri" w:eastAsia="Calibri" w:hAnsi="Calibri"/>
                <w:sz w:val="17"/>
                <w:szCs w:val="17"/>
                <w:color w:val="auto"/>
              </w:rPr>
              <w:t>38.2%</w:t>
            </w:r>
          </w:p>
        </w:tc>
        <w:tc>
          <w:tcPr>
            <w:tcW w:w="116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7"/>
                <w:szCs w:val="17"/>
                <w:color w:val="auto"/>
                <w:w w:val="99"/>
              </w:rPr>
              <w:t>37.6%</w:t>
            </w:r>
          </w:p>
        </w:tc>
        <w:tc>
          <w:tcPr>
            <w:tcW w:w="1160" w:type="dxa"/>
            <w:vAlign w:val="bottom"/>
          </w:tcPr>
          <w:p>
            <w:pPr>
              <w:jc w:val="center"/>
              <w:spacing w:after="0" w:line="169" w:lineRule="exact"/>
              <w:rPr>
                <w:sz w:val="20"/>
                <w:szCs w:val="20"/>
                <w:color w:val="auto"/>
              </w:rPr>
            </w:pPr>
            <w:r>
              <w:rPr>
                <w:rFonts w:ascii="Calibri" w:cs="Calibri" w:eastAsia="Calibri" w:hAnsi="Calibri"/>
                <w:sz w:val="17"/>
                <w:szCs w:val="17"/>
                <w:color w:val="auto"/>
              </w:rPr>
              <w:t>-60 bps</w:t>
            </w:r>
          </w:p>
        </w:tc>
        <w:tc>
          <w:tcPr>
            <w:tcW w:w="114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7"/>
                <w:szCs w:val="17"/>
                <w:color w:val="auto"/>
              </w:rPr>
              <w:t>-160 bps</w:t>
            </w:r>
          </w:p>
        </w:tc>
        <w:tc>
          <w:tcPr>
            <w:tcW w:w="1120" w:type="dxa"/>
            <w:vAlign w:val="bottom"/>
          </w:tcPr>
          <w:p>
            <w:pPr>
              <w:jc w:val="center"/>
              <w:spacing w:after="0" w:line="169" w:lineRule="exact"/>
              <w:rPr>
                <w:sz w:val="20"/>
                <w:szCs w:val="20"/>
                <w:color w:val="auto"/>
              </w:rPr>
            </w:pPr>
            <w:r>
              <w:rPr>
                <w:rFonts w:ascii="Calibri" w:cs="Calibri" w:eastAsia="Calibri" w:hAnsi="Calibri"/>
                <w:sz w:val="17"/>
                <w:szCs w:val="17"/>
                <w:color w:val="auto"/>
                <w:w w:val="99"/>
              </w:rPr>
              <w:t>37.8%</w:t>
            </w:r>
          </w:p>
        </w:tc>
        <w:tc>
          <w:tcPr>
            <w:tcW w:w="1140" w:type="dxa"/>
            <w:vAlign w:val="bottom"/>
            <w:tcBorders>
              <w:right w:val="single" w:sz="8" w:color="auto"/>
            </w:tcBorders>
          </w:tcPr>
          <w:p>
            <w:pPr>
              <w:ind w:left="340"/>
              <w:spacing w:after="0" w:line="169" w:lineRule="exact"/>
              <w:rPr>
                <w:sz w:val="20"/>
                <w:szCs w:val="20"/>
                <w:color w:val="auto"/>
              </w:rPr>
            </w:pPr>
            <w:r>
              <w:rPr>
                <w:rFonts w:ascii="Calibri" w:cs="Calibri" w:eastAsia="Calibri" w:hAnsi="Calibri"/>
                <w:sz w:val="17"/>
                <w:szCs w:val="17"/>
                <w:color w:val="auto"/>
              </w:rPr>
              <w:t>37.4%</w:t>
            </w:r>
          </w:p>
        </w:tc>
        <w:tc>
          <w:tcPr>
            <w:tcW w:w="1420" w:type="dxa"/>
            <w:vAlign w:val="bottom"/>
            <w:tcBorders>
              <w:right w:val="single" w:sz="8" w:color="auto"/>
            </w:tcBorders>
          </w:tcPr>
          <w:p>
            <w:pPr>
              <w:jc w:val="center"/>
              <w:spacing w:after="0" w:line="169" w:lineRule="exact"/>
              <w:rPr>
                <w:sz w:val="20"/>
                <w:szCs w:val="20"/>
                <w:color w:val="auto"/>
              </w:rPr>
            </w:pPr>
            <w:r>
              <w:rPr>
                <w:rFonts w:ascii="Calibri" w:cs="Calibri" w:eastAsia="Calibri" w:hAnsi="Calibri"/>
                <w:sz w:val="17"/>
                <w:szCs w:val="17"/>
                <w:color w:val="auto"/>
              </w:rPr>
              <w:t>-40 bps</w:t>
            </w:r>
          </w:p>
        </w:tc>
      </w:tr>
      <w:tr>
        <w:trPr>
          <w:trHeight w:val="203"/>
        </w:trPr>
        <w:tc>
          <w:tcPr>
            <w:tcW w:w="1820" w:type="dxa"/>
            <w:vAlign w:val="bottom"/>
            <w:tcBorders>
              <w:left w:val="single" w:sz="8" w:color="auto"/>
              <w:right w:val="single" w:sz="8" w:color="auto"/>
            </w:tcBorders>
          </w:tcPr>
          <w:p>
            <w:pPr>
              <w:ind w:left="20"/>
              <w:spacing w:after="0" w:line="203" w:lineRule="exact"/>
              <w:rPr>
                <w:sz w:val="20"/>
                <w:szCs w:val="20"/>
                <w:color w:val="auto"/>
              </w:rPr>
            </w:pPr>
            <w:r>
              <w:rPr>
                <w:rFonts w:ascii="Calibri" w:cs="Calibri" w:eastAsia="Calibri" w:hAnsi="Calibri"/>
                <w:sz w:val="17"/>
                <w:szCs w:val="17"/>
                <w:color w:val="auto"/>
              </w:rPr>
              <w:t>BCP Bolivia</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65.3%</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rPr>
              <w:t>58.2%</w:t>
            </w:r>
          </w:p>
        </w:tc>
        <w:tc>
          <w:tcPr>
            <w:tcW w:w="11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w w:val="99"/>
              </w:rPr>
              <w:t>80.3%</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2210 bps</w:t>
            </w:r>
          </w:p>
        </w:tc>
        <w:tc>
          <w:tcPr>
            <w:tcW w:w="11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1500 bps</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w w:val="99"/>
              </w:rPr>
              <w:t>62.1%</w:t>
            </w:r>
          </w:p>
        </w:tc>
        <w:tc>
          <w:tcPr>
            <w:tcW w:w="1140" w:type="dxa"/>
            <w:vAlign w:val="bottom"/>
            <w:tcBorders>
              <w:right w:val="single" w:sz="8" w:color="auto"/>
            </w:tcBorders>
          </w:tcPr>
          <w:p>
            <w:pPr>
              <w:ind w:left="340"/>
              <w:spacing w:after="0" w:line="203" w:lineRule="exact"/>
              <w:rPr>
                <w:sz w:val="20"/>
                <w:szCs w:val="20"/>
                <w:color w:val="auto"/>
              </w:rPr>
            </w:pPr>
            <w:r>
              <w:rPr>
                <w:rFonts w:ascii="Calibri" w:cs="Calibri" w:eastAsia="Calibri" w:hAnsi="Calibri"/>
                <w:sz w:val="17"/>
                <w:szCs w:val="17"/>
                <w:color w:val="auto"/>
              </w:rPr>
              <w:t>64.3%</w:t>
            </w: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220 bps</w:t>
            </w:r>
          </w:p>
        </w:tc>
      </w:tr>
      <w:tr>
        <w:trPr>
          <w:trHeight w:val="203"/>
        </w:trPr>
        <w:tc>
          <w:tcPr>
            <w:tcW w:w="1820" w:type="dxa"/>
            <w:vAlign w:val="bottom"/>
            <w:tcBorders>
              <w:left w:val="single" w:sz="8" w:color="auto"/>
              <w:right w:val="single" w:sz="8" w:color="auto"/>
            </w:tcBorders>
          </w:tcPr>
          <w:p>
            <w:pPr>
              <w:ind w:left="20"/>
              <w:spacing w:after="0" w:line="203" w:lineRule="exact"/>
              <w:rPr>
                <w:sz w:val="20"/>
                <w:szCs w:val="20"/>
                <w:color w:val="auto"/>
              </w:rPr>
            </w:pPr>
            <w:r>
              <w:rPr>
                <w:rFonts w:ascii="Calibri" w:cs="Calibri" w:eastAsia="Calibri" w:hAnsi="Calibri"/>
                <w:sz w:val="17"/>
                <w:szCs w:val="17"/>
                <w:color w:val="auto"/>
              </w:rPr>
              <w:t>Mibanco Perú</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51.4%</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rPr>
              <w:t>51.0%</w:t>
            </w:r>
          </w:p>
        </w:tc>
        <w:tc>
          <w:tcPr>
            <w:tcW w:w="11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w w:val="99"/>
              </w:rPr>
              <w:t>54.2%</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320 bps</w:t>
            </w:r>
          </w:p>
        </w:tc>
        <w:tc>
          <w:tcPr>
            <w:tcW w:w="11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280 bps</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w w:val="99"/>
              </w:rPr>
              <w:t>52.6%</w:t>
            </w:r>
          </w:p>
        </w:tc>
        <w:tc>
          <w:tcPr>
            <w:tcW w:w="1140" w:type="dxa"/>
            <w:vAlign w:val="bottom"/>
            <w:tcBorders>
              <w:right w:val="single" w:sz="8" w:color="auto"/>
            </w:tcBorders>
          </w:tcPr>
          <w:p>
            <w:pPr>
              <w:ind w:left="340"/>
              <w:spacing w:after="0" w:line="203" w:lineRule="exact"/>
              <w:rPr>
                <w:sz w:val="20"/>
                <w:szCs w:val="20"/>
                <w:color w:val="auto"/>
              </w:rPr>
            </w:pPr>
            <w:r>
              <w:rPr>
                <w:rFonts w:ascii="Calibri" w:cs="Calibri" w:eastAsia="Calibri" w:hAnsi="Calibri"/>
                <w:sz w:val="17"/>
                <w:szCs w:val="17"/>
                <w:color w:val="auto"/>
              </w:rPr>
              <w:t>52.8%</w:t>
            </w: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20 bps</w:t>
            </w:r>
          </w:p>
        </w:tc>
      </w:tr>
      <w:tr>
        <w:trPr>
          <w:trHeight w:val="202"/>
        </w:trPr>
        <w:tc>
          <w:tcPr>
            <w:tcW w:w="1820" w:type="dxa"/>
            <w:vAlign w:val="bottom"/>
            <w:tcBorders>
              <w:left w:val="single" w:sz="8" w:color="auto"/>
              <w:right w:val="single" w:sz="8" w:color="auto"/>
            </w:tcBorders>
          </w:tcPr>
          <w:p>
            <w:pPr>
              <w:ind w:left="20"/>
              <w:spacing w:after="0" w:line="203" w:lineRule="exact"/>
              <w:rPr>
                <w:sz w:val="20"/>
                <w:szCs w:val="20"/>
                <w:color w:val="auto"/>
              </w:rPr>
            </w:pPr>
            <w:r>
              <w:rPr>
                <w:rFonts w:ascii="Calibri" w:cs="Calibri" w:eastAsia="Calibri" w:hAnsi="Calibri"/>
                <w:sz w:val="17"/>
                <w:szCs w:val="17"/>
                <w:color w:val="auto"/>
              </w:rPr>
              <w:t>Mibanco Colombia</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86.0%</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rPr>
              <w:t>78.9%</w:t>
            </w:r>
          </w:p>
        </w:tc>
        <w:tc>
          <w:tcPr>
            <w:tcW w:w="11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w w:val="99"/>
              </w:rPr>
              <w:t>72.0%</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-690 bps</w:t>
            </w:r>
          </w:p>
        </w:tc>
        <w:tc>
          <w:tcPr>
            <w:tcW w:w="11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-1390 bps</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w w:val="99"/>
              </w:rPr>
              <w:t>89.1%</w:t>
            </w:r>
          </w:p>
        </w:tc>
        <w:tc>
          <w:tcPr>
            <w:tcW w:w="1140" w:type="dxa"/>
            <w:vAlign w:val="bottom"/>
            <w:tcBorders>
              <w:right w:val="single" w:sz="8" w:color="auto"/>
            </w:tcBorders>
          </w:tcPr>
          <w:p>
            <w:pPr>
              <w:ind w:left="340"/>
              <w:spacing w:after="0" w:line="203" w:lineRule="exact"/>
              <w:rPr>
                <w:sz w:val="20"/>
                <w:szCs w:val="20"/>
                <w:color w:val="auto"/>
              </w:rPr>
            </w:pPr>
            <w:r>
              <w:rPr>
                <w:rFonts w:ascii="Calibri" w:cs="Calibri" w:eastAsia="Calibri" w:hAnsi="Calibri"/>
                <w:sz w:val="17"/>
                <w:szCs w:val="17"/>
                <w:color w:val="auto"/>
              </w:rPr>
              <w:t>78.6%</w:t>
            </w: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-1050 bps</w:t>
            </w:r>
          </w:p>
        </w:tc>
      </w:tr>
      <w:tr>
        <w:trPr>
          <w:trHeight w:val="203"/>
        </w:trPr>
        <w:tc>
          <w:tcPr>
            <w:tcW w:w="1820" w:type="dxa"/>
            <w:vAlign w:val="bottom"/>
            <w:tcBorders>
              <w:left w:val="single" w:sz="8" w:color="auto"/>
              <w:right w:val="single" w:sz="8" w:color="auto"/>
            </w:tcBorders>
          </w:tcPr>
          <w:p>
            <w:pPr>
              <w:ind w:left="20"/>
              <w:spacing w:after="0" w:line="203" w:lineRule="exact"/>
              <w:rPr>
                <w:sz w:val="20"/>
                <w:szCs w:val="20"/>
                <w:color w:val="auto"/>
              </w:rPr>
            </w:pPr>
            <w:r>
              <w:rPr>
                <w:rFonts w:ascii="Calibri" w:cs="Calibri" w:eastAsia="Calibri" w:hAnsi="Calibri"/>
                <w:sz w:val="17"/>
                <w:szCs w:val="17"/>
                <w:color w:val="auto"/>
              </w:rPr>
              <w:t>Pacífco</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24.7%</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rPr>
              <w:t>27.5%</w:t>
            </w:r>
          </w:p>
        </w:tc>
        <w:tc>
          <w:tcPr>
            <w:tcW w:w="116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w w:val="99"/>
              </w:rPr>
              <w:t>25.5%</w:t>
            </w:r>
          </w:p>
        </w:tc>
        <w:tc>
          <w:tcPr>
            <w:tcW w:w="1160" w:type="dxa"/>
            <w:vAlign w:val="bottom"/>
          </w:tcPr>
          <w:p>
            <w:pPr>
              <w:jc w:val="center"/>
              <w:spacing w:after="0" w:line="203" w:lineRule="exact"/>
              <w:rPr>
                <w:sz w:val="20"/>
                <w:szCs w:val="20"/>
                <w:color w:val="auto"/>
              </w:rPr>
            </w:pPr>
            <w:r>
              <w:rPr>
                <w:rFonts w:ascii="Calibri" w:cs="Calibri" w:eastAsia="Calibri" w:hAnsi="Calibri"/>
                <w:sz w:val="17"/>
                <w:szCs w:val="17"/>
                <w:color w:val="auto"/>
              </w:rPr>
              <w:t>-200 bps</w:t>
            </w:r>
          </w:p>
        </w:tc>
        <w:tc>
          <w:tcPr>
            <w:tcW w:w="114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80 bps</w:t>
            </w:r>
          </w:p>
        </w:tc>
        <w:tc>
          <w:tcPr>
            <w:tcW w:w="1120" w:type="dxa"/>
            <w:vAlign w:val="bottom"/>
          </w:tcPr>
          <w:p>
            <w:pPr>
              <w:jc w:val="center"/>
              <w:spacing w:after="0" w:line="203" w:lineRule="exact"/>
              <w:rPr>
                <w:sz w:val="20"/>
                <w:szCs w:val="20"/>
                <w:color w:val="auto"/>
              </w:rPr>
            </w:pPr>
            <w:r>
              <w:rPr>
                <w:rFonts w:ascii="Calibri" w:cs="Calibri" w:eastAsia="Calibri" w:hAnsi="Calibri"/>
                <w:sz w:val="17"/>
                <w:szCs w:val="17"/>
                <w:color w:val="auto"/>
                <w:w w:val="99"/>
              </w:rPr>
              <w:t>24.2%</w:t>
            </w:r>
          </w:p>
        </w:tc>
        <w:tc>
          <w:tcPr>
            <w:tcW w:w="1140" w:type="dxa"/>
            <w:vAlign w:val="bottom"/>
            <w:tcBorders>
              <w:right w:val="single" w:sz="8" w:color="auto"/>
            </w:tcBorders>
          </w:tcPr>
          <w:p>
            <w:pPr>
              <w:ind w:left="340"/>
              <w:spacing w:after="0" w:line="203" w:lineRule="exact"/>
              <w:rPr>
                <w:sz w:val="20"/>
                <w:szCs w:val="20"/>
                <w:color w:val="auto"/>
              </w:rPr>
            </w:pPr>
            <w:r>
              <w:rPr>
                <w:rFonts w:ascii="Calibri" w:cs="Calibri" w:eastAsia="Calibri" w:hAnsi="Calibri"/>
                <w:sz w:val="17"/>
                <w:szCs w:val="17"/>
                <w:color w:val="auto"/>
              </w:rPr>
              <w:t>26.9%</w:t>
            </w:r>
          </w:p>
        </w:tc>
        <w:tc>
          <w:tcPr>
            <w:tcW w:w="1420" w:type="dxa"/>
            <w:vAlign w:val="bottom"/>
            <w:tcBorders>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270 bps</w:t>
            </w:r>
          </w:p>
        </w:tc>
      </w:tr>
      <w:tr>
        <w:trPr>
          <w:trHeight w:val="204"/>
        </w:trPr>
        <w:tc>
          <w:tcPr>
            <w:tcW w:w="1820" w:type="dxa"/>
            <w:vAlign w:val="bottom"/>
            <w:tcBorders>
              <w:left w:val="single" w:sz="8" w:color="auto"/>
              <w:right w:val="single" w:sz="8" w:color="auto"/>
            </w:tcBorders>
          </w:tcPr>
          <w:p>
            <w:pPr>
              <w:ind w:left="20"/>
              <w:spacing w:after="0" w:line="205" w:lineRule="exact"/>
              <w:rPr>
                <w:sz w:val="20"/>
                <w:szCs w:val="20"/>
                <w:color w:val="auto"/>
              </w:rPr>
            </w:pPr>
            <w:r>
              <w:rPr>
                <w:rFonts w:ascii="Calibri" w:cs="Calibri" w:eastAsia="Calibri" w:hAnsi="Calibri"/>
                <w:sz w:val="17"/>
                <w:szCs w:val="17"/>
                <w:color w:val="auto"/>
              </w:rPr>
              <w:t>Prima AFP</w:t>
            </w:r>
          </w:p>
        </w:tc>
        <w:tc>
          <w:tcPr>
            <w:tcW w:w="1160" w:type="dxa"/>
            <w:vAlign w:val="bottom"/>
          </w:tcPr>
          <w:p>
            <w:pPr>
              <w:jc w:val="center"/>
              <w:spacing w:after="0" w:line="205" w:lineRule="exact"/>
              <w:rPr>
                <w:sz w:val="20"/>
                <w:szCs w:val="20"/>
                <w:color w:val="auto"/>
              </w:rPr>
            </w:pPr>
            <w:r>
              <w:rPr>
                <w:rFonts w:ascii="Calibri" w:cs="Calibri" w:eastAsia="Calibri" w:hAnsi="Calibri"/>
                <w:sz w:val="17"/>
                <w:szCs w:val="17"/>
                <w:color w:val="auto"/>
              </w:rPr>
              <w:t>51.6%</w:t>
            </w:r>
          </w:p>
        </w:tc>
        <w:tc>
          <w:tcPr>
            <w:tcW w:w="1120" w:type="dxa"/>
            <w:vAlign w:val="bottom"/>
          </w:tcPr>
          <w:p>
            <w:pPr>
              <w:jc w:val="center"/>
              <w:spacing w:after="0" w:line="205" w:lineRule="exact"/>
              <w:rPr>
                <w:sz w:val="20"/>
                <w:szCs w:val="20"/>
                <w:color w:val="auto"/>
              </w:rPr>
            </w:pPr>
            <w:r>
              <w:rPr>
                <w:rFonts w:ascii="Calibri" w:cs="Calibri" w:eastAsia="Calibri" w:hAnsi="Calibri"/>
                <w:sz w:val="17"/>
                <w:szCs w:val="17"/>
                <w:color w:val="auto"/>
              </w:rPr>
              <w:t>52.2%</w:t>
            </w:r>
          </w:p>
        </w:tc>
        <w:tc>
          <w:tcPr>
            <w:tcW w:w="116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9"/>
              </w:rPr>
              <w:t>50.7%</w:t>
            </w:r>
          </w:p>
        </w:tc>
        <w:tc>
          <w:tcPr>
            <w:tcW w:w="1160" w:type="dxa"/>
            <w:vAlign w:val="bottom"/>
          </w:tcPr>
          <w:p>
            <w:pPr>
              <w:jc w:val="center"/>
              <w:spacing w:after="0" w:line="205" w:lineRule="exact"/>
              <w:rPr>
                <w:sz w:val="20"/>
                <w:szCs w:val="20"/>
                <w:color w:val="auto"/>
              </w:rPr>
            </w:pPr>
            <w:r>
              <w:rPr>
                <w:rFonts w:ascii="Calibri" w:cs="Calibri" w:eastAsia="Calibri" w:hAnsi="Calibri"/>
                <w:sz w:val="17"/>
                <w:szCs w:val="17"/>
                <w:color w:val="auto"/>
              </w:rPr>
              <w:t>-140 bps</w:t>
            </w:r>
          </w:p>
        </w:tc>
        <w:tc>
          <w:tcPr>
            <w:tcW w:w="114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-90 bps</w:t>
            </w:r>
          </w:p>
        </w:tc>
        <w:tc>
          <w:tcPr>
            <w:tcW w:w="112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50.3%</w:t>
            </w:r>
          </w:p>
        </w:tc>
        <w:tc>
          <w:tcPr>
            <w:tcW w:w="1140" w:type="dxa"/>
            <w:vAlign w:val="bottom"/>
            <w:tcBorders>
              <w:right w:val="single" w:sz="8" w:color="auto"/>
            </w:tcBorders>
          </w:tcPr>
          <w:p>
            <w:pPr>
              <w:ind w:left="340"/>
              <w:spacing w:after="0" w:line="205" w:lineRule="exact"/>
              <w:rPr>
                <w:sz w:val="20"/>
                <w:szCs w:val="20"/>
                <w:color w:val="auto"/>
              </w:rPr>
            </w:pPr>
            <w:r>
              <w:rPr>
                <w:rFonts w:ascii="Calibri" w:cs="Calibri" w:eastAsia="Calibri" w:hAnsi="Calibri"/>
                <w:sz w:val="17"/>
                <w:szCs w:val="17"/>
                <w:color w:val="auto"/>
              </w:rPr>
              <w:t>51.1%</w:t>
            </w:r>
          </w:p>
        </w:tc>
        <w:tc>
          <w:tcPr>
            <w:tcW w:w="1420" w:type="dxa"/>
            <w:vAlign w:val="bottom"/>
            <w:tcBorders>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rPr>
              <w:t>80 bps</w:t>
            </w:r>
          </w:p>
        </w:tc>
      </w:tr>
      <w:tr>
        <w:trPr>
          <w:trHeight w:val="26"/>
        </w:trPr>
        <w:tc>
          <w:tcPr>
            <w:tcW w:w="1820" w:type="dxa"/>
            <w:vAlign w:val="bottom"/>
            <w:tcBorders>
              <w:left w:val="single" w:sz="8" w:color="auto"/>
              <w:bottom w:val="single" w:sz="8" w:color="646464"/>
              <w:right w:val="single" w:sz="8" w:color="auto"/>
            </w:tcBorders>
          </w:tcPr>
          <w:p>
            <w:pPr>
              <w:spacing w:after="0"/>
              <w:rPr>
                <w:sz w:val="2"/>
                <w:szCs w:val="2"/>
                <w:color w:val="auto"/>
              </w:rPr>
            </w:pPr>
          </w:p>
        </w:tc>
        <w:tc>
          <w:tcPr>
            <w:tcW w:w="1160" w:type="dxa"/>
            <w:vAlign w:val="bottom"/>
            <w:tcBorders>
              <w:bottom w:val="single" w:sz="8" w:color="646464"/>
            </w:tcBorders>
          </w:tcPr>
          <w:p>
            <w:pPr>
              <w:spacing w:after="0"/>
              <w:rPr>
                <w:sz w:val="2"/>
                <w:szCs w:val="2"/>
                <w:color w:val="auto"/>
              </w:rPr>
            </w:pPr>
          </w:p>
        </w:tc>
        <w:tc>
          <w:tcPr>
            <w:tcW w:w="1120" w:type="dxa"/>
            <w:vAlign w:val="bottom"/>
            <w:tcBorders>
              <w:bottom w:val="single" w:sz="8" w:color="646464"/>
            </w:tcBorders>
          </w:tcPr>
          <w:p>
            <w:pPr>
              <w:spacing w:after="0"/>
              <w:rPr>
                <w:sz w:val="2"/>
                <w:szCs w:val="2"/>
                <w:color w:val="auto"/>
              </w:rPr>
            </w:pPr>
          </w:p>
        </w:tc>
        <w:tc>
          <w:tcPr>
            <w:tcW w:w="1160" w:type="dxa"/>
            <w:vAlign w:val="bottom"/>
            <w:tcBorders>
              <w:bottom w:val="single" w:sz="8" w:color="646464"/>
              <w:right w:val="single" w:sz="8" w:color="auto"/>
            </w:tcBorders>
          </w:tcPr>
          <w:p>
            <w:pPr>
              <w:spacing w:after="0"/>
              <w:rPr>
                <w:sz w:val="2"/>
                <w:szCs w:val="2"/>
                <w:color w:val="auto"/>
              </w:rPr>
            </w:pPr>
          </w:p>
        </w:tc>
        <w:tc>
          <w:tcPr>
            <w:tcW w:w="1160" w:type="dxa"/>
            <w:vAlign w:val="bottom"/>
            <w:tcBorders>
              <w:bottom w:val="single" w:sz="8" w:color="646464"/>
            </w:tcBorders>
          </w:tcPr>
          <w:p>
            <w:pPr>
              <w:spacing w:after="0"/>
              <w:rPr>
                <w:sz w:val="2"/>
                <w:szCs w:val="2"/>
                <w:color w:val="auto"/>
              </w:rPr>
            </w:pPr>
          </w:p>
        </w:tc>
        <w:tc>
          <w:tcPr>
            <w:tcW w:w="1140" w:type="dxa"/>
            <w:vAlign w:val="bottom"/>
            <w:tcBorders>
              <w:bottom w:val="single" w:sz="8" w:color="646464"/>
              <w:right w:val="single" w:sz="8" w:color="auto"/>
            </w:tcBorders>
          </w:tcPr>
          <w:p>
            <w:pPr>
              <w:spacing w:after="0"/>
              <w:rPr>
                <w:sz w:val="2"/>
                <w:szCs w:val="2"/>
                <w:color w:val="auto"/>
              </w:rPr>
            </w:pPr>
          </w:p>
        </w:tc>
        <w:tc>
          <w:tcPr>
            <w:tcW w:w="1120" w:type="dxa"/>
            <w:vAlign w:val="bottom"/>
            <w:tcBorders>
              <w:bottom w:val="single" w:sz="8" w:color="646464"/>
            </w:tcBorders>
          </w:tcPr>
          <w:p>
            <w:pPr>
              <w:spacing w:after="0"/>
              <w:rPr>
                <w:sz w:val="2"/>
                <w:szCs w:val="2"/>
                <w:color w:val="auto"/>
              </w:rPr>
            </w:pPr>
          </w:p>
        </w:tc>
        <w:tc>
          <w:tcPr>
            <w:tcW w:w="1140" w:type="dxa"/>
            <w:vAlign w:val="bottom"/>
            <w:tcBorders>
              <w:bottom w:val="single" w:sz="8" w:color="646464"/>
              <w:right w:val="single" w:sz="8" w:color="auto"/>
            </w:tcBorders>
          </w:tcPr>
          <w:p>
            <w:pPr>
              <w:spacing w:after="0"/>
              <w:rPr>
                <w:sz w:val="2"/>
                <w:szCs w:val="2"/>
                <w:color w:val="auto"/>
              </w:rPr>
            </w:pPr>
          </w:p>
        </w:tc>
        <w:tc>
          <w:tcPr>
            <w:tcW w:w="1420" w:type="dxa"/>
            <w:vAlign w:val="bottom"/>
            <w:tcBorders>
              <w:bottom w:val="single" w:sz="8" w:color="646464"/>
              <w:right w:val="single" w:sz="8" w:color="auto"/>
            </w:tcBorders>
          </w:tcPr>
          <w:p>
            <w:pPr>
              <w:spacing w:after="0"/>
              <w:rPr>
                <w:sz w:val="2"/>
                <w:szCs w:val="2"/>
                <w:color w:val="auto"/>
              </w:rPr>
            </w:pPr>
          </w:p>
        </w:tc>
      </w:tr>
      <w:tr>
        <w:trPr>
          <w:trHeight w:val="196"/>
        </w:trPr>
        <w:tc>
          <w:tcPr>
            <w:tcW w:w="1820" w:type="dxa"/>
            <w:vAlign w:val="bottom"/>
            <w:tcBorders>
              <w:left w:val="single" w:sz="8" w:color="auto"/>
              <w:bottom w:val="single" w:sz="8" w:color="646464"/>
              <w:right w:val="single" w:sz="8" w:color="auto"/>
            </w:tcBorders>
          </w:tcPr>
          <w:p>
            <w:pPr>
              <w:ind w:left="20"/>
              <w:spacing w:after="0" w:line="196" w:lineRule="exact"/>
              <w:rPr>
                <w:sz w:val="20"/>
                <w:szCs w:val="20"/>
                <w:color w:val="auto"/>
              </w:rPr>
            </w:pPr>
            <w:r>
              <w:rPr>
                <w:rFonts w:ascii="Calibri" w:cs="Calibri" w:eastAsia="Calibri" w:hAnsi="Calibri"/>
                <w:sz w:val="17"/>
                <w:szCs w:val="17"/>
                <w:b w:val="1"/>
                <w:bCs w:val="1"/>
                <w:color w:val="auto"/>
              </w:rPr>
              <w:t>Credicorp</w:t>
            </w:r>
          </w:p>
        </w:tc>
        <w:tc>
          <w:tcPr>
            <w:tcW w:w="1160" w:type="dxa"/>
            <w:vAlign w:val="bottom"/>
            <w:tcBorders>
              <w:bottom w:val="single" w:sz="8" w:color="646464"/>
            </w:tcBorders>
          </w:tcPr>
          <w:p>
            <w:pPr>
              <w:jc w:val="center"/>
              <w:spacing w:after="0" w:line="196" w:lineRule="exact"/>
              <w:rPr>
                <w:sz w:val="20"/>
                <w:szCs w:val="20"/>
                <w:color w:val="auto"/>
              </w:rPr>
            </w:pPr>
            <w:r>
              <w:rPr>
                <w:rFonts w:ascii="Calibri" w:cs="Calibri" w:eastAsia="Calibri" w:hAnsi="Calibri"/>
                <w:sz w:val="17"/>
                <w:szCs w:val="17"/>
                <w:b w:val="1"/>
                <w:bCs w:val="1"/>
                <w:color w:val="auto"/>
              </w:rPr>
              <w:t>46.3%</w:t>
            </w:r>
          </w:p>
        </w:tc>
        <w:tc>
          <w:tcPr>
            <w:tcW w:w="1120" w:type="dxa"/>
            <w:vAlign w:val="bottom"/>
            <w:tcBorders>
              <w:bottom w:val="single" w:sz="8" w:color="646464"/>
            </w:tcBorders>
          </w:tcPr>
          <w:p>
            <w:pPr>
              <w:jc w:val="center"/>
              <w:spacing w:after="0" w:line="196" w:lineRule="exact"/>
              <w:rPr>
                <w:sz w:val="20"/>
                <w:szCs w:val="20"/>
                <w:color w:val="auto"/>
              </w:rPr>
            </w:pPr>
            <w:r>
              <w:rPr>
                <w:rFonts w:ascii="Calibri" w:cs="Calibri" w:eastAsia="Calibri" w:hAnsi="Calibri"/>
                <w:sz w:val="17"/>
                <w:szCs w:val="17"/>
                <w:b w:val="1"/>
                <w:bCs w:val="1"/>
                <w:color w:val="auto"/>
              </w:rPr>
              <w:t>44.9%</w:t>
            </w:r>
          </w:p>
        </w:tc>
        <w:tc>
          <w:tcPr>
            <w:tcW w:w="1160" w:type="dxa"/>
            <w:vAlign w:val="bottom"/>
            <w:tcBorders>
              <w:bottom w:val="single" w:sz="8" w:color="646464"/>
              <w:right w:val="single" w:sz="8" w:color="auto"/>
            </w:tcBorders>
          </w:tcPr>
          <w:p>
            <w:pPr>
              <w:jc w:val="center"/>
              <w:spacing w:after="0" w:line="196" w:lineRule="exact"/>
              <w:rPr>
                <w:sz w:val="20"/>
                <w:szCs w:val="20"/>
                <w:color w:val="auto"/>
              </w:rPr>
            </w:pPr>
            <w:r>
              <w:rPr>
                <w:rFonts w:ascii="Calibri" w:cs="Calibri" w:eastAsia="Calibri" w:hAnsi="Calibri"/>
                <w:sz w:val="17"/>
                <w:szCs w:val="17"/>
                <w:b w:val="1"/>
                <w:bCs w:val="1"/>
                <w:color w:val="auto"/>
                <w:w w:val="98"/>
              </w:rPr>
              <w:t>45.2%</w:t>
            </w:r>
          </w:p>
        </w:tc>
        <w:tc>
          <w:tcPr>
            <w:tcW w:w="1160" w:type="dxa"/>
            <w:vAlign w:val="bottom"/>
            <w:tcBorders>
              <w:bottom w:val="single" w:sz="8" w:color="646464"/>
            </w:tcBorders>
          </w:tcPr>
          <w:p>
            <w:pPr>
              <w:jc w:val="center"/>
              <w:spacing w:after="0" w:line="196" w:lineRule="exact"/>
              <w:rPr>
                <w:sz w:val="20"/>
                <w:szCs w:val="20"/>
                <w:color w:val="auto"/>
              </w:rPr>
            </w:pPr>
            <w:r>
              <w:rPr>
                <w:rFonts w:ascii="Calibri" w:cs="Calibri" w:eastAsia="Calibri" w:hAnsi="Calibri"/>
                <w:sz w:val="17"/>
                <w:szCs w:val="17"/>
                <w:b w:val="1"/>
                <w:bCs w:val="1"/>
                <w:color w:val="auto"/>
              </w:rPr>
              <w:t>29 bps</w:t>
            </w:r>
          </w:p>
        </w:tc>
        <w:tc>
          <w:tcPr>
            <w:tcW w:w="1140" w:type="dxa"/>
            <w:vAlign w:val="bottom"/>
            <w:tcBorders>
              <w:bottom w:val="single" w:sz="8" w:color="646464"/>
              <w:right w:val="single" w:sz="8" w:color="auto"/>
            </w:tcBorders>
          </w:tcPr>
          <w:p>
            <w:pPr>
              <w:jc w:val="center"/>
              <w:spacing w:after="0" w:line="196" w:lineRule="exact"/>
              <w:rPr>
                <w:sz w:val="20"/>
                <w:szCs w:val="20"/>
                <w:color w:val="auto"/>
              </w:rPr>
            </w:pPr>
            <w:r>
              <w:rPr>
                <w:rFonts w:ascii="Calibri" w:cs="Calibri" w:eastAsia="Calibri" w:hAnsi="Calibri"/>
                <w:sz w:val="17"/>
                <w:szCs w:val="17"/>
                <w:b w:val="1"/>
                <w:bCs w:val="1"/>
                <w:color w:val="auto"/>
              </w:rPr>
              <w:t>-112 bps</w:t>
            </w:r>
          </w:p>
        </w:tc>
        <w:tc>
          <w:tcPr>
            <w:tcW w:w="1120" w:type="dxa"/>
            <w:vAlign w:val="bottom"/>
            <w:tcBorders>
              <w:bottom w:val="single" w:sz="8" w:color="646464"/>
            </w:tcBorders>
          </w:tcPr>
          <w:p>
            <w:pPr>
              <w:jc w:val="center"/>
              <w:spacing w:after="0" w:line="196" w:lineRule="exact"/>
              <w:rPr>
                <w:sz w:val="20"/>
                <w:szCs w:val="20"/>
                <w:color w:val="auto"/>
              </w:rPr>
            </w:pPr>
            <w:r>
              <w:rPr>
                <w:rFonts w:ascii="Calibri" w:cs="Calibri" w:eastAsia="Calibri" w:hAnsi="Calibri"/>
                <w:sz w:val="17"/>
                <w:szCs w:val="17"/>
                <w:b w:val="1"/>
                <w:bCs w:val="1"/>
                <w:color w:val="auto"/>
              </w:rPr>
              <w:t>45.1%</w:t>
            </w:r>
          </w:p>
        </w:tc>
        <w:tc>
          <w:tcPr>
            <w:tcW w:w="1140" w:type="dxa"/>
            <w:vAlign w:val="bottom"/>
            <w:tcBorders>
              <w:bottom w:val="single" w:sz="8" w:color="646464"/>
              <w:right w:val="single" w:sz="8" w:color="auto"/>
            </w:tcBorders>
          </w:tcPr>
          <w:p>
            <w:pPr>
              <w:ind w:left="340"/>
              <w:spacing w:after="0" w:line="196" w:lineRule="exact"/>
              <w:rPr>
                <w:sz w:val="20"/>
                <w:szCs w:val="20"/>
                <w:color w:val="auto"/>
              </w:rPr>
            </w:pPr>
            <w:r>
              <w:rPr>
                <w:rFonts w:ascii="Calibri" w:cs="Calibri" w:eastAsia="Calibri" w:hAnsi="Calibri"/>
                <w:sz w:val="17"/>
                <w:szCs w:val="17"/>
                <w:b w:val="1"/>
                <w:bCs w:val="1"/>
                <w:color w:val="auto"/>
              </w:rPr>
              <w:t>44.6%</w:t>
            </w:r>
          </w:p>
        </w:tc>
        <w:tc>
          <w:tcPr>
            <w:tcW w:w="1420" w:type="dxa"/>
            <w:vAlign w:val="bottom"/>
            <w:tcBorders>
              <w:bottom w:val="single" w:sz="8" w:color="646464"/>
              <w:right w:val="single" w:sz="8" w:color="auto"/>
            </w:tcBorders>
          </w:tcPr>
          <w:p>
            <w:pPr>
              <w:jc w:val="center"/>
              <w:spacing w:after="0" w:line="196" w:lineRule="exact"/>
              <w:rPr>
                <w:sz w:val="20"/>
                <w:szCs w:val="20"/>
                <w:color w:val="auto"/>
              </w:rPr>
            </w:pPr>
            <w:r>
              <w:rPr>
                <w:rFonts w:ascii="Calibri" w:cs="Calibri" w:eastAsia="Calibri" w:hAnsi="Calibri"/>
                <w:sz w:val="17"/>
                <w:szCs w:val="17"/>
                <w:b w:val="1"/>
                <w:bCs w:val="1"/>
                <w:color w:val="auto"/>
              </w:rPr>
              <w:t>-50 bps</w:t>
            </w:r>
          </w:p>
        </w:tc>
      </w:tr>
    </w:tbl>
    <w:p>
      <w:pPr>
        <w:spacing w:after="0" w:line="3" w:lineRule="exact"/>
        <w:rPr>
          <w:sz w:val="20"/>
          <w:szCs w:val="20"/>
          <w:color w:val="auto"/>
        </w:rPr>
      </w:pPr>
    </w:p>
    <w:p>
      <w:pPr>
        <w:ind w:right="20" w:firstLine="8"/>
        <w:spacing w:after="0" w:line="224" w:lineRule="auto"/>
        <w:tabs>
          <w:tab w:leader="none" w:pos="169"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Operatng expenses / Operatng income (under IFRS 17). Operatng expenses = Salaries and employee’s benefts + Administratve expenses + Depreciaton and amortzaton + Associaton in partcipaton + Acquisiton cost. Operatng income = Net interest, similar income, and expenses + Fee income + Net gain on foreign exchange transactons + Net gain from associates +Net gain on derivatves held for trading + Net gain from exchange diferences + Net Insurance Underwritng Results</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color w:val="auto"/>
        </w:rPr>
        <w:t>Our analysis will focus on YTD movements to eliminate the impact of seasonality between quarters.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efciency rato improved 50 bps YTD. This evoluton was driven mainly by growth in core income, which rose on the back of a higher net interest income, and by an uptck in fee income, which refects an increase in the use of digital channels and Yape in partcular. Expansion in income was supported by controlled spending.</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1" w:name="page42"/>
    <w:bookmarkEnd w:id="41"/>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4972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10 </w:t>
      </w:r>
      <w:r>
        <w:rPr>
          <w:rFonts w:ascii="Calibri" w:cs="Calibri" w:eastAsia="Calibri" w:hAnsi="Calibri"/>
          <w:sz w:val="32"/>
          <w:szCs w:val="32"/>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028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Calibri" w:cs="Calibri" w:eastAsia="Calibri" w:hAnsi="Calibri"/>
          <w:sz w:val="18"/>
          <w:szCs w:val="18"/>
          <w:color w:val="FFFFFF"/>
        </w:rPr>
        <w:t>Regulatory Capital Rato stood 1.43 tmes above the regulatory limit.</w:t>
      </w:r>
    </w:p>
    <w:p>
      <w:pPr>
        <w:spacing w:after="0" w:line="163"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8"/>
          <w:szCs w:val="18"/>
          <w:color w:val="FFFFFF"/>
        </w:rPr>
        <w:t>The IFRS CET1 rato at BCP Stand-alone increased 38bps YoY to stand at 13.42%, driven by growth in the balance of Retained Earnings (+19.0%) and partally ofset by an uptck in the RWA level (+3.4%)</w:t>
      </w:r>
    </w:p>
    <w:p>
      <w:pPr>
        <w:spacing w:after="0" w:line="137" w:lineRule="exact"/>
        <w:rPr>
          <w:sz w:val="20"/>
          <w:szCs w:val="20"/>
          <w:color w:val="auto"/>
        </w:rPr>
      </w:pPr>
    </w:p>
    <w:p>
      <w:pPr>
        <w:ind w:left="120" w:right="100"/>
        <w:spacing w:after="0" w:line="235" w:lineRule="auto"/>
        <w:rPr>
          <w:sz w:val="20"/>
          <w:szCs w:val="20"/>
          <w:color w:val="auto"/>
        </w:rPr>
      </w:pPr>
      <w:r>
        <w:rPr>
          <w:rFonts w:ascii="Calibri" w:cs="Calibri" w:eastAsia="Calibri" w:hAnsi="Calibri"/>
          <w:sz w:val="18"/>
          <w:szCs w:val="18"/>
          <w:color w:val="FFFFFF"/>
        </w:rPr>
        <w:t>The IFRS CET1 rato at Mibanco rose 38 bps YoY, situatng at 17.94%. The drop in the RWA level (-9.7%), which was ofset by a decrease in Retained Earnings (-86.2%), drove the dynamic.</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10.1  Regulatory Capital at Credicorp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Capital analysis of Financial Group.</w:t>
      </w:r>
    </w:p>
    <w:p>
      <w:pPr>
        <w:spacing w:after="0" w:line="25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2022, the Superintendency of Banking, Insurance, and AFP (SBS) established the legal bases to align the country’s regulatory framework with the capital standards set by Basel III. The entty issued resolutons that modifed both the structure and compositon of regulatory capital and capital requirements for companies in the fnancial system. Most of these changes were implemented beginning of 2023. For more details, we suggest you refer to our 1Q23 Quarterly Report.</w:t>
      </w:r>
    </w:p>
    <w:p>
      <w:pPr>
        <w:spacing w:after="0" w:line="246" w:lineRule="exact"/>
        <w:rPr>
          <w:sz w:val="20"/>
          <w:szCs w:val="20"/>
          <w:color w:val="auto"/>
        </w:rPr>
      </w:pPr>
    </w:p>
    <w:p>
      <w:pPr>
        <w:jc w:val="both"/>
        <w:spacing w:after="0" w:line="201" w:lineRule="auto"/>
        <w:rPr>
          <w:sz w:val="20"/>
          <w:szCs w:val="20"/>
          <w:color w:val="auto"/>
        </w:rPr>
      </w:pPr>
      <w:r>
        <w:rPr>
          <w:rFonts w:ascii="Calibri" w:cs="Calibri" w:eastAsia="Calibri" w:hAnsi="Calibri"/>
          <w:sz w:val="18"/>
          <w:szCs w:val="18"/>
          <w:color w:val="auto"/>
        </w:rPr>
        <w:t>In 2024, with the objectve to contnue aligning local regulaton with Basel III, the SBS modifed the structure and compositon of Total Regulatory Capital for fnancial conglomerates. These changes included incorporatng the following elements in the calculaton of Total Regulatory Capital: (i) Retained Earnings</w:t>
      </w:r>
      <w:r>
        <w:rPr>
          <w:rFonts w:ascii="Calibri" w:cs="Calibri" w:eastAsia="Calibri" w:hAnsi="Calibri"/>
          <w:sz w:val="29"/>
          <w:szCs w:val="29"/>
          <w:color w:val="auto"/>
          <w:vertAlign w:val="superscript"/>
        </w:rPr>
        <w:t>1</w:t>
      </w:r>
      <w:r>
        <w:rPr>
          <w:rFonts w:ascii="Calibri" w:cs="Calibri" w:eastAsia="Calibri" w:hAnsi="Calibri"/>
          <w:sz w:val="18"/>
          <w:szCs w:val="18"/>
          <w:color w:val="auto"/>
        </w:rPr>
        <w:t xml:space="preserve"> and (ii) Unrealized Gains/Losses</w:t>
      </w:r>
      <w:r>
        <w:rPr>
          <w:rFonts w:ascii="Calibri" w:cs="Calibri" w:eastAsia="Calibri" w:hAnsi="Calibri"/>
          <w:sz w:val="29"/>
          <w:szCs w:val="29"/>
          <w:color w:val="auto"/>
          <w:vertAlign w:val="superscript"/>
        </w:rPr>
        <w:t>2</w:t>
      </w:r>
      <w:r>
        <w:rPr>
          <w:rFonts w:ascii="Calibri" w:cs="Calibri" w:eastAsia="Calibri" w:hAnsi="Calibri"/>
          <w:sz w:val="18"/>
          <w:szCs w:val="18"/>
          <w:color w:val="auto"/>
        </w:rPr>
        <w:t>, as well as deductons of Net Intangible Assets &amp; DTAs.</w:t>
      </w:r>
    </w:p>
    <w:p>
      <w:pPr>
        <w:spacing w:after="0" w:line="2" w:lineRule="exact"/>
        <w:rPr>
          <w:sz w:val="20"/>
          <w:szCs w:val="20"/>
          <w:color w:val="auto"/>
        </w:rPr>
      </w:pPr>
    </w:p>
    <w:p>
      <w:pPr>
        <w:jc w:val="both"/>
        <w:spacing w:after="0" w:line="215" w:lineRule="auto"/>
        <w:rPr>
          <w:sz w:val="20"/>
          <w:szCs w:val="20"/>
          <w:color w:val="auto"/>
        </w:rPr>
      </w:pPr>
      <w:r>
        <w:rPr>
          <w:rFonts w:ascii="Calibri" w:cs="Calibri" w:eastAsia="Calibri" w:hAnsi="Calibri"/>
          <w:sz w:val="18"/>
          <w:szCs w:val="18"/>
          <w:color w:val="auto"/>
        </w:rPr>
        <w:t>Additonally, two minimum capital requirements have been included: minimum required for Common Equity Tier 1 Capital (CET 1) and minimum Tier 1 Total Regulatory Capital (Tier 1).</w:t>
      </w:r>
    </w:p>
    <w:p>
      <w:pPr>
        <w:ind w:left="400" w:hanging="392"/>
        <w:spacing w:after="0" w:line="237" w:lineRule="auto"/>
        <w:tabs>
          <w:tab w:leader="none" w:pos="40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Minimum required for CET 1: 45% of Credicorp’s capital requirement and 100% of the conservaton, economic cycle and risk concentraton bufers.</w:t>
      </w:r>
    </w:p>
    <w:p>
      <w:pPr>
        <w:ind w:left="400" w:hanging="392"/>
        <w:spacing w:after="0" w:line="235" w:lineRule="auto"/>
        <w:tabs>
          <w:tab w:leader="none" w:pos="40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Minimum required for Tier 1: 60% of Credicorp’s capital requirement and 100% of the conservaton, economic cycle and risk concentraton bufers.</w:t>
      </w:r>
    </w:p>
    <w:p>
      <w:pPr>
        <w:spacing w:after="0" w:line="218" w:lineRule="exact"/>
        <w:rPr>
          <w:sz w:val="20"/>
          <w:szCs w:val="20"/>
          <w:color w:val="auto"/>
        </w:rPr>
      </w:pPr>
    </w:p>
    <w:p>
      <w:pPr>
        <w:jc w:val="both"/>
        <w:ind w:right="5840"/>
        <w:spacing w:after="0" w:line="235" w:lineRule="auto"/>
        <w:rPr>
          <w:sz w:val="20"/>
          <w:szCs w:val="20"/>
          <w:color w:val="auto"/>
        </w:rPr>
      </w:pPr>
      <w:r>
        <w:rPr>
          <w:rFonts w:ascii="Calibri" w:cs="Calibri" w:eastAsia="Calibri" w:hAnsi="Calibri"/>
          <w:sz w:val="18"/>
          <w:szCs w:val="18"/>
          <w:color w:val="auto"/>
        </w:rPr>
        <w:t>Regarding Credicorp, at the end of 3Q24, the Regulatory Capital Rato stood 1.43 tmes above the minimum required, which atests our fnancial strength and stability.The rato increased 10 bps QoQ driven by an increase in Subordinated Debt, related to an issuance in BCP, and an increase in Retained Earnings, partcularly at BCP. This growth was partally ofset by a drop in Discretonary Reserves related to the special dividend declared this quarter. It is important to note that BCP and Mibanco have not yet declared their respectve special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-1086485</wp:posOffset>
            </wp:positionV>
            <wp:extent cx="2580005" cy="1739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80005" cy="1739900"/>
                    </a:xfrm>
                    <a:prstGeom prst="rect">
                      <a:avLst/>
                    </a:prstGeom>
                    <a:noFill/>
                  </pic:spPr>
                </pic:pic>
              </a:graphicData>
            </a:graphic>
          </wp:anchor>
        </w:drawing>
      </w:r>
    </w:p>
    <w:p>
      <w:pPr>
        <w:spacing w:after="0" w:line="203" w:lineRule="exact"/>
        <w:rPr>
          <w:sz w:val="20"/>
          <w:szCs w:val="20"/>
          <w:color w:val="auto"/>
        </w:rPr>
      </w:pPr>
    </w:p>
    <w:p>
      <w:pPr>
        <w:jc w:val="both"/>
        <w:ind w:right="5840"/>
        <w:spacing w:after="0" w:line="235" w:lineRule="auto"/>
        <w:rPr>
          <w:sz w:val="20"/>
          <w:szCs w:val="20"/>
          <w:color w:val="auto"/>
        </w:rPr>
      </w:pPr>
      <w:r>
        <w:rPr>
          <w:rFonts w:ascii="Calibri" w:cs="Calibri" w:eastAsia="Calibri" w:hAnsi="Calibri"/>
          <w:sz w:val="18"/>
          <w:szCs w:val="18"/>
          <w:color w:val="auto"/>
        </w:rPr>
        <w:t>Regulatory Tier 1 rose to 1.79 tmes (+9 bps) while Common Equity Tier 1 stood at 2.20 (+11 bps), both ratos are above the minimum required. Growth in both ratos was driven by the same dynamics that fueled an uptck in the Total Regulatory Capital 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7830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0" w:hanging="92"/>
        <w:spacing w:after="0"/>
        <w:tabs>
          <w:tab w:leader="none" w:pos="100" w:val="left"/>
        </w:tabs>
        <w:numPr>
          <w:ilvl w:val="0"/>
          <w:numId w:val="51"/>
        </w:numPr>
        <w:rPr>
          <w:rFonts w:ascii="Calibri" w:cs="Calibri" w:eastAsia="Calibri" w:hAnsi="Calibri"/>
          <w:sz w:val="24"/>
          <w:szCs w:val="24"/>
          <w:color w:val="auto"/>
          <w:vertAlign w:val="superscript"/>
        </w:rPr>
      </w:pPr>
      <w:r>
        <w:rPr>
          <w:rFonts w:ascii="Calibri" w:cs="Calibri" w:eastAsia="Calibri" w:hAnsi="Calibri"/>
          <w:sz w:val="14"/>
          <w:szCs w:val="14"/>
          <w:color w:val="auto"/>
        </w:rPr>
        <w:t>Includes Accumulated Earnings solely from Financial Enttes Supervised by the SBS, according to the current regulaton.</w:t>
      </w:r>
    </w:p>
    <w:p>
      <w:pPr>
        <w:spacing w:after="0" w:line="208" w:lineRule="exact"/>
        <w:rPr>
          <w:sz w:val="20"/>
          <w:szCs w:val="20"/>
          <w:color w:val="auto"/>
        </w:rPr>
      </w:pPr>
    </w:p>
    <w:p>
      <w:pPr>
        <w:ind w:right="300" w:firstLine="8"/>
        <w:spacing w:after="0" w:line="183" w:lineRule="auto"/>
        <w:tabs>
          <w:tab w:leader="none" w:pos="93" w:val="left"/>
        </w:tabs>
        <w:numPr>
          <w:ilvl w:val="0"/>
          <w:numId w:val="52"/>
        </w:numPr>
        <w:rPr>
          <w:rFonts w:ascii="Calibri" w:cs="Calibri" w:eastAsia="Calibri" w:hAnsi="Calibri"/>
          <w:sz w:val="23"/>
          <w:szCs w:val="23"/>
          <w:color w:val="auto"/>
          <w:vertAlign w:val="superscript"/>
        </w:rPr>
      </w:pPr>
      <w:r>
        <w:rPr>
          <w:rFonts w:ascii="Calibri" w:cs="Calibri" w:eastAsia="Calibri" w:hAnsi="Calibri"/>
          <w:sz w:val="14"/>
          <w:szCs w:val="14"/>
          <w:color w:val="auto"/>
        </w:rPr>
        <w:t>Includes Unrealized Losses atributable to Available-For-Sale Investments in debt instruments issued by the Peruvian Government, other Governments with Investment Grade Ratngs, the Peruvian Central Bank and other instruments, in accordance with current regulaton.</w:t>
      </w:r>
    </w:p>
    <w:p>
      <w:pPr>
        <w:spacing w:after="0" w:line="34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2" w:name="page43"/>
    <w:bookmarkEnd w:id="42"/>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4972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FFFFFF"/>
        </w:rPr>
        <w:t>10. Regulatory Capital</w:t>
      </w:r>
    </w:p>
    <w:p>
      <w:pPr>
        <w:spacing w:after="0" w:line="2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10.2  Analysis of Capital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143510</wp:posOffset>
            </wp:positionV>
            <wp:extent cx="2451735" cy="2143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51735" cy="2143125"/>
                    </a:xfrm>
                    <a:prstGeom prst="rect">
                      <a:avLst/>
                    </a:prstGeom>
                    <a:noFill/>
                  </pic:spPr>
                </pic:pic>
              </a:graphicData>
            </a:graphic>
          </wp:anchor>
        </w:drawing>
      </w:r>
    </w:p>
    <w:p>
      <w:pPr>
        <w:spacing w:after="0" w:line="278" w:lineRule="exact"/>
        <w:rPr>
          <w:sz w:val="20"/>
          <w:szCs w:val="20"/>
          <w:color w:val="auto"/>
        </w:rPr>
      </w:pPr>
    </w:p>
    <w:p>
      <w:pPr>
        <w:jc w:val="both"/>
        <w:ind w:left="5080"/>
        <w:spacing w:after="0" w:line="235" w:lineRule="auto"/>
        <w:rPr>
          <w:sz w:val="20"/>
          <w:szCs w:val="20"/>
          <w:color w:val="auto"/>
        </w:rPr>
      </w:pPr>
      <w:r>
        <w:rPr>
          <w:rFonts w:ascii="Calibri" w:cs="Calibri" w:eastAsia="Calibri" w:hAnsi="Calibri"/>
          <w:sz w:val="18"/>
          <w:szCs w:val="18"/>
          <w:color w:val="auto"/>
        </w:rPr>
        <w:t>The IFRS CET 1 Rato at BCP Stand-alone rose 137 bps QoQ and closed 3Q24 at 13.42%. This fgure stands above our internal appette of 11%, and the increase was atributable to an uptck in the Retained Earnings balance. The drop in the RWA level, which was fueled by a loan contracton, also drove this dynamic. YoY, the IFRS CET 1 rato increased 38 bps, driven by growth in the balance for Retained Earnings. This evoluton was ofset by an uptck in the RWA level through growth in operatonal RWAs, which was associated with an increase in the bank’s margin.</w:t>
      </w:r>
    </w:p>
    <w:p>
      <w:pPr>
        <w:spacing w:after="0" w:line="222" w:lineRule="exact"/>
        <w:rPr>
          <w:sz w:val="20"/>
          <w:szCs w:val="20"/>
          <w:color w:val="auto"/>
        </w:rPr>
      </w:pPr>
    </w:p>
    <w:p>
      <w:pPr>
        <w:jc w:val="both"/>
        <w:ind w:left="5080"/>
        <w:spacing w:after="0" w:line="235" w:lineRule="auto"/>
        <w:rPr>
          <w:sz w:val="20"/>
          <w:szCs w:val="20"/>
          <w:color w:val="auto"/>
        </w:rPr>
      </w:pPr>
      <w:r>
        <w:rPr>
          <w:rFonts w:ascii="Calibri" w:cs="Calibri" w:eastAsia="Calibri" w:hAnsi="Calibri"/>
          <w:sz w:val="18"/>
          <w:szCs w:val="18"/>
          <w:color w:val="auto"/>
        </w:rPr>
        <w:t>Finally, under the parameters of current regulatons, the Global Capital Rato situated at 18.96% (+272 bps QoQ). This rato is well above the minimum required by the regulator 13.12% to September 2024, which refects our prudent approach to solvency management. The QoQ evoluton of this rato was driven by an increase in Subordinated Debt via an issuance in September and to an uptck in the Retained Earnings balance. The YoY increase of this rato was driven by the same dynamics as those in play for IFRS CET 1.</w:t>
      </w:r>
    </w:p>
    <w:p>
      <w:pPr>
        <w:spacing w:after="0" w:line="393" w:lineRule="exact"/>
        <w:rPr>
          <w:sz w:val="20"/>
          <w:szCs w:val="20"/>
          <w:color w:val="auto"/>
        </w:rPr>
      </w:pPr>
    </w:p>
    <w:p>
      <w:pPr>
        <w:spacing w:after="0"/>
        <w:rPr>
          <w:sz w:val="20"/>
          <w:szCs w:val="20"/>
          <w:color w:val="auto"/>
        </w:rPr>
      </w:pPr>
      <w:r>
        <w:rPr>
          <w:rFonts w:ascii="Calibri" w:cs="Calibri" w:eastAsia="Calibri" w:hAnsi="Calibri"/>
          <w:sz w:val="18"/>
          <w:szCs w:val="18"/>
          <w:color w:val="auto"/>
        </w:rPr>
        <w:t>The local CET 1 rato stood at 13.25%, well above the minimum requirement of 6.90% to September 2024.</w:t>
      </w:r>
    </w:p>
    <w:p>
      <w:pPr>
        <w:spacing w:after="0" w:line="212"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b w:val="1"/>
          <w:bCs w:val="1"/>
          <w:color w:val="auto"/>
        </w:rPr>
        <w:t>10.3</w:t>
      </w:r>
      <w:r>
        <w:rPr>
          <w:sz w:val="20"/>
          <w:szCs w:val="20"/>
          <w:color w:val="auto"/>
        </w:rPr>
        <w:tab/>
      </w:r>
      <w:r>
        <w:rPr>
          <w:rFonts w:ascii="Calibri" w:cs="Calibri" w:eastAsia="Calibri" w:hAnsi="Calibri"/>
          <w:sz w:val="17"/>
          <w:szCs w:val="17"/>
          <w:b w:val="1"/>
          <w:bCs w:val="1"/>
          <w:color w:val="auto"/>
        </w:rPr>
        <w:t>Analysis of Capital at Mibanco</w:t>
      </w:r>
    </w:p>
    <w:p>
      <w:pPr>
        <w:spacing w:after="0" w:line="204" w:lineRule="exact"/>
        <w:rPr>
          <w:sz w:val="20"/>
          <w:szCs w:val="20"/>
          <w:color w:val="auto"/>
        </w:rPr>
      </w:pPr>
    </w:p>
    <w:p>
      <w:pPr>
        <w:jc w:val="both"/>
        <w:ind w:left="5080"/>
        <w:spacing w:after="0" w:line="235" w:lineRule="auto"/>
        <w:rPr>
          <w:sz w:val="20"/>
          <w:szCs w:val="20"/>
          <w:color w:val="auto"/>
        </w:rPr>
      </w:pPr>
      <w:r>
        <w:rPr>
          <w:rFonts w:ascii="Calibri" w:cs="Calibri" w:eastAsia="Calibri" w:hAnsi="Calibri"/>
          <w:sz w:val="18"/>
          <w:szCs w:val="18"/>
          <w:color w:val="auto"/>
        </w:rPr>
        <w:t>At the end of 3Q24, the IFRS CET 1 Rato at Mibanco stood at 17.94% (+122 bps QoQ), which is above our internal appette of 15%. This increase was atributable to a reducton in the RWA level, which was driven by a contracton in loans afer stricter lending guidelines were enacted. The increase registered in Retained Earnings also fueled the evoluton of this quarter’s IFRS CET 1 result. YoY, this rato increased 38 bps due to a drop in the RWA level, which was fueled by the same dynamics in play in the QoQ analysis. This reducton was ofset by a decrease in the Retained Earnings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-1078230</wp:posOffset>
            </wp:positionV>
            <wp:extent cx="2374265" cy="1877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74265" cy="1877060"/>
                    </a:xfrm>
                    <a:prstGeom prst="rect">
                      <a:avLst/>
                    </a:prstGeom>
                    <a:noFill/>
                  </pic:spPr>
                </pic:pic>
              </a:graphicData>
            </a:graphic>
          </wp:anchor>
        </w:drawing>
      </w:r>
    </w:p>
    <w:p>
      <w:pPr>
        <w:spacing w:after="0" w:line="203" w:lineRule="exact"/>
        <w:rPr>
          <w:sz w:val="20"/>
          <w:szCs w:val="20"/>
          <w:color w:val="auto"/>
        </w:rPr>
      </w:pPr>
    </w:p>
    <w:p>
      <w:pPr>
        <w:jc w:val="both"/>
        <w:ind w:left="5080"/>
        <w:spacing w:after="0" w:line="235" w:lineRule="auto"/>
        <w:rPr>
          <w:sz w:val="20"/>
          <w:szCs w:val="20"/>
          <w:color w:val="auto"/>
        </w:rPr>
      </w:pPr>
      <w:r>
        <w:rPr>
          <w:rFonts w:ascii="Calibri" w:cs="Calibri" w:eastAsia="Calibri" w:hAnsi="Calibri"/>
          <w:sz w:val="18"/>
          <w:szCs w:val="18"/>
          <w:color w:val="auto"/>
        </w:rPr>
        <w:t>The Global Capital Rato at Mibanco stood at 20.22% (127 bps QoQ), which is signifcantly above the regulatory entty’s minimum requirement of 13.85%. The variaton between periods was driven by the same dynamics as those seen for IFRS CET 1. The local CET 1 rato stood at 17.85%, well above the 6.90% required by the regulatory entty as of September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3" w:name="page44"/>
    <w:bookmarkEnd w:id="43"/>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4972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71"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11 </w:t>
      </w:r>
      <w:r>
        <w:rPr>
          <w:rFonts w:ascii="Calibri" w:cs="Calibri" w:eastAsia="Calibri" w:hAnsi="Calibri"/>
          <w:sz w:val="32"/>
          <w:szCs w:val="32"/>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431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31290"/>
                    </a:xfrm>
                    <a:prstGeom prst="rect">
                      <a:avLst/>
                    </a:prstGeom>
                    <a:noFill/>
                  </pic:spPr>
                </pic:pic>
              </a:graphicData>
            </a:graphic>
          </wp:anchor>
        </w:drawing>
      </w:r>
    </w:p>
    <w:p>
      <w:pPr>
        <w:spacing w:after="0" w:line="165" w:lineRule="exact"/>
        <w:rPr>
          <w:sz w:val="20"/>
          <w:szCs w:val="20"/>
          <w:color w:val="auto"/>
        </w:rPr>
      </w:pPr>
    </w:p>
    <w:p>
      <w:pPr>
        <w:jc w:val="both"/>
        <w:ind w:left="120" w:right="100"/>
        <w:spacing w:after="0" w:line="235" w:lineRule="auto"/>
        <w:rPr>
          <w:sz w:val="20"/>
          <w:szCs w:val="20"/>
          <w:color w:val="auto"/>
        </w:rPr>
      </w:pPr>
      <w:r>
        <w:rPr>
          <w:rFonts w:ascii="Calibri" w:cs="Calibri" w:eastAsia="Calibri" w:hAnsi="Calibri"/>
          <w:sz w:val="18"/>
          <w:szCs w:val="18"/>
          <w:color w:val="FFFFFF"/>
        </w:rPr>
        <w:t>In 3Q24, the Peruvian economy is expected to have grown around 3.5% YoY. Primary sectors are estmated to have slowed down to 1.6% YoY, mainly afected by the decline in the fshing and agriculture sector, while non-primary sectors are projected to have expanded approximately 4.1% YoY, driven by services and non-primary manufacturing.</w:t>
      </w:r>
    </w:p>
    <w:p>
      <w:pPr>
        <w:spacing w:after="0" w:line="232" w:lineRule="exact"/>
        <w:rPr>
          <w:sz w:val="20"/>
          <w:szCs w:val="20"/>
          <w:color w:val="auto"/>
        </w:rPr>
      </w:pPr>
    </w:p>
    <w:p>
      <w:pPr>
        <w:jc w:val="both"/>
        <w:ind w:left="120" w:right="120"/>
        <w:spacing w:after="0" w:line="235" w:lineRule="auto"/>
        <w:rPr>
          <w:sz w:val="20"/>
          <w:szCs w:val="20"/>
          <w:color w:val="auto"/>
        </w:rPr>
      </w:pPr>
      <w:r>
        <w:rPr>
          <w:rFonts w:ascii="Calibri" w:cs="Calibri" w:eastAsia="Calibri" w:hAnsi="Calibri"/>
          <w:sz w:val="18"/>
          <w:szCs w:val="18"/>
          <w:color w:val="FFFFFF"/>
        </w:rPr>
        <w:t>The annual infaton rate contnued to slow, closing the quarter at 1.8% YoY (2.3% YoY in 2Q24). In October, the BCRP decided to hold its reference rate at 5.25%, afer August and September cuts.</w:t>
      </w:r>
    </w:p>
    <w:p>
      <w:pPr>
        <w:spacing w:after="0" w:line="231" w:lineRule="exact"/>
        <w:rPr>
          <w:sz w:val="20"/>
          <w:szCs w:val="20"/>
          <w:color w:val="auto"/>
        </w:rPr>
      </w:pPr>
    </w:p>
    <w:p>
      <w:pPr>
        <w:jc w:val="both"/>
        <w:ind w:left="120" w:right="100"/>
        <w:spacing w:after="0" w:line="235" w:lineRule="auto"/>
        <w:rPr>
          <w:sz w:val="20"/>
          <w:szCs w:val="20"/>
          <w:color w:val="auto"/>
        </w:rPr>
      </w:pPr>
      <w:r>
        <w:rPr>
          <w:rFonts w:ascii="Calibri" w:cs="Calibri" w:eastAsia="Calibri" w:hAnsi="Calibri"/>
          <w:sz w:val="18"/>
          <w:szCs w:val="18"/>
          <w:color w:val="FFFFFF"/>
        </w:rPr>
        <w:t>According to the BCRP, the exchange rate closed at USDPEN 3.71 in 3Q24, appreciatng 3.3% compared to the end of 2Q24. It remained stable compared to the end of 2023.</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212090</wp:posOffset>
            </wp:positionV>
            <wp:extent cx="1714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212090</wp:posOffset>
            </wp:positionV>
            <wp:extent cx="1714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212090</wp:posOffset>
            </wp:positionV>
            <wp:extent cx="1714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212090</wp:posOffset>
            </wp:positionV>
            <wp:extent cx="1714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212090</wp:posOffset>
            </wp:positionV>
            <wp:extent cx="1714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212090</wp:posOffset>
            </wp:positionV>
            <wp:extent cx="1714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25717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212090</wp:posOffset>
            </wp:positionV>
            <wp:extent cx="1714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12890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4600" w:type="dxa"/>
            <w:vAlign w:val="bottom"/>
            <w:shd w:val="clear" w:color="auto" w:fill="2AD2C9"/>
          </w:tcPr>
          <w:p>
            <w:pPr>
              <w:ind w:left="2420"/>
              <w:spacing w:after="0"/>
              <w:rPr>
                <w:sz w:val="20"/>
                <w:szCs w:val="20"/>
                <w:color w:val="auto"/>
              </w:rPr>
            </w:pPr>
            <w:r>
              <w:rPr>
                <w:rFonts w:ascii="Calibri" w:cs="Calibri" w:eastAsia="Calibri" w:hAnsi="Calibri"/>
                <w:sz w:val="17"/>
                <w:szCs w:val="17"/>
                <w:b w:val="1"/>
                <w:bCs w:val="1"/>
                <w:color w:val="FFFFFF"/>
              </w:rPr>
              <w:t>Peru</w:t>
            </w:r>
          </w:p>
        </w:tc>
        <w:tc>
          <w:tcPr>
            <w:tcW w:w="1580" w:type="dxa"/>
            <w:vAlign w:val="bottom"/>
            <w:shd w:val="clear" w:color="auto" w:fill="2AD2C9"/>
          </w:tcPr>
          <w:p>
            <w:pPr>
              <w:jc w:val="right"/>
              <w:ind w:right="295"/>
              <w:spacing w:after="0"/>
              <w:rPr>
                <w:sz w:val="20"/>
                <w:szCs w:val="20"/>
                <w:color w:val="auto"/>
              </w:rPr>
            </w:pPr>
            <w:r>
              <w:rPr>
                <w:rFonts w:ascii="Calibri" w:cs="Calibri" w:eastAsia="Calibri" w:hAnsi="Calibri"/>
                <w:sz w:val="17"/>
                <w:szCs w:val="17"/>
                <w:b w:val="1"/>
                <w:bCs w:val="1"/>
                <w:color w:val="FFFFFF"/>
              </w:rPr>
              <w:t>2019</w:t>
            </w:r>
          </w:p>
        </w:tc>
        <w:tc>
          <w:tcPr>
            <w:tcW w:w="860" w:type="dxa"/>
            <w:vAlign w:val="bottom"/>
            <w:shd w:val="clear" w:color="auto" w:fill="2AD2C9"/>
          </w:tcPr>
          <w:p>
            <w:pPr>
              <w:jc w:val="right"/>
              <w:ind w:right="295"/>
              <w:spacing w:after="0"/>
              <w:rPr>
                <w:sz w:val="20"/>
                <w:szCs w:val="20"/>
                <w:color w:val="auto"/>
              </w:rPr>
            </w:pPr>
            <w:r>
              <w:rPr>
                <w:rFonts w:ascii="Calibri" w:cs="Calibri" w:eastAsia="Calibri" w:hAnsi="Calibri"/>
                <w:sz w:val="17"/>
                <w:szCs w:val="17"/>
                <w:b w:val="1"/>
                <w:bCs w:val="1"/>
                <w:color w:val="FFFFFF"/>
              </w:rPr>
              <w:t>2020</w:t>
            </w:r>
          </w:p>
        </w:tc>
        <w:tc>
          <w:tcPr>
            <w:tcW w:w="880" w:type="dxa"/>
            <w:vAlign w:val="bottom"/>
            <w:shd w:val="clear" w:color="auto" w:fill="2AD2C9"/>
          </w:tcPr>
          <w:p>
            <w:pPr>
              <w:jc w:val="right"/>
              <w:ind w:right="315"/>
              <w:spacing w:after="0"/>
              <w:rPr>
                <w:sz w:val="20"/>
                <w:szCs w:val="20"/>
                <w:color w:val="auto"/>
              </w:rPr>
            </w:pPr>
            <w:r>
              <w:rPr>
                <w:rFonts w:ascii="Calibri" w:cs="Calibri" w:eastAsia="Calibri" w:hAnsi="Calibri"/>
                <w:sz w:val="17"/>
                <w:szCs w:val="17"/>
                <w:b w:val="1"/>
                <w:bCs w:val="1"/>
                <w:color w:val="FFFFFF"/>
              </w:rPr>
              <w:t>2021</w:t>
            </w:r>
          </w:p>
        </w:tc>
        <w:tc>
          <w:tcPr>
            <w:tcW w:w="860" w:type="dxa"/>
            <w:vAlign w:val="bottom"/>
            <w:shd w:val="clear" w:color="auto" w:fill="2AD2C9"/>
          </w:tcPr>
          <w:p>
            <w:pPr>
              <w:jc w:val="right"/>
              <w:ind w:right="295"/>
              <w:spacing w:after="0"/>
              <w:rPr>
                <w:sz w:val="20"/>
                <w:szCs w:val="20"/>
                <w:color w:val="auto"/>
              </w:rPr>
            </w:pPr>
            <w:r>
              <w:rPr>
                <w:rFonts w:ascii="Calibri" w:cs="Calibri" w:eastAsia="Calibri" w:hAnsi="Calibri"/>
                <w:sz w:val="17"/>
                <w:szCs w:val="17"/>
                <w:b w:val="1"/>
                <w:bCs w:val="1"/>
                <w:color w:val="FFFFFF"/>
              </w:rPr>
              <w:t>2022</w:t>
            </w:r>
          </w:p>
        </w:tc>
        <w:tc>
          <w:tcPr>
            <w:tcW w:w="740" w:type="dxa"/>
            <w:vAlign w:val="bottom"/>
            <w:shd w:val="clear" w:color="auto" w:fill="2AD2C9"/>
          </w:tcPr>
          <w:p>
            <w:pPr>
              <w:jc w:val="right"/>
              <w:ind w:right="175"/>
              <w:spacing w:after="0"/>
              <w:rPr>
                <w:sz w:val="20"/>
                <w:szCs w:val="20"/>
                <w:color w:val="auto"/>
              </w:rPr>
            </w:pPr>
            <w:r>
              <w:rPr>
                <w:rFonts w:ascii="Calibri" w:cs="Calibri" w:eastAsia="Calibri" w:hAnsi="Calibri"/>
                <w:sz w:val="17"/>
                <w:szCs w:val="17"/>
                <w:b w:val="1"/>
                <w:bCs w:val="1"/>
                <w:color w:val="FFFFFF"/>
              </w:rPr>
              <w:t>2023</w:t>
            </w:r>
          </w:p>
        </w:tc>
        <w:tc>
          <w:tcPr>
            <w:tcW w:w="860" w:type="dxa"/>
            <w:vAlign w:val="bottom"/>
            <w:shd w:val="clear" w:color="auto" w:fill="2AD2C9"/>
          </w:tcPr>
          <w:p>
            <w:pPr>
              <w:jc w:val="right"/>
              <w:ind w:right="75"/>
              <w:spacing w:after="0"/>
              <w:rPr>
                <w:sz w:val="20"/>
                <w:szCs w:val="20"/>
                <w:color w:val="auto"/>
              </w:rPr>
            </w:pPr>
            <w:r>
              <w:rPr>
                <w:rFonts w:ascii="Calibri" w:cs="Calibri" w:eastAsia="Calibri" w:hAnsi="Calibri"/>
                <w:sz w:val="17"/>
                <w:szCs w:val="17"/>
                <w:b w:val="1"/>
                <w:bCs w:val="1"/>
                <w:color w:val="FFFFFF"/>
              </w:rPr>
              <w:t xml:space="preserve">2024 </w:t>
            </w:r>
            <w:r>
              <w:rPr>
                <w:rFonts w:ascii="Calibri" w:cs="Calibri" w:eastAsia="Calibri" w:hAnsi="Calibri"/>
                <w:sz w:val="28"/>
                <w:szCs w:val="28"/>
                <w:b w:val="1"/>
                <w:bCs w:val="1"/>
                <w:color w:val="FFFFFF"/>
                <w:vertAlign w:val="superscript"/>
              </w:rPr>
              <w:t>(4)</w:t>
            </w:r>
          </w:p>
        </w:tc>
        <w:tc>
          <w:tcPr>
            <w:tcW w:w="860" w:type="dxa"/>
            <w:vAlign w:val="bottom"/>
            <w:shd w:val="clear" w:color="auto" w:fill="2AD2C9"/>
          </w:tcPr>
          <w:p>
            <w:pPr>
              <w:jc w:val="right"/>
              <w:ind w:right="55"/>
              <w:spacing w:after="0"/>
              <w:rPr>
                <w:sz w:val="20"/>
                <w:szCs w:val="20"/>
                <w:color w:val="auto"/>
              </w:rPr>
            </w:pPr>
            <w:r>
              <w:rPr>
                <w:rFonts w:ascii="Calibri" w:cs="Calibri" w:eastAsia="Calibri" w:hAnsi="Calibri"/>
                <w:sz w:val="17"/>
                <w:szCs w:val="17"/>
                <w:b w:val="1"/>
                <w:bCs w:val="1"/>
                <w:color w:val="FFFFFF"/>
              </w:rPr>
              <w:t xml:space="preserve">2025 </w:t>
            </w:r>
            <w:r>
              <w:rPr>
                <w:rFonts w:ascii="Calibri" w:cs="Calibri" w:eastAsia="Calibri" w:hAnsi="Calibri"/>
                <w:sz w:val="28"/>
                <w:szCs w:val="28"/>
                <w:b w:val="1"/>
                <w:bCs w:val="1"/>
                <w:color w:val="FFFFFF"/>
                <w:vertAlign w:val="superscript"/>
              </w:rPr>
              <w:t>(4)</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GDP (US$ Millions)</w:t>
            </w:r>
          </w:p>
        </w:tc>
        <w:tc>
          <w:tcPr>
            <w:tcW w:w="15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232,447</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205,689</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225,433</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244,465</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267,346</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281,380</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296,368</w:t>
            </w:r>
          </w:p>
        </w:tc>
      </w:tr>
      <w:tr>
        <w:trPr>
          <w:trHeight w:val="175"/>
        </w:trPr>
        <w:tc>
          <w:tcPr>
            <w:tcW w:w="4600" w:type="dxa"/>
            <w:vAlign w:val="bottom"/>
          </w:tcPr>
          <w:p>
            <w:pPr>
              <w:spacing w:after="0" w:line="175" w:lineRule="exact"/>
              <w:rPr>
                <w:sz w:val="20"/>
                <w:szCs w:val="20"/>
                <w:color w:val="auto"/>
              </w:rPr>
            </w:pPr>
            <w:r>
              <w:rPr>
                <w:rFonts w:ascii="Calibri" w:cs="Calibri" w:eastAsia="Calibri" w:hAnsi="Calibri"/>
                <w:sz w:val="17"/>
                <w:szCs w:val="17"/>
                <w:color w:val="auto"/>
              </w:rPr>
              <w:t>Real GDP (% change)</w:t>
            </w:r>
          </w:p>
        </w:tc>
        <w:tc>
          <w:tcPr>
            <w:tcW w:w="1580" w:type="dxa"/>
            <w:vAlign w:val="bottom"/>
          </w:tcPr>
          <w:p>
            <w:pPr>
              <w:jc w:val="right"/>
              <w:ind w:right="35"/>
              <w:spacing w:after="0" w:line="175" w:lineRule="exact"/>
              <w:rPr>
                <w:sz w:val="20"/>
                <w:szCs w:val="20"/>
                <w:color w:val="auto"/>
              </w:rPr>
            </w:pPr>
            <w:r>
              <w:rPr>
                <w:rFonts w:ascii="Calibri" w:cs="Calibri" w:eastAsia="Calibri" w:hAnsi="Calibri"/>
                <w:sz w:val="17"/>
                <w:szCs w:val="17"/>
                <w:color w:val="auto"/>
              </w:rPr>
              <w:t>2.2</w:t>
            </w:r>
          </w:p>
        </w:tc>
        <w:tc>
          <w:tcPr>
            <w:tcW w:w="860" w:type="dxa"/>
            <w:vAlign w:val="bottom"/>
          </w:tcPr>
          <w:p>
            <w:pPr>
              <w:jc w:val="right"/>
              <w:ind w:right="35"/>
              <w:spacing w:after="0" w:line="175" w:lineRule="exact"/>
              <w:rPr>
                <w:sz w:val="20"/>
                <w:szCs w:val="20"/>
                <w:color w:val="auto"/>
              </w:rPr>
            </w:pPr>
            <w:r>
              <w:rPr>
                <w:rFonts w:ascii="Calibri" w:cs="Calibri" w:eastAsia="Calibri" w:hAnsi="Calibri"/>
                <w:sz w:val="17"/>
                <w:szCs w:val="17"/>
                <w:color w:val="auto"/>
              </w:rPr>
              <w:t>(10.9)</w:t>
            </w:r>
          </w:p>
        </w:tc>
        <w:tc>
          <w:tcPr>
            <w:tcW w:w="880" w:type="dxa"/>
            <w:vAlign w:val="bottom"/>
          </w:tcPr>
          <w:p>
            <w:pPr>
              <w:jc w:val="right"/>
              <w:ind w:right="55"/>
              <w:spacing w:after="0" w:line="175" w:lineRule="exact"/>
              <w:rPr>
                <w:sz w:val="20"/>
                <w:szCs w:val="20"/>
                <w:color w:val="auto"/>
              </w:rPr>
            </w:pPr>
            <w:r>
              <w:rPr>
                <w:rFonts w:ascii="Calibri" w:cs="Calibri" w:eastAsia="Calibri" w:hAnsi="Calibri"/>
                <w:sz w:val="17"/>
                <w:szCs w:val="17"/>
                <w:color w:val="auto"/>
              </w:rPr>
              <w:t>13.4</w:t>
            </w:r>
          </w:p>
        </w:tc>
        <w:tc>
          <w:tcPr>
            <w:tcW w:w="860" w:type="dxa"/>
            <w:vAlign w:val="bottom"/>
          </w:tcPr>
          <w:p>
            <w:pPr>
              <w:jc w:val="right"/>
              <w:ind w:right="55"/>
              <w:spacing w:after="0" w:line="175" w:lineRule="exact"/>
              <w:rPr>
                <w:sz w:val="20"/>
                <w:szCs w:val="20"/>
                <w:color w:val="auto"/>
              </w:rPr>
            </w:pPr>
            <w:r>
              <w:rPr>
                <w:rFonts w:ascii="Calibri" w:cs="Calibri" w:eastAsia="Calibri" w:hAnsi="Calibri"/>
                <w:sz w:val="17"/>
                <w:szCs w:val="17"/>
                <w:color w:val="auto"/>
              </w:rPr>
              <w:t>2.7</w:t>
            </w:r>
          </w:p>
        </w:tc>
        <w:tc>
          <w:tcPr>
            <w:tcW w:w="740" w:type="dxa"/>
            <w:vAlign w:val="bottom"/>
          </w:tcPr>
          <w:p>
            <w:pPr>
              <w:jc w:val="right"/>
              <w:spacing w:after="0" w:line="175" w:lineRule="exact"/>
              <w:rPr>
                <w:sz w:val="20"/>
                <w:szCs w:val="20"/>
                <w:color w:val="auto"/>
              </w:rPr>
            </w:pPr>
            <w:r>
              <w:rPr>
                <w:rFonts w:ascii="Calibri" w:cs="Calibri" w:eastAsia="Calibri" w:hAnsi="Calibri"/>
                <w:sz w:val="17"/>
                <w:szCs w:val="17"/>
                <w:color w:val="auto"/>
              </w:rPr>
              <w:t>(0.6)</w:t>
            </w:r>
          </w:p>
        </w:tc>
        <w:tc>
          <w:tcPr>
            <w:tcW w:w="860" w:type="dxa"/>
            <w:vAlign w:val="bottom"/>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3.0</w:t>
            </w:r>
          </w:p>
        </w:tc>
        <w:tc>
          <w:tcPr>
            <w:tcW w:w="860" w:type="dxa"/>
            <w:vAlign w:val="bottom"/>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2.8</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GDP per capita (US$)</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7,234</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6,304</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6,824</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7,320</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7,927</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8,251</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8,612</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Domestc demand (% change)</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2.2</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(9.6)</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14.5</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2.4</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(2.1)</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3.5</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2.7</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Gross fxed investment (as % GDP)</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22.5</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21.0</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25.1</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25.2</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22.9</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23.0</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23.0</w:t>
            </w:r>
          </w:p>
        </w:tc>
      </w:tr>
      <w:tr>
        <w:trPr>
          <w:trHeight w:val="237"/>
        </w:trPr>
        <w:tc>
          <w:tcPr>
            <w:tcW w:w="4600" w:type="dxa"/>
            <w:vAlign w:val="bottom"/>
            <w:tcBorders>
              <w:bottom w:val="single" w:sz="8" w:color="2AD2C9"/>
            </w:tcBorders>
          </w:tcPr>
          <w:p>
            <w:pPr>
              <w:spacing w:after="0" w:line="229" w:lineRule="exact"/>
              <w:rPr>
                <w:sz w:val="20"/>
                <w:szCs w:val="20"/>
                <w:color w:val="auto"/>
              </w:rPr>
            </w:pPr>
            <w:r>
              <w:rPr>
                <w:rFonts w:ascii="Calibri" w:cs="Calibri" w:eastAsia="Calibri" w:hAnsi="Calibri"/>
                <w:sz w:val="16"/>
                <w:szCs w:val="16"/>
                <w:color w:val="auto"/>
              </w:rPr>
              <w:t xml:space="preserve">Financial system loan without Reactva (% change) </w:t>
            </w:r>
            <w:r>
              <w:rPr>
                <w:rFonts w:ascii="Calibri" w:cs="Calibri" w:eastAsia="Calibri" w:hAnsi="Calibri"/>
                <w:sz w:val="25"/>
                <w:szCs w:val="25"/>
                <w:color w:val="auto"/>
                <w:vertAlign w:val="superscript"/>
              </w:rPr>
              <w:t>(1)</w:t>
            </w:r>
          </w:p>
        </w:tc>
        <w:tc>
          <w:tcPr>
            <w:tcW w:w="1580" w:type="dxa"/>
            <w:vAlign w:val="bottom"/>
            <w:tcBorders>
              <w:bottom w:val="single" w:sz="8" w:color="2AD2C9"/>
            </w:tcBorders>
          </w:tcPr>
          <w:p>
            <w:pPr>
              <w:jc w:val="right"/>
              <w:ind w:right="35"/>
              <w:spacing w:after="0" w:line="205" w:lineRule="exact"/>
              <w:rPr>
                <w:sz w:val="20"/>
                <w:szCs w:val="20"/>
                <w:color w:val="auto"/>
              </w:rPr>
            </w:pPr>
            <w:r>
              <w:rPr>
                <w:rFonts w:ascii="Calibri" w:cs="Calibri" w:eastAsia="Calibri" w:hAnsi="Calibri"/>
                <w:sz w:val="17"/>
                <w:szCs w:val="17"/>
                <w:color w:val="auto"/>
              </w:rPr>
              <w:t>6.4</w:t>
            </w:r>
          </w:p>
        </w:tc>
        <w:tc>
          <w:tcPr>
            <w:tcW w:w="860" w:type="dxa"/>
            <w:vAlign w:val="bottom"/>
            <w:tcBorders>
              <w:bottom w:val="single" w:sz="8" w:color="2AD2C9"/>
            </w:tcBorders>
          </w:tcPr>
          <w:p>
            <w:pPr>
              <w:jc w:val="right"/>
              <w:ind w:right="35"/>
              <w:spacing w:after="0" w:line="205" w:lineRule="exact"/>
              <w:rPr>
                <w:sz w:val="20"/>
                <w:szCs w:val="20"/>
                <w:color w:val="auto"/>
              </w:rPr>
            </w:pPr>
            <w:r>
              <w:rPr>
                <w:rFonts w:ascii="Calibri" w:cs="Calibri" w:eastAsia="Calibri" w:hAnsi="Calibri"/>
                <w:sz w:val="17"/>
                <w:szCs w:val="17"/>
                <w:color w:val="auto"/>
              </w:rPr>
              <w:t>(4.3)</w:t>
            </w:r>
          </w:p>
        </w:tc>
        <w:tc>
          <w:tcPr>
            <w:tcW w:w="880" w:type="dxa"/>
            <w:vAlign w:val="bottom"/>
            <w:tcBorders>
              <w:bottom w:val="single" w:sz="8" w:color="2AD2C9"/>
            </w:tcBorders>
          </w:tcPr>
          <w:p>
            <w:pPr>
              <w:jc w:val="right"/>
              <w:ind w:right="55"/>
              <w:spacing w:after="0" w:line="205" w:lineRule="exact"/>
              <w:rPr>
                <w:sz w:val="20"/>
                <w:szCs w:val="20"/>
                <w:color w:val="auto"/>
              </w:rPr>
            </w:pPr>
            <w:r>
              <w:rPr>
                <w:rFonts w:ascii="Calibri" w:cs="Calibri" w:eastAsia="Calibri" w:hAnsi="Calibri"/>
                <w:sz w:val="17"/>
                <w:szCs w:val="17"/>
                <w:color w:val="auto"/>
              </w:rPr>
              <w:t>12.6</w:t>
            </w:r>
          </w:p>
        </w:tc>
        <w:tc>
          <w:tcPr>
            <w:tcW w:w="860" w:type="dxa"/>
            <w:vAlign w:val="bottom"/>
            <w:tcBorders>
              <w:bottom w:val="single" w:sz="8" w:color="2AD2C9"/>
            </w:tcBorders>
          </w:tcPr>
          <w:p>
            <w:pPr>
              <w:jc w:val="right"/>
              <w:ind w:right="55"/>
              <w:spacing w:after="0" w:line="205" w:lineRule="exact"/>
              <w:rPr>
                <w:sz w:val="20"/>
                <w:szCs w:val="20"/>
                <w:color w:val="auto"/>
              </w:rPr>
            </w:pPr>
            <w:r>
              <w:rPr>
                <w:rFonts w:ascii="Calibri" w:cs="Calibri" w:eastAsia="Calibri" w:hAnsi="Calibri"/>
                <w:sz w:val="17"/>
                <w:szCs w:val="17"/>
                <w:color w:val="auto"/>
              </w:rPr>
              <w:t>9.7</w:t>
            </w:r>
          </w:p>
        </w:tc>
        <w:tc>
          <w:tcPr>
            <w:tcW w:w="740" w:type="dxa"/>
            <w:vAlign w:val="bottom"/>
            <w:tcBorders>
              <w:bottom w:val="single" w:sz="8" w:color="2AD2C9"/>
            </w:tcBorders>
          </w:tcPr>
          <w:p>
            <w:pPr>
              <w:jc w:val="right"/>
              <w:spacing w:after="0" w:line="205" w:lineRule="exact"/>
              <w:rPr>
                <w:sz w:val="20"/>
                <w:szCs w:val="20"/>
                <w:color w:val="auto"/>
              </w:rPr>
            </w:pPr>
            <w:r>
              <w:rPr>
                <w:rFonts w:ascii="Calibri" w:cs="Calibri" w:eastAsia="Calibri" w:hAnsi="Calibri"/>
                <w:sz w:val="17"/>
                <w:szCs w:val="17"/>
                <w:color w:val="auto"/>
              </w:rPr>
              <w:t>2.8</w:t>
            </w:r>
          </w:p>
        </w:tc>
        <w:tc>
          <w:tcPr>
            <w:tcW w:w="860" w:type="dxa"/>
            <w:vAlign w:val="bottom"/>
            <w:tcBorders>
              <w:bottom w:val="single" w:sz="8" w:color="2AD2C9"/>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2.0</w:t>
            </w:r>
          </w:p>
        </w:tc>
        <w:tc>
          <w:tcPr>
            <w:tcW w:w="860" w:type="dxa"/>
            <w:vAlign w:val="bottom"/>
            <w:tcBorders>
              <w:bottom w:val="single" w:sz="8" w:color="2AD2C9"/>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5.5</w:t>
            </w:r>
          </w:p>
        </w:tc>
      </w:tr>
      <w:tr>
        <w:trPr>
          <w:trHeight w:val="209"/>
        </w:trPr>
        <w:tc>
          <w:tcPr>
            <w:tcW w:w="4600" w:type="dxa"/>
            <w:vAlign w:val="bottom"/>
            <w:tcBorders>
              <w:bottom w:val="single" w:sz="8" w:color="2AD2C9"/>
            </w:tcBorders>
          </w:tcPr>
          <w:p>
            <w:pPr>
              <w:spacing w:after="0" w:line="202" w:lineRule="exact"/>
              <w:rPr>
                <w:sz w:val="20"/>
                <w:szCs w:val="20"/>
                <w:color w:val="auto"/>
              </w:rPr>
            </w:pPr>
            <w:r>
              <w:rPr>
                <w:rFonts w:ascii="Calibri" w:cs="Calibri" w:eastAsia="Calibri" w:hAnsi="Calibri"/>
                <w:sz w:val="14"/>
                <w:szCs w:val="14"/>
                <w:color w:val="auto"/>
              </w:rPr>
              <w:t>Infaton, end of period</w:t>
            </w:r>
            <w:r>
              <w:rPr>
                <w:rFonts w:ascii="Calibri" w:cs="Calibri" w:eastAsia="Calibri" w:hAnsi="Calibri"/>
                <w:sz w:val="22"/>
                <w:szCs w:val="22"/>
                <w:color w:val="auto"/>
                <w:vertAlign w:val="superscript"/>
              </w:rPr>
              <w:t>(2)</w:t>
            </w:r>
          </w:p>
        </w:tc>
        <w:tc>
          <w:tcPr>
            <w:tcW w:w="1580" w:type="dxa"/>
            <w:vAlign w:val="bottom"/>
            <w:tcBorders>
              <w:bottom w:val="single" w:sz="8" w:color="2AD2C9"/>
            </w:tcBorders>
          </w:tcPr>
          <w:p>
            <w:pPr>
              <w:jc w:val="right"/>
              <w:ind w:right="35"/>
              <w:spacing w:after="0" w:line="203" w:lineRule="exact"/>
              <w:rPr>
                <w:sz w:val="20"/>
                <w:szCs w:val="20"/>
                <w:color w:val="auto"/>
              </w:rPr>
            </w:pPr>
            <w:r>
              <w:rPr>
                <w:rFonts w:ascii="Calibri" w:cs="Calibri" w:eastAsia="Calibri" w:hAnsi="Calibri"/>
                <w:sz w:val="17"/>
                <w:szCs w:val="17"/>
                <w:color w:val="auto"/>
              </w:rPr>
              <w:t>1.9</w:t>
            </w:r>
          </w:p>
        </w:tc>
        <w:tc>
          <w:tcPr>
            <w:tcW w:w="860" w:type="dxa"/>
            <w:vAlign w:val="bottom"/>
            <w:tcBorders>
              <w:bottom w:val="single" w:sz="8" w:color="2AD2C9"/>
            </w:tcBorders>
          </w:tcPr>
          <w:p>
            <w:pPr>
              <w:jc w:val="right"/>
              <w:ind w:right="35"/>
              <w:spacing w:after="0" w:line="203" w:lineRule="exact"/>
              <w:rPr>
                <w:sz w:val="20"/>
                <w:szCs w:val="20"/>
                <w:color w:val="auto"/>
              </w:rPr>
            </w:pPr>
            <w:r>
              <w:rPr>
                <w:rFonts w:ascii="Calibri" w:cs="Calibri" w:eastAsia="Calibri" w:hAnsi="Calibri"/>
                <w:sz w:val="17"/>
                <w:szCs w:val="17"/>
                <w:color w:val="auto"/>
              </w:rPr>
              <w:t>2.0</w:t>
            </w:r>
          </w:p>
        </w:tc>
        <w:tc>
          <w:tcPr>
            <w:tcW w:w="880" w:type="dxa"/>
            <w:vAlign w:val="bottom"/>
            <w:tcBorders>
              <w:bottom w:val="single" w:sz="8" w:color="2AD2C9"/>
            </w:tcBorders>
          </w:tcPr>
          <w:p>
            <w:pPr>
              <w:jc w:val="right"/>
              <w:ind w:right="55"/>
              <w:spacing w:after="0" w:line="203" w:lineRule="exact"/>
              <w:rPr>
                <w:sz w:val="20"/>
                <w:szCs w:val="20"/>
                <w:color w:val="auto"/>
              </w:rPr>
            </w:pPr>
            <w:r>
              <w:rPr>
                <w:rFonts w:ascii="Calibri" w:cs="Calibri" w:eastAsia="Calibri" w:hAnsi="Calibri"/>
                <w:sz w:val="17"/>
                <w:szCs w:val="17"/>
                <w:color w:val="auto"/>
              </w:rPr>
              <w:t>6.4</w:t>
            </w:r>
          </w:p>
        </w:tc>
        <w:tc>
          <w:tcPr>
            <w:tcW w:w="860" w:type="dxa"/>
            <w:vAlign w:val="bottom"/>
            <w:tcBorders>
              <w:bottom w:val="single" w:sz="8" w:color="2AD2C9"/>
            </w:tcBorders>
          </w:tcPr>
          <w:p>
            <w:pPr>
              <w:jc w:val="right"/>
              <w:ind w:right="55"/>
              <w:spacing w:after="0" w:line="203" w:lineRule="exact"/>
              <w:rPr>
                <w:sz w:val="20"/>
                <w:szCs w:val="20"/>
                <w:color w:val="auto"/>
              </w:rPr>
            </w:pPr>
            <w:r>
              <w:rPr>
                <w:rFonts w:ascii="Calibri" w:cs="Calibri" w:eastAsia="Calibri" w:hAnsi="Calibri"/>
                <w:sz w:val="17"/>
                <w:szCs w:val="17"/>
                <w:color w:val="auto"/>
              </w:rPr>
              <w:t>8.5</w:t>
            </w:r>
          </w:p>
        </w:tc>
        <w:tc>
          <w:tcPr>
            <w:tcW w:w="740" w:type="dxa"/>
            <w:vAlign w:val="bottom"/>
            <w:tcBorders>
              <w:bottom w:val="single" w:sz="8" w:color="2AD2C9"/>
            </w:tcBorders>
          </w:tcPr>
          <w:p>
            <w:pPr>
              <w:jc w:val="right"/>
              <w:spacing w:after="0" w:line="203" w:lineRule="exact"/>
              <w:rPr>
                <w:sz w:val="20"/>
                <w:szCs w:val="20"/>
                <w:color w:val="auto"/>
              </w:rPr>
            </w:pPr>
            <w:r>
              <w:rPr>
                <w:rFonts w:ascii="Calibri" w:cs="Calibri" w:eastAsia="Calibri" w:hAnsi="Calibri"/>
                <w:sz w:val="17"/>
                <w:szCs w:val="17"/>
                <w:color w:val="auto"/>
              </w:rPr>
              <w:t>3.2</w:t>
            </w:r>
          </w:p>
        </w:tc>
        <w:tc>
          <w:tcPr>
            <w:tcW w:w="860" w:type="dxa"/>
            <w:vAlign w:val="bottom"/>
            <w:tcBorders>
              <w:bottom w:val="single" w:sz="8" w:color="2AD2C9"/>
            </w:tcBorders>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2.4</w:t>
            </w:r>
          </w:p>
        </w:tc>
        <w:tc>
          <w:tcPr>
            <w:tcW w:w="860" w:type="dxa"/>
            <w:vAlign w:val="bottom"/>
            <w:tcBorders>
              <w:bottom w:val="single" w:sz="8" w:color="2AD2C9"/>
            </w:tcBorders>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2.5</w:t>
            </w:r>
          </w:p>
        </w:tc>
      </w:tr>
      <w:tr>
        <w:trPr>
          <w:trHeight w:val="209"/>
        </w:trPr>
        <w:tc>
          <w:tcPr>
            <w:tcW w:w="4600" w:type="dxa"/>
            <w:vAlign w:val="bottom"/>
            <w:tcBorders>
              <w:bottom w:val="single" w:sz="8" w:color="2AD2C9"/>
            </w:tcBorders>
          </w:tcPr>
          <w:p>
            <w:pPr>
              <w:spacing w:after="0" w:line="203" w:lineRule="exact"/>
              <w:rPr>
                <w:sz w:val="20"/>
                <w:szCs w:val="20"/>
                <w:color w:val="auto"/>
              </w:rPr>
            </w:pPr>
            <w:r>
              <w:rPr>
                <w:rFonts w:ascii="Calibri" w:cs="Calibri" w:eastAsia="Calibri" w:hAnsi="Calibri"/>
                <w:sz w:val="17"/>
                <w:szCs w:val="17"/>
                <w:color w:val="auto"/>
              </w:rPr>
              <w:t>Reference Rate, end of period</w:t>
            </w:r>
          </w:p>
        </w:tc>
        <w:tc>
          <w:tcPr>
            <w:tcW w:w="1580" w:type="dxa"/>
            <w:vAlign w:val="bottom"/>
            <w:tcBorders>
              <w:bottom w:val="single" w:sz="8" w:color="2AD2C9"/>
            </w:tcBorders>
          </w:tcPr>
          <w:p>
            <w:pPr>
              <w:jc w:val="right"/>
              <w:ind w:right="35"/>
              <w:spacing w:after="0" w:line="203" w:lineRule="exact"/>
              <w:rPr>
                <w:sz w:val="20"/>
                <w:szCs w:val="20"/>
                <w:color w:val="auto"/>
              </w:rPr>
            </w:pPr>
            <w:r>
              <w:rPr>
                <w:rFonts w:ascii="Calibri" w:cs="Calibri" w:eastAsia="Calibri" w:hAnsi="Calibri"/>
                <w:sz w:val="17"/>
                <w:szCs w:val="17"/>
                <w:color w:val="auto"/>
              </w:rPr>
              <w:t>2.25</w:t>
            </w:r>
          </w:p>
        </w:tc>
        <w:tc>
          <w:tcPr>
            <w:tcW w:w="860" w:type="dxa"/>
            <w:vAlign w:val="bottom"/>
            <w:tcBorders>
              <w:bottom w:val="single" w:sz="8" w:color="2AD2C9"/>
            </w:tcBorders>
          </w:tcPr>
          <w:p>
            <w:pPr>
              <w:jc w:val="right"/>
              <w:ind w:right="35"/>
              <w:spacing w:after="0" w:line="203" w:lineRule="exact"/>
              <w:rPr>
                <w:sz w:val="20"/>
                <w:szCs w:val="20"/>
                <w:color w:val="auto"/>
              </w:rPr>
            </w:pPr>
            <w:r>
              <w:rPr>
                <w:rFonts w:ascii="Calibri" w:cs="Calibri" w:eastAsia="Calibri" w:hAnsi="Calibri"/>
                <w:sz w:val="17"/>
                <w:szCs w:val="17"/>
                <w:color w:val="auto"/>
              </w:rPr>
              <w:t>0.25</w:t>
            </w:r>
          </w:p>
        </w:tc>
        <w:tc>
          <w:tcPr>
            <w:tcW w:w="880" w:type="dxa"/>
            <w:vAlign w:val="bottom"/>
            <w:tcBorders>
              <w:bottom w:val="single" w:sz="8" w:color="2AD2C9"/>
            </w:tcBorders>
          </w:tcPr>
          <w:p>
            <w:pPr>
              <w:jc w:val="right"/>
              <w:ind w:right="55"/>
              <w:spacing w:after="0" w:line="203" w:lineRule="exact"/>
              <w:rPr>
                <w:sz w:val="20"/>
                <w:szCs w:val="20"/>
                <w:color w:val="auto"/>
              </w:rPr>
            </w:pPr>
            <w:r>
              <w:rPr>
                <w:rFonts w:ascii="Calibri" w:cs="Calibri" w:eastAsia="Calibri" w:hAnsi="Calibri"/>
                <w:sz w:val="17"/>
                <w:szCs w:val="17"/>
                <w:color w:val="auto"/>
              </w:rPr>
              <w:t>2.50</w:t>
            </w:r>
          </w:p>
        </w:tc>
        <w:tc>
          <w:tcPr>
            <w:tcW w:w="860" w:type="dxa"/>
            <w:vAlign w:val="bottom"/>
            <w:tcBorders>
              <w:bottom w:val="single" w:sz="8" w:color="2AD2C9"/>
            </w:tcBorders>
          </w:tcPr>
          <w:p>
            <w:pPr>
              <w:jc w:val="right"/>
              <w:ind w:right="55"/>
              <w:spacing w:after="0" w:line="203" w:lineRule="exact"/>
              <w:rPr>
                <w:sz w:val="20"/>
                <w:szCs w:val="20"/>
                <w:color w:val="auto"/>
              </w:rPr>
            </w:pPr>
            <w:r>
              <w:rPr>
                <w:rFonts w:ascii="Calibri" w:cs="Calibri" w:eastAsia="Calibri" w:hAnsi="Calibri"/>
                <w:sz w:val="17"/>
                <w:szCs w:val="17"/>
                <w:color w:val="auto"/>
              </w:rPr>
              <w:t>7.50</w:t>
            </w:r>
          </w:p>
        </w:tc>
        <w:tc>
          <w:tcPr>
            <w:tcW w:w="740" w:type="dxa"/>
            <w:vAlign w:val="bottom"/>
            <w:tcBorders>
              <w:bottom w:val="single" w:sz="8" w:color="2AD2C9"/>
            </w:tcBorders>
          </w:tcPr>
          <w:p>
            <w:pPr>
              <w:jc w:val="right"/>
              <w:spacing w:after="0" w:line="203" w:lineRule="exact"/>
              <w:rPr>
                <w:sz w:val="20"/>
                <w:szCs w:val="20"/>
                <w:color w:val="auto"/>
              </w:rPr>
            </w:pPr>
            <w:r>
              <w:rPr>
                <w:rFonts w:ascii="Calibri" w:cs="Calibri" w:eastAsia="Calibri" w:hAnsi="Calibri"/>
                <w:sz w:val="17"/>
                <w:szCs w:val="17"/>
                <w:color w:val="auto"/>
              </w:rPr>
              <w:t>6.75</w:t>
            </w:r>
          </w:p>
        </w:tc>
        <w:tc>
          <w:tcPr>
            <w:tcW w:w="860" w:type="dxa"/>
            <w:vAlign w:val="bottom"/>
            <w:tcBorders>
              <w:bottom w:val="single" w:sz="8" w:color="2AD2C9"/>
            </w:tcBorders>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5.00</w:t>
            </w:r>
          </w:p>
        </w:tc>
        <w:tc>
          <w:tcPr>
            <w:tcW w:w="860" w:type="dxa"/>
            <w:vAlign w:val="bottom"/>
            <w:tcBorders>
              <w:bottom w:val="single" w:sz="8" w:color="2AD2C9"/>
            </w:tcBorders>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4.25</w:t>
            </w:r>
          </w:p>
        </w:tc>
      </w:tr>
      <w:tr>
        <w:trPr>
          <w:trHeight w:val="175"/>
        </w:trPr>
        <w:tc>
          <w:tcPr>
            <w:tcW w:w="4600" w:type="dxa"/>
            <w:vAlign w:val="bottom"/>
          </w:tcPr>
          <w:p>
            <w:pPr>
              <w:spacing w:after="0" w:line="175" w:lineRule="exact"/>
              <w:rPr>
                <w:sz w:val="20"/>
                <w:szCs w:val="20"/>
                <w:color w:val="auto"/>
              </w:rPr>
            </w:pPr>
            <w:r>
              <w:rPr>
                <w:rFonts w:ascii="Calibri" w:cs="Calibri" w:eastAsia="Calibri" w:hAnsi="Calibri"/>
                <w:sz w:val="17"/>
                <w:szCs w:val="17"/>
                <w:color w:val="auto"/>
              </w:rPr>
              <w:t>Exchange rate, end of period</w:t>
            </w:r>
          </w:p>
        </w:tc>
        <w:tc>
          <w:tcPr>
            <w:tcW w:w="1580" w:type="dxa"/>
            <w:vAlign w:val="bottom"/>
          </w:tcPr>
          <w:p>
            <w:pPr>
              <w:jc w:val="right"/>
              <w:ind w:right="35"/>
              <w:spacing w:after="0" w:line="175" w:lineRule="exact"/>
              <w:rPr>
                <w:sz w:val="20"/>
                <w:szCs w:val="20"/>
                <w:color w:val="auto"/>
              </w:rPr>
            </w:pPr>
            <w:r>
              <w:rPr>
                <w:rFonts w:ascii="Calibri" w:cs="Calibri" w:eastAsia="Calibri" w:hAnsi="Calibri"/>
                <w:sz w:val="17"/>
                <w:szCs w:val="17"/>
                <w:color w:val="auto"/>
              </w:rPr>
              <w:t>3.31</w:t>
            </w:r>
          </w:p>
        </w:tc>
        <w:tc>
          <w:tcPr>
            <w:tcW w:w="860" w:type="dxa"/>
            <w:vAlign w:val="bottom"/>
          </w:tcPr>
          <w:p>
            <w:pPr>
              <w:jc w:val="right"/>
              <w:ind w:right="35"/>
              <w:spacing w:after="0" w:line="175" w:lineRule="exact"/>
              <w:rPr>
                <w:sz w:val="20"/>
                <w:szCs w:val="20"/>
                <w:color w:val="auto"/>
              </w:rPr>
            </w:pPr>
            <w:r>
              <w:rPr>
                <w:rFonts w:ascii="Calibri" w:cs="Calibri" w:eastAsia="Calibri" w:hAnsi="Calibri"/>
                <w:sz w:val="17"/>
                <w:szCs w:val="17"/>
                <w:color w:val="auto"/>
              </w:rPr>
              <w:t>3.62</w:t>
            </w:r>
          </w:p>
        </w:tc>
        <w:tc>
          <w:tcPr>
            <w:tcW w:w="880" w:type="dxa"/>
            <w:vAlign w:val="bottom"/>
          </w:tcPr>
          <w:p>
            <w:pPr>
              <w:jc w:val="right"/>
              <w:ind w:right="55"/>
              <w:spacing w:after="0" w:line="175" w:lineRule="exact"/>
              <w:rPr>
                <w:sz w:val="20"/>
                <w:szCs w:val="20"/>
                <w:color w:val="auto"/>
              </w:rPr>
            </w:pPr>
            <w:r>
              <w:rPr>
                <w:rFonts w:ascii="Calibri" w:cs="Calibri" w:eastAsia="Calibri" w:hAnsi="Calibri"/>
                <w:sz w:val="17"/>
                <w:szCs w:val="17"/>
                <w:color w:val="auto"/>
              </w:rPr>
              <w:t>3.99</w:t>
            </w:r>
          </w:p>
        </w:tc>
        <w:tc>
          <w:tcPr>
            <w:tcW w:w="860" w:type="dxa"/>
            <w:vAlign w:val="bottom"/>
          </w:tcPr>
          <w:p>
            <w:pPr>
              <w:jc w:val="right"/>
              <w:ind w:right="55"/>
              <w:spacing w:after="0" w:line="175" w:lineRule="exact"/>
              <w:rPr>
                <w:sz w:val="20"/>
                <w:szCs w:val="20"/>
                <w:color w:val="auto"/>
              </w:rPr>
            </w:pPr>
            <w:r>
              <w:rPr>
                <w:rFonts w:ascii="Calibri" w:cs="Calibri" w:eastAsia="Calibri" w:hAnsi="Calibri"/>
                <w:sz w:val="17"/>
                <w:szCs w:val="17"/>
                <w:color w:val="auto"/>
              </w:rPr>
              <w:t>3.81</w:t>
            </w:r>
          </w:p>
        </w:tc>
        <w:tc>
          <w:tcPr>
            <w:tcW w:w="740" w:type="dxa"/>
            <w:vAlign w:val="bottom"/>
          </w:tcPr>
          <w:p>
            <w:pPr>
              <w:jc w:val="right"/>
              <w:spacing w:after="0" w:line="175" w:lineRule="exact"/>
              <w:rPr>
                <w:sz w:val="20"/>
                <w:szCs w:val="20"/>
                <w:color w:val="auto"/>
              </w:rPr>
            </w:pPr>
            <w:r>
              <w:rPr>
                <w:rFonts w:ascii="Calibri" w:cs="Calibri" w:eastAsia="Calibri" w:hAnsi="Calibri"/>
                <w:sz w:val="17"/>
                <w:szCs w:val="17"/>
                <w:color w:val="auto"/>
              </w:rPr>
              <w:t>3.71</w:t>
            </w:r>
          </w:p>
        </w:tc>
        <w:tc>
          <w:tcPr>
            <w:tcW w:w="860" w:type="dxa"/>
            <w:vAlign w:val="bottom"/>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3.75</w:t>
            </w:r>
          </w:p>
        </w:tc>
        <w:tc>
          <w:tcPr>
            <w:tcW w:w="860" w:type="dxa"/>
            <w:vAlign w:val="bottom"/>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3.75</w:t>
            </w:r>
          </w:p>
        </w:tc>
      </w:tr>
      <w:tr>
        <w:trPr>
          <w:trHeight w:val="237"/>
        </w:trPr>
        <w:tc>
          <w:tcPr>
            <w:tcW w:w="4600" w:type="dxa"/>
            <w:vAlign w:val="bottom"/>
            <w:tcBorders>
              <w:bottom w:val="single" w:sz="8" w:color="2AD2C9"/>
            </w:tcBorders>
          </w:tcPr>
          <w:p>
            <w:pPr>
              <w:spacing w:after="0" w:line="229" w:lineRule="exact"/>
              <w:rPr>
                <w:sz w:val="20"/>
                <w:szCs w:val="20"/>
                <w:color w:val="auto"/>
              </w:rPr>
            </w:pPr>
            <w:r>
              <w:rPr>
                <w:rFonts w:ascii="Calibri" w:cs="Calibri" w:eastAsia="Calibri" w:hAnsi="Calibri"/>
                <w:sz w:val="16"/>
                <w:szCs w:val="16"/>
                <w:color w:val="auto"/>
              </w:rPr>
              <w:t xml:space="preserve">Exchange rate, (% change) </w:t>
            </w:r>
            <w:r>
              <w:rPr>
                <w:rFonts w:ascii="Calibri" w:cs="Calibri" w:eastAsia="Calibri" w:hAnsi="Calibri"/>
                <w:sz w:val="25"/>
                <w:szCs w:val="25"/>
                <w:color w:val="auto"/>
                <w:vertAlign w:val="superscript"/>
              </w:rPr>
              <w:t>(3)</w:t>
            </w:r>
          </w:p>
        </w:tc>
        <w:tc>
          <w:tcPr>
            <w:tcW w:w="1580" w:type="dxa"/>
            <w:vAlign w:val="bottom"/>
            <w:tcBorders>
              <w:bottom w:val="single" w:sz="8" w:color="2AD2C9"/>
            </w:tcBorders>
          </w:tcPr>
          <w:p>
            <w:pPr>
              <w:jc w:val="right"/>
              <w:ind w:right="35"/>
              <w:spacing w:after="0" w:line="205" w:lineRule="exact"/>
              <w:rPr>
                <w:sz w:val="20"/>
                <w:szCs w:val="20"/>
                <w:color w:val="auto"/>
              </w:rPr>
            </w:pPr>
            <w:r>
              <w:rPr>
                <w:rFonts w:ascii="Calibri" w:cs="Calibri" w:eastAsia="Calibri" w:hAnsi="Calibri"/>
                <w:sz w:val="17"/>
                <w:szCs w:val="17"/>
                <w:color w:val="auto"/>
              </w:rPr>
              <w:t>1.8%</w:t>
            </w:r>
          </w:p>
        </w:tc>
        <w:tc>
          <w:tcPr>
            <w:tcW w:w="860" w:type="dxa"/>
            <w:vAlign w:val="bottom"/>
            <w:tcBorders>
              <w:bottom w:val="single" w:sz="8" w:color="2AD2C9"/>
            </w:tcBorders>
          </w:tcPr>
          <w:p>
            <w:pPr>
              <w:jc w:val="right"/>
              <w:ind w:right="35"/>
              <w:spacing w:after="0" w:line="205" w:lineRule="exact"/>
              <w:rPr>
                <w:sz w:val="20"/>
                <w:szCs w:val="20"/>
                <w:color w:val="auto"/>
              </w:rPr>
            </w:pPr>
            <w:r>
              <w:rPr>
                <w:rFonts w:ascii="Calibri" w:cs="Calibri" w:eastAsia="Calibri" w:hAnsi="Calibri"/>
                <w:sz w:val="17"/>
                <w:szCs w:val="17"/>
                <w:color w:val="auto"/>
              </w:rPr>
              <w:t>-9.3%</w:t>
            </w:r>
          </w:p>
        </w:tc>
        <w:tc>
          <w:tcPr>
            <w:tcW w:w="880" w:type="dxa"/>
            <w:vAlign w:val="bottom"/>
            <w:tcBorders>
              <w:bottom w:val="single" w:sz="8" w:color="2AD2C9"/>
            </w:tcBorders>
          </w:tcPr>
          <w:p>
            <w:pPr>
              <w:jc w:val="right"/>
              <w:ind w:right="55"/>
              <w:spacing w:after="0" w:line="205" w:lineRule="exact"/>
              <w:rPr>
                <w:sz w:val="20"/>
                <w:szCs w:val="20"/>
                <w:color w:val="auto"/>
              </w:rPr>
            </w:pPr>
            <w:r>
              <w:rPr>
                <w:rFonts w:ascii="Calibri" w:cs="Calibri" w:eastAsia="Calibri" w:hAnsi="Calibri"/>
                <w:sz w:val="17"/>
                <w:szCs w:val="17"/>
                <w:color w:val="auto"/>
              </w:rPr>
              <w:t>-10.3%</w:t>
            </w:r>
          </w:p>
        </w:tc>
        <w:tc>
          <w:tcPr>
            <w:tcW w:w="860" w:type="dxa"/>
            <w:vAlign w:val="bottom"/>
            <w:tcBorders>
              <w:bottom w:val="single" w:sz="8" w:color="2AD2C9"/>
            </w:tcBorders>
          </w:tcPr>
          <w:p>
            <w:pPr>
              <w:jc w:val="right"/>
              <w:ind w:right="55"/>
              <w:spacing w:after="0" w:line="205" w:lineRule="exact"/>
              <w:rPr>
                <w:sz w:val="20"/>
                <w:szCs w:val="20"/>
                <w:color w:val="auto"/>
              </w:rPr>
            </w:pPr>
            <w:r>
              <w:rPr>
                <w:rFonts w:ascii="Calibri" w:cs="Calibri" w:eastAsia="Calibri" w:hAnsi="Calibri"/>
                <w:sz w:val="17"/>
                <w:szCs w:val="17"/>
                <w:color w:val="auto"/>
              </w:rPr>
              <w:t>4.5%</w:t>
            </w:r>
          </w:p>
        </w:tc>
        <w:tc>
          <w:tcPr>
            <w:tcW w:w="740" w:type="dxa"/>
            <w:vAlign w:val="bottom"/>
            <w:tcBorders>
              <w:bottom w:val="single" w:sz="8" w:color="2AD2C9"/>
            </w:tcBorders>
          </w:tcPr>
          <w:p>
            <w:pPr>
              <w:jc w:val="right"/>
              <w:spacing w:after="0" w:line="205" w:lineRule="exact"/>
              <w:rPr>
                <w:sz w:val="20"/>
                <w:szCs w:val="20"/>
                <w:color w:val="auto"/>
              </w:rPr>
            </w:pPr>
            <w:r>
              <w:rPr>
                <w:rFonts w:ascii="Calibri" w:cs="Calibri" w:eastAsia="Calibri" w:hAnsi="Calibri"/>
                <w:sz w:val="17"/>
                <w:szCs w:val="17"/>
                <w:color w:val="auto"/>
              </w:rPr>
              <w:t>2.7%</w:t>
            </w:r>
          </w:p>
        </w:tc>
        <w:tc>
          <w:tcPr>
            <w:tcW w:w="860" w:type="dxa"/>
            <w:vAlign w:val="bottom"/>
            <w:tcBorders>
              <w:bottom w:val="single" w:sz="8" w:color="2AD2C9"/>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-1.2%</w:t>
            </w:r>
          </w:p>
        </w:tc>
        <w:tc>
          <w:tcPr>
            <w:tcW w:w="860" w:type="dxa"/>
            <w:vAlign w:val="bottom"/>
            <w:tcBorders>
              <w:bottom w:val="single" w:sz="8" w:color="2AD2C9"/>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0.0%</w:t>
            </w:r>
          </w:p>
        </w:tc>
      </w:tr>
      <w:tr>
        <w:trPr>
          <w:trHeight w:val="175"/>
        </w:trPr>
        <w:tc>
          <w:tcPr>
            <w:tcW w:w="4600" w:type="dxa"/>
            <w:vAlign w:val="bottom"/>
          </w:tcPr>
          <w:p>
            <w:pPr>
              <w:spacing w:after="0" w:line="175" w:lineRule="exact"/>
              <w:rPr>
                <w:sz w:val="20"/>
                <w:szCs w:val="20"/>
                <w:color w:val="auto"/>
              </w:rPr>
            </w:pPr>
            <w:r>
              <w:rPr>
                <w:rFonts w:ascii="Calibri" w:cs="Calibri" w:eastAsia="Calibri" w:hAnsi="Calibri"/>
                <w:sz w:val="17"/>
                <w:szCs w:val="17"/>
                <w:color w:val="auto"/>
              </w:rPr>
              <w:t>Fiscal balance (% GDP)</w:t>
            </w:r>
          </w:p>
        </w:tc>
        <w:tc>
          <w:tcPr>
            <w:tcW w:w="1580" w:type="dxa"/>
            <w:vAlign w:val="bottom"/>
          </w:tcPr>
          <w:p>
            <w:pPr>
              <w:jc w:val="right"/>
              <w:ind w:right="35"/>
              <w:spacing w:after="0" w:line="175" w:lineRule="exact"/>
              <w:rPr>
                <w:sz w:val="20"/>
                <w:szCs w:val="20"/>
                <w:color w:val="auto"/>
              </w:rPr>
            </w:pPr>
            <w:r>
              <w:rPr>
                <w:rFonts w:ascii="Calibri" w:cs="Calibri" w:eastAsia="Calibri" w:hAnsi="Calibri"/>
                <w:sz w:val="17"/>
                <w:szCs w:val="17"/>
                <w:color w:val="auto"/>
              </w:rPr>
              <w:t>-1.6</w:t>
            </w:r>
          </w:p>
        </w:tc>
        <w:tc>
          <w:tcPr>
            <w:tcW w:w="860" w:type="dxa"/>
            <w:vAlign w:val="bottom"/>
          </w:tcPr>
          <w:p>
            <w:pPr>
              <w:jc w:val="right"/>
              <w:ind w:right="35"/>
              <w:spacing w:after="0" w:line="175" w:lineRule="exact"/>
              <w:rPr>
                <w:sz w:val="20"/>
                <w:szCs w:val="20"/>
                <w:color w:val="auto"/>
              </w:rPr>
            </w:pPr>
            <w:r>
              <w:rPr>
                <w:rFonts w:ascii="Calibri" w:cs="Calibri" w:eastAsia="Calibri" w:hAnsi="Calibri"/>
                <w:sz w:val="17"/>
                <w:szCs w:val="17"/>
                <w:color w:val="auto"/>
              </w:rPr>
              <w:t>-8.9</w:t>
            </w:r>
          </w:p>
        </w:tc>
        <w:tc>
          <w:tcPr>
            <w:tcW w:w="880" w:type="dxa"/>
            <w:vAlign w:val="bottom"/>
          </w:tcPr>
          <w:p>
            <w:pPr>
              <w:jc w:val="right"/>
              <w:ind w:right="55"/>
              <w:spacing w:after="0" w:line="175" w:lineRule="exact"/>
              <w:rPr>
                <w:sz w:val="20"/>
                <w:szCs w:val="20"/>
                <w:color w:val="auto"/>
              </w:rPr>
            </w:pPr>
            <w:r>
              <w:rPr>
                <w:rFonts w:ascii="Calibri" w:cs="Calibri" w:eastAsia="Calibri" w:hAnsi="Calibri"/>
                <w:sz w:val="17"/>
                <w:szCs w:val="17"/>
                <w:color w:val="auto"/>
              </w:rPr>
              <w:t>-2.5</w:t>
            </w:r>
          </w:p>
        </w:tc>
        <w:tc>
          <w:tcPr>
            <w:tcW w:w="860" w:type="dxa"/>
            <w:vAlign w:val="bottom"/>
          </w:tcPr>
          <w:p>
            <w:pPr>
              <w:jc w:val="right"/>
              <w:ind w:right="55"/>
              <w:spacing w:after="0" w:line="175" w:lineRule="exact"/>
              <w:rPr>
                <w:sz w:val="20"/>
                <w:szCs w:val="20"/>
                <w:color w:val="auto"/>
              </w:rPr>
            </w:pPr>
            <w:r>
              <w:rPr>
                <w:rFonts w:ascii="Calibri" w:cs="Calibri" w:eastAsia="Calibri" w:hAnsi="Calibri"/>
                <w:sz w:val="17"/>
                <w:szCs w:val="17"/>
                <w:color w:val="auto"/>
              </w:rPr>
              <w:t>-1.7</w:t>
            </w:r>
          </w:p>
        </w:tc>
        <w:tc>
          <w:tcPr>
            <w:tcW w:w="740" w:type="dxa"/>
            <w:vAlign w:val="bottom"/>
          </w:tcPr>
          <w:p>
            <w:pPr>
              <w:jc w:val="right"/>
              <w:spacing w:after="0" w:line="175" w:lineRule="exact"/>
              <w:rPr>
                <w:sz w:val="20"/>
                <w:szCs w:val="20"/>
                <w:color w:val="auto"/>
              </w:rPr>
            </w:pPr>
            <w:r>
              <w:rPr>
                <w:rFonts w:ascii="Calibri" w:cs="Calibri" w:eastAsia="Calibri" w:hAnsi="Calibri"/>
                <w:sz w:val="17"/>
                <w:szCs w:val="17"/>
                <w:color w:val="auto"/>
              </w:rPr>
              <w:t>-2.8</w:t>
            </w:r>
          </w:p>
        </w:tc>
        <w:tc>
          <w:tcPr>
            <w:tcW w:w="860" w:type="dxa"/>
            <w:vAlign w:val="bottom"/>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-3.5</w:t>
            </w:r>
          </w:p>
        </w:tc>
        <w:tc>
          <w:tcPr>
            <w:tcW w:w="860" w:type="dxa"/>
            <w:vAlign w:val="bottom"/>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-2.4</w:t>
            </w:r>
          </w:p>
        </w:tc>
      </w:tr>
      <w:tr>
        <w:trPr>
          <w:trHeight w:val="237"/>
        </w:trPr>
        <w:tc>
          <w:tcPr>
            <w:tcW w:w="4600" w:type="dxa"/>
            <w:vAlign w:val="bottom"/>
          </w:tcPr>
          <w:p>
            <w:pPr>
              <w:spacing w:after="0" w:line="205" w:lineRule="exact"/>
              <w:rPr>
                <w:sz w:val="20"/>
                <w:szCs w:val="20"/>
                <w:color w:val="auto"/>
              </w:rPr>
            </w:pPr>
            <w:r>
              <w:rPr>
                <w:rFonts w:ascii="Calibri" w:cs="Calibri" w:eastAsia="Calibri" w:hAnsi="Calibri"/>
                <w:sz w:val="17"/>
                <w:szCs w:val="17"/>
                <w:color w:val="auto"/>
              </w:rPr>
              <w:t>Public Debt (as % GDP)</w:t>
            </w:r>
          </w:p>
        </w:tc>
        <w:tc>
          <w:tcPr>
            <w:tcW w:w="15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26.6</w:t>
            </w:r>
          </w:p>
        </w:tc>
        <w:tc>
          <w:tcPr>
            <w:tcW w:w="86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34.6</w:t>
            </w:r>
          </w:p>
        </w:tc>
        <w:tc>
          <w:tcPr>
            <w:tcW w:w="880" w:type="dxa"/>
            <w:vAlign w:val="bottom"/>
          </w:tcPr>
          <w:p>
            <w:pPr>
              <w:jc w:val="right"/>
              <w:ind w:right="55"/>
              <w:spacing w:after="0" w:line="205" w:lineRule="exact"/>
              <w:rPr>
                <w:sz w:val="20"/>
                <w:szCs w:val="20"/>
                <w:color w:val="auto"/>
              </w:rPr>
            </w:pPr>
            <w:r>
              <w:rPr>
                <w:rFonts w:ascii="Calibri" w:cs="Calibri" w:eastAsia="Calibri" w:hAnsi="Calibri"/>
                <w:sz w:val="17"/>
                <w:szCs w:val="17"/>
                <w:color w:val="auto"/>
              </w:rPr>
              <w:t>35.8</w:t>
            </w:r>
          </w:p>
        </w:tc>
        <w:tc>
          <w:tcPr>
            <w:tcW w:w="860" w:type="dxa"/>
            <w:vAlign w:val="bottom"/>
          </w:tcPr>
          <w:p>
            <w:pPr>
              <w:jc w:val="right"/>
              <w:ind w:right="55"/>
              <w:spacing w:after="0" w:line="205" w:lineRule="exact"/>
              <w:rPr>
                <w:sz w:val="20"/>
                <w:szCs w:val="20"/>
                <w:color w:val="auto"/>
              </w:rPr>
            </w:pPr>
            <w:r>
              <w:rPr>
                <w:rFonts w:ascii="Calibri" w:cs="Calibri" w:eastAsia="Calibri" w:hAnsi="Calibri"/>
                <w:sz w:val="17"/>
                <w:szCs w:val="17"/>
                <w:color w:val="auto"/>
              </w:rPr>
              <w:t>33.9</w:t>
            </w:r>
          </w:p>
        </w:tc>
        <w:tc>
          <w:tcPr>
            <w:tcW w:w="740" w:type="dxa"/>
            <w:vAlign w:val="bottom"/>
          </w:tcPr>
          <w:p>
            <w:pPr>
              <w:jc w:val="right"/>
              <w:spacing w:after="0" w:line="205" w:lineRule="exact"/>
              <w:rPr>
                <w:sz w:val="20"/>
                <w:szCs w:val="20"/>
                <w:color w:val="auto"/>
              </w:rPr>
            </w:pPr>
            <w:r>
              <w:rPr>
                <w:rFonts w:ascii="Calibri" w:cs="Calibri" w:eastAsia="Calibri" w:hAnsi="Calibri"/>
                <w:sz w:val="17"/>
                <w:szCs w:val="17"/>
                <w:color w:val="auto"/>
              </w:rPr>
              <w:t>32.9</w:t>
            </w:r>
          </w:p>
        </w:tc>
        <w:tc>
          <w:tcPr>
            <w:tcW w:w="860" w:type="dxa"/>
            <w:vAlign w:val="bottom"/>
            <w:tcBorders>
              <w:bottom w:val="single" w:sz="8" w:color="F2F2F2"/>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34.0</w:t>
            </w:r>
          </w:p>
        </w:tc>
        <w:tc>
          <w:tcPr>
            <w:tcW w:w="860" w:type="dxa"/>
            <w:vAlign w:val="bottom"/>
            <w:tcBorders>
              <w:bottom w:val="single" w:sz="8" w:color="F2F2F2"/>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34.0</w:t>
            </w:r>
          </w:p>
        </w:tc>
      </w:tr>
      <w:tr>
        <w:trPr>
          <w:trHeight w:val="175"/>
        </w:trPr>
        <w:tc>
          <w:tcPr>
            <w:tcW w:w="4600" w:type="dxa"/>
            <w:vAlign w:val="bottom"/>
            <w:tcBorders>
              <w:top w:val="single" w:sz="8" w:color="2AD2C9"/>
            </w:tcBorders>
          </w:tcPr>
          <w:p>
            <w:pPr>
              <w:spacing w:after="0" w:line="175" w:lineRule="exact"/>
              <w:rPr>
                <w:sz w:val="20"/>
                <w:szCs w:val="20"/>
                <w:color w:val="auto"/>
              </w:rPr>
            </w:pPr>
            <w:r>
              <w:rPr>
                <w:rFonts w:ascii="Calibri" w:cs="Calibri" w:eastAsia="Calibri" w:hAnsi="Calibri"/>
                <w:sz w:val="17"/>
                <w:szCs w:val="17"/>
                <w:color w:val="auto"/>
              </w:rPr>
              <w:t>Trade balance (US$ Millions)</w:t>
            </w:r>
          </w:p>
        </w:tc>
        <w:tc>
          <w:tcPr>
            <w:tcW w:w="1580" w:type="dxa"/>
            <w:vAlign w:val="bottom"/>
            <w:tcBorders>
              <w:top w:val="single" w:sz="8" w:color="2AD2C9"/>
            </w:tcBorders>
          </w:tcPr>
          <w:p>
            <w:pPr>
              <w:jc w:val="right"/>
              <w:ind w:right="35"/>
              <w:spacing w:after="0" w:line="175" w:lineRule="exact"/>
              <w:rPr>
                <w:sz w:val="20"/>
                <w:szCs w:val="20"/>
                <w:color w:val="auto"/>
              </w:rPr>
            </w:pPr>
            <w:r>
              <w:rPr>
                <w:rFonts w:ascii="Calibri" w:cs="Calibri" w:eastAsia="Calibri" w:hAnsi="Calibri"/>
                <w:sz w:val="17"/>
                <w:szCs w:val="17"/>
                <w:color w:val="auto"/>
              </w:rPr>
              <w:t>6,879</w:t>
            </w:r>
          </w:p>
        </w:tc>
        <w:tc>
          <w:tcPr>
            <w:tcW w:w="860" w:type="dxa"/>
            <w:vAlign w:val="bottom"/>
            <w:tcBorders>
              <w:top w:val="single" w:sz="8" w:color="2AD2C9"/>
            </w:tcBorders>
          </w:tcPr>
          <w:p>
            <w:pPr>
              <w:jc w:val="right"/>
              <w:ind w:right="35"/>
              <w:spacing w:after="0" w:line="175" w:lineRule="exact"/>
              <w:rPr>
                <w:sz w:val="20"/>
                <w:szCs w:val="20"/>
                <w:color w:val="auto"/>
              </w:rPr>
            </w:pPr>
            <w:r>
              <w:rPr>
                <w:rFonts w:ascii="Calibri" w:cs="Calibri" w:eastAsia="Calibri" w:hAnsi="Calibri"/>
                <w:sz w:val="17"/>
                <w:szCs w:val="17"/>
                <w:color w:val="auto"/>
              </w:rPr>
              <w:t>8,102</w:t>
            </w:r>
          </w:p>
        </w:tc>
        <w:tc>
          <w:tcPr>
            <w:tcW w:w="880" w:type="dxa"/>
            <w:vAlign w:val="bottom"/>
            <w:tcBorders>
              <w:top w:val="single" w:sz="8" w:color="2AD2C9"/>
            </w:tcBorders>
          </w:tcPr>
          <w:p>
            <w:pPr>
              <w:jc w:val="right"/>
              <w:ind w:right="55"/>
              <w:spacing w:after="0" w:line="175" w:lineRule="exact"/>
              <w:rPr>
                <w:sz w:val="20"/>
                <w:szCs w:val="20"/>
                <w:color w:val="auto"/>
              </w:rPr>
            </w:pPr>
            <w:r>
              <w:rPr>
                <w:rFonts w:ascii="Calibri" w:cs="Calibri" w:eastAsia="Calibri" w:hAnsi="Calibri"/>
                <w:sz w:val="17"/>
                <w:szCs w:val="17"/>
                <w:color w:val="auto"/>
              </w:rPr>
              <w:t>15,115</w:t>
            </w:r>
          </w:p>
        </w:tc>
        <w:tc>
          <w:tcPr>
            <w:tcW w:w="860" w:type="dxa"/>
            <w:vAlign w:val="bottom"/>
            <w:tcBorders>
              <w:top w:val="single" w:sz="8" w:color="2AD2C9"/>
            </w:tcBorders>
          </w:tcPr>
          <w:p>
            <w:pPr>
              <w:jc w:val="right"/>
              <w:ind w:right="55"/>
              <w:spacing w:after="0" w:line="175" w:lineRule="exact"/>
              <w:rPr>
                <w:sz w:val="20"/>
                <w:szCs w:val="20"/>
                <w:color w:val="auto"/>
              </w:rPr>
            </w:pPr>
            <w:r>
              <w:rPr>
                <w:rFonts w:ascii="Calibri" w:cs="Calibri" w:eastAsia="Calibri" w:hAnsi="Calibri"/>
                <w:sz w:val="17"/>
                <w:szCs w:val="17"/>
                <w:color w:val="auto"/>
              </w:rPr>
              <w:t>10,166</w:t>
            </w:r>
          </w:p>
        </w:tc>
        <w:tc>
          <w:tcPr>
            <w:tcW w:w="740" w:type="dxa"/>
            <w:vAlign w:val="bottom"/>
            <w:tcBorders>
              <w:top w:val="single" w:sz="8" w:color="2AD2C9"/>
            </w:tcBorders>
          </w:tcPr>
          <w:p>
            <w:pPr>
              <w:jc w:val="right"/>
              <w:spacing w:after="0" w:line="175" w:lineRule="exact"/>
              <w:rPr>
                <w:sz w:val="20"/>
                <w:szCs w:val="20"/>
                <w:color w:val="auto"/>
              </w:rPr>
            </w:pPr>
            <w:r>
              <w:rPr>
                <w:rFonts w:ascii="Calibri" w:cs="Calibri" w:eastAsia="Calibri" w:hAnsi="Calibri"/>
                <w:sz w:val="17"/>
                <w:szCs w:val="17"/>
                <w:color w:val="auto"/>
              </w:rPr>
              <w:t>17,678</w:t>
            </w:r>
          </w:p>
        </w:tc>
        <w:tc>
          <w:tcPr>
            <w:tcW w:w="860" w:type="dxa"/>
            <w:vAlign w:val="bottom"/>
            <w:tcBorders>
              <w:top w:val="single" w:sz="8" w:color="2AD2C9"/>
            </w:tcBorders>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21,000</w:t>
            </w:r>
          </w:p>
        </w:tc>
        <w:tc>
          <w:tcPr>
            <w:tcW w:w="860" w:type="dxa"/>
            <w:vAlign w:val="bottom"/>
            <w:tcBorders>
              <w:top w:val="single" w:sz="8" w:color="2AD2C9"/>
            </w:tcBorders>
            <w:shd w:val="clear" w:color="auto" w:fill="F2F2F2"/>
          </w:tcPr>
          <w:p>
            <w:pPr>
              <w:jc w:val="right"/>
              <w:spacing w:after="0" w:line="175" w:lineRule="exact"/>
              <w:rPr>
                <w:sz w:val="20"/>
                <w:szCs w:val="20"/>
                <w:color w:val="auto"/>
              </w:rPr>
            </w:pPr>
            <w:r>
              <w:rPr>
                <w:rFonts w:ascii="Calibri" w:cs="Calibri" w:eastAsia="Calibri" w:hAnsi="Calibri"/>
                <w:sz w:val="17"/>
                <w:szCs w:val="17"/>
                <w:color w:val="auto"/>
              </w:rPr>
              <w:t>22,000</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(As % GDP)</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3.0%</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3.9%</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6.7%</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4.2%</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6.6%</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7.5%</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7.4%</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Exports</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47,980</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42,826</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63,114</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66,167</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67,518</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72,000</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74,500</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Imports</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41,101</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34,724</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47,999</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56,001</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49,840</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51,000</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52,500</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Current account balance (As % GDP)</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-0.6%</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0.9%</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-2.1%</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-4.0%</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0.8%</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1.5%</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1.0%</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Net internatonal reserves (US$ Millions)</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68,316</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74,707</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78,495</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71,883</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71,033</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78,000</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76,000</w:t>
            </w:r>
          </w:p>
        </w:tc>
      </w:tr>
      <w:tr>
        <w:trPr>
          <w:trHeight w:val="203"/>
        </w:trPr>
        <w:tc>
          <w:tcPr>
            <w:tcW w:w="4600" w:type="dxa"/>
            <w:vAlign w:val="bottom"/>
          </w:tcPr>
          <w:p>
            <w:pPr>
              <w:spacing w:after="0" w:line="203" w:lineRule="exact"/>
              <w:rPr>
                <w:sz w:val="20"/>
                <w:szCs w:val="20"/>
                <w:color w:val="auto"/>
              </w:rPr>
            </w:pPr>
            <w:r>
              <w:rPr>
                <w:rFonts w:ascii="Calibri" w:cs="Calibri" w:eastAsia="Calibri" w:hAnsi="Calibri"/>
                <w:sz w:val="17"/>
                <w:szCs w:val="17"/>
                <w:color w:val="auto"/>
              </w:rPr>
              <w:t>(As % GDP)</w:t>
            </w:r>
          </w:p>
        </w:tc>
        <w:tc>
          <w:tcPr>
            <w:tcW w:w="158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29.4%</w:t>
            </w:r>
          </w:p>
        </w:tc>
        <w:tc>
          <w:tcPr>
            <w:tcW w:w="860" w:type="dxa"/>
            <w:vAlign w:val="bottom"/>
          </w:tcPr>
          <w:p>
            <w:pPr>
              <w:jc w:val="right"/>
              <w:ind w:right="35"/>
              <w:spacing w:after="0" w:line="203" w:lineRule="exact"/>
              <w:rPr>
                <w:sz w:val="20"/>
                <w:szCs w:val="20"/>
                <w:color w:val="auto"/>
              </w:rPr>
            </w:pPr>
            <w:r>
              <w:rPr>
                <w:rFonts w:ascii="Calibri" w:cs="Calibri" w:eastAsia="Calibri" w:hAnsi="Calibri"/>
                <w:sz w:val="17"/>
                <w:szCs w:val="17"/>
                <w:color w:val="auto"/>
              </w:rPr>
              <w:t>36.3%</w:t>
            </w:r>
          </w:p>
        </w:tc>
        <w:tc>
          <w:tcPr>
            <w:tcW w:w="88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34.8%</w:t>
            </w:r>
          </w:p>
        </w:tc>
        <w:tc>
          <w:tcPr>
            <w:tcW w:w="860" w:type="dxa"/>
            <w:vAlign w:val="bottom"/>
          </w:tcPr>
          <w:p>
            <w:pPr>
              <w:jc w:val="right"/>
              <w:ind w:right="55"/>
              <w:spacing w:after="0" w:line="203" w:lineRule="exact"/>
              <w:rPr>
                <w:sz w:val="20"/>
                <w:szCs w:val="20"/>
                <w:color w:val="auto"/>
              </w:rPr>
            </w:pPr>
            <w:r>
              <w:rPr>
                <w:rFonts w:ascii="Calibri" w:cs="Calibri" w:eastAsia="Calibri" w:hAnsi="Calibri"/>
                <w:sz w:val="17"/>
                <w:szCs w:val="17"/>
                <w:color w:val="auto"/>
              </w:rPr>
              <w:t>29.4%</w:t>
            </w: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26.6%</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27.7%</w:t>
            </w:r>
          </w:p>
        </w:tc>
        <w:tc>
          <w:tcPr>
            <w:tcW w:w="860" w:type="dxa"/>
            <w:vAlign w:val="bottom"/>
            <w:shd w:val="clear" w:color="auto" w:fill="F2F2F2"/>
          </w:tcPr>
          <w:p>
            <w:pPr>
              <w:jc w:val="right"/>
              <w:spacing w:after="0" w:line="203" w:lineRule="exact"/>
              <w:rPr>
                <w:sz w:val="20"/>
                <w:szCs w:val="20"/>
                <w:color w:val="auto"/>
              </w:rPr>
            </w:pPr>
            <w:r>
              <w:rPr>
                <w:rFonts w:ascii="Calibri" w:cs="Calibri" w:eastAsia="Calibri" w:hAnsi="Calibri"/>
                <w:sz w:val="17"/>
                <w:szCs w:val="17"/>
                <w:color w:val="auto"/>
              </w:rPr>
              <w:t>25.6%</w:t>
            </w:r>
          </w:p>
        </w:tc>
      </w:tr>
      <w:tr>
        <w:trPr>
          <w:trHeight w:val="210"/>
        </w:trPr>
        <w:tc>
          <w:tcPr>
            <w:tcW w:w="4600" w:type="dxa"/>
            <w:vAlign w:val="bottom"/>
          </w:tcPr>
          <w:p>
            <w:pPr>
              <w:spacing w:after="0" w:line="205" w:lineRule="exact"/>
              <w:rPr>
                <w:sz w:val="20"/>
                <w:szCs w:val="20"/>
                <w:color w:val="auto"/>
              </w:rPr>
            </w:pPr>
            <w:r>
              <w:rPr>
                <w:rFonts w:ascii="Calibri" w:cs="Calibri" w:eastAsia="Calibri" w:hAnsi="Calibri"/>
                <w:sz w:val="17"/>
                <w:szCs w:val="17"/>
                <w:color w:val="auto"/>
              </w:rPr>
              <w:t>(As months of imports)</w:t>
            </w:r>
          </w:p>
        </w:tc>
        <w:tc>
          <w:tcPr>
            <w:tcW w:w="158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20</w:t>
            </w:r>
          </w:p>
        </w:tc>
        <w:tc>
          <w:tcPr>
            <w:tcW w:w="860" w:type="dxa"/>
            <w:vAlign w:val="bottom"/>
          </w:tcPr>
          <w:p>
            <w:pPr>
              <w:jc w:val="right"/>
              <w:ind w:right="35"/>
              <w:spacing w:after="0" w:line="205" w:lineRule="exact"/>
              <w:rPr>
                <w:sz w:val="20"/>
                <w:szCs w:val="20"/>
                <w:color w:val="auto"/>
              </w:rPr>
            </w:pPr>
            <w:r>
              <w:rPr>
                <w:rFonts w:ascii="Calibri" w:cs="Calibri" w:eastAsia="Calibri" w:hAnsi="Calibri"/>
                <w:sz w:val="17"/>
                <w:szCs w:val="17"/>
                <w:color w:val="auto"/>
              </w:rPr>
              <w:t>26</w:t>
            </w:r>
          </w:p>
        </w:tc>
        <w:tc>
          <w:tcPr>
            <w:tcW w:w="880" w:type="dxa"/>
            <w:vAlign w:val="bottom"/>
          </w:tcPr>
          <w:p>
            <w:pPr>
              <w:jc w:val="right"/>
              <w:ind w:right="55"/>
              <w:spacing w:after="0" w:line="205" w:lineRule="exact"/>
              <w:rPr>
                <w:sz w:val="20"/>
                <w:szCs w:val="20"/>
                <w:color w:val="auto"/>
              </w:rPr>
            </w:pPr>
            <w:r>
              <w:rPr>
                <w:rFonts w:ascii="Calibri" w:cs="Calibri" w:eastAsia="Calibri" w:hAnsi="Calibri"/>
                <w:sz w:val="17"/>
                <w:szCs w:val="17"/>
                <w:color w:val="auto"/>
              </w:rPr>
              <w:t>20</w:t>
            </w:r>
          </w:p>
        </w:tc>
        <w:tc>
          <w:tcPr>
            <w:tcW w:w="860" w:type="dxa"/>
            <w:vAlign w:val="bottom"/>
          </w:tcPr>
          <w:p>
            <w:pPr>
              <w:jc w:val="right"/>
              <w:ind w:right="55"/>
              <w:spacing w:after="0" w:line="205" w:lineRule="exact"/>
              <w:rPr>
                <w:sz w:val="20"/>
                <w:szCs w:val="20"/>
                <w:color w:val="auto"/>
              </w:rPr>
            </w:pPr>
            <w:r>
              <w:rPr>
                <w:rFonts w:ascii="Calibri" w:cs="Calibri" w:eastAsia="Calibri" w:hAnsi="Calibri"/>
                <w:sz w:val="17"/>
                <w:szCs w:val="17"/>
                <w:color w:val="auto"/>
              </w:rPr>
              <w:t>15</w:t>
            </w:r>
          </w:p>
        </w:tc>
        <w:tc>
          <w:tcPr>
            <w:tcW w:w="740" w:type="dxa"/>
            <w:vAlign w:val="bottom"/>
          </w:tcPr>
          <w:p>
            <w:pPr>
              <w:jc w:val="right"/>
              <w:spacing w:after="0" w:line="205" w:lineRule="exact"/>
              <w:rPr>
                <w:sz w:val="20"/>
                <w:szCs w:val="20"/>
                <w:color w:val="auto"/>
              </w:rPr>
            </w:pPr>
            <w:r>
              <w:rPr>
                <w:rFonts w:ascii="Calibri" w:cs="Calibri" w:eastAsia="Calibri" w:hAnsi="Calibri"/>
                <w:sz w:val="17"/>
                <w:szCs w:val="17"/>
                <w:color w:val="auto"/>
              </w:rPr>
              <w:t>17</w:t>
            </w:r>
          </w:p>
        </w:tc>
        <w:tc>
          <w:tcPr>
            <w:tcW w:w="860" w:type="dxa"/>
            <w:vAlign w:val="bottom"/>
            <w:tcBorders>
              <w:bottom w:val="single" w:sz="8" w:color="F2F2F2"/>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18</w:t>
            </w:r>
          </w:p>
        </w:tc>
        <w:tc>
          <w:tcPr>
            <w:tcW w:w="860" w:type="dxa"/>
            <w:vAlign w:val="bottom"/>
            <w:tcBorders>
              <w:bottom w:val="single" w:sz="8" w:color="F2F2F2"/>
            </w:tcBorders>
            <w:shd w:val="clear" w:color="auto" w:fill="F2F2F2"/>
          </w:tcPr>
          <w:p>
            <w:pPr>
              <w:jc w:val="right"/>
              <w:spacing w:after="0" w:line="205" w:lineRule="exact"/>
              <w:rPr>
                <w:sz w:val="20"/>
                <w:szCs w:val="20"/>
                <w:color w:val="auto"/>
              </w:rPr>
            </w:pPr>
            <w:r>
              <w:rPr>
                <w:rFonts w:ascii="Calibri" w:cs="Calibri" w:eastAsia="Calibri" w:hAnsi="Calibri"/>
                <w:sz w:val="17"/>
                <w:szCs w:val="17"/>
                <w:color w:val="auto"/>
              </w:rPr>
              <w:t>17</w:t>
            </w:r>
          </w:p>
        </w:tc>
      </w:tr>
      <w:tr>
        <w:trPr>
          <w:trHeight w:val="27"/>
        </w:trPr>
        <w:tc>
          <w:tcPr>
            <w:tcW w:w="4600" w:type="dxa"/>
            <w:vAlign w:val="bottom"/>
            <w:shd w:val="clear" w:color="auto" w:fill="2AD2C9"/>
          </w:tcPr>
          <w:p>
            <w:pPr>
              <w:spacing w:after="0"/>
              <w:rPr>
                <w:sz w:val="2"/>
                <w:szCs w:val="2"/>
                <w:color w:val="auto"/>
              </w:rPr>
            </w:pPr>
          </w:p>
        </w:tc>
        <w:tc>
          <w:tcPr>
            <w:tcW w:w="1580" w:type="dxa"/>
            <w:vAlign w:val="bottom"/>
            <w:shd w:val="clear" w:color="auto" w:fill="2AD2C9"/>
          </w:tcPr>
          <w:p>
            <w:pPr>
              <w:spacing w:after="0"/>
              <w:rPr>
                <w:sz w:val="2"/>
                <w:szCs w:val="2"/>
                <w:color w:val="auto"/>
              </w:rPr>
            </w:pPr>
          </w:p>
        </w:tc>
        <w:tc>
          <w:tcPr>
            <w:tcW w:w="860" w:type="dxa"/>
            <w:vAlign w:val="bottom"/>
            <w:shd w:val="clear" w:color="auto" w:fill="2AD2C9"/>
          </w:tcPr>
          <w:p>
            <w:pPr>
              <w:spacing w:after="0"/>
              <w:rPr>
                <w:sz w:val="2"/>
                <w:szCs w:val="2"/>
                <w:color w:val="auto"/>
              </w:rPr>
            </w:pPr>
          </w:p>
        </w:tc>
        <w:tc>
          <w:tcPr>
            <w:tcW w:w="880" w:type="dxa"/>
            <w:vAlign w:val="bottom"/>
            <w:shd w:val="clear" w:color="auto" w:fill="2AD2C9"/>
          </w:tcPr>
          <w:p>
            <w:pPr>
              <w:spacing w:after="0"/>
              <w:rPr>
                <w:sz w:val="2"/>
                <w:szCs w:val="2"/>
                <w:color w:val="auto"/>
              </w:rPr>
            </w:pPr>
          </w:p>
        </w:tc>
        <w:tc>
          <w:tcPr>
            <w:tcW w:w="860" w:type="dxa"/>
            <w:vAlign w:val="bottom"/>
            <w:shd w:val="clear" w:color="auto" w:fill="2AD2C9"/>
          </w:tcPr>
          <w:p>
            <w:pPr>
              <w:spacing w:after="0"/>
              <w:rPr>
                <w:sz w:val="2"/>
                <w:szCs w:val="2"/>
                <w:color w:val="auto"/>
              </w:rPr>
            </w:pPr>
          </w:p>
        </w:tc>
        <w:tc>
          <w:tcPr>
            <w:tcW w:w="740" w:type="dxa"/>
            <w:vAlign w:val="bottom"/>
            <w:shd w:val="clear" w:color="auto" w:fill="2AD2C9"/>
          </w:tcPr>
          <w:p>
            <w:pPr>
              <w:spacing w:after="0"/>
              <w:rPr>
                <w:sz w:val="2"/>
                <w:szCs w:val="2"/>
                <w:color w:val="auto"/>
              </w:rPr>
            </w:pPr>
          </w:p>
        </w:tc>
        <w:tc>
          <w:tcPr>
            <w:tcW w:w="860" w:type="dxa"/>
            <w:vAlign w:val="bottom"/>
            <w:shd w:val="clear" w:color="auto" w:fill="2AD2C9"/>
          </w:tcPr>
          <w:p>
            <w:pPr>
              <w:spacing w:after="0"/>
              <w:rPr>
                <w:sz w:val="2"/>
                <w:szCs w:val="2"/>
                <w:color w:val="auto"/>
              </w:rPr>
            </w:pPr>
          </w:p>
        </w:tc>
        <w:tc>
          <w:tcPr>
            <w:tcW w:w="860" w:type="dxa"/>
            <w:vAlign w:val="bottom"/>
            <w:shd w:val="clear" w:color="auto" w:fill="2AD2C9"/>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Calibri" w:cs="Calibri" w:eastAsia="Calibri" w:hAnsi="Calibri"/>
          <w:sz w:val="14"/>
          <w:szCs w:val="14"/>
          <w:color w:val="auto"/>
        </w:rPr>
        <w:t>Sources: INEI, BCRP y SBS.</w:t>
      </w:r>
    </w:p>
    <w:p>
      <w:pPr>
        <w:spacing w:after="0" w:line="5" w:lineRule="exact"/>
        <w:rPr>
          <w:sz w:val="20"/>
          <w:szCs w:val="20"/>
          <w:color w:val="auto"/>
        </w:rPr>
      </w:pPr>
    </w:p>
    <w:p>
      <w:pPr>
        <w:ind w:left="200" w:hanging="192"/>
        <w:spacing w:after="0"/>
        <w:tabs>
          <w:tab w:leader="none" w:pos="200"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Financial System, Current Exchange Rate</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Infaton target: 1% - 3%</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Negatve % change indicates depreciaton.</w:t>
      </w:r>
    </w:p>
    <w:p>
      <w:pPr>
        <w:spacing w:after="0" w:line="4" w:lineRule="exact"/>
        <w:rPr>
          <w:rFonts w:ascii="Calibri" w:cs="Calibri" w:eastAsia="Calibri" w:hAnsi="Calibri"/>
          <w:sz w:val="14"/>
          <w:szCs w:val="14"/>
          <w:color w:val="auto"/>
        </w:rPr>
      </w:pPr>
    </w:p>
    <w:p>
      <w:pPr>
        <w:ind w:left="200" w:hanging="192"/>
        <w:spacing w:after="0"/>
        <w:tabs>
          <w:tab w:leader="none" w:pos="200"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Grey area indicate estmates by BCP Economic Research as of October 2024</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4" w:name="page45"/>
    <w:bookmarkEnd w:id="44"/>
    <w:p>
      <w:pPr>
        <w:ind w:left="2700"/>
        <w:spacing w:after="0"/>
        <w:tabs>
          <w:tab w:leader="none" w:pos="2920" w:val="left"/>
        </w:tabs>
        <w:rPr>
          <w:sz w:val="20"/>
          <w:szCs w:val="20"/>
          <w:color w:val="auto"/>
        </w:rPr>
      </w:pPr>
      <w:r>
        <w:rPr>
          <w:rFonts w:ascii="Calibri" w:cs="Calibri" w:eastAsia="Calibri" w:hAnsi="Calibri"/>
          <w:sz w:val="20"/>
          <w:szCs w:val="20"/>
          <w:color w:val="A6A6A6"/>
        </w:rPr>
        <w:t>|</w:t>
      </w:r>
      <w:r>
        <w:rPr>
          <w:sz w:val="20"/>
          <w:szCs w:val="20"/>
          <w:color w:val="auto"/>
        </w:rPr>
        <w:tab/>
      </w:r>
      <w:r>
        <w:rPr>
          <w:rFonts w:ascii="Calibri" w:cs="Calibri" w:eastAsia="Calibri" w:hAnsi="Calibri"/>
          <w:sz w:val="16"/>
          <w:szCs w:val="16"/>
          <w:b w:val="1"/>
          <w:bCs w:val="1"/>
          <w:color w:val="BFBFBF"/>
        </w:rPr>
        <w:t>Earnings Release 3Q / 24</w:t>
      </w:r>
    </w:p>
    <w:p>
      <w:pPr>
        <w:spacing w:after="0" w:line="350"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FFFFFF"/>
        </w:rPr>
        <w:t>11. Economic Outlook</w:t>
      </w: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Main Macroeconomic Variables</w:t>
      </w:r>
    </w:p>
    <w:p>
      <w:pPr>
        <w:spacing w:after="0" w:line="253" w:lineRule="exact"/>
        <w:rPr>
          <w:sz w:val="20"/>
          <w:szCs w:val="20"/>
          <w:color w:val="auto"/>
        </w:rPr>
      </w:pPr>
    </w:p>
    <w:p>
      <w:pPr>
        <w:jc w:val="center"/>
        <w:ind w:left="740"/>
        <w:spacing w:after="0"/>
        <w:rPr>
          <w:sz w:val="20"/>
          <w:szCs w:val="20"/>
          <w:color w:val="auto"/>
        </w:rPr>
      </w:pPr>
      <w:r>
        <w:rPr>
          <w:rFonts w:ascii="Calibri" w:cs="Calibri" w:eastAsia="Calibri" w:hAnsi="Calibri"/>
          <w:sz w:val="18"/>
          <w:szCs w:val="18"/>
          <w:b w:val="1"/>
          <w:bCs w:val="1"/>
          <w:color w:val="auto"/>
        </w:rPr>
        <w:t>Gross Domestc Product</w:t>
      </w:r>
    </w:p>
    <w:p>
      <w:pPr>
        <w:jc w:val="center"/>
        <w:ind w:left="740"/>
        <w:spacing w:after="0" w:line="235" w:lineRule="auto"/>
        <w:rPr>
          <w:sz w:val="20"/>
          <w:szCs w:val="20"/>
          <w:color w:val="auto"/>
        </w:rPr>
      </w:pPr>
      <w:r>
        <w:rPr>
          <w:rFonts w:ascii="Calibri" w:cs="Calibri" w:eastAsia="Calibri" w:hAnsi="Calibri"/>
          <w:sz w:val="18"/>
          <w:szCs w:val="18"/>
          <w:color w:val="auto"/>
        </w:rPr>
        <w:t>(Annual Real Variatons,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272415</wp:posOffset>
            </wp:positionV>
            <wp:extent cx="3274695" cy="15690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7469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740"/>
        <w:spacing w:after="0"/>
        <w:rPr>
          <w:sz w:val="20"/>
          <w:szCs w:val="20"/>
          <w:color w:val="auto"/>
        </w:rPr>
      </w:pPr>
      <w:r>
        <w:rPr>
          <w:rFonts w:ascii="Calibri" w:cs="Calibri" w:eastAsia="Calibri" w:hAnsi="Calibri"/>
          <w:sz w:val="17"/>
          <w:szCs w:val="17"/>
          <w:b w:val="1"/>
          <w:bCs w:val="1"/>
          <w:color w:val="auto"/>
        </w:rPr>
        <w:t>Annual Infaton and Central Bank Reference Rate</w:t>
      </w:r>
    </w:p>
    <w:p>
      <w:pPr>
        <w:spacing w:after="0" w:line="4" w:lineRule="exact"/>
        <w:rPr>
          <w:sz w:val="20"/>
          <w:szCs w:val="20"/>
          <w:color w:val="auto"/>
        </w:rPr>
      </w:pPr>
    </w:p>
    <w:p>
      <w:pPr>
        <w:jc w:val="center"/>
        <w:ind w:left="740"/>
        <w:spacing w:after="0"/>
        <w:rPr>
          <w:sz w:val="20"/>
          <w:szCs w:val="20"/>
          <w:color w:val="auto"/>
        </w:rPr>
      </w:pP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14605</wp:posOffset>
            </wp:positionV>
            <wp:extent cx="3240405" cy="1817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40405" cy="1817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-264795</wp:posOffset>
            </wp:positionV>
            <wp:extent cx="7132320" cy="720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In 3Q24, the cyclical recovery of the economy, evident throughout the year, contnued. GDP is estmated to have grown around 3.5% YoY, similar to the print in 2Q24. The primary sectors are estmated to have slowed to 1.6% YoY, mainly afected by the decline in the fshing sector following the end of the frst anchovy fshing season in the north-central region of the country in July, and the contracton of the agricultural sector. Meanwhile, growth in the non-primary sectors is estmated to have accelerated to 4.1%, its fastest growth rate in more than two years, with notable performance in the services and non-primary manufacturing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Infaton, measured using the Consumer Price Index of Metropolitan Lima, slowed from 2.3% YoY at the end of 2Q24 to 1.8% at the end of 3Q24, the lowest level in nearly four years, mainly due to a decline in the food and beverage category. Since April, infaton has remained within the Central Reserve Bank of Peru’s (BCRP) target range of 1% to 3%. Meanwhile, core infaton (excluding food and energy) stood at 2.6% YoY in September 2024 (3.1% YoY at the end of Q2 2024), the lowest since September 2021.</w:t>
      </w:r>
    </w:p>
    <w:p>
      <w:pPr>
        <w:spacing w:after="0" w:line="208"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At its October meetng, the BCRP decided to hold its reference rate at 5.25%, afer cutng the rate by 25 basis points in August and September. Since September 2023, the BCRP has reduced its reference rate by 250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720"/>
            <w:col w:w="5620"/>
          </w:cols>
          <w:pgMar w:left="320" w:top="443" w:right="339" w:bottom="1440" w:gutter="0" w:footer="0" w:header="0"/>
        </w:sectPr>
      </w:pPr>
    </w:p>
    <w:bookmarkStart w:id="45" w:name="page46"/>
    <w:bookmarkEnd w:id="45"/>
    <w:p>
      <w:pPr>
        <w:jc w:val="right"/>
        <w:ind w:right="520"/>
        <w:spacing w:after="0"/>
        <w:tabs>
          <w:tab w:leader="none" w:pos="2160" w:val="left"/>
        </w:tabs>
        <w:rPr>
          <w:sz w:val="20"/>
          <w:szCs w:val="20"/>
          <w:color w:val="auto"/>
        </w:rPr>
      </w:pPr>
      <w:r>
        <w:rPr>
          <w:rFonts w:ascii="Calibri" w:cs="Calibri" w:eastAsia="Calibri" w:hAnsi="Calibri"/>
          <w:sz w:val="20"/>
          <w:szCs w:val="20"/>
          <w:color w:val="A6A6A6"/>
        </w:rPr>
        <w:t>|</w:t>
      </w:r>
      <w:r>
        <w:rPr>
          <w:sz w:val="20"/>
          <w:szCs w:val="20"/>
          <w:color w:val="auto"/>
        </w:rPr>
        <w:tab/>
      </w:r>
      <w:r>
        <w:rPr>
          <w:rFonts w:ascii="Calibri" w:cs="Calibri" w:eastAsia="Calibri" w:hAnsi="Calibri"/>
          <w:sz w:val="16"/>
          <w:szCs w:val="16"/>
          <w:b w:val="1"/>
          <w:bCs w:val="1"/>
          <w:color w:val="BFBFBF"/>
        </w:rPr>
        <w:t>Earnings Release 3Q / 24</w:t>
      </w:r>
    </w:p>
    <w:p>
      <w:pPr>
        <w:spacing w:after="0" w:line="350"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FFFFFF"/>
        </w:rPr>
        <w:t>11. Economic Outlook</w:t>
      </w:r>
    </w:p>
    <w:p>
      <w:pPr>
        <w:spacing w:after="0" w:line="269" w:lineRule="exact"/>
        <w:rPr>
          <w:sz w:val="20"/>
          <w:szCs w:val="20"/>
          <w:color w:val="auto"/>
        </w:rPr>
      </w:pPr>
    </w:p>
    <w:p>
      <w:pPr>
        <w:jc w:val="center"/>
        <w:ind w:left="280"/>
        <w:spacing w:after="0"/>
        <w:rPr>
          <w:sz w:val="20"/>
          <w:szCs w:val="20"/>
          <w:color w:val="auto"/>
        </w:rPr>
      </w:pPr>
      <w:r>
        <w:rPr>
          <w:rFonts w:ascii="Calibri" w:cs="Calibri" w:eastAsia="Calibri" w:hAnsi="Calibri"/>
          <w:sz w:val="20"/>
          <w:szCs w:val="20"/>
          <w:b w:val="1"/>
          <w:bCs w:val="1"/>
          <w:color w:val="auto"/>
        </w:rPr>
        <w:t>Fiscal Balance and Current Account Balance</w:t>
      </w:r>
    </w:p>
    <w:p>
      <w:pPr>
        <w:spacing w:after="0" w:line="6" w:lineRule="exact"/>
        <w:rPr>
          <w:sz w:val="20"/>
          <w:szCs w:val="20"/>
          <w:color w:val="auto"/>
        </w:rPr>
      </w:pPr>
    </w:p>
    <w:p>
      <w:pPr>
        <w:ind w:left="2000"/>
        <w:spacing w:after="0"/>
        <w:rPr>
          <w:sz w:val="20"/>
          <w:szCs w:val="20"/>
          <w:color w:val="auto"/>
        </w:rPr>
      </w:pPr>
      <w:r>
        <w:rPr>
          <w:rFonts w:ascii="Calibri" w:cs="Calibri" w:eastAsia="Calibri" w:hAnsi="Calibri"/>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151765</wp:posOffset>
            </wp:positionV>
            <wp:extent cx="3240405" cy="1954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40405" cy="1954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-264795</wp:posOffset>
            </wp:positionV>
            <wp:extent cx="7132320" cy="7200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The annualized fscal defcit as of September 2024 stood at 4.0% of GDP, marking the ffh consecutve month at this level, compared to 2.8% of GDP in 4Q23. During the same period, in nominal terms, current revenues grew 2.0% YoY, driven by economic recovery and higher export prices, while non-fnancial expenditures rose by 9.2% YoY due to a 17.9% increase in capital expenditure (mainly public investment). As a percentage of GDP, as of September 2024, revenues stood at 19.1% (end 2023: 19.8%) and non-fnancial expenditures at 21.7% of GDP (end 2023: 21.0%).</w:t>
      </w:r>
    </w:p>
    <w:p>
      <w:pPr>
        <w:spacing w:after="0" w:line="20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September, Moody’s afrmed the foreign currency sovereign credit ratng at Baa1 (three notches above investment grade) and upgraded the outlook from negatve to stable. This decision was based on the adopton of politcal reforms that alleviate medium-term concerns about insttutonal stability. S&amp;P assigned a credit ratng of BBB-, the lowest investment grade, with a stable outlook, and Fitch rates it at BBB (two notches above investment grade) with a negatve outlook.</w:t>
      </w:r>
    </w:p>
    <w:p>
      <w:pPr>
        <w:spacing w:after="0" w:line="200" w:lineRule="exact"/>
        <w:rPr>
          <w:sz w:val="20"/>
          <w:szCs w:val="20"/>
          <w:color w:val="auto"/>
        </w:rPr>
      </w:pPr>
    </w:p>
    <w:p>
      <w:pPr>
        <w:sectPr>
          <w:pgSz w:w="11900" w:h="16838" w:orient="portrait"/>
          <w:cols w:equalWidth="0" w:num="2">
            <w:col w:w="5120" w:space="720"/>
            <w:col w:w="5400"/>
          </w:cols>
          <w:pgMar w:left="320" w:top="55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November, Fitch also afrmed the foreign currency sovereign credit ratng at BBB (two notches above IG) and upgraded the outlook from negatve to stable notng that sound policymaking has supported economic recovery this year and preserved broad macro- fnancial stability.</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terms of external accounts, the 12-month cumulatve trade surplus as of August 2024 reached US$ 20.7 billion, a new historical high. During the same period, exports grew by 8.4% YoY to US$ 71.7 billion. Imports remained stable (0.2% YoY) at US$ 51.0 billion, where growth in capital goods imports was ofset by declines in consumer goods and industrial inputs.</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Terms of trade grew by 11.8% YoY in August 2024, remaining close to their previous historical highs. Export prices rose by 9.2% YoY, driven by higher prices for copper, gold, and silver. The later two metals have seen signifcant increases so far this year, with gold reaching an all-tme high of US$ 2,749 per ounce in October and silver recording its best price in 12 years (US$ 34.8 per ounce). Meanwhile, import prices fell 2.3% YoY due to lower prices for industrial inputs and food items such as wheat, corn, and soybeans.</w:t>
      </w:r>
    </w:p>
    <w:p>
      <w:pPr>
        <w:spacing w:after="0" w:line="215" w:lineRule="exact"/>
        <w:rPr>
          <w:sz w:val="20"/>
          <w:szCs w:val="20"/>
          <w:color w:val="auto"/>
        </w:rPr>
      </w:pPr>
    </w:p>
    <w:tbl>
      <w:tblPr>
        <w:tblLayout w:type="fixed"/>
        <w:tblInd w:w="2180" w:type="dxa"/>
        <w:tblCellMar>
          <w:top w:w="0" w:type="dxa"/>
          <w:left w:w="0" w:type="dxa"/>
          <w:bottom w:w="0" w:type="dxa"/>
          <w:right w:w="0" w:type="dxa"/>
        </w:tblCellMar>
      </w:tblPr>
      <w:tr>
        <w:trPr>
          <w:trHeight w:val="220"/>
        </w:trPr>
        <w:tc>
          <w:tcPr>
            <w:tcW w:w="2360" w:type="dxa"/>
            <w:vAlign w:val="bottom"/>
          </w:tcPr>
          <w:p>
            <w:pPr>
              <w:spacing w:after="0"/>
              <w:rPr>
                <w:sz w:val="20"/>
                <w:szCs w:val="20"/>
                <w:color w:val="auto"/>
              </w:rPr>
            </w:pPr>
            <w:r>
              <w:rPr>
                <w:rFonts w:ascii="Calibri" w:cs="Calibri" w:eastAsia="Calibri" w:hAnsi="Calibri"/>
                <w:sz w:val="18"/>
                <w:szCs w:val="18"/>
                <w:b w:val="1"/>
                <w:bCs w:val="1"/>
                <w:color w:val="auto"/>
              </w:rPr>
              <w:t>Exchange Rate</w:t>
            </w:r>
          </w:p>
        </w:tc>
        <w:tc>
          <w:tcPr>
            <w:tcW w:w="6700" w:type="dxa"/>
            <w:vAlign w:val="bottom"/>
          </w:tcPr>
          <w:p>
            <w:pPr>
              <w:ind w:left="1300"/>
              <w:spacing w:after="0"/>
              <w:rPr>
                <w:sz w:val="20"/>
                <w:szCs w:val="20"/>
                <w:color w:val="auto"/>
              </w:rPr>
            </w:pPr>
            <w:r>
              <w:rPr>
                <w:rFonts w:ascii="Calibri" w:cs="Calibri" w:eastAsia="Calibri" w:hAnsi="Calibri"/>
                <w:sz w:val="18"/>
                <w:szCs w:val="18"/>
                <w:color w:val="auto"/>
              </w:rPr>
              <w:t>According to the Central Reserve Bank of Peru (BCRP), the exchange rate</w:t>
            </w:r>
          </w:p>
        </w:tc>
      </w:tr>
      <w:tr>
        <w:trPr>
          <w:trHeight w:val="216"/>
        </w:trPr>
        <w:tc>
          <w:tcPr>
            <w:tcW w:w="2360" w:type="dxa"/>
            <w:vAlign w:val="bottom"/>
          </w:tcPr>
          <w:p>
            <w:pPr>
              <w:ind w:left="20"/>
              <w:spacing w:after="0" w:line="216" w:lineRule="exact"/>
              <w:rPr>
                <w:sz w:val="20"/>
                <w:szCs w:val="20"/>
                <w:color w:val="auto"/>
              </w:rPr>
            </w:pPr>
            <w:r>
              <w:rPr>
                <w:rFonts w:ascii="Calibri" w:cs="Calibri" w:eastAsia="Calibri" w:hAnsi="Calibri"/>
                <w:sz w:val="18"/>
                <w:szCs w:val="18"/>
                <w:color w:val="auto"/>
              </w:rPr>
              <w:t>(PEN per USD)</w:t>
            </w: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closed 3Q24 at USDPEN 3.71, appreciatng 3.3% compared to the end of</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2Q24 (3.83) and remaining stable compared to the end of 2023. During</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3Q24, the BCRP did not intervene in the spot exchange market. It has</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w w:val="98"/>
              </w:rPr>
              <w:t>accumulated sales of USD 318 million for the year, concentrated in the frst</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half.</w:t>
            </w:r>
          </w:p>
        </w:tc>
      </w:tr>
      <w:tr>
        <w:trPr>
          <w:trHeight w:val="432"/>
        </w:trPr>
        <w:tc>
          <w:tcPr>
            <w:tcW w:w="2360" w:type="dxa"/>
            <w:vAlign w:val="bottom"/>
          </w:tcPr>
          <w:p>
            <w:pPr>
              <w:spacing w:after="0"/>
              <w:rPr>
                <w:sz w:val="24"/>
                <w:szCs w:val="24"/>
                <w:color w:val="auto"/>
              </w:rPr>
            </w:pPr>
          </w:p>
        </w:tc>
        <w:tc>
          <w:tcPr>
            <w:tcW w:w="6700" w:type="dxa"/>
            <w:vAlign w:val="bottom"/>
          </w:tcPr>
          <w:p>
            <w:pPr>
              <w:ind w:left="1300"/>
              <w:spacing w:after="0"/>
              <w:rPr>
                <w:sz w:val="20"/>
                <w:szCs w:val="20"/>
                <w:color w:val="auto"/>
              </w:rPr>
            </w:pPr>
            <w:r>
              <w:rPr>
                <w:rFonts w:ascii="Calibri" w:cs="Calibri" w:eastAsia="Calibri" w:hAnsi="Calibri"/>
                <w:sz w:val="18"/>
                <w:szCs w:val="18"/>
                <w:color w:val="auto"/>
                <w:w w:val="98"/>
              </w:rPr>
              <w:t>The weakening of the global dollar, driven by expectatons surrounding the</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start of the Fed’s rate-cutng cycle, led to the appreciaton of Latn</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American currencies in 3Q24, with the excepton of the Mexican peso and</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Colombian peso, which were afected by idiosyncratc factors and the</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decline in oil prices. Compared to the end of 2Q24, the Brazilian real</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appreciated 2.6% and the Chilean peso 4.5%, while the Mexican peso</w:t>
            </w:r>
          </w:p>
        </w:tc>
      </w:tr>
      <w:tr>
        <w:trPr>
          <w:trHeight w:val="216"/>
        </w:trPr>
        <w:tc>
          <w:tcPr>
            <w:tcW w:w="2360" w:type="dxa"/>
            <w:vAlign w:val="bottom"/>
          </w:tcPr>
          <w:p>
            <w:pPr>
              <w:spacing w:after="0"/>
              <w:rPr>
                <w:sz w:val="18"/>
                <w:szCs w:val="18"/>
                <w:color w:val="auto"/>
              </w:rPr>
            </w:pPr>
          </w:p>
        </w:tc>
        <w:tc>
          <w:tcPr>
            <w:tcW w:w="6700" w:type="dxa"/>
            <w:vAlign w:val="bottom"/>
          </w:tcPr>
          <w:p>
            <w:pPr>
              <w:ind w:left="1300"/>
              <w:spacing w:after="0" w:line="216" w:lineRule="exact"/>
              <w:rPr>
                <w:sz w:val="20"/>
                <w:szCs w:val="20"/>
                <w:color w:val="auto"/>
              </w:rPr>
            </w:pPr>
            <w:r>
              <w:rPr>
                <w:rFonts w:ascii="Calibri" w:cs="Calibri" w:eastAsia="Calibri" w:hAnsi="Calibri"/>
                <w:sz w:val="18"/>
                <w:szCs w:val="18"/>
                <w:color w:val="auto"/>
              </w:rPr>
              <w:t>depreciated 7.5% and the Colombian peso 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-1630680</wp:posOffset>
            </wp:positionV>
            <wp:extent cx="2751455" cy="1903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51455" cy="190309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Internatonal Reserves (NIR) closed 3Q24 at US$ 80.4 billion, which topped the US$ 71.4 billion at the end of 2Q24 and the US$ 71.0 billion at the end of 2023. In mid-September 2024, NIR reached a historical high of US$ 83.8 billion. Meanwhile, the BCRP’s foreign exchange positon stood at US$ 54.5 billion, which represented an increase of US$ 3.3 billion compared to the end of 2Q 2024.</w:t>
      </w:r>
    </w:p>
    <w:p>
      <w:pPr>
        <w:spacing w:after="0" w:line="200" w:lineRule="exact"/>
        <w:rPr>
          <w:sz w:val="20"/>
          <w:szCs w:val="20"/>
          <w:color w:val="auto"/>
        </w:rPr>
      </w:pPr>
    </w:p>
    <w:p>
      <w:pPr>
        <w:spacing w:after="0" w:line="20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46" w:name="page47"/>
    <w:bookmarkEnd w:id="46"/>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FFFFFF"/>
        </w:rPr>
        <w:t>Safe Harbor for Forward-Looking Statements</w:t>
      </w: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material includes “forward-looking statements” within the meaning of Secton 27A of the U.S. Securites Act of 1933 and Secton 21E of the U.S. Securites Exchange Act of 1934. All statements other than statements of historical fact are forward-looking and may contain informaton about fnancial results, economic conditons, trends and known uncertaintes. Forward-looking statements are not assurances of future performance. Instead, they are based only on our management’s current views, beliefs, expectatons and assumptons regarding the future of our business, future plans and strategies, projectons, antcipated events and trends, the economy and other future conditons.</w:t>
      </w:r>
    </w:p>
    <w:p>
      <w:pPr>
        <w:spacing w:after="0" w:line="20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Many forward-looking statements can be identfed by words such as: “antcipate”, “intend”, “plan”, “goal”, “seek”, “believe”, “project”, “estmate”, “expect”, “strategy”, “future”, “likely”, “would”, “may”, “should”, “will”, “see” and similar references to future periods. Examples of forward-looking statements include, among others, statements or estmates we make regarding guidance relatng to losses in our credit portolio, efciency rato, provisions and non-performing loans, current or future market risk and future market conditons, expected macroeconomic events and conditons, our belief that we have sufcient capital and liquidity to fund our business operatons, expectatons of the efect on our fnancial conditon of claims, legal actons, environmental costs, contngent liabilites and governmental and regulatory investgatons and proceedings, strategy for customer retenton, growth, governmental programs and regulatory initatves, credit administraton, product development, market positon, fnancial results and reserves and strategy for risk management.</w:t>
      </w:r>
    </w:p>
    <w:p>
      <w:pPr>
        <w:spacing w:after="0" w:line="1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cauton readers that forward-looking statements involve known and unknown risks and uncertaintes that could cause actual results, performance, or events to difer materially from those that we expect or that are expressed or implied in the forward-looking statements, depending on the outcome of certain factors, including, without limitaton, adverse changes in:</w:t>
      </w:r>
    </w:p>
    <w:p>
      <w:pPr>
        <w:spacing w:after="0" w:line="200" w:lineRule="exact"/>
        <w:rPr>
          <w:sz w:val="20"/>
          <w:szCs w:val="20"/>
          <w:color w:val="auto"/>
        </w:rPr>
      </w:pPr>
    </w:p>
    <w:p>
      <w:pPr>
        <w:ind w:left="240" w:hanging="232"/>
        <w:spacing w:after="0"/>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occurrence of natural disasters or politcal or social instability in Peru;</w:t>
      </w:r>
    </w:p>
    <w:p>
      <w:pPr>
        <w:spacing w:after="0" w:line="1" w:lineRule="exact"/>
        <w:rPr>
          <w:rFonts w:ascii="Calibri" w:cs="Calibri" w:eastAsia="Calibri" w:hAnsi="Calibri"/>
          <w:sz w:val="18"/>
          <w:szCs w:val="18"/>
          <w:color w:val="auto"/>
        </w:rPr>
      </w:pPr>
    </w:p>
    <w:p>
      <w:pPr>
        <w:ind w:left="240" w:right="40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adequacy of the dividends that our subsidiaries are able to pay to us, which may afect our ability to pay dividends to shareholders and corporate expenses;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Performance of, and volatlity in, fnancial markets, including Latn-American and other markets;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frequency, severity and types of insured loss events;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Fluctuatons in interest rate levels;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Foreign currency exchange rates, including the Sol/US Dollar exchange rate;</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Deterioraton in the quality of our loan portolio;</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Increasing levels of competton in Peru and other markets in which we operate;</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Developments and changes in laws and regulatons afectng the fnancial sector and adopton of new internatonal guidelines;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Changes in the policies of central banks and/or foreign governments;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Efectveness of our risk management policies and of our operatonal and security systems;</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Losses associated with counterparty exposures;</w:t>
      </w:r>
    </w:p>
    <w:p>
      <w:pPr>
        <w:spacing w:after="0" w:line="1" w:lineRule="exact"/>
        <w:rPr>
          <w:rFonts w:ascii="Calibri" w:cs="Calibri" w:eastAsia="Calibri" w:hAnsi="Calibri"/>
          <w:sz w:val="18"/>
          <w:szCs w:val="18"/>
          <w:color w:val="auto"/>
        </w:rPr>
      </w:pPr>
    </w:p>
    <w:p>
      <w:pPr>
        <w:ind w:left="240" w:right="2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scope of the coronavirus (“COVID-19”) outbreak, actons taken to contain the COVID-19 and related economic efects from such actons and our ability to maintain adequate stafng; and</w:t>
      </w:r>
    </w:p>
    <w:p>
      <w:pPr>
        <w:ind w:left="240" w:hanging="232"/>
        <w:spacing w:after="0" w:line="235" w:lineRule="auto"/>
        <w:tabs>
          <w:tab w:leader="none" w:pos="2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Changes in Bermuda laws and regulatons applicable to so-called non-resident enttes.</w:t>
      </w: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 “Item 3. Key Informaton—3. D Risk Factors” and “Item 5. Operatng and Financial Review and Prospects” in our most recent Annual Report on Form 20-F fled with the U.S. Securites and Exchange Commission for additonal informaton and other such factors. You are cautoned not to place undue reliance on these forward-looking statements, which speak only as of the date hereof and are based only on informaton currently available to us. Therefore, you should not rely on any of these forward-looking statements.</w:t>
      </w:r>
    </w:p>
    <w:p>
      <w:pPr>
        <w:spacing w:after="0" w:line="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undertake no obligaton to publicly update or revise these or any other forward-looking statements that may be made to refect events or circumstances afer the date hereof, whether as a result of changes in our business strategy or new informaton, to refect the occurrence of unantcipated events or otherwise.</w:t>
      </w:r>
    </w:p>
    <w:p>
      <w:pPr>
        <w:spacing w:after="0" w:line="39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7" w:name="page48"/>
    <w:bookmarkEnd w:id="47"/>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4972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71" w:lineRule="exact"/>
        <w:rPr>
          <w:sz w:val="20"/>
          <w:szCs w:val="20"/>
          <w:color w:val="auto"/>
        </w:rPr>
      </w:pPr>
    </w:p>
    <w:p>
      <w:pPr>
        <w:spacing w:after="0"/>
        <w:rPr>
          <w:sz w:val="20"/>
          <w:szCs w:val="20"/>
          <w:color w:val="auto"/>
        </w:rPr>
      </w:pPr>
      <w:r>
        <w:rPr>
          <w:rFonts w:ascii="Calibri" w:cs="Calibri" w:eastAsia="Calibri" w:hAnsi="Calibri"/>
          <w:sz w:val="52"/>
          <w:szCs w:val="52"/>
          <w:b w:val="1"/>
          <w:bCs w:val="1"/>
          <w:color w:val="E93BAC"/>
        </w:rPr>
        <w:t xml:space="preserve">12 </w:t>
      </w:r>
      <w:r>
        <w:rPr>
          <w:rFonts w:ascii="Calibri" w:cs="Calibri" w:eastAsia="Calibri" w:hAnsi="Calibri"/>
          <w:sz w:val="32"/>
          <w:szCs w:val="32"/>
          <w:color w:val="E93BAC"/>
        </w:rPr>
        <w:t>Appendix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12.1.</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Physical Point of Contact</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46</w:t>
            </w:r>
          </w:p>
        </w:tc>
      </w:tr>
      <w:tr>
        <w:trPr>
          <w:trHeight w:val="432"/>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12.2.</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Loan Portolio Quality</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46</w:t>
            </w:r>
          </w:p>
        </w:tc>
      </w:tr>
      <w:tr>
        <w:trPr>
          <w:trHeight w:val="432"/>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12.3.</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Net Interest Income (NII)</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50</w:t>
            </w:r>
          </w:p>
        </w:tc>
      </w:tr>
      <w:tr>
        <w:trPr>
          <w:trHeight w:val="450"/>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12.4.</w:t>
            </w:r>
          </w:p>
        </w:tc>
        <w:tc>
          <w:tcPr>
            <w:tcW w:w="730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Net Interest Margin (NIM) and Risk Adjusted NIM</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50</w:t>
            </w:r>
          </w:p>
        </w:tc>
      </w:tr>
      <w:tr>
        <w:trPr>
          <w:trHeight w:val="428"/>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12.5.</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Regulatory Capital</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51</w:t>
            </w:r>
          </w:p>
        </w:tc>
      </w:tr>
      <w:tr>
        <w:trPr>
          <w:trHeight w:val="432"/>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12.6.</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Financial Statements and Ratos by Business</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55</w:t>
            </w:r>
          </w:p>
        </w:tc>
      </w:tr>
      <w:tr>
        <w:trPr>
          <w:trHeight w:val="418"/>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12.6.1.</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Credicorp Consolidated</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55</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12.6.2.</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Credicorp Stand-alone</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57</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12.6.3.</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BCP Consolidated</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58</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12.6.4.</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BCP Stand-alone</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60</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12.6.5.</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BCP Bolivia</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62</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12.6.6.</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Mibanco</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63</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12.6.7.</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Prima AFP</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64</w:t>
            </w:r>
          </w:p>
        </w:tc>
      </w:tr>
      <w:tr>
        <w:trPr>
          <w:trHeight w:val="432"/>
        </w:trPr>
        <w:tc>
          <w:tcPr>
            <w:tcW w:w="1060" w:type="dxa"/>
            <w:vAlign w:val="bottom"/>
            <w:gridSpan w:val="2"/>
          </w:tcPr>
          <w:p>
            <w:pPr>
              <w:ind w:left="460"/>
              <w:spacing w:after="0"/>
              <w:rPr>
                <w:sz w:val="20"/>
                <w:szCs w:val="20"/>
                <w:color w:val="auto"/>
              </w:rPr>
            </w:pPr>
            <w:r>
              <w:rPr>
                <w:rFonts w:ascii="Calibri" w:cs="Calibri" w:eastAsia="Calibri" w:hAnsi="Calibri"/>
                <w:sz w:val="18"/>
                <w:szCs w:val="18"/>
                <w:b w:val="1"/>
                <w:bCs w:val="1"/>
                <w:color w:val="auto"/>
              </w:rPr>
              <w:t>12.6.8.</w:t>
            </w:r>
          </w:p>
        </w:tc>
        <w:tc>
          <w:tcPr>
            <w:tcW w:w="6880" w:type="dxa"/>
            <w:vAlign w:val="bottom"/>
          </w:tcPr>
          <w:p>
            <w:pPr>
              <w:ind w:left="80"/>
              <w:spacing w:after="0"/>
              <w:rPr>
                <w:sz w:val="20"/>
                <w:szCs w:val="20"/>
                <w:color w:val="auto"/>
              </w:rPr>
            </w:pPr>
            <w:r>
              <w:rPr>
                <w:rFonts w:ascii="Calibri" w:cs="Calibri" w:eastAsia="Calibri" w:hAnsi="Calibri"/>
                <w:sz w:val="18"/>
                <w:szCs w:val="18"/>
                <w:b w:val="1"/>
                <w:bCs w:val="1"/>
                <w:color w:val="auto"/>
              </w:rPr>
              <w:t>Grupo Pacifco</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65</w:t>
            </w:r>
          </w:p>
        </w:tc>
      </w:tr>
      <w:tr>
        <w:trPr>
          <w:trHeight w:val="432"/>
        </w:trPr>
        <w:tc>
          <w:tcPr>
            <w:tcW w:w="7940" w:type="dxa"/>
            <w:vAlign w:val="bottom"/>
            <w:gridSpan w:val="3"/>
          </w:tcPr>
          <w:p>
            <w:pPr>
              <w:ind w:left="460"/>
              <w:spacing w:after="0"/>
              <w:rPr>
                <w:sz w:val="20"/>
                <w:szCs w:val="20"/>
                <w:color w:val="auto"/>
              </w:rPr>
            </w:pPr>
            <w:r>
              <w:rPr>
                <w:rFonts w:ascii="Calibri" w:cs="Calibri" w:eastAsia="Calibri" w:hAnsi="Calibri"/>
                <w:sz w:val="18"/>
                <w:szCs w:val="18"/>
                <w:b w:val="1"/>
                <w:bCs w:val="1"/>
                <w:color w:val="auto"/>
              </w:rPr>
              <w:t>12.6.9.  Investment Management and Advisory</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67</w:t>
            </w:r>
          </w:p>
        </w:tc>
      </w:tr>
      <w:tr>
        <w:trPr>
          <w:trHeight w:val="445"/>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12.7.</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Table of Calculatons</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68</w:t>
            </w:r>
          </w:p>
        </w:tc>
      </w:tr>
      <w:tr>
        <w:trPr>
          <w:trHeight w:val="432"/>
        </w:trPr>
        <w:tc>
          <w:tcPr>
            <w:tcW w:w="640" w:type="dxa"/>
            <w:vAlign w:val="bottom"/>
          </w:tcPr>
          <w:p>
            <w:pPr>
              <w:ind w:left="240"/>
              <w:spacing w:after="0"/>
              <w:rPr>
                <w:sz w:val="20"/>
                <w:szCs w:val="20"/>
                <w:color w:val="auto"/>
              </w:rPr>
            </w:pPr>
            <w:r>
              <w:rPr>
                <w:rFonts w:ascii="Calibri" w:cs="Calibri" w:eastAsia="Calibri" w:hAnsi="Calibri"/>
                <w:sz w:val="18"/>
                <w:szCs w:val="18"/>
                <w:b w:val="1"/>
                <w:bCs w:val="1"/>
                <w:color w:val="auto"/>
              </w:rPr>
              <w:t>12.8.</w:t>
            </w:r>
          </w:p>
        </w:tc>
        <w:tc>
          <w:tcPr>
            <w:tcW w:w="73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Glossary of terms</w:t>
            </w:r>
          </w:p>
        </w:tc>
        <w:tc>
          <w:tcPr>
            <w:tcW w:w="3300" w:type="dxa"/>
            <w:vAlign w:val="bottom"/>
          </w:tcPr>
          <w:p>
            <w:pPr>
              <w:jc w:val="right"/>
              <w:spacing w:after="0"/>
              <w:rPr>
                <w:sz w:val="20"/>
                <w:szCs w:val="20"/>
                <w:color w:val="auto"/>
              </w:rPr>
            </w:pPr>
            <w:r>
              <w:rPr>
                <w:rFonts w:ascii="Calibri" w:cs="Calibri" w:eastAsia="Calibri" w:hAnsi="Calibri"/>
                <w:sz w:val="18"/>
                <w:szCs w:val="18"/>
                <w:color w:val="auto"/>
              </w:rPr>
              <w:t>69</w:t>
            </w:r>
          </w:p>
        </w:tc>
      </w:tr>
      <w:tr>
        <w:trPr>
          <w:trHeight w:val="569"/>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2"/>
        </w:trPr>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510" w:right="339" w:bottom="1440" w:gutter="0" w:footer="0" w:header="0"/>
        </w:sectPr>
      </w:pPr>
    </w:p>
    <w:bookmarkStart w:id="48" w:name="page49"/>
    <w:bookmarkEnd w:id="48"/>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972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12.1. Physical Point of contact</w:t>
      </w:r>
    </w:p>
    <w:p>
      <w:pPr>
        <w:spacing w:after="0" w:line="206" w:lineRule="exact"/>
        <w:rPr>
          <w:sz w:val="20"/>
          <w:szCs w:val="20"/>
          <w:color w:val="auto"/>
        </w:rPr>
      </w:pPr>
    </w:p>
    <w:tbl>
      <w:tblPr>
        <w:tblLayout w:type="fixed"/>
        <w:tblInd w:w="2270" w:type="dxa"/>
        <w:tblCellMar>
          <w:top w:w="0" w:type="dxa"/>
          <w:left w:w="0" w:type="dxa"/>
          <w:bottom w:w="0" w:type="dxa"/>
          <w:right w:w="0" w:type="dxa"/>
        </w:tblCellMar>
      </w:tblPr>
      <w:tr>
        <w:trPr>
          <w:trHeight w:val="195"/>
        </w:trPr>
        <w:tc>
          <w:tcPr>
            <w:tcW w:w="1960" w:type="dxa"/>
            <w:vAlign w:val="bottom"/>
            <w:tcBorders>
              <w:top w:val="single" w:sz="8" w:color="auto"/>
              <w:left w:val="single" w:sz="8" w:color="auto"/>
              <w:right w:val="single" w:sz="8" w:color="auto"/>
            </w:tcBorders>
            <w:shd w:val="clear" w:color="auto" w:fill="2AD2C9"/>
          </w:tcPr>
          <w:p>
            <w:pPr>
              <w:ind w:left="20"/>
              <w:spacing w:after="0" w:line="195" w:lineRule="exact"/>
              <w:rPr>
                <w:sz w:val="20"/>
                <w:szCs w:val="20"/>
                <w:color w:val="auto"/>
              </w:rPr>
            </w:pPr>
            <w:r>
              <w:rPr>
                <w:rFonts w:ascii="Calibri" w:cs="Calibri" w:eastAsia="Calibri" w:hAnsi="Calibri"/>
                <w:sz w:val="18"/>
                <w:szCs w:val="18"/>
                <w:b w:val="1"/>
                <w:bCs w:val="1"/>
                <w:color w:val="FFFFFF"/>
              </w:rPr>
              <w:t>Physical Point of Contact</w:t>
            </w:r>
          </w:p>
        </w:tc>
        <w:tc>
          <w:tcPr>
            <w:tcW w:w="1000" w:type="dxa"/>
            <w:vAlign w:val="bottom"/>
            <w:tcBorders>
              <w:top w:val="single" w:sz="8" w:color="auto"/>
            </w:tcBorders>
            <w:shd w:val="clear" w:color="auto" w:fill="2AD2C9"/>
          </w:tcPr>
          <w:p>
            <w:pPr>
              <w:spacing w:after="0"/>
              <w:rPr>
                <w:sz w:val="16"/>
                <w:szCs w:val="16"/>
                <w:color w:val="auto"/>
              </w:rPr>
            </w:pPr>
          </w:p>
        </w:tc>
        <w:tc>
          <w:tcPr>
            <w:tcW w:w="940" w:type="dxa"/>
            <w:vAlign w:val="bottom"/>
            <w:tcBorders>
              <w:top w:val="single" w:sz="8" w:color="auto"/>
            </w:tcBorders>
            <w:shd w:val="clear" w:color="auto" w:fill="2AD2C9"/>
          </w:tcPr>
          <w:p>
            <w:pPr>
              <w:jc w:val="right"/>
              <w:ind w:right="270"/>
              <w:spacing w:after="0" w:line="195" w:lineRule="exact"/>
              <w:rPr>
                <w:sz w:val="20"/>
                <w:szCs w:val="20"/>
                <w:color w:val="auto"/>
              </w:rPr>
            </w:pPr>
            <w:r>
              <w:rPr>
                <w:rFonts w:ascii="Calibri" w:cs="Calibri" w:eastAsia="Calibri" w:hAnsi="Calibri"/>
                <w:sz w:val="18"/>
                <w:szCs w:val="18"/>
                <w:b w:val="1"/>
                <w:bCs w:val="1"/>
                <w:color w:val="FFFFFF"/>
              </w:rPr>
              <w:t>As of</w:t>
            </w:r>
          </w:p>
        </w:tc>
        <w:tc>
          <w:tcPr>
            <w:tcW w:w="900" w:type="dxa"/>
            <w:vAlign w:val="bottom"/>
            <w:tcBorders>
              <w:top w:val="single" w:sz="8" w:color="auto"/>
              <w:right w:val="single" w:sz="8" w:color="auto"/>
            </w:tcBorders>
            <w:shd w:val="clear" w:color="auto" w:fill="2AD2C9"/>
          </w:tcPr>
          <w:p>
            <w:pPr>
              <w:spacing w:after="0"/>
              <w:rPr>
                <w:sz w:val="16"/>
                <w:szCs w:val="16"/>
                <w:color w:val="auto"/>
              </w:rPr>
            </w:pPr>
          </w:p>
        </w:tc>
        <w:tc>
          <w:tcPr>
            <w:tcW w:w="1940" w:type="dxa"/>
            <w:vAlign w:val="bottom"/>
            <w:tcBorders>
              <w:top w:val="single" w:sz="8" w:color="auto"/>
              <w:right w:val="single" w:sz="8" w:color="auto"/>
            </w:tcBorders>
            <w:gridSpan w:val="2"/>
            <w:shd w:val="clear" w:color="auto" w:fill="2AD2C9"/>
          </w:tcPr>
          <w:p>
            <w:pPr>
              <w:jc w:val="right"/>
              <w:ind w:right="370"/>
              <w:spacing w:after="0" w:line="195" w:lineRule="exact"/>
              <w:rPr>
                <w:sz w:val="20"/>
                <w:szCs w:val="20"/>
                <w:color w:val="auto"/>
              </w:rPr>
            </w:pPr>
            <w:r>
              <w:rPr>
                <w:rFonts w:ascii="Calibri" w:cs="Calibri" w:eastAsia="Calibri" w:hAnsi="Calibri"/>
                <w:sz w:val="18"/>
                <w:szCs w:val="18"/>
                <w:b w:val="1"/>
                <w:bCs w:val="1"/>
                <w:color w:val="FFFFFF"/>
              </w:rPr>
              <w:t>Change (units)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shd w:val="clear" w:color="auto" w:fill="2AD2C9"/>
          </w:tcPr>
          <w:p>
            <w:pPr>
              <w:ind w:left="20"/>
              <w:spacing w:after="0" w:line="161" w:lineRule="exact"/>
              <w:rPr>
                <w:sz w:val="20"/>
                <w:szCs w:val="20"/>
                <w:color w:val="auto"/>
              </w:rPr>
            </w:pPr>
            <w:r>
              <w:rPr>
                <w:rFonts w:ascii="Calibri" w:cs="Calibri" w:eastAsia="Calibri" w:hAnsi="Calibri"/>
                <w:sz w:val="15"/>
                <w:szCs w:val="15"/>
                <w:b w:val="1"/>
                <w:bCs w:val="1"/>
                <w:color w:val="FFFFFF"/>
              </w:rPr>
              <w:t>(1)</w:t>
            </w:r>
          </w:p>
        </w:tc>
        <w:tc>
          <w:tcPr>
            <w:tcW w:w="1000" w:type="dxa"/>
            <w:vAlign w:val="bottom"/>
            <w:vMerge w:val="restart"/>
            <w:shd w:val="clear" w:color="auto" w:fill="2AD2C9"/>
          </w:tcPr>
          <w:p>
            <w:pPr>
              <w:jc w:val="right"/>
              <w:ind w:right="210"/>
              <w:spacing w:after="0"/>
              <w:rPr>
                <w:sz w:val="20"/>
                <w:szCs w:val="20"/>
                <w:color w:val="auto"/>
              </w:rPr>
            </w:pPr>
            <w:r>
              <w:rPr>
                <w:rFonts w:ascii="Calibri" w:cs="Calibri" w:eastAsia="Calibri" w:hAnsi="Calibri"/>
                <w:sz w:val="18"/>
                <w:szCs w:val="18"/>
                <w:b w:val="1"/>
                <w:bCs w:val="1"/>
                <w:color w:val="FFFFFF"/>
              </w:rPr>
              <w:t>Sep 23</w:t>
            </w:r>
          </w:p>
        </w:tc>
        <w:tc>
          <w:tcPr>
            <w:tcW w:w="940" w:type="dxa"/>
            <w:vAlign w:val="bottom"/>
            <w:vMerge w:val="restart"/>
            <w:shd w:val="clear" w:color="auto" w:fill="2AD2C9"/>
          </w:tcPr>
          <w:p>
            <w:pPr>
              <w:jc w:val="right"/>
              <w:ind w:right="210"/>
              <w:spacing w:after="0"/>
              <w:rPr>
                <w:sz w:val="20"/>
                <w:szCs w:val="20"/>
                <w:color w:val="auto"/>
              </w:rPr>
            </w:pPr>
            <w:r>
              <w:rPr>
                <w:rFonts w:ascii="Calibri" w:cs="Calibri" w:eastAsia="Calibri" w:hAnsi="Calibri"/>
                <w:sz w:val="18"/>
                <w:szCs w:val="18"/>
                <w:b w:val="1"/>
                <w:bCs w:val="1"/>
                <w:color w:val="FFFFFF"/>
              </w:rPr>
              <w:t>Jun 24</w:t>
            </w:r>
          </w:p>
        </w:tc>
        <w:tc>
          <w:tcPr>
            <w:tcW w:w="900" w:type="dxa"/>
            <w:vAlign w:val="bottom"/>
            <w:tcBorders>
              <w:right w:val="single" w:sz="8" w:color="auto"/>
            </w:tcBorders>
            <w:vMerge w:val="restart"/>
            <w:shd w:val="clear" w:color="auto" w:fill="2AD2C9"/>
          </w:tcPr>
          <w:p>
            <w:pPr>
              <w:jc w:val="right"/>
              <w:ind w:right="170"/>
              <w:spacing w:after="0"/>
              <w:rPr>
                <w:sz w:val="20"/>
                <w:szCs w:val="20"/>
                <w:color w:val="auto"/>
              </w:rPr>
            </w:pPr>
            <w:r>
              <w:rPr>
                <w:rFonts w:ascii="Calibri" w:cs="Calibri" w:eastAsia="Calibri" w:hAnsi="Calibri"/>
                <w:sz w:val="18"/>
                <w:szCs w:val="18"/>
                <w:b w:val="1"/>
                <w:bCs w:val="1"/>
                <w:color w:val="FFFFFF"/>
              </w:rPr>
              <w:t>Sep 24</w:t>
            </w:r>
          </w:p>
        </w:tc>
        <w:tc>
          <w:tcPr>
            <w:tcW w:w="1080" w:type="dxa"/>
            <w:vAlign w:val="bottom"/>
            <w:vMerge w:val="restart"/>
            <w:shd w:val="clear" w:color="auto" w:fill="2AD2C9"/>
          </w:tcPr>
          <w:p>
            <w:pPr>
              <w:jc w:val="right"/>
              <w:ind w:right="350"/>
              <w:spacing w:after="0"/>
              <w:rPr>
                <w:sz w:val="20"/>
                <w:szCs w:val="20"/>
                <w:color w:val="auto"/>
              </w:rPr>
            </w:pPr>
            <w:r>
              <w:rPr>
                <w:rFonts w:ascii="Calibri" w:cs="Calibri" w:eastAsia="Calibri" w:hAnsi="Calibri"/>
                <w:sz w:val="18"/>
                <w:szCs w:val="18"/>
                <w:b w:val="1"/>
                <w:bCs w:val="1"/>
                <w:color w:val="FFFFFF"/>
              </w:rPr>
              <w:t>QoQ</w:t>
            </w:r>
          </w:p>
        </w:tc>
        <w:tc>
          <w:tcPr>
            <w:tcW w:w="860" w:type="dxa"/>
            <w:vAlign w:val="bottom"/>
            <w:tcBorders>
              <w:right w:val="single" w:sz="8" w:color="auto"/>
            </w:tcBorders>
            <w:vMerge w:val="restart"/>
            <w:shd w:val="clear" w:color="auto" w:fill="2AD2C9"/>
          </w:tcPr>
          <w:p>
            <w:pPr>
              <w:jc w:val="right"/>
              <w:ind w:right="290"/>
              <w:spacing w:after="0"/>
              <w:rPr>
                <w:sz w:val="20"/>
                <w:szCs w:val="20"/>
                <w:color w:val="auto"/>
              </w:rPr>
            </w:pPr>
            <w:r>
              <w:rPr>
                <w:rFonts w:ascii="Calibri" w:cs="Calibri" w:eastAsia="Calibri" w:hAnsi="Calibri"/>
                <w:sz w:val="18"/>
                <w:szCs w:val="18"/>
                <w:b w:val="1"/>
                <w:bCs w:val="1"/>
                <w:color w:val="FFFFFF"/>
              </w:rPr>
              <w:t>YoY</w:t>
            </w:r>
          </w:p>
        </w:tc>
        <w:tc>
          <w:tcPr>
            <w:tcW w:w="0" w:type="dxa"/>
            <w:vAlign w:val="bottom"/>
          </w:tcPr>
          <w:p>
            <w:pPr>
              <w:spacing w:after="0"/>
              <w:rPr>
                <w:sz w:val="1"/>
                <w:szCs w:val="1"/>
                <w:color w:val="auto"/>
              </w:rPr>
            </w:pPr>
          </w:p>
        </w:tc>
      </w:tr>
      <w:tr>
        <w:trPr>
          <w:trHeight w:val="238"/>
        </w:trPr>
        <w:tc>
          <w:tcPr>
            <w:tcW w:w="1960" w:type="dxa"/>
            <w:vAlign w:val="bottom"/>
            <w:tcBorders>
              <w:left w:val="single" w:sz="8" w:color="auto"/>
              <w:bottom w:val="single" w:sz="8" w:color="2AD2C9"/>
              <w:right w:val="single" w:sz="8" w:color="auto"/>
            </w:tcBorders>
            <w:shd w:val="clear" w:color="auto" w:fill="2AD2C9"/>
          </w:tcPr>
          <w:p>
            <w:pPr>
              <w:ind w:left="20"/>
              <w:spacing w:after="0" w:line="215" w:lineRule="exact"/>
              <w:rPr>
                <w:sz w:val="20"/>
                <w:szCs w:val="20"/>
                <w:color w:val="auto"/>
              </w:rPr>
            </w:pPr>
            <w:r>
              <w:rPr>
                <w:rFonts w:ascii="Calibri" w:cs="Calibri" w:eastAsia="Calibri" w:hAnsi="Calibri"/>
                <w:sz w:val="18"/>
                <w:szCs w:val="18"/>
                <w:b w:val="1"/>
                <w:bCs w:val="1"/>
                <w:color w:val="FFFFFF"/>
              </w:rPr>
              <w:t>(Units)</w:t>
            </w:r>
          </w:p>
        </w:tc>
        <w:tc>
          <w:tcPr>
            <w:tcW w:w="1000" w:type="dxa"/>
            <w:vAlign w:val="bottom"/>
            <w:tcBorders>
              <w:bottom w:val="single" w:sz="8" w:color="2AD2C9"/>
            </w:tcBorders>
            <w:vMerge w:val="continue"/>
            <w:shd w:val="clear" w:color="auto" w:fill="2AD2C9"/>
          </w:tcPr>
          <w:p>
            <w:pPr>
              <w:spacing w:after="0"/>
              <w:rPr>
                <w:sz w:val="20"/>
                <w:szCs w:val="20"/>
                <w:color w:val="auto"/>
              </w:rPr>
            </w:pPr>
          </w:p>
        </w:tc>
        <w:tc>
          <w:tcPr>
            <w:tcW w:w="940" w:type="dxa"/>
            <w:vAlign w:val="bottom"/>
            <w:tcBorders>
              <w:bottom w:val="single" w:sz="8" w:color="2AD2C9"/>
            </w:tcBorders>
            <w:vMerge w:val="continue"/>
            <w:shd w:val="clear" w:color="auto" w:fill="2AD2C9"/>
          </w:tcPr>
          <w:p>
            <w:pPr>
              <w:spacing w:after="0"/>
              <w:rPr>
                <w:sz w:val="20"/>
                <w:szCs w:val="20"/>
                <w:color w:val="auto"/>
              </w:rPr>
            </w:pPr>
          </w:p>
        </w:tc>
        <w:tc>
          <w:tcPr>
            <w:tcW w:w="900" w:type="dxa"/>
            <w:vAlign w:val="bottom"/>
            <w:tcBorders>
              <w:bottom w:val="single" w:sz="8" w:color="2AD2C9"/>
              <w:right w:val="single" w:sz="8" w:color="auto"/>
            </w:tcBorders>
            <w:vMerge w:val="continue"/>
            <w:shd w:val="clear" w:color="auto" w:fill="2AD2C9"/>
          </w:tcPr>
          <w:p>
            <w:pPr>
              <w:spacing w:after="0"/>
              <w:rPr>
                <w:sz w:val="20"/>
                <w:szCs w:val="20"/>
                <w:color w:val="auto"/>
              </w:rPr>
            </w:pPr>
          </w:p>
        </w:tc>
        <w:tc>
          <w:tcPr>
            <w:tcW w:w="1080" w:type="dxa"/>
            <w:vAlign w:val="bottom"/>
            <w:tcBorders>
              <w:bottom w:val="single" w:sz="8" w:color="2AD2C9"/>
            </w:tcBorders>
            <w:vMerge w:val="continue"/>
            <w:shd w:val="clear" w:color="auto" w:fill="2AD2C9"/>
          </w:tcPr>
          <w:p>
            <w:pPr>
              <w:spacing w:after="0"/>
              <w:rPr>
                <w:sz w:val="20"/>
                <w:szCs w:val="20"/>
                <w:color w:val="auto"/>
              </w:rPr>
            </w:pPr>
          </w:p>
        </w:tc>
        <w:tc>
          <w:tcPr>
            <w:tcW w:w="860" w:type="dxa"/>
            <w:vAlign w:val="bottom"/>
            <w:tcBorders>
              <w:bottom w:val="single" w:sz="8" w:color="2AD2C9"/>
              <w:right w:val="single" w:sz="8" w:color="auto"/>
            </w:tcBorders>
            <w:vMerge w:val="continue"/>
            <w:shd w:val="clear" w:color="auto" w:fill="2AD2C9"/>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60" w:type="dxa"/>
            <w:vAlign w:val="bottom"/>
            <w:tcBorders>
              <w:top w:val="single" w:sz="8" w:color="auto"/>
              <w:left w:val="single" w:sz="8" w:color="auto"/>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Branches</w:t>
            </w:r>
          </w:p>
        </w:tc>
        <w:tc>
          <w:tcPr>
            <w:tcW w:w="1000" w:type="dxa"/>
            <w:vAlign w:val="bottom"/>
            <w:tcBorders>
              <w:top w:val="single" w:sz="8" w:color="auto"/>
            </w:tcBorders>
          </w:tcPr>
          <w:p>
            <w:pPr>
              <w:jc w:val="right"/>
              <w:ind w:right="70"/>
              <w:spacing w:after="0" w:line="187" w:lineRule="exact"/>
              <w:rPr>
                <w:sz w:val="20"/>
                <w:szCs w:val="20"/>
                <w:color w:val="auto"/>
              </w:rPr>
            </w:pPr>
            <w:r>
              <w:rPr>
                <w:rFonts w:ascii="Calibri" w:cs="Calibri" w:eastAsia="Calibri" w:hAnsi="Calibri"/>
                <w:sz w:val="18"/>
                <w:szCs w:val="18"/>
                <w:color w:val="auto"/>
              </w:rPr>
              <w:t>661</w:t>
            </w:r>
          </w:p>
        </w:tc>
        <w:tc>
          <w:tcPr>
            <w:tcW w:w="940" w:type="dxa"/>
            <w:vAlign w:val="bottom"/>
            <w:tcBorders>
              <w:top w:val="single" w:sz="8" w:color="auto"/>
            </w:tcBorders>
          </w:tcPr>
          <w:p>
            <w:pPr>
              <w:jc w:val="right"/>
              <w:ind w:right="70"/>
              <w:spacing w:after="0" w:line="187" w:lineRule="exact"/>
              <w:rPr>
                <w:sz w:val="20"/>
                <w:szCs w:val="20"/>
                <w:color w:val="auto"/>
              </w:rPr>
            </w:pPr>
            <w:r>
              <w:rPr>
                <w:rFonts w:ascii="Calibri" w:cs="Calibri" w:eastAsia="Calibri" w:hAnsi="Calibri"/>
                <w:sz w:val="18"/>
                <w:szCs w:val="18"/>
                <w:color w:val="auto"/>
              </w:rPr>
              <w:t>650</w:t>
            </w:r>
          </w:p>
        </w:tc>
        <w:tc>
          <w:tcPr>
            <w:tcW w:w="900" w:type="dxa"/>
            <w:vAlign w:val="bottom"/>
            <w:tcBorders>
              <w:top w:val="single" w:sz="8" w:color="auto"/>
              <w:right w:val="single" w:sz="8" w:color="auto"/>
            </w:tcBorders>
          </w:tcPr>
          <w:p>
            <w:pPr>
              <w:jc w:val="right"/>
              <w:ind w:right="10"/>
              <w:spacing w:after="0" w:line="187" w:lineRule="exact"/>
              <w:rPr>
                <w:sz w:val="20"/>
                <w:szCs w:val="20"/>
                <w:color w:val="auto"/>
              </w:rPr>
            </w:pPr>
            <w:r>
              <w:rPr>
                <w:rFonts w:ascii="Calibri" w:cs="Calibri" w:eastAsia="Calibri" w:hAnsi="Calibri"/>
                <w:sz w:val="18"/>
                <w:szCs w:val="18"/>
                <w:color w:val="auto"/>
              </w:rPr>
              <w:t>648</w:t>
            </w:r>
          </w:p>
        </w:tc>
        <w:tc>
          <w:tcPr>
            <w:tcW w:w="1080" w:type="dxa"/>
            <w:vAlign w:val="bottom"/>
            <w:tcBorders>
              <w:top w:val="single" w:sz="8" w:color="auto"/>
            </w:tcBorders>
          </w:tcPr>
          <w:p>
            <w:pPr>
              <w:jc w:val="right"/>
              <w:ind w:right="150"/>
              <w:spacing w:after="0" w:line="187" w:lineRule="exact"/>
              <w:rPr>
                <w:sz w:val="20"/>
                <w:szCs w:val="20"/>
                <w:color w:val="auto"/>
              </w:rPr>
            </w:pPr>
            <w:r>
              <w:rPr>
                <w:rFonts w:ascii="Calibri" w:cs="Calibri" w:eastAsia="Calibri" w:hAnsi="Calibri"/>
                <w:sz w:val="18"/>
                <w:szCs w:val="18"/>
                <w:color w:val="auto"/>
              </w:rPr>
              <w:t>-2</w:t>
            </w:r>
          </w:p>
        </w:tc>
        <w:tc>
          <w:tcPr>
            <w:tcW w:w="860" w:type="dxa"/>
            <w:vAlign w:val="bottom"/>
            <w:tcBorders>
              <w:top w:val="single" w:sz="8" w:color="auto"/>
              <w:right w:val="single" w:sz="8" w:color="auto"/>
            </w:tcBorders>
          </w:tcPr>
          <w:p>
            <w:pPr>
              <w:jc w:val="right"/>
              <w:ind w:right="30"/>
              <w:spacing w:after="0" w:line="187" w:lineRule="exact"/>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215"/>
        </w:trPr>
        <w:tc>
          <w:tcPr>
            <w:tcW w:w="1960" w:type="dxa"/>
            <w:vAlign w:val="bottom"/>
            <w:tcBorders>
              <w:left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ATMs</w:t>
            </w:r>
          </w:p>
        </w:tc>
        <w:tc>
          <w:tcPr>
            <w:tcW w:w="10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2,677</w:t>
            </w:r>
          </w:p>
        </w:tc>
        <w:tc>
          <w:tcPr>
            <w:tcW w:w="9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2,745</w:t>
            </w:r>
          </w:p>
        </w:tc>
        <w:tc>
          <w:tcPr>
            <w:tcW w:w="900" w:type="dxa"/>
            <w:vAlign w:val="bottom"/>
            <w:tcBorders>
              <w:right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2,766</w:t>
            </w:r>
          </w:p>
        </w:tc>
        <w:tc>
          <w:tcPr>
            <w:tcW w:w="108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21</w:t>
            </w:r>
          </w:p>
        </w:tc>
        <w:tc>
          <w:tcPr>
            <w:tcW w:w="860" w:type="dxa"/>
            <w:vAlign w:val="bottom"/>
            <w:tcBorders>
              <w:right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89</w:t>
            </w: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tcPr>
          <w:p>
            <w:pPr>
              <w:ind w:left="20"/>
              <w:spacing w:after="0" w:line="216" w:lineRule="exact"/>
              <w:rPr>
                <w:sz w:val="20"/>
                <w:szCs w:val="20"/>
                <w:color w:val="auto"/>
              </w:rPr>
            </w:pPr>
            <w:r>
              <w:rPr>
                <w:rFonts w:ascii="Calibri" w:cs="Calibri" w:eastAsia="Calibri" w:hAnsi="Calibri"/>
                <w:sz w:val="18"/>
                <w:szCs w:val="18"/>
                <w:color w:val="auto"/>
              </w:rPr>
              <w:t>Agents</w:t>
            </w:r>
          </w:p>
        </w:tc>
        <w:tc>
          <w:tcPr>
            <w:tcW w:w="1000" w:type="dxa"/>
            <w:vAlign w:val="bottom"/>
          </w:tcPr>
          <w:p>
            <w:pPr>
              <w:jc w:val="right"/>
              <w:ind w:right="90"/>
              <w:spacing w:after="0" w:line="216" w:lineRule="exact"/>
              <w:rPr>
                <w:sz w:val="20"/>
                <w:szCs w:val="20"/>
                <w:color w:val="auto"/>
              </w:rPr>
            </w:pPr>
            <w:r>
              <w:rPr>
                <w:rFonts w:ascii="Calibri" w:cs="Calibri" w:eastAsia="Calibri" w:hAnsi="Calibri"/>
                <w:sz w:val="18"/>
                <w:szCs w:val="18"/>
                <w:color w:val="auto"/>
              </w:rPr>
              <w:t>11,830</w:t>
            </w:r>
          </w:p>
        </w:tc>
        <w:tc>
          <w:tcPr>
            <w:tcW w:w="940" w:type="dxa"/>
            <w:vAlign w:val="bottom"/>
          </w:tcPr>
          <w:p>
            <w:pPr>
              <w:jc w:val="right"/>
              <w:ind w:right="70"/>
              <w:spacing w:after="0" w:line="216" w:lineRule="exact"/>
              <w:rPr>
                <w:sz w:val="20"/>
                <w:szCs w:val="20"/>
                <w:color w:val="auto"/>
              </w:rPr>
            </w:pPr>
            <w:r>
              <w:rPr>
                <w:rFonts w:ascii="Calibri" w:cs="Calibri" w:eastAsia="Calibri" w:hAnsi="Calibri"/>
                <w:sz w:val="18"/>
                <w:szCs w:val="18"/>
                <w:color w:val="auto"/>
              </w:rPr>
              <w:t>11,835</w:t>
            </w:r>
          </w:p>
        </w:tc>
        <w:tc>
          <w:tcPr>
            <w:tcW w:w="900" w:type="dxa"/>
            <w:vAlign w:val="bottom"/>
            <w:tcBorders>
              <w:right w:val="single" w:sz="8" w:color="auto"/>
            </w:tcBorders>
          </w:tcPr>
          <w:p>
            <w:pPr>
              <w:jc w:val="right"/>
              <w:ind w:right="30"/>
              <w:spacing w:after="0" w:line="216" w:lineRule="exact"/>
              <w:rPr>
                <w:sz w:val="20"/>
                <w:szCs w:val="20"/>
                <w:color w:val="auto"/>
              </w:rPr>
            </w:pPr>
            <w:r>
              <w:rPr>
                <w:rFonts w:ascii="Calibri" w:cs="Calibri" w:eastAsia="Calibri" w:hAnsi="Calibri"/>
                <w:sz w:val="18"/>
                <w:szCs w:val="18"/>
                <w:color w:val="auto"/>
              </w:rPr>
              <w:t>11,857</w:t>
            </w:r>
          </w:p>
        </w:tc>
        <w:tc>
          <w:tcPr>
            <w:tcW w:w="108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22</w:t>
            </w:r>
          </w:p>
        </w:tc>
        <w:tc>
          <w:tcPr>
            <w:tcW w:w="860" w:type="dxa"/>
            <w:vAlign w:val="bottom"/>
            <w:tcBorders>
              <w:right w:val="single" w:sz="8" w:color="auto"/>
            </w:tcBorders>
          </w:tcPr>
          <w:p>
            <w:pPr>
              <w:jc w:val="right"/>
              <w:ind w:right="50"/>
              <w:spacing w:after="0" w:line="216" w:lineRule="exact"/>
              <w:rPr>
                <w:sz w:val="20"/>
                <w:szCs w:val="20"/>
                <w:color w:val="auto"/>
              </w:rPr>
            </w:pPr>
            <w:r>
              <w:rPr>
                <w:rFonts w:ascii="Calibri" w:cs="Calibri" w:eastAsia="Calibri" w:hAnsi="Calibri"/>
                <w:sz w:val="18"/>
                <w:szCs w:val="18"/>
                <w:color w:val="auto"/>
              </w:rPr>
              <w:t>27</w:t>
            </w:r>
          </w:p>
        </w:tc>
        <w:tc>
          <w:tcPr>
            <w:tcW w:w="0" w:type="dxa"/>
            <w:vAlign w:val="bottom"/>
          </w:tcPr>
          <w:p>
            <w:pPr>
              <w:spacing w:after="0"/>
              <w:rPr>
                <w:sz w:val="1"/>
                <w:szCs w:val="1"/>
                <w:color w:val="auto"/>
              </w:rPr>
            </w:pPr>
          </w:p>
        </w:tc>
      </w:tr>
      <w:tr>
        <w:trPr>
          <w:trHeight w:val="23"/>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Total</w:t>
            </w:r>
          </w:p>
        </w:tc>
        <w:tc>
          <w:tcPr>
            <w:tcW w:w="10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15,168</w:t>
            </w:r>
          </w:p>
        </w:tc>
        <w:tc>
          <w:tcPr>
            <w:tcW w:w="94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b w:val="1"/>
                <w:bCs w:val="1"/>
                <w:color w:val="auto"/>
              </w:rPr>
              <w:t>15,230</w:t>
            </w:r>
          </w:p>
        </w:tc>
        <w:tc>
          <w:tcPr>
            <w:tcW w:w="900" w:type="dxa"/>
            <w:vAlign w:val="bottom"/>
            <w:tcBorders>
              <w:bottom w:val="single" w:sz="8" w:color="auto"/>
              <w:right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15,271</w:t>
            </w:r>
          </w:p>
        </w:tc>
        <w:tc>
          <w:tcPr>
            <w:tcW w:w="108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b w:val="1"/>
                <w:bCs w:val="1"/>
                <w:color w:val="auto"/>
              </w:rPr>
              <w:t>41</w:t>
            </w:r>
          </w:p>
        </w:tc>
        <w:tc>
          <w:tcPr>
            <w:tcW w:w="860" w:type="dxa"/>
            <w:vAlign w:val="bottom"/>
            <w:tcBorders>
              <w:bottom w:val="single" w:sz="8" w:color="auto"/>
              <w:right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103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560" w:hanging="284"/>
        <w:spacing w:after="0"/>
        <w:tabs>
          <w:tab w:leader="none" w:pos="2560" w:val="left"/>
        </w:tabs>
        <w:numPr>
          <w:ilvl w:val="0"/>
          <w:numId w:val="55"/>
        </w:numPr>
        <w:rPr>
          <w:rFonts w:ascii="Calibri" w:cs="Calibri" w:eastAsia="Calibri" w:hAnsi="Calibri"/>
          <w:sz w:val="12"/>
          <w:szCs w:val="12"/>
          <w:color w:val="auto"/>
        </w:rPr>
      </w:pPr>
      <w:r>
        <w:rPr>
          <w:rFonts w:ascii="Calibri" w:cs="Calibri" w:eastAsia="Calibri" w:hAnsi="Calibri"/>
          <w:sz w:val="12"/>
          <w:szCs w:val="12"/>
          <w:color w:val="auto"/>
        </w:rPr>
        <w:t>Includes Banco de la Nacion branches, which in September 23 were 33, in June 23 were 36 and in September 24 were 36</w:t>
      </w: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12.2. Loan Portolio Quality</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Portolio Quality Ratos by Segment</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51435</wp:posOffset>
            </wp:positionV>
            <wp:extent cx="6197600" cy="43116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9760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9" w:name="page50"/>
    <w:bookmarkEnd w:id="49"/>
    <w:p>
      <w:pPr>
        <w:ind w:left="2620"/>
        <w:spacing w:after="0"/>
        <w:tabs>
          <w:tab w:leader="none" w:pos="2840" w:val="left"/>
          <w:tab w:leader="none" w:pos="754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209550</wp:posOffset>
            </wp:positionV>
            <wp:extent cx="713232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FFFF"/>
        </w:rPr>
        <w:t>12. Appendix</w:t>
      </w:r>
    </w:p>
    <w:p>
      <w:pPr>
        <w:spacing w:after="0" w:line="229"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17145</wp:posOffset>
            </wp:positionV>
            <wp:extent cx="6035040" cy="2100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50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146050</wp:posOffset>
            </wp:positionV>
            <wp:extent cx="5880735" cy="1945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8073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348" w:right="339" w:bottom="1440" w:gutter="0" w:footer="0" w:header="0"/>
        </w:sectPr>
      </w:pPr>
    </w:p>
    <w:bookmarkStart w:id="50" w:name="page51"/>
    <w:bookmarkEnd w:id="50"/>
    <w:p>
      <w:pPr>
        <w:ind w:left="2620"/>
        <w:spacing w:after="0"/>
        <w:tabs>
          <w:tab w:leader="none" w:pos="2840" w:val="left"/>
          <w:tab w:leader="none" w:pos="754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209550</wp:posOffset>
            </wp:positionV>
            <wp:extent cx="713232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FFFF"/>
        </w:rPr>
        <w:t>12. Appendix</w:t>
      </w:r>
    </w:p>
    <w:p>
      <w:pPr>
        <w:spacing w:after="0" w:line="229"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146050</wp:posOffset>
            </wp:positionV>
            <wp:extent cx="5983605" cy="1911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8360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146050</wp:posOffset>
            </wp:positionV>
            <wp:extent cx="6146165" cy="2477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4616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348" w:right="339" w:bottom="1440" w:gutter="0" w:footer="0" w:header="0"/>
        </w:sectPr>
      </w:pPr>
    </w:p>
    <w:bookmarkStart w:id="51" w:name="page52"/>
    <w:bookmarkEnd w:id="51"/>
    <w:p>
      <w:pPr>
        <w:ind w:left="2620"/>
        <w:spacing w:after="0"/>
        <w:tabs>
          <w:tab w:leader="none" w:pos="2840" w:val="left"/>
          <w:tab w:leader="none" w:pos="754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209550</wp:posOffset>
            </wp:positionV>
            <wp:extent cx="7132320"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FFFF"/>
        </w:rPr>
        <w:t>12. Appendix</w:t>
      </w:r>
    </w:p>
    <w:p>
      <w:pPr>
        <w:spacing w:after="0" w:line="229"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17145</wp:posOffset>
            </wp:positionV>
            <wp:extent cx="5829300" cy="1920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5760720" cy="19799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6072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348"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453"/>
        </w:trPr>
        <w:tc>
          <w:tcPr>
            <w:tcW w:w="600" w:type="dxa"/>
            <w:vAlign w:val="bottom"/>
            <w:tcBorders>
              <w:left w:val="single" w:sz="8" w:color="auto"/>
              <w:right w:val="single" w:sz="8" w:color="auto"/>
            </w:tcBorders>
            <w:shd w:val="clear" w:color="auto" w:fill="000000"/>
          </w:tcPr>
          <w:p>
            <w:pPr>
              <w:spacing w:after="0"/>
              <w:rPr>
                <w:sz w:val="24"/>
                <w:szCs w:val="24"/>
                <w:color w:val="auto"/>
              </w:rPr>
            </w:pPr>
          </w:p>
        </w:tc>
        <w:tc>
          <w:tcPr>
            <w:tcW w:w="4020" w:type="dxa"/>
            <w:vAlign w:val="bottom"/>
            <w:gridSpan w:val="3"/>
            <w:shd w:val="clear" w:color="auto" w:fill="000000"/>
          </w:tcPr>
          <w:p>
            <w:pPr>
              <w:ind w:left="210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112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2860" w:type="dxa"/>
            <w:vAlign w:val="bottom"/>
            <w:gridSpan w:val="5"/>
            <w:shd w:val="clear" w:color="auto" w:fill="000000"/>
          </w:tcPr>
          <w:p>
            <w:pPr>
              <w:ind w:left="160"/>
              <w:spacing w:after="0"/>
              <w:rPr>
                <w:sz w:val="20"/>
                <w:szCs w:val="20"/>
                <w:color w:val="auto"/>
              </w:rPr>
            </w:pPr>
            <w:r>
              <w:rPr>
                <w:rFonts w:ascii="Calibri" w:cs="Calibri" w:eastAsia="Calibri" w:hAnsi="Calibri"/>
                <w:sz w:val="16"/>
                <w:szCs w:val="16"/>
                <w:color w:val="ED3FA8"/>
              </w:rPr>
              <w:t>Analysis of 3Q24 Consolidated Results</w:t>
            </w:r>
          </w:p>
        </w:tc>
        <w:tc>
          <w:tcPr>
            <w:tcW w:w="340" w:type="dxa"/>
            <w:vAlign w:val="bottom"/>
            <w:tcBorders>
              <w:right w:val="single" w:sz="8" w:color="auto"/>
            </w:tcBorders>
            <w:shd w:val="clear" w:color="auto" w:fill="000000"/>
          </w:tcPr>
          <w:p>
            <w:pPr>
              <w:spacing w:after="0"/>
              <w:rPr>
                <w:sz w:val="24"/>
                <w:szCs w:val="24"/>
                <w:color w:val="auto"/>
              </w:rPr>
            </w:pPr>
          </w:p>
        </w:tc>
        <w:tc>
          <w:tcPr>
            <w:tcW w:w="56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00" w:type="dxa"/>
            <w:vAlign w:val="bottom"/>
            <w:tcBorders>
              <w:left w:val="single" w:sz="8" w:color="auto"/>
              <w:right w:val="single" w:sz="8" w:color="auto"/>
            </w:tcBorders>
            <w:shd w:val="clear" w:color="auto" w:fill="000000"/>
          </w:tcPr>
          <w:p>
            <w:pPr>
              <w:spacing w:after="0"/>
              <w:rPr>
                <w:sz w:val="24"/>
                <w:szCs w:val="24"/>
                <w:color w:val="auto"/>
              </w:rPr>
            </w:pPr>
          </w:p>
        </w:tc>
        <w:tc>
          <w:tcPr>
            <w:tcW w:w="2620" w:type="dxa"/>
            <w:vAlign w:val="bottom"/>
            <w:tcBorders>
              <w:right w:val="single" w:sz="8" w:color="auto"/>
            </w:tcBorders>
            <w:shd w:val="clear" w:color="auto" w:fill="000000"/>
          </w:tcPr>
          <w:p>
            <w:pPr>
              <w:spacing w:after="0"/>
              <w:rPr>
                <w:sz w:val="24"/>
                <w:szCs w:val="24"/>
                <w:color w:val="auto"/>
              </w:rPr>
            </w:pPr>
          </w:p>
        </w:tc>
        <w:tc>
          <w:tcPr>
            <w:tcW w:w="1180" w:type="dxa"/>
            <w:vAlign w:val="bottom"/>
            <w:tcBorders>
              <w:right w:val="single" w:sz="8" w:color="auto"/>
            </w:tcBorders>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112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420" w:type="dxa"/>
            <w:vAlign w:val="bottom"/>
            <w:tcBorders>
              <w:right w:val="single" w:sz="8" w:color="auto"/>
            </w:tcBorders>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820" w:type="dxa"/>
            <w:vAlign w:val="bottom"/>
            <w:tcBorders>
              <w:right w:val="single" w:sz="8" w:color="auto"/>
            </w:tcBorders>
            <w:shd w:val="clear" w:color="auto" w:fill="000000"/>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340" w:type="dxa"/>
            <w:vAlign w:val="bottom"/>
            <w:tcBorders>
              <w:right w:val="single" w:sz="8" w:color="auto"/>
            </w:tcBorders>
            <w:shd w:val="clear" w:color="auto" w:fill="000000"/>
          </w:tcPr>
          <w:p>
            <w:pPr>
              <w:spacing w:after="0"/>
              <w:rPr>
                <w:sz w:val="24"/>
                <w:szCs w:val="24"/>
                <w:color w:val="auto"/>
              </w:rPr>
            </w:pPr>
          </w:p>
        </w:tc>
        <w:tc>
          <w:tcPr>
            <w:tcW w:w="56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20" w:type="dxa"/>
            <w:vAlign w:val="bottom"/>
            <w:tcBorders>
              <w:left w:val="single" w:sz="8" w:color="E93BAC"/>
              <w:right w:val="single" w:sz="8" w:color="E93BAC"/>
            </w:tcBorders>
            <w:gridSpan w:val="2"/>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1180" w:type="dxa"/>
            <w:vAlign w:val="bottom"/>
            <w:tcBorders>
              <w:right w:val="single" w:sz="8" w:color="E93BAC"/>
            </w:tcBorders>
            <w:shd w:val="clear" w:color="auto" w:fill="E93BAC"/>
          </w:tcPr>
          <w:p>
            <w:pPr>
              <w:spacing w:after="0"/>
              <w:rPr>
                <w:sz w:val="22"/>
                <w:szCs w:val="22"/>
                <w:color w:val="auto"/>
              </w:rPr>
            </w:pPr>
          </w:p>
        </w:tc>
        <w:tc>
          <w:tcPr>
            <w:tcW w:w="220" w:type="dxa"/>
            <w:vAlign w:val="bottom"/>
            <w:shd w:val="clear" w:color="auto" w:fill="E93BAC"/>
          </w:tcPr>
          <w:p>
            <w:pPr>
              <w:spacing w:after="0"/>
              <w:rPr>
                <w:sz w:val="22"/>
                <w:szCs w:val="22"/>
                <w:color w:val="auto"/>
              </w:rPr>
            </w:pPr>
          </w:p>
        </w:tc>
        <w:tc>
          <w:tcPr>
            <w:tcW w:w="1120" w:type="dxa"/>
            <w:vAlign w:val="bottom"/>
            <w:shd w:val="clear" w:color="auto" w:fill="E93BAC"/>
          </w:tcPr>
          <w:p>
            <w:pPr>
              <w:spacing w:after="0"/>
              <w:rPr>
                <w:sz w:val="22"/>
                <w:szCs w:val="22"/>
                <w:color w:val="auto"/>
              </w:rPr>
            </w:pPr>
          </w:p>
        </w:tc>
        <w:tc>
          <w:tcPr>
            <w:tcW w:w="780" w:type="dxa"/>
            <w:vAlign w:val="bottom"/>
            <w:tcBorders>
              <w:right w:val="single" w:sz="8" w:color="E93BAC"/>
            </w:tcBorders>
            <w:shd w:val="clear" w:color="auto" w:fill="E93BAC"/>
          </w:tcPr>
          <w:p>
            <w:pPr>
              <w:spacing w:after="0"/>
              <w:rPr>
                <w:sz w:val="22"/>
                <w:szCs w:val="22"/>
                <w:color w:val="auto"/>
              </w:rPr>
            </w:pPr>
          </w:p>
        </w:tc>
        <w:tc>
          <w:tcPr>
            <w:tcW w:w="800" w:type="dxa"/>
            <w:vAlign w:val="bottom"/>
            <w:shd w:val="clear" w:color="auto" w:fill="E93BAC"/>
          </w:tcPr>
          <w:p>
            <w:pPr>
              <w:spacing w:after="0"/>
              <w:rPr>
                <w:sz w:val="22"/>
                <w:szCs w:val="22"/>
                <w:color w:val="auto"/>
              </w:rPr>
            </w:pPr>
          </w:p>
        </w:tc>
        <w:tc>
          <w:tcPr>
            <w:tcW w:w="160" w:type="dxa"/>
            <w:vAlign w:val="bottom"/>
            <w:shd w:val="clear" w:color="auto" w:fill="E93BAC"/>
          </w:tcPr>
          <w:p>
            <w:pPr>
              <w:spacing w:after="0"/>
              <w:rPr>
                <w:sz w:val="22"/>
                <w:szCs w:val="22"/>
                <w:color w:val="auto"/>
              </w:rPr>
            </w:pPr>
          </w:p>
        </w:tc>
        <w:tc>
          <w:tcPr>
            <w:tcW w:w="420" w:type="dxa"/>
            <w:vAlign w:val="bottom"/>
            <w:tcBorders>
              <w:right w:val="single" w:sz="8" w:color="E93BAC"/>
            </w:tcBorders>
            <w:shd w:val="clear" w:color="auto" w:fill="E93BAC"/>
          </w:tcPr>
          <w:p>
            <w:pPr>
              <w:spacing w:after="0"/>
              <w:rPr>
                <w:sz w:val="22"/>
                <w:szCs w:val="22"/>
                <w:color w:val="auto"/>
              </w:rPr>
            </w:pPr>
          </w:p>
        </w:tc>
        <w:tc>
          <w:tcPr>
            <w:tcW w:w="1200" w:type="dxa"/>
            <w:vAlign w:val="bottom"/>
            <w:tcBorders>
              <w:right w:val="single" w:sz="8" w:color="E93BAC"/>
            </w:tcBorders>
            <w:shd w:val="clear" w:color="auto" w:fill="E93BAC"/>
          </w:tcPr>
          <w:p>
            <w:pPr>
              <w:spacing w:after="0"/>
              <w:rPr>
                <w:sz w:val="22"/>
                <w:szCs w:val="22"/>
                <w:color w:val="auto"/>
              </w:rPr>
            </w:pPr>
          </w:p>
        </w:tc>
        <w:tc>
          <w:tcPr>
            <w:tcW w:w="200" w:type="dxa"/>
            <w:vAlign w:val="bottom"/>
            <w:shd w:val="clear" w:color="auto" w:fill="E93BAC"/>
          </w:tcPr>
          <w:p>
            <w:pPr>
              <w:spacing w:after="0"/>
              <w:rPr>
                <w:sz w:val="22"/>
                <w:szCs w:val="22"/>
                <w:color w:val="auto"/>
              </w:rPr>
            </w:pPr>
          </w:p>
        </w:tc>
        <w:tc>
          <w:tcPr>
            <w:tcW w:w="820" w:type="dxa"/>
            <w:vAlign w:val="bottom"/>
            <w:tcBorders>
              <w:right w:val="single" w:sz="8" w:color="E93BAC"/>
            </w:tcBorders>
            <w:shd w:val="clear" w:color="auto" w:fill="E93BAC"/>
          </w:tcPr>
          <w:p>
            <w:pPr>
              <w:spacing w:after="0"/>
              <w:rPr>
                <w:sz w:val="22"/>
                <w:szCs w:val="22"/>
                <w:color w:val="auto"/>
              </w:rPr>
            </w:pPr>
          </w:p>
        </w:tc>
        <w:tc>
          <w:tcPr>
            <w:tcW w:w="220" w:type="dxa"/>
            <w:vAlign w:val="bottom"/>
            <w:shd w:val="clear" w:color="auto" w:fill="E93BAC"/>
          </w:tcPr>
          <w:p>
            <w:pPr>
              <w:spacing w:after="0"/>
              <w:rPr>
                <w:sz w:val="22"/>
                <w:szCs w:val="22"/>
                <w:color w:val="auto"/>
              </w:rPr>
            </w:pPr>
          </w:p>
        </w:tc>
        <w:tc>
          <w:tcPr>
            <w:tcW w:w="340" w:type="dxa"/>
            <w:vAlign w:val="bottom"/>
            <w:tcBorders>
              <w:right w:val="single" w:sz="8" w:color="E93BAC"/>
            </w:tcBorders>
            <w:shd w:val="clear" w:color="auto" w:fill="E93BAC"/>
          </w:tcPr>
          <w:p>
            <w:pPr>
              <w:spacing w:after="0"/>
              <w:rPr>
                <w:sz w:val="22"/>
                <w:szCs w:val="22"/>
                <w:color w:val="auto"/>
              </w:rPr>
            </w:pPr>
          </w:p>
        </w:tc>
        <w:tc>
          <w:tcPr>
            <w:tcW w:w="560" w:type="dxa"/>
            <w:vAlign w:val="bottom"/>
            <w:tcBorders>
              <w:right w:val="single" w:sz="8" w:color="E93BAC"/>
            </w:tcBorders>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600" w:type="dxa"/>
            <w:vAlign w:val="bottom"/>
            <w:tcBorders>
              <w:left w:val="single" w:sz="8" w:color="E93BAC"/>
              <w:right w:val="single" w:sz="8" w:color="E93BAC"/>
            </w:tcBorders>
            <w:shd w:val="clear" w:color="auto" w:fill="E93BAC"/>
          </w:tcPr>
          <w:p>
            <w:pPr>
              <w:spacing w:after="0"/>
              <w:rPr>
                <w:sz w:val="7"/>
                <w:szCs w:val="7"/>
                <w:color w:val="auto"/>
              </w:rPr>
            </w:pPr>
          </w:p>
        </w:tc>
        <w:tc>
          <w:tcPr>
            <w:tcW w:w="2620" w:type="dxa"/>
            <w:vAlign w:val="bottom"/>
            <w:tcBorders>
              <w:right w:val="single" w:sz="8" w:color="E93BAC"/>
            </w:tcBorders>
            <w:shd w:val="clear" w:color="auto" w:fill="E93BAC"/>
          </w:tcPr>
          <w:p>
            <w:pPr>
              <w:spacing w:after="0"/>
              <w:rPr>
                <w:sz w:val="7"/>
                <w:szCs w:val="7"/>
                <w:color w:val="auto"/>
              </w:rPr>
            </w:pPr>
          </w:p>
        </w:tc>
        <w:tc>
          <w:tcPr>
            <w:tcW w:w="1180" w:type="dxa"/>
            <w:vAlign w:val="bottom"/>
            <w:tcBorders>
              <w:right w:val="single" w:sz="8" w:color="E93BAC"/>
            </w:tcBorders>
            <w:shd w:val="clear" w:color="auto" w:fill="E93BAC"/>
          </w:tcPr>
          <w:p>
            <w:pPr>
              <w:spacing w:after="0"/>
              <w:rPr>
                <w:sz w:val="7"/>
                <w:szCs w:val="7"/>
                <w:color w:val="auto"/>
              </w:rPr>
            </w:pPr>
          </w:p>
        </w:tc>
        <w:tc>
          <w:tcPr>
            <w:tcW w:w="220" w:type="dxa"/>
            <w:vAlign w:val="bottom"/>
            <w:shd w:val="clear" w:color="auto" w:fill="E93BAC"/>
          </w:tcPr>
          <w:p>
            <w:pPr>
              <w:spacing w:after="0"/>
              <w:rPr>
                <w:sz w:val="7"/>
                <w:szCs w:val="7"/>
                <w:color w:val="auto"/>
              </w:rPr>
            </w:pPr>
          </w:p>
        </w:tc>
        <w:tc>
          <w:tcPr>
            <w:tcW w:w="1120" w:type="dxa"/>
            <w:vAlign w:val="bottom"/>
            <w:shd w:val="clear" w:color="auto" w:fill="E93BAC"/>
          </w:tcPr>
          <w:p>
            <w:pPr>
              <w:spacing w:after="0"/>
              <w:rPr>
                <w:sz w:val="7"/>
                <w:szCs w:val="7"/>
                <w:color w:val="auto"/>
              </w:rPr>
            </w:pPr>
          </w:p>
        </w:tc>
        <w:tc>
          <w:tcPr>
            <w:tcW w:w="780" w:type="dxa"/>
            <w:vAlign w:val="bottom"/>
            <w:tcBorders>
              <w:right w:val="single" w:sz="8" w:color="E93BAC"/>
            </w:tcBorders>
            <w:shd w:val="clear" w:color="auto" w:fill="E93BAC"/>
          </w:tcPr>
          <w:p>
            <w:pPr>
              <w:spacing w:after="0"/>
              <w:rPr>
                <w:sz w:val="7"/>
                <w:szCs w:val="7"/>
                <w:color w:val="auto"/>
              </w:rPr>
            </w:pPr>
          </w:p>
        </w:tc>
        <w:tc>
          <w:tcPr>
            <w:tcW w:w="800" w:type="dxa"/>
            <w:vAlign w:val="bottom"/>
            <w:shd w:val="clear" w:color="auto" w:fill="E93BAC"/>
          </w:tcPr>
          <w:p>
            <w:pPr>
              <w:spacing w:after="0"/>
              <w:rPr>
                <w:sz w:val="7"/>
                <w:szCs w:val="7"/>
                <w:color w:val="auto"/>
              </w:rPr>
            </w:pPr>
          </w:p>
        </w:tc>
        <w:tc>
          <w:tcPr>
            <w:tcW w:w="160" w:type="dxa"/>
            <w:vAlign w:val="bottom"/>
            <w:shd w:val="clear" w:color="auto" w:fill="E93BAC"/>
          </w:tcPr>
          <w:p>
            <w:pPr>
              <w:spacing w:after="0"/>
              <w:rPr>
                <w:sz w:val="7"/>
                <w:szCs w:val="7"/>
                <w:color w:val="auto"/>
              </w:rPr>
            </w:pPr>
          </w:p>
        </w:tc>
        <w:tc>
          <w:tcPr>
            <w:tcW w:w="420" w:type="dxa"/>
            <w:vAlign w:val="bottom"/>
            <w:tcBorders>
              <w:right w:val="single" w:sz="8" w:color="E93BAC"/>
            </w:tcBorders>
            <w:shd w:val="clear" w:color="auto" w:fill="E93BAC"/>
          </w:tcPr>
          <w:p>
            <w:pPr>
              <w:spacing w:after="0"/>
              <w:rPr>
                <w:sz w:val="7"/>
                <w:szCs w:val="7"/>
                <w:color w:val="auto"/>
              </w:rPr>
            </w:pPr>
          </w:p>
        </w:tc>
        <w:tc>
          <w:tcPr>
            <w:tcW w:w="1200" w:type="dxa"/>
            <w:vAlign w:val="bottom"/>
            <w:tcBorders>
              <w:right w:val="single" w:sz="8" w:color="E93BAC"/>
            </w:tcBorders>
            <w:shd w:val="clear" w:color="auto" w:fill="E93BAC"/>
          </w:tcPr>
          <w:p>
            <w:pPr>
              <w:spacing w:after="0"/>
              <w:rPr>
                <w:sz w:val="7"/>
                <w:szCs w:val="7"/>
                <w:color w:val="auto"/>
              </w:rPr>
            </w:pPr>
          </w:p>
        </w:tc>
        <w:tc>
          <w:tcPr>
            <w:tcW w:w="200" w:type="dxa"/>
            <w:vAlign w:val="bottom"/>
            <w:shd w:val="clear" w:color="auto" w:fill="E93BAC"/>
          </w:tcPr>
          <w:p>
            <w:pPr>
              <w:spacing w:after="0"/>
              <w:rPr>
                <w:sz w:val="7"/>
                <w:szCs w:val="7"/>
                <w:color w:val="auto"/>
              </w:rPr>
            </w:pPr>
          </w:p>
        </w:tc>
        <w:tc>
          <w:tcPr>
            <w:tcW w:w="820" w:type="dxa"/>
            <w:vAlign w:val="bottom"/>
            <w:tcBorders>
              <w:right w:val="single" w:sz="8" w:color="E93BAC"/>
            </w:tcBorders>
            <w:shd w:val="clear" w:color="auto" w:fill="E93BAC"/>
          </w:tcPr>
          <w:p>
            <w:pPr>
              <w:spacing w:after="0"/>
              <w:rPr>
                <w:sz w:val="7"/>
                <w:szCs w:val="7"/>
                <w:color w:val="auto"/>
              </w:rPr>
            </w:pPr>
          </w:p>
        </w:tc>
        <w:tc>
          <w:tcPr>
            <w:tcW w:w="220" w:type="dxa"/>
            <w:vAlign w:val="bottom"/>
            <w:shd w:val="clear" w:color="auto" w:fill="E93BAC"/>
          </w:tcPr>
          <w:p>
            <w:pPr>
              <w:spacing w:after="0"/>
              <w:rPr>
                <w:sz w:val="7"/>
                <w:szCs w:val="7"/>
                <w:color w:val="auto"/>
              </w:rPr>
            </w:pPr>
          </w:p>
        </w:tc>
        <w:tc>
          <w:tcPr>
            <w:tcW w:w="340" w:type="dxa"/>
            <w:vAlign w:val="bottom"/>
            <w:tcBorders>
              <w:right w:val="single" w:sz="8" w:color="E93BAC"/>
            </w:tcBorders>
            <w:shd w:val="clear" w:color="auto" w:fill="E93BAC"/>
          </w:tcPr>
          <w:p>
            <w:pPr>
              <w:spacing w:after="0"/>
              <w:rPr>
                <w:sz w:val="7"/>
                <w:szCs w:val="7"/>
                <w:color w:val="auto"/>
              </w:rPr>
            </w:pPr>
          </w:p>
        </w:tc>
        <w:tc>
          <w:tcPr>
            <w:tcW w:w="560" w:type="dxa"/>
            <w:vAlign w:val="bottom"/>
            <w:tcBorders>
              <w:right w:val="single" w:sz="8" w:color="E93BAC"/>
            </w:tcBorders>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600" w:type="dxa"/>
            <w:vAlign w:val="bottom"/>
          </w:tcPr>
          <w:p>
            <w:pPr>
              <w:spacing w:after="0"/>
              <w:rPr>
                <w:sz w:val="20"/>
                <w:szCs w:val="20"/>
                <w:color w:val="auto"/>
              </w:rPr>
            </w:pPr>
            <w:r>
              <w:rPr>
                <w:rFonts w:ascii="Calibri" w:cs="Calibri" w:eastAsia="Calibri" w:hAnsi="Calibri"/>
                <w:sz w:val="16"/>
                <w:szCs w:val="16"/>
                <w:b w:val="1"/>
                <w:bCs w:val="1"/>
                <w:color w:val="auto"/>
              </w:rPr>
              <w:t>12.3.</w:t>
            </w:r>
          </w:p>
        </w:tc>
        <w:tc>
          <w:tcPr>
            <w:tcW w:w="2620" w:type="dxa"/>
            <w:vAlign w:val="bottom"/>
          </w:tcPr>
          <w:p>
            <w:pPr>
              <w:ind w:left="20"/>
              <w:spacing w:after="0"/>
              <w:rPr>
                <w:sz w:val="20"/>
                <w:szCs w:val="20"/>
                <w:color w:val="auto"/>
              </w:rPr>
            </w:pPr>
            <w:r>
              <w:rPr>
                <w:rFonts w:ascii="Calibri" w:cs="Calibri" w:eastAsia="Calibri" w:hAnsi="Calibri"/>
                <w:sz w:val="16"/>
                <w:szCs w:val="16"/>
                <w:b w:val="1"/>
                <w:bCs w:val="1"/>
                <w:color w:val="auto"/>
              </w:rPr>
              <w:t>Net Interest Income (NII)</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right"/>
              <w:ind w:right="392"/>
              <w:spacing w:after="0"/>
              <w:rPr>
                <w:sz w:val="20"/>
                <w:szCs w:val="20"/>
                <w:color w:val="auto"/>
              </w:rPr>
            </w:pPr>
            <w:r>
              <w:rPr>
                <w:rFonts w:ascii="Calibri" w:cs="Calibri" w:eastAsia="Calibri" w:hAnsi="Calibri"/>
                <w:sz w:val="16"/>
                <w:szCs w:val="16"/>
                <w:b w:val="1"/>
                <w:bCs w:val="1"/>
                <w:color w:val="auto"/>
              </w:rPr>
              <w:t>NII Summary</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220" w:type="dxa"/>
            <w:vAlign w:val="bottom"/>
            <w:tcBorders>
              <w:left w:val="single" w:sz="8" w:color="auto"/>
              <w:right w:val="single" w:sz="8" w:color="auto"/>
            </w:tcBorders>
            <w:gridSpan w:val="2"/>
            <w:shd w:val="clear" w:color="auto" w:fill="2AD2C9"/>
          </w:tcPr>
          <w:p>
            <w:pPr>
              <w:ind w:left="20"/>
              <w:spacing w:after="0" w:line="142" w:lineRule="exact"/>
              <w:rPr>
                <w:sz w:val="20"/>
                <w:szCs w:val="20"/>
                <w:color w:val="auto"/>
              </w:rPr>
            </w:pPr>
            <w:r>
              <w:rPr>
                <w:rFonts w:ascii="Calibri" w:cs="Calibri" w:eastAsia="Calibri" w:hAnsi="Calibri"/>
                <w:sz w:val="13"/>
                <w:szCs w:val="13"/>
                <w:b w:val="1"/>
                <w:bCs w:val="1"/>
                <w:color w:val="FFFFFF"/>
              </w:rPr>
              <w:t>Net interest income</w:t>
            </w:r>
          </w:p>
        </w:tc>
        <w:tc>
          <w:tcPr>
            <w:tcW w:w="1180" w:type="dxa"/>
            <w:vAlign w:val="bottom"/>
            <w:tcBorders>
              <w:right w:val="single" w:sz="8" w:color="2AD2C9"/>
            </w:tcBorders>
            <w:shd w:val="clear" w:color="auto" w:fill="2AD2C9"/>
          </w:tcPr>
          <w:p>
            <w:pPr>
              <w:spacing w:after="0"/>
              <w:rPr>
                <w:sz w:val="12"/>
                <w:szCs w:val="12"/>
                <w:color w:val="auto"/>
              </w:rPr>
            </w:pPr>
          </w:p>
        </w:tc>
        <w:tc>
          <w:tcPr>
            <w:tcW w:w="220" w:type="dxa"/>
            <w:vAlign w:val="bottom"/>
            <w:shd w:val="clear" w:color="auto" w:fill="2AD2C9"/>
          </w:tcPr>
          <w:p>
            <w:pPr>
              <w:spacing w:after="0"/>
              <w:rPr>
                <w:sz w:val="12"/>
                <w:szCs w:val="12"/>
                <w:color w:val="auto"/>
              </w:rPr>
            </w:pPr>
          </w:p>
        </w:tc>
        <w:tc>
          <w:tcPr>
            <w:tcW w:w="1120" w:type="dxa"/>
            <w:vAlign w:val="bottom"/>
            <w:shd w:val="clear" w:color="auto" w:fill="2AD2C9"/>
          </w:tcPr>
          <w:p>
            <w:pPr>
              <w:jc w:val="right"/>
              <w:ind w:right="611"/>
              <w:spacing w:after="0" w:line="142" w:lineRule="exact"/>
              <w:rPr>
                <w:sz w:val="20"/>
                <w:szCs w:val="20"/>
                <w:color w:val="auto"/>
              </w:rPr>
            </w:pPr>
            <w:r>
              <w:rPr>
                <w:rFonts w:ascii="Calibri" w:cs="Calibri" w:eastAsia="Calibri" w:hAnsi="Calibri"/>
                <w:sz w:val="13"/>
                <w:szCs w:val="13"/>
                <w:b w:val="1"/>
                <w:bCs w:val="1"/>
                <w:color w:val="FFFFFF"/>
                <w:w w:val="98"/>
              </w:rPr>
              <w:t>Quarter</w:t>
            </w:r>
          </w:p>
        </w:tc>
        <w:tc>
          <w:tcPr>
            <w:tcW w:w="780" w:type="dxa"/>
            <w:vAlign w:val="bottom"/>
            <w:tcBorders>
              <w:right w:val="single" w:sz="8" w:color="auto"/>
            </w:tcBorders>
            <w:shd w:val="clear" w:color="auto" w:fill="2AD2C9"/>
          </w:tcPr>
          <w:p>
            <w:pPr>
              <w:spacing w:after="0"/>
              <w:rPr>
                <w:sz w:val="12"/>
                <w:szCs w:val="12"/>
                <w:color w:val="auto"/>
              </w:rPr>
            </w:pPr>
          </w:p>
        </w:tc>
        <w:tc>
          <w:tcPr>
            <w:tcW w:w="960" w:type="dxa"/>
            <w:vAlign w:val="bottom"/>
            <w:gridSpan w:val="2"/>
            <w:shd w:val="clear" w:color="auto" w:fill="2AD2C9"/>
          </w:tcPr>
          <w:p>
            <w:pPr>
              <w:ind w:left="440"/>
              <w:spacing w:after="0" w:line="142" w:lineRule="exact"/>
              <w:rPr>
                <w:sz w:val="20"/>
                <w:szCs w:val="20"/>
                <w:color w:val="auto"/>
              </w:rPr>
            </w:pPr>
            <w:r>
              <w:rPr>
                <w:rFonts w:ascii="Calibri" w:cs="Calibri" w:eastAsia="Calibri" w:hAnsi="Calibri"/>
                <w:sz w:val="13"/>
                <w:szCs w:val="13"/>
                <w:b w:val="1"/>
                <w:bCs w:val="1"/>
                <w:color w:val="FFFFFF"/>
                <w:w w:val="98"/>
              </w:rPr>
              <w:t>% change</w:t>
            </w:r>
          </w:p>
        </w:tc>
        <w:tc>
          <w:tcPr>
            <w:tcW w:w="420" w:type="dxa"/>
            <w:vAlign w:val="bottom"/>
            <w:tcBorders>
              <w:right w:val="single" w:sz="8" w:color="auto"/>
            </w:tcBorders>
            <w:shd w:val="clear" w:color="auto" w:fill="2AD2C9"/>
          </w:tcPr>
          <w:p>
            <w:pPr>
              <w:spacing w:after="0"/>
              <w:rPr>
                <w:sz w:val="12"/>
                <w:szCs w:val="12"/>
                <w:color w:val="auto"/>
              </w:rPr>
            </w:pPr>
          </w:p>
        </w:tc>
        <w:tc>
          <w:tcPr>
            <w:tcW w:w="1400" w:type="dxa"/>
            <w:vAlign w:val="bottom"/>
            <w:gridSpan w:val="2"/>
            <w:shd w:val="clear" w:color="auto" w:fill="2AD2C9"/>
          </w:tcPr>
          <w:p>
            <w:pPr>
              <w:ind w:left="960"/>
              <w:spacing w:after="0" w:line="142" w:lineRule="exact"/>
              <w:rPr>
                <w:sz w:val="20"/>
                <w:szCs w:val="20"/>
                <w:color w:val="auto"/>
              </w:rPr>
            </w:pPr>
            <w:r>
              <w:rPr>
                <w:rFonts w:ascii="Calibri" w:cs="Calibri" w:eastAsia="Calibri" w:hAnsi="Calibri"/>
                <w:sz w:val="13"/>
                <w:szCs w:val="13"/>
                <w:b w:val="1"/>
                <w:bCs w:val="1"/>
                <w:color w:val="FFFFFF"/>
              </w:rPr>
              <w:t>Up to</w:t>
            </w:r>
          </w:p>
        </w:tc>
        <w:tc>
          <w:tcPr>
            <w:tcW w:w="820" w:type="dxa"/>
            <w:vAlign w:val="bottom"/>
            <w:tcBorders>
              <w:right w:val="single" w:sz="8" w:color="auto"/>
            </w:tcBorders>
            <w:shd w:val="clear" w:color="auto" w:fill="2AD2C9"/>
          </w:tcPr>
          <w:p>
            <w:pPr>
              <w:spacing w:after="0"/>
              <w:rPr>
                <w:sz w:val="12"/>
                <w:szCs w:val="12"/>
                <w:color w:val="auto"/>
              </w:rPr>
            </w:pPr>
          </w:p>
        </w:tc>
        <w:tc>
          <w:tcPr>
            <w:tcW w:w="220" w:type="dxa"/>
            <w:vAlign w:val="bottom"/>
            <w:shd w:val="clear" w:color="auto" w:fill="2AD2C9"/>
          </w:tcPr>
          <w:p>
            <w:pPr>
              <w:spacing w:after="0"/>
              <w:rPr>
                <w:sz w:val="12"/>
                <w:szCs w:val="12"/>
                <w:color w:val="auto"/>
              </w:rPr>
            </w:pPr>
          </w:p>
        </w:tc>
        <w:tc>
          <w:tcPr>
            <w:tcW w:w="900" w:type="dxa"/>
            <w:vAlign w:val="bottom"/>
            <w:tcBorders>
              <w:right w:val="single" w:sz="8" w:color="auto"/>
            </w:tcBorders>
            <w:gridSpan w:val="2"/>
            <w:shd w:val="clear" w:color="auto" w:fill="2AD2C9"/>
          </w:tcPr>
          <w:p>
            <w:pPr>
              <w:jc w:val="right"/>
              <w:ind w:right="257"/>
              <w:spacing w:after="0" w:line="142" w:lineRule="exact"/>
              <w:rPr>
                <w:sz w:val="20"/>
                <w:szCs w:val="20"/>
                <w:color w:val="auto"/>
              </w:rPr>
            </w:pPr>
            <w:r>
              <w:rPr>
                <w:rFonts w:ascii="Calibri" w:cs="Calibri" w:eastAsia="Calibri" w:hAnsi="Calibri"/>
                <w:sz w:val="13"/>
                <w:szCs w:val="13"/>
                <w:b w:val="1"/>
                <w:bCs w:val="1"/>
                <w:color w:val="FFFFFF"/>
              </w:rPr>
              <w:t>% change</w:t>
            </w:r>
          </w:p>
        </w:tc>
        <w:tc>
          <w:tcPr>
            <w:tcW w:w="0" w:type="dxa"/>
            <w:vAlign w:val="bottom"/>
          </w:tcPr>
          <w:p>
            <w:pPr>
              <w:spacing w:after="0"/>
              <w:rPr>
                <w:sz w:val="1"/>
                <w:szCs w:val="1"/>
                <w:color w:val="auto"/>
              </w:rPr>
            </w:pPr>
          </w:p>
        </w:tc>
      </w:tr>
      <w:tr>
        <w:trPr>
          <w:trHeight w:val="149"/>
        </w:trPr>
        <w:tc>
          <w:tcPr>
            <w:tcW w:w="600" w:type="dxa"/>
            <w:vAlign w:val="bottom"/>
            <w:tcBorders>
              <w:left w:val="single" w:sz="8" w:color="auto"/>
              <w:right w:val="single" w:sz="8" w:color="2AD2C9"/>
            </w:tcBorders>
            <w:shd w:val="clear" w:color="auto" w:fill="2AD2C9"/>
          </w:tcPr>
          <w:p>
            <w:pPr>
              <w:ind w:left="20"/>
              <w:spacing w:after="0" w:line="149" w:lineRule="exact"/>
              <w:rPr>
                <w:sz w:val="20"/>
                <w:szCs w:val="20"/>
                <w:color w:val="auto"/>
              </w:rPr>
            </w:pPr>
            <w:r>
              <w:rPr>
                <w:rFonts w:ascii="Calibri" w:cs="Calibri" w:eastAsia="Calibri" w:hAnsi="Calibri"/>
                <w:sz w:val="13"/>
                <w:szCs w:val="13"/>
                <w:b w:val="1"/>
                <w:bCs w:val="1"/>
                <w:color w:val="FFFFFF"/>
              </w:rPr>
              <w:t>S/ 000</w:t>
            </w:r>
          </w:p>
        </w:tc>
        <w:tc>
          <w:tcPr>
            <w:tcW w:w="2620" w:type="dxa"/>
            <w:vAlign w:val="bottom"/>
            <w:tcBorders>
              <w:right w:val="single" w:sz="8" w:color="auto"/>
            </w:tcBorders>
            <w:shd w:val="clear" w:color="auto" w:fill="2AD2C9"/>
          </w:tcPr>
          <w:p>
            <w:pPr>
              <w:spacing w:after="0"/>
              <w:rPr>
                <w:sz w:val="12"/>
                <w:szCs w:val="12"/>
                <w:color w:val="auto"/>
              </w:rPr>
            </w:pPr>
          </w:p>
        </w:tc>
        <w:tc>
          <w:tcPr>
            <w:tcW w:w="1400" w:type="dxa"/>
            <w:vAlign w:val="bottom"/>
            <w:gridSpan w:val="2"/>
            <w:shd w:val="clear" w:color="auto" w:fill="2AD2C9"/>
          </w:tcPr>
          <w:p>
            <w:pPr>
              <w:jc w:val="right"/>
              <w:ind w:right="320"/>
              <w:spacing w:after="0" w:line="149" w:lineRule="exact"/>
              <w:rPr>
                <w:sz w:val="20"/>
                <w:szCs w:val="20"/>
                <w:color w:val="auto"/>
              </w:rPr>
            </w:pPr>
            <w:r>
              <w:rPr>
                <w:rFonts w:ascii="Calibri" w:cs="Calibri" w:eastAsia="Calibri" w:hAnsi="Calibri"/>
                <w:sz w:val="13"/>
                <w:szCs w:val="13"/>
                <w:b w:val="1"/>
                <w:bCs w:val="1"/>
                <w:color w:val="FFFFFF"/>
              </w:rPr>
              <w:t>3Q23</w:t>
            </w:r>
          </w:p>
        </w:tc>
        <w:tc>
          <w:tcPr>
            <w:tcW w:w="1120" w:type="dxa"/>
            <w:vAlign w:val="bottom"/>
            <w:shd w:val="clear" w:color="auto" w:fill="2AD2C9"/>
          </w:tcPr>
          <w:p>
            <w:pPr>
              <w:jc w:val="right"/>
              <w:ind w:right="271"/>
              <w:spacing w:after="0" w:line="149" w:lineRule="exact"/>
              <w:rPr>
                <w:sz w:val="20"/>
                <w:szCs w:val="20"/>
                <w:color w:val="auto"/>
              </w:rPr>
            </w:pPr>
            <w:r>
              <w:rPr>
                <w:rFonts w:ascii="Calibri" w:cs="Calibri" w:eastAsia="Calibri" w:hAnsi="Calibri"/>
                <w:sz w:val="13"/>
                <w:szCs w:val="13"/>
                <w:b w:val="1"/>
                <w:bCs w:val="1"/>
                <w:color w:val="FFFFFF"/>
              </w:rPr>
              <w:t>2Q24</w:t>
            </w:r>
          </w:p>
        </w:tc>
        <w:tc>
          <w:tcPr>
            <w:tcW w:w="780" w:type="dxa"/>
            <w:vAlign w:val="bottom"/>
            <w:tcBorders>
              <w:right w:val="single" w:sz="8" w:color="auto"/>
            </w:tcBorders>
            <w:shd w:val="clear" w:color="auto" w:fill="2AD2C9"/>
          </w:tcPr>
          <w:p>
            <w:pPr>
              <w:jc w:val="right"/>
              <w:spacing w:after="0" w:line="149" w:lineRule="exact"/>
              <w:rPr>
                <w:sz w:val="20"/>
                <w:szCs w:val="20"/>
                <w:color w:val="auto"/>
              </w:rPr>
            </w:pPr>
            <w:r>
              <w:rPr>
                <w:rFonts w:ascii="Calibri" w:cs="Calibri" w:eastAsia="Calibri" w:hAnsi="Calibri"/>
                <w:sz w:val="13"/>
                <w:szCs w:val="13"/>
                <w:b w:val="1"/>
                <w:bCs w:val="1"/>
                <w:color w:val="FFFFFF"/>
              </w:rPr>
              <w:t>3Q24</w:t>
            </w:r>
          </w:p>
        </w:tc>
        <w:tc>
          <w:tcPr>
            <w:tcW w:w="800" w:type="dxa"/>
            <w:vAlign w:val="bottom"/>
            <w:shd w:val="clear" w:color="auto" w:fill="2AD2C9"/>
          </w:tcPr>
          <w:p>
            <w:pPr>
              <w:jc w:val="right"/>
              <w:ind w:right="57"/>
              <w:spacing w:after="0" w:line="149" w:lineRule="exact"/>
              <w:rPr>
                <w:sz w:val="20"/>
                <w:szCs w:val="20"/>
                <w:color w:val="auto"/>
              </w:rPr>
            </w:pPr>
            <w:r>
              <w:rPr>
                <w:rFonts w:ascii="Calibri" w:cs="Calibri" w:eastAsia="Calibri" w:hAnsi="Calibri"/>
                <w:sz w:val="13"/>
                <w:szCs w:val="13"/>
                <w:b w:val="1"/>
                <w:bCs w:val="1"/>
                <w:color w:val="FFFFFF"/>
              </w:rPr>
              <w:t>QoQ</w:t>
            </w:r>
          </w:p>
        </w:tc>
        <w:tc>
          <w:tcPr>
            <w:tcW w:w="160" w:type="dxa"/>
            <w:vAlign w:val="bottom"/>
            <w:shd w:val="clear" w:color="auto" w:fill="2AD2C9"/>
          </w:tcPr>
          <w:p>
            <w:pPr>
              <w:spacing w:after="0"/>
              <w:rPr>
                <w:sz w:val="12"/>
                <w:szCs w:val="12"/>
                <w:color w:val="auto"/>
              </w:rPr>
            </w:pPr>
          </w:p>
        </w:tc>
        <w:tc>
          <w:tcPr>
            <w:tcW w:w="420" w:type="dxa"/>
            <w:vAlign w:val="bottom"/>
            <w:tcBorders>
              <w:right w:val="single" w:sz="8" w:color="auto"/>
            </w:tcBorders>
            <w:shd w:val="clear" w:color="auto" w:fill="2AD2C9"/>
          </w:tcPr>
          <w:p>
            <w:pPr>
              <w:jc w:val="right"/>
              <w:spacing w:after="0" w:line="149" w:lineRule="exact"/>
              <w:rPr>
                <w:sz w:val="20"/>
                <w:szCs w:val="20"/>
                <w:color w:val="auto"/>
              </w:rPr>
            </w:pPr>
            <w:r>
              <w:rPr>
                <w:rFonts w:ascii="Calibri" w:cs="Calibri" w:eastAsia="Calibri" w:hAnsi="Calibri"/>
                <w:sz w:val="13"/>
                <w:szCs w:val="13"/>
                <w:b w:val="1"/>
                <w:bCs w:val="1"/>
                <w:color w:val="FFFFFF"/>
              </w:rPr>
              <w:t>YoY</w:t>
            </w:r>
          </w:p>
        </w:tc>
        <w:tc>
          <w:tcPr>
            <w:tcW w:w="1400" w:type="dxa"/>
            <w:vAlign w:val="bottom"/>
            <w:gridSpan w:val="2"/>
            <w:shd w:val="clear" w:color="auto" w:fill="2AD2C9"/>
          </w:tcPr>
          <w:p>
            <w:pPr>
              <w:ind w:left="740"/>
              <w:spacing w:after="0" w:line="149" w:lineRule="exact"/>
              <w:rPr>
                <w:sz w:val="20"/>
                <w:szCs w:val="20"/>
                <w:color w:val="auto"/>
              </w:rPr>
            </w:pPr>
            <w:r>
              <w:rPr>
                <w:rFonts w:ascii="Calibri" w:cs="Calibri" w:eastAsia="Calibri" w:hAnsi="Calibri"/>
                <w:sz w:val="13"/>
                <w:szCs w:val="13"/>
                <w:b w:val="1"/>
                <w:bCs w:val="1"/>
                <w:color w:val="FFFFFF"/>
              </w:rPr>
              <w:t>Sep 23</w:t>
            </w:r>
          </w:p>
        </w:tc>
        <w:tc>
          <w:tcPr>
            <w:tcW w:w="820" w:type="dxa"/>
            <w:vAlign w:val="bottom"/>
            <w:tcBorders>
              <w:right w:val="single" w:sz="8" w:color="auto"/>
            </w:tcBorders>
            <w:shd w:val="clear" w:color="auto" w:fill="2AD2C9"/>
          </w:tcPr>
          <w:p>
            <w:pPr>
              <w:jc w:val="right"/>
              <w:spacing w:after="0" w:line="149" w:lineRule="exact"/>
              <w:rPr>
                <w:sz w:val="20"/>
                <w:szCs w:val="20"/>
                <w:color w:val="auto"/>
              </w:rPr>
            </w:pPr>
            <w:r>
              <w:rPr>
                <w:rFonts w:ascii="Calibri" w:cs="Calibri" w:eastAsia="Calibri" w:hAnsi="Calibri"/>
                <w:sz w:val="13"/>
                <w:szCs w:val="13"/>
                <w:b w:val="1"/>
                <w:bCs w:val="1"/>
                <w:color w:val="FFFFFF"/>
              </w:rPr>
              <w:t>Sep 24</w:t>
            </w:r>
          </w:p>
        </w:tc>
        <w:tc>
          <w:tcPr>
            <w:tcW w:w="220" w:type="dxa"/>
            <w:vAlign w:val="bottom"/>
            <w:shd w:val="clear" w:color="auto" w:fill="2AD2C9"/>
          </w:tcPr>
          <w:p>
            <w:pPr>
              <w:spacing w:after="0"/>
              <w:rPr>
                <w:sz w:val="12"/>
                <w:szCs w:val="12"/>
                <w:color w:val="auto"/>
              </w:rPr>
            </w:pPr>
          </w:p>
        </w:tc>
        <w:tc>
          <w:tcPr>
            <w:tcW w:w="900" w:type="dxa"/>
            <w:vAlign w:val="bottom"/>
            <w:tcBorders>
              <w:right w:val="single" w:sz="8" w:color="auto"/>
            </w:tcBorders>
            <w:gridSpan w:val="2"/>
            <w:shd w:val="clear" w:color="auto" w:fill="2AD2C9"/>
          </w:tcPr>
          <w:p>
            <w:pPr>
              <w:jc w:val="right"/>
              <w:spacing w:after="0" w:line="149" w:lineRule="exact"/>
              <w:rPr>
                <w:sz w:val="20"/>
                <w:szCs w:val="20"/>
                <w:color w:val="auto"/>
              </w:rPr>
            </w:pPr>
            <w:r>
              <w:rPr>
                <w:rFonts w:ascii="Calibri" w:cs="Calibri" w:eastAsia="Calibri" w:hAnsi="Calibri"/>
                <w:sz w:val="13"/>
                <w:szCs w:val="13"/>
                <w:b w:val="1"/>
                <w:bCs w:val="1"/>
                <w:color w:val="FFFFFF"/>
              </w:rPr>
              <w:t>Sep 24 / Sep 23</w:t>
            </w:r>
          </w:p>
        </w:tc>
        <w:tc>
          <w:tcPr>
            <w:tcW w:w="0" w:type="dxa"/>
            <w:vAlign w:val="bottom"/>
          </w:tcPr>
          <w:p>
            <w:pPr>
              <w:spacing w:after="0"/>
              <w:rPr>
                <w:sz w:val="1"/>
                <w:szCs w:val="1"/>
                <w:color w:val="auto"/>
              </w:rPr>
            </w:pPr>
          </w:p>
        </w:tc>
      </w:tr>
      <w:tr>
        <w:trPr>
          <w:trHeight w:val="138"/>
        </w:trPr>
        <w:tc>
          <w:tcPr>
            <w:tcW w:w="3220" w:type="dxa"/>
            <w:vAlign w:val="bottom"/>
            <w:tcBorders>
              <w:left w:val="single" w:sz="8" w:color="auto"/>
              <w:right w:val="single" w:sz="8" w:color="auto"/>
            </w:tcBorders>
            <w:gridSpan w:val="2"/>
          </w:tcPr>
          <w:p>
            <w:pPr>
              <w:ind w:left="20"/>
              <w:spacing w:after="0" w:line="138" w:lineRule="exact"/>
              <w:rPr>
                <w:sz w:val="20"/>
                <w:szCs w:val="20"/>
                <w:color w:val="auto"/>
              </w:rPr>
            </w:pPr>
            <w:r>
              <w:rPr>
                <w:rFonts w:ascii="Calibri" w:cs="Calibri" w:eastAsia="Calibri" w:hAnsi="Calibri"/>
                <w:sz w:val="13"/>
                <w:szCs w:val="13"/>
                <w:b w:val="1"/>
                <w:bCs w:val="1"/>
                <w:color w:val="auto"/>
              </w:rPr>
              <w:t>Interest income</w:t>
            </w:r>
          </w:p>
        </w:tc>
        <w:tc>
          <w:tcPr>
            <w:tcW w:w="1180" w:type="dxa"/>
            <w:vAlign w:val="bottom"/>
          </w:tcPr>
          <w:p>
            <w:pPr>
              <w:jc w:val="right"/>
              <w:ind w:right="37"/>
              <w:spacing w:after="0" w:line="138" w:lineRule="exact"/>
              <w:rPr>
                <w:sz w:val="20"/>
                <w:szCs w:val="20"/>
                <w:color w:val="auto"/>
              </w:rPr>
            </w:pPr>
            <w:r>
              <w:rPr>
                <w:rFonts w:ascii="Calibri" w:cs="Calibri" w:eastAsia="Calibri" w:hAnsi="Calibri"/>
                <w:sz w:val="13"/>
                <w:szCs w:val="13"/>
                <w:b w:val="1"/>
                <w:bCs w:val="1"/>
                <w:color w:val="auto"/>
              </w:rPr>
              <w:t>4,819,101</w:t>
            </w:r>
          </w:p>
        </w:tc>
        <w:tc>
          <w:tcPr>
            <w:tcW w:w="220" w:type="dxa"/>
            <w:vAlign w:val="bottom"/>
          </w:tcPr>
          <w:p>
            <w:pPr>
              <w:spacing w:after="0"/>
              <w:rPr>
                <w:sz w:val="12"/>
                <w:szCs w:val="12"/>
                <w:color w:val="auto"/>
              </w:rPr>
            </w:pPr>
          </w:p>
        </w:tc>
        <w:tc>
          <w:tcPr>
            <w:tcW w:w="1120" w:type="dxa"/>
            <w:vAlign w:val="bottom"/>
          </w:tcPr>
          <w:p>
            <w:pPr>
              <w:jc w:val="right"/>
              <w:ind w:right="271"/>
              <w:spacing w:after="0" w:line="138" w:lineRule="exact"/>
              <w:rPr>
                <w:sz w:val="20"/>
                <w:szCs w:val="20"/>
                <w:color w:val="auto"/>
              </w:rPr>
            </w:pPr>
            <w:r>
              <w:rPr>
                <w:rFonts w:ascii="Calibri" w:cs="Calibri" w:eastAsia="Calibri" w:hAnsi="Calibri"/>
                <w:sz w:val="13"/>
                <w:szCs w:val="13"/>
                <w:b w:val="1"/>
                <w:bCs w:val="1"/>
                <w:color w:val="auto"/>
              </w:rPr>
              <w:t>4,935,238</w:t>
            </w:r>
          </w:p>
        </w:tc>
        <w:tc>
          <w:tcPr>
            <w:tcW w:w="780" w:type="dxa"/>
            <w:vAlign w:val="bottom"/>
            <w:tcBorders>
              <w:right w:val="single" w:sz="8" w:color="auto"/>
            </w:tcBorders>
          </w:tcPr>
          <w:p>
            <w:pPr>
              <w:jc w:val="right"/>
              <w:spacing w:after="0" w:line="138" w:lineRule="exact"/>
              <w:rPr>
                <w:sz w:val="20"/>
                <w:szCs w:val="20"/>
                <w:color w:val="auto"/>
              </w:rPr>
            </w:pPr>
            <w:r>
              <w:rPr>
                <w:rFonts w:ascii="Calibri" w:cs="Calibri" w:eastAsia="Calibri" w:hAnsi="Calibri"/>
                <w:sz w:val="13"/>
                <w:szCs w:val="13"/>
                <w:b w:val="1"/>
                <w:bCs w:val="1"/>
                <w:color w:val="auto"/>
              </w:rPr>
              <w:t>4,995,971</w:t>
            </w:r>
          </w:p>
        </w:tc>
        <w:tc>
          <w:tcPr>
            <w:tcW w:w="800" w:type="dxa"/>
            <w:vAlign w:val="bottom"/>
          </w:tcPr>
          <w:p>
            <w:pPr>
              <w:jc w:val="right"/>
              <w:ind w:right="57"/>
              <w:spacing w:after="0" w:line="138" w:lineRule="exact"/>
              <w:rPr>
                <w:sz w:val="20"/>
                <w:szCs w:val="20"/>
                <w:color w:val="auto"/>
              </w:rPr>
            </w:pPr>
            <w:r>
              <w:rPr>
                <w:rFonts w:ascii="Calibri" w:cs="Calibri" w:eastAsia="Calibri" w:hAnsi="Calibri"/>
                <w:sz w:val="13"/>
                <w:szCs w:val="13"/>
                <w:b w:val="1"/>
                <w:bCs w:val="1"/>
                <w:color w:val="auto"/>
              </w:rPr>
              <w:t>1.2%</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38" w:lineRule="exact"/>
              <w:rPr>
                <w:sz w:val="20"/>
                <w:szCs w:val="20"/>
                <w:color w:val="auto"/>
              </w:rPr>
            </w:pPr>
            <w:r>
              <w:rPr>
                <w:rFonts w:ascii="Calibri" w:cs="Calibri" w:eastAsia="Calibri" w:hAnsi="Calibri"/>
                <w:sz w:val="13"/>
                <w:szCs w:val="13"/>
                <w:b w:val="1"/>
                <w:bCs w:val="1"/>
                <w:color w:val="auto"/>
              </w:rPr>
              <w:t>3.7%</w:t>
            </w:r>
          </w:p>
        </w:tc>
        <w:tc>
          <w:tcPr>
            <w:tcW w:w="1200" w:type="dxa"/>
            <w:vAlign w:val="bottom"/>
          </w:tcPr>
          <w:p>
            <w:pPr>
              <w:jc w:val="right"/>
              <w:ind w:right="53"/>
              <w:spacing w:after="0" w:line="138" w:lineRule="exact"/>
              <w:rPr>
                <w:sz w:val="20"/>
                <w:szCs w:val="20"/>
                <w:color w:val="auto"/>
              </w:rPr>
            </w:pPr>
            <w:r>
              <w:rPr>
                <w:rFonts w:ascii="Calibri" w:cs="Calibri" w:eastAsia="Calibri" w:hAnsi="Calibri"/>
                <w:sz w:val="13"/>
                <w:szCs w:val="13"/>
                <w:b w:val="1"/>
                <w:bCs w:val="1"/>
                <w:color w:val="auto"/>
              </w:rPr>
              <w:t>13,928,453</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38" w:lineRule="exact"/>
              <w:rPr>
                <w:sz w:val="20"/>
                <w:szCs w:val="20"/>
                <w:color w:val="auto"/>
              </w:rPr>
            </w:pPr>
            <w:r>
              <w:rPr>
                <w:rFonts w:ascii="Calibri" w:cs="Calibri" w:eastAsia="Calibri" w:hAnsi="Calibri"/>
                <w:sz w:val="13"/>
                <w:szCs w:val="13"/>
                <w:b w:val="1"/>
                <w:bCs w:val="1"/>
                <w:color w:val="auto"/>
              </w:rPr>
              <w:t>14,857,135</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38" w:lineRule="exact"/>
              <w:rPr>
                <w:sz w:val="20"/>
                <w:szCs w:val="20"/>
                <w:color w:val="auto"/>
              </w:rPr>
            </w:pPr>
            <w:r>
              <w:rPr>
                <w:rFonts w:ascii="Calibri" w:cs="Calibri" w:eastAsia="Calibri" w:hAnsi="Calibri"/>
                <w:sz w:val="13"/>
                <w:szCs w:val="13"/>
                <w:b w:val="1"/>
                <w:bCs w:val="1"/>
                <w:color w:val="auto"/>
              </w:rPr>
              <w:t>6.7%</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Interest on loans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3,853,361</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3,921,374</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3,924,222</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0.1%</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1.8%</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11,137,158</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11,714,388</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5.2%</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Dividends on investments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10,464</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10,136</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13,187</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30.1%</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26.0%</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34,433</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34,184</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-0.7%</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Interest on deposits with banks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289,934</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319,829</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365,361</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14.2%</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26.0%</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853,764</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1,019,649</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19.4%</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Interest on securites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641,370</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657,897</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667,195</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1.4%</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4.0%</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1,845,590</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2,008,167</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8.8%</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Other interest income</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23,972</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26,002</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26,006</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0.0%</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8.5%</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57,508</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80,747</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40.4%</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20"/>
              <w:spacing w:after="0" w:line="149" w:lineRule="exact"/>
              <w:rPr>
                <w:sz w:val="20"/>
                <w:szCs w:val="20"/>
                <w:color w:val="auto"/>
              </w:rPr>
            </w:pPr>
            <w:r>
              <w:rPr>
                <w:rFonts w:ascii="Calibri" w:cs="Calibri" w:eastAsia="Calibri" w:hAnsi="Calibri"/>
                <w:sz w:val="13"/>
                <w:szCs w:val="13"/>
                <w:b w:val="1"/>
                <w:bCs w:val="1"/>
                <w:color w:val="auto"/>
              </w:rPr>
              <w:t>Interest expense</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b w:val="1"/>
                <w:bCs w:val="1"/>
                <w:color w:val="auto"/>
              </w:rPr>
              <w:t>1,565,058</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b w:val="1"/>
                <w:bCs w:val="1"/>
                <w:color w:val="auto"/>
              </w:rPr>
              <w:t>1,466,774</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1,405,221</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-4.2%</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-10.2%</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b w:val="1"/>
                <w:bCs w:val="1"/>
                <w:color w:val="auto"/>
              </w:rPr>
              <w:t>4,338,165</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4,371,798</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0.8%</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20"/>
              <w:spacing w:after="0" w:line="149" w:lineRule="exact"/>
              <w:rPr>
                <w:sz w:val="20"/>
                <w:szCs w:val="20"/>
                <w:color w:val="auto"/>
              </w:rPr>
            </w:pPr>
            <w:r>
              <w:rPr>
                <w:rFonts w:ascii="Calibri" w:cs="Calibri" w:eastAsia="Calibri" w:hAnsi="Calibri"/>
                <w:sz w:val="13"/>
                <w:szCs w:val="13"/>
                <w:b w:val="1"/>
                <w:bCs w:val="1"/>
                <w:color w:val="auto"/>
              </w:rPr>
              <w:t>Interest expense (excluding Net Insurance Financial</w:t>
            </w:r>
          </w:p>
        </w:tc>
        <w:tc>
          <w:tcPr>
            <w:tcW w:w="1180" w:type="dxa"/>
            <w:vAlign w:val="bottom"/>
            <w:vMerge w:val="restart"/>
          </w:tcPr>
          <w:p>
            <w:pPr>
              <w:jc w:val="right"/>
              <w:ind w:right="37"/>
              <w:spacing w:after="0"/>
              <w:rPr>
                <w:sz w:val="20"/>
                <w:szCs w:val="20"/>
                <w:color w:val="auto"/>
              </w:rPr>
            </w:pPr>
            <w:r>
              <w:rPr>
                <w:rFonts w:ascii="Calibri" w:cs="Calibri" w:eastAsia="Calibri" w:hAnsi="Calibri"/>
                <w:sz w:val="13"/>
                <w:szCs w:val="13"/>
                <w:b w:val="1"/>
                <w:bCs w:val="1"/>
                <w:color w:val="auto"/>
              </w:rPr>
              <w:t>1,448,593</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Calibri" w:cs="Calibri" w:eastAsia="Calibri" w:hAnsi="Calibri"/>
                <w:sz w:val="13"/>
                <w:szCs w:val="13"/>
                <w:b w:val="1"/>
                <w:bCs w:val="1"/>
                <w:color w:val="auto"/>
              </w:rPr>
              <w:t>1,342,088</w:t>
            </w:r>
          </w:p>
        </w:tc>
        <w:tc>
          <w:tcPr>
            <w:tcW w:w="7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b w:val="1"/>
                <w:bCs w:val="1"/>
                <w:color w:val="auto"/>
              </w:rPr>
              <w:t>1,276,643</w:t>
            </w:r>
          </w:p>
        </w:tc>
        <w:tc>
          <w:tcPr>
            <w:tcW w:w="800" w:type="dxa"/>
            <w:vAlign w:val="bottom"/>
            <w:vMerge w:val="restart"/>
          </w:tcPr>
          <w:p>
            <w:pPr>
              <w:jc w:val="right"/>
              <w:ind w:right="57"/>
              <w:spacing w:after="0"/>
              <w:rPr>
                <w:sz w:val="20"/>
                <w:szCs w:val="20"/>
                <w:color w:val="auto"/>
              </w:rPr>
            </w:pPr>
            <w:r>
              <w:rPr>
                <w:rFonts w:ascii="Calibri" w:cs="Calibri" w:eastAsia="Calibri" w:hAnsi="Calibri"/>
                <w:sz w:val="13"/>
                <w:szCs w:val="13"/>
                <w:b w:val="1"/>
                <w:bCs w:val="1"/>
                <w:color w:val="auto"/>
              </w:rPr>
              <w:t>-4.9%</w:t>
            </w:r>
          </w:p>
        </w:tc>
        <w:tc>
          <w:tcPr>
            <w:tcW w:w="160" w:type="dxa"/>
            <w:vAlign w:val="bottom"/>
          </w:tcPr>
          <w:p>
            <w:pPr>
              <w:spacing w:after="0"/>
              <w:rPr>
                <w:sz w:val="12"/>
                <w:szCs w:val="12"/>
                <w:color w:val="auto"/>
              </w:rPr>
            </w:pPr>
          </w:p>
        </w:tc>
        <w:tc>
          <w:tcPr>
            <w:tcW w:w="42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b w:val="1"/>
                <w:bCs w:val="1"/>
                <w:color w:val="auto"/>
              </w:rPr>
              <w:t>-11.9%</w:t>
            </w:r>
          </w:p>
        </w:tc>
        <w:tc>
          <w:tcPr>
            <w:tcW w:w="1200" w:type="dxa"/>
            <w:vAlign w:val="bottom"/>
            <w:vMerge w:val="restart"/>
          </w:tcPr>
          <w:p>
            <w:pPr>
              <w:jc w:val="right"/>
              <w:ind w:right="53"/>
              <w:spacing w:after="0"/>
              <w:rPr>
                <w:sz w:val="20"/>
                <w:szCs w:val="20"/>
                <w:color w:val="auto"/>
              </w:rPr>
            </w:pPr>
            <w:r>
              <w:rPr>
                <w:rFonts w:ascii="Calibri" w:cs="Calibri" w:eastAsia="Calibri" w:hAnsi="Calibri"/>
                <w:sz w:val="13"/>
                <w:szCs w:val="13"/>
                <w:b w:val="1"/>
                <w:bCs w:val="1"/>
                <w:color w:val="auto"/>
              </w:rPr>
              <w:t>3,990,784</w:t>
            </w:r>
          </w:p>
        </w:tc>
        <w:tc>
          <w:tcPr>
            <w:tcW w:w="200" w:type="dxa"/>
            <w:vAlign w:val="bottom"/>
          </w:tcPr>
          <w:p>
            <w:pPr>
              <w:spacing w:after="0"/>
              <w:rPr>
                <w:sz w:val="12"/>
                <w:szCs w:val="12"/>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3"/>
                <w:szCs w:val="13"/>
                <w:b w:val="1"/>
                <w:bCs w:val="1"/>
                <w:color w:val="auto"/>
              </w:rPr>
              <w:t>3,996,530</w:t>
            </w:r>
          </w:p>
        </w:tc>
        <w:tc>
          <w:tcPr>
            <w:tcW w:w="22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spacing w:after="0"/>
              <w:rPr>
                <w:sz w:val="20"/>
                <w:szCs w:val="20"/>
                <w:color w:val="auto"/>
              </w:rPr>
            </w:pPr>
            <w:r>
              <w:rPr>
                <w:rFonts w:ascii="Calibri" w:cs="Calibri" w:eastAsia="Calibri" w:hAnsi="Calibri"/>
                <w:sz w:val="13"/>
                <w:szCs w:val="13"/>
                <w:b w:val="1"/>
                <w:bCs w:val="1"/>
                <w:color w:val="auto"/>
              </w:rPr>
              <w:t>0.1%</w:t>
            </w:r>
          </w:p>
        </w:tc>
        <w:tc>
          <w:tcPr>
            <w:tcW w:w="0" w:type="dxa"/>
            <w:vAlign w:val="bottom"/>
          </w:tcPr>
          <w:p>
            <w:pPr>
              <w:spacing w:after="0"/>
              <w:rPr>
                <w:sz w:val="1"/>
                <w:szCs w:val="1"/>
                <w:color w:val="auto"/>
              </w:rPr>
            </w:pPr>
          </w:p>
        </w:tc>
      </w:tr>
      <w:tr>
        <w:trPr>
          <w:trHeight w:val="68"/>
        </w:trPr>
        <w:tc>
          <w:tcPr>
            <w:tcW w:w="600" w:type="dxa"/>
            <w:vAlign w:val="bottom"/>
            <w:tcBorders>
              <w:left w:val="single" w:sz="8" w:color="auto"/>
            </w:tcBorders>
            <w:vMerge w:val="restart"/>
          </w:tcPr>
          <w:p>
            <w:pPr>
              <w:ind w:left="20"/>
              <w:spacing w:after="0" w:line="149" w:lineRule="exact"/>
              <w:rPr>
                <w:sz w:val="20"/>
                <w:szCs w:val="20"/>
                <w:color w:val="auto"/>
              </w:rPr>
            </w:pPr>
            <w:r>
              <w:rPr>
                <w:rFonts w:ascii="Calibri" w:cs="Calibri" w:eastAsia="Calibri" w:hAnsi="Calibri"/>
                <w:sz w:val="13"/>
                <w:szCs w:val="13"/>
                <w:b w:val="1"/>
                <w:bCs w:val="1"/>
                <w:color w:val="auto"/>
              </w:rPr>
              <w:t>Expenses)</w:t>
            </w:r>
          </w:p>
        </w:tc>
        <w:tc>
          <w:tcPr>
            <w:tcW w:w="2620" w:type="dxa"/>
            <w:vAlign w:val="bottom"/>
            <w:tcBorders>
              <w:right w:val="single" w:sz="8" w:color="auto"/>
            </w:tcBorders>
          </w:tcPr>
          <w:p>
            <w:pPr>
              <w:spacing w:after="0"/>
              <w:rPr>
                <w:sz w:val="5"/>
                <w:szCs w:val="5"/>
                <w:color w:val="auto"/>
              </w:rPr>
            </w:pPr>
          </w:p>
        </w:tc>
        <w:tc>
          <w:tcPr>
            <w:tcW w:w="11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auto"/>
            </w:tcBorders>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Interest on deposits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859,659</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738,010</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677,509</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-8.2%</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-21.2%</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2,314,183</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2,195,045</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-5.1%</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Interest on borrowed funds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325,619</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267,285</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262,319</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-1.9%</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-19.4%</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861,406</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794,488</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-7.8%</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Interest on bonds and subordinated notes</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149,449</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200,739</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200,801</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0.0%</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34.4%</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481,339</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598,170</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24.3%</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180"/>
              <w:spacing w:after="0" w:line="149" w:lineRule="exact"/>
              <w:rPr>
                <w:sz w:val="20"/>
                <w:szCs w:val="20"/>
                <w:color w:val="auto"/>
              </w:rPr>
            </w:pPr>
            <w:r>
              <w:rPr>
                <w:rFonts w:ascii="Calibri" w:cs="Calibri" w:eastAsia="Calibri" w:hAnsi="Calibri"/>
                <w:sz w:val="13"/>
                <w:szCs w:val="13"/>
                <w:color w:val="auto"/>
              </w:rPr>
              <w:t>Other interest expense</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color w:val="auto"/>
              </w:rPr>
              <w:t>113,866</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color w:val="auto"/>
              </w:rPr>
              <w:t>136,054</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136,014</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color w:val="auto"/>
              </w:rPr>
              <w:t>0.0%</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19.5%</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color w:val="auto"/>
              </w:rPr>
              <w:t>333,856</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408,827</w:t>
            </w:r>
          </w:p>
        </w:tc>
        <w:tc>
          <w:tcPr>
            <w:tcW w:w="220" w:type="dxa"/>
            <w:vAlign w:val="bottom"/>
          </w:tcPr>
          <w:p>
            <w:pPr>
              <w:spacing w:after="0"/>
              <w:rPr>
                <w:sz w:val="12"/>
                <w:szCs w:val="12"/>
                <w:color w:val="auto"/>
              </w:rPr>
            </w:pPr>
          </w:p>
        </w:tc>
        <w:tc>
          <w:tcPr>
            <w:tcW w:w="9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22.5%</w:t>
            </w:r>
          </w:p>
        </w:tc>
        <w:tc>
          <w:tcPr>
            <w:tcW w:w="0" w:type="dxa"/>
            <w:vAlign w:val="bottom"/>
          </w:tcPr>
          <w:p>
            <w:pPr>
              <w:spacing w:after="0"/>
              <w:rPr>
                <w:sz w:val="1"/>
                <w:szCs w:val="1"/>
                <w:color w:val="auto"/>
              </w:rPr>
            </w:pPr>
          </w:p>
        </w:tc>
      </w:tr>
      <w:tr>
        <w:trPr>
          <w:trHeight w:val="154"/>
        </w:trPr>
        <w:tc>
          <w:tcPr>
            <w:tcW w:w="3220" w:type="dxa"/>
            <w:vAlign w:val="bottom"/>
            <w:tcBorders>
              <w:left w:val="single" w:sz="8" w:color="auto"/>
              <w:bottom w:val="single" w:sz="8" w:color="auto"/>
              <w:right w:val="single" w:sz="8" w:color="auto"/>
            </w:tcBorders>
            <w:gridSpan w:val="2"/>
          </w:tcPr>
          <w:p>
            <w:pPr>
              <w:ind w:left="20"/>
              <w:spacing w:after="0" w:line="149" w:lineRule="exact"/>
              <w:rPr>
                <w:sz w:val="20"/>
                <w:szCs w:val="20"/>
                <w:color w:val="auto"/>
              </w:rPr>
            </w:pPr>
            <w:r>
              <w:rPr>
                <w:rFonts w:ascii="Calibri" w:cs="Calibri" w:eastAsia="Calibri" w:hAnsi="Calibri"/>
                <w:sz w:val="13"/>
                <w:szCs w:val="13"/>
                <w:b w:val="1"/>
                <w:bCs w:val="1"/>
                <w:color w:val="auto"/>
              </w:rPr>
              <w:t>Net Insurance Financial Expenses</w:t>
            </w:r>
          </w:p>
        </w:tc>
        <w:tc>
          <w:tcPr>
            <w:tcW w:w="1180" w:type="dxa"/>
            <w:vAlign w:val="bottom"/>
            <w:tcBorders>
              <w:bottom w:val="single" w:sz="8" w:color="auto"/>
            </w:tcBorders>
          </w:tcPr>
          <w:p>
            <w:pPr>
              <w:jc w:val="right"/>
              <w:ind w:right="37"/>
              <w:spacing w:after="0" w:line="149" w:lineRule="exact"/>
              <w:rPr>
                <w:sz w:val="20"/>
                <w:szCs w:val="20"/>
                <w:color w:val="auto"/>
              </w:rPr>
            </w:pPr>
            <w:r>
              <w:rPr>
                <w:rFonts w:ascii="Calibri" w:cs="Calibri" w:eastAsia="Calibri" w:hAnsi="Calibri"/>
                <w:sz w:val="13"/>
                <w:szCs w:val="13"/>
                <w:b w:val="1"/>
                <w:bCs w:val="1"/>
                <w:color w:val="auto"/>
              </w:rPr>
              <w:t>116,465</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71"/>
              <w:spacing w:after="0" w:line="149" w:lineRule="exact"/>
              <w:rPr>
                <w:sz w:val="20"/>
                <w:szCs w:val="20"/>
                <w:color w:val="auto"/>
              </w:rPr>
            </w:pPr>
            <w:r>
              <w:rPr>
                <w:rFonts w:ascii="Calibri" w:cs="Calibri" w:eastAsia="Calibri" w:hAnsi="Calibri"/>
                <w:sz w:val="13"/>
                <w:szCs w:val="13"/>
                <w:b w:val="1"/>
                <w:bCs w:val="1"/>
                <w:color w:val="auto"/>
              </w:rPr>
              <w:t>124,686</w:t>
            </w:r>
          </w:p>
        </w:tc>
        <w:tc>
          <w:tcPr>
            <w:tcW w:w="78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128,578</w:t>
            </w:r>
          </w:p>
        </w:tc>
        <w:tc>
          <w:tcPr>
            <w:tcW w:w="800" w:type="dxa"/>
            <w:vAlign w:val="bottom"/>
            <w:tcBorders>
              <w:bottom w:val="single" w:sz="8" w:color="auto"/>
            </w:tcBorders>
          </w:tcPr>
          <w:p>
            <w:pPr>
              <w:jc w:val="right"/>
              <w:ind w:right="57"/>
              <w:spacing w:after="0" w:line="149" w:lineRule="exact"/>
              <w:rPr>
                <w:sz w:val="20"/>
                <w:szCs w:val="20"/>
                <w:color w:val="auto"/>
              </w:rPr>
            </w:pPr>
            <w:r>
              <w:rPr>
                <w:rFonts w:ascii="Calibri" w:cs="Calibri" w:eastAsia="Calibri" w:hAnsi="Calibri"/>
                <w:sz w:val="13"/>
                <w:szCs w:val="13"/>
                <w:b w:val="1"/>
                <w:bCs w:val="1"/>
                <w:color w:val="auto"/>
              </w:rPr>
              <w:t>3.1%</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10.4%</w:t>
            </w:r>
          </w:p>
        </w:tc>
        <w:tc>
          <w:tcPr>
            <w:tcW w:w="1200" w:type="dxa"/>
            <w:vAlign w:val="bottom"/>
            <w:tcBorders>
              <w:bottom w:val="single" w:sz="8" w:color="auto"/>
            </w:tcBorders>
          </w:tcPr>
          <w:p>
            <w:pPr>
              <w:jc w:val="right"/>
              <w:ind w:right="53"/>
              <w:spacing w:after="0" w:line="149" w:lineRule="exact"/>
              <w:rPr>
                <w:sz w:val="20"/>
                <w:szCs w:val="20"/>
                <w:color w:val="auto"/>
              </w:rPr>
            </w:pPr>
            <w:r>
              <w:rPr>
                <w:rFonts w:ascii="Calibri" w:cs="Calibri" w:eastAsia="Calibri" w:hAnsi="Calibri"/>
                <w:sz w:val="13"/>
                <w:szCs w:val="13"/>
                <w:b w:val="1"/>
                <w:bCs w:val="1"/>
                <w:color w:val="auto"/>
              </w:rPr>
              <w:t>347,381</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375,268</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8.0%</w:t>
            </w:r>
          </w:p>
        </w:tc>
        <w:tc>
          <w:tcPr>
            <w:tcW w:w="0" w:type="dxa"/>
            <w:vAlign w:val="bottom"/>
          </w:tcPr>
          <w:p>
            <w:pPr>
              <w:spacing w:after="0"/>
              <w:rPr>
                <w:sz w:val="1"/>
                <w:szCs w:val="1"/>
                <w:color w:val="auto"/>
              </w:rPr>
            </w:pPr>
          </w:p>
        </w:tc>
      </w:tr>
      <w:tr>
        <w:trPr>
          <w:trHeight w:val="147"/>
        </w:trPr>
        <w:tc>
          <w:tcPr>
            <w:tcW w:w="3220" w:type="dxa"/>
            <w:vAlign w:val="bottom"/>
            <w:tcBorders>
              <w:left w:val="single" w:sz="8" w:color="auto"/>
              <w:bottom w:val="single" w:sz="8" w:color="auto"/>
              <w:right w:val="single" w:sz="8" w:color="auto"/>
            </w:tcBorders>
            <w:gridSpan w:val="2"/>
          </w:tcPr>
          <w:p>
            <w:pPr>
              <w:ind w:left="20"/>
              <w:spacing w:after="0" w:line="147" w:lineRule="exact"/>
              <w:rPr>
                <w:sz w:val="20"/>
                <w:szCs w:val="20"/>
                <w:color w:val="auto"/>
              </w:rPr>
            </w:pPr>
            <w:r>
              <w:rPr>
                <w:rFonts w:ascii="Calibri" w:cs="Calibri" w:eastAsia="Calibri" w:hAnsi="Calibri"/>
                <w:sz w:val="13"/>
                <w:szCs w:val="13"/>
                <w:b w:val="1"/>
                <w:bCs w:val="1"/>
                <w:color w:val="auto"/>
              </w:rPr>
              <w:t>Net interest income</w:t>
            </w:r>
          </w:p>
        </w:tc>
        <w:tc>
          <w:tcPr>
            <w:tcW w:w="1180" w:type="dxa"/>
            <w:vAlign w:val="bottom"/>
            <w:tcBorders>
              <w:bottom w:val="single" w:sz="8" w:color="auto"/>
            </w:tcBorders>
          </w:tcPr>
          <w:p>
            <w:pPr>
              <w:jc w:val="right"/>
              <w:ind w:right="37"/>
              <w:spacing w:after="0" w:line="147" w:lineRule="exact"/>
              <w:rPr>
                <w:sz w:val="20"/>
                <w:szCs w:val="20"/>
                <w:color w:val="auto"/>
              </w:rPr>
            </w:pPr>
            <w:r>
              <w:rPr>
                <w:rFonts w:ascii="Calibri" w:cs="Calibri" w:eastAsia="Calibri" w:hAnsi="Calibri"/>
                <w:sz w:val="13"/>
                <w:szCs w:val="13"/>
                <w:b w:val="1"/>
                <w:bCs w:val="1"/>
                <w:color w:val="auto"/>
              </w:rPr>
              <w:t>3,254,043</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1"/>
              <w:spacing w:after="0" w:line="147" w:lineRule="exact"/>
              <w:rPr>
                <w:sz w:val="20"/>
                <w:szCs w:val="20"/>
                <w:color w:val="auto"/>
              </w:rPr>
            </w:pPr>
            <w:r>
              <w:rPr>
                <w:rFonts w:ascii="Calibri" w:cs="Calibri" w:eastAsia="Calibri" w:hAnsi="Calibri"/>
                <w:sz w:val="13"/>
                <w:szCs w:val="13"/>
                <w:b w:val="1"/>
                <w:bCs w:val="1"/>
                <w:color w:val="auto"/>
              </w:rPr>
              <w:t>3,468,464</w:t>
            </w:r>
          </w:p>
        </w:tc>
        <w:tc>
          <w:tcPr>
            <w:tcW w:w="780" w:type="dxa"/>
            <w:vAlign w:val="bottom"/>
            <w:tcBorders>
              <w:bottom w:val="single" w:sz="8" w:color="auto"/>
              <w:right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3,590,750</w:t>
            </w:r>
          </w:p>
        </w:tc>
        <w:tc>
          <w:tcPr>
            <w:tcW w:w="800" w:type="dxa"/>
            <w:vAlign w:val="bottom"/>
            <w:tcBorders>
              <w:bottom w:val="single" w:sz="8" w:color="auto"/>
            </w:tcBorders>
          </w:tcPr>
          <w:p>
            <w:pPr>
              <w:jc w:val="right"/>
              <w:ind w:right="57"/>
              <w:spacing w:after="0" w:line="147" w:lineRule="exact"/>
              <w:rPr>
                <w:sz w:val="20"/>
                <w:szCs w:val="20"/>
                <w:color w:val="auto"/>
              </w:rPr>
            </w:pPr>
            <w:r>
              <w:rPr>
                <w:rFonts w:ascii="Calibri" w:cs="Calibri" w:eastAsia="Calibri" w:hAnsi="Calibri"/>
                <w:sz w:val="13"/>
                <w:szCs w:val="13"/>
                <w:b w:val="1"/>
                <w:bCs w:val="1"/>
                <w:color w:val="auto"/>
              </w:rPr>
              <w:t>3.5%</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10.3%</w:t>
            </w:r>
          </w:p>
        </w:tc>
        <w:tc>
          <w:tcPr>
            <w:tcW w:w="1200" w:type="dxa"/>
            <w:vAlign w:val="bottom"/>
            <w:tcBorders>
              <w:bottom w:val="single" w:sz="8" w:color="auto"/>
            </w:tcBorders>
          </w:tcPr>
          <w:p>
            <w:pPr>
              <w:jc w:val="right"/>
              <w:ind w:right="53"/>
              <w:spacing w:after="0" w:line="147" w:lineRule="exact"/>
              <w:rPr>
                <w:sz w:val="20"/>
                <w:szCs w:val="20"/>
                <w:color w:val="auto"/>
              </w:rPr>
            </w:pPr>
            <w:r>
              <w:rPr>
                <w:rFonts w:ascii="Calibri" w:cs="Calibri" w:eastAsia="Calibri" w:hAnsi="Calibri"/>
                <w:sz w:val="13"/>
                <w:szCs w:val="13"/>
                <w:b w:val="1"/>
                <w:bCs w:val="1"/>
                <w:color w:val="auto"/>
              </w:rPr>
              <w:t>9,590,288</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10,485,337</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9.3%</w:t>
            </w:r>
          </w:p>
        </w:tc>
        <w:tc>
          <w:tcPr>
            <w:tcW w:w="0" w:type="dxa"/>
            <w:vAlign w:val="bottom"/>
          </w:tcPr>
          <w:p>
            <w:pPr>
              <w:spacing w:after="0"/>
              <w:rPr>
                <w:sz w:val="1"/>
                <w:szCs w:val="1"/>
                <w:color w:val="auto"/>
              </w:rPr>
            </w:pPr>
          </w:p>
        </w:tc>
      </w:tr>
      <w:tr>
        <w:trPr>
          <w:trHeight w:val="142"/>
        </w:trPr>
        <w:tc>
          <w:tcPr>
            <w:tcW w:w="3220" w:type="dxa"/>
            <w:vAlign w:val="bottom"/>
            <w:tcBorders>
              <w:left w:val="single" w:sz="8" w:color="auto"/>
              <w:bottom w:val="single" w:sz="8" w:color="auto"/>
              <w:right w:val="single" w:sz="8" w:color="auto"/>
            </w:tcBorders>
            <w:gridSpan w:val="2"/>
          </w:tcPr>
          <w:p>
            <w:pPr>
              <w:ind w:left="20"/>
              <w:spacing w:after="0" w:line="142" w:lineRule="exact"/>
              <w:rPr>
                <w:sz w:val="20"/>
                <w:szCs w:val="20"/>
                <w:color w:val="auto"/>
              </w:rPr>
            </w:pPr>
            <w:r>
              <w:rPr>
                <w:rFonts w:ascii="Calibri" w:cs="Calibri" w:eastAsia="Calibri" w:hAnsi="Calibri"/>
                <w:sz w:val="13"/>
                <w:szCs w:val="13"/>
                <w:b w:val="1"/>
                <w:bCs w:val="1"/>
                <w:color w:val="auto"/>
              </w:rPr>
              <w:t>Risk-adjusted Net interest income</w:t>
            </w:r>
          </w:p>
        </w:tc>
        <w:tc>
          <w:tcPr>
            <w:tcW w:w="1180" w:type="dxa"/>
            <w:vAlign w:val="bottom"/>
            <w:tcBorders>
              <w:bottom w:val="single" w:sz="8" w:color="auto"/>
            </w:tcBorders>
          </w:tcPr>
          <w:p>
            <w:pPr>
              <w:jc w:val="right"/>
              <w:ind w:right="37"/>
              <w:spacing w:after="0" w:line="142" w:lineRule="exact"/>
              <w:rPr>
                <w:sz w:val="20"/>
                <w:szCs w:val="20"/>
                <w:color w:val="auto"/>
              </w:rPr>
            </w:pPr>
            <w:r>
              <w:rPr>
                <w:rFonts w:ascii="Calibri" w:cs="Calibri" w:eastAsia="Calibri" w:hAnsi="Calibri"/>
                <w:sz w:val="13"/>
                <w:szCs w:val="13"/>
                <w:b w:val="1"/>
                <w:bCs w:val="1"/>
                <w:color w:val="auto"/>
              </w:rPr>
              <w:t>2,336,401</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1"/>
              <w:spacing w:after="0" w:line="142" w:lineRule="exact"/>
              <w:rPr>
                <w:sz w:val="20"/>
                <w:szCs w:val="20"/>
                <w:color w:val="auto"/>
              </w:rPr>
            </w:pPr>
            <w:r>
              <w:rPr>
                <w:rFonts w:ascii="Calibri" w:cs="Calibri" w:eastAsia="Calibri" w:hAnsi="Calibri"/>
                <w:sz w:val="13"/>
                <w:szCs w:val="13"/>
                <w:b w:val="1"/>
                <w:bCs w:val="1"/>
                <w:color w:val="auto"/>
              </w:rPr>
              <w:t>2,375,093</w:t>
            </w: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b w:val="1"/>
                <w:bCs w:val="1"/>
                <w:color w:val="auto"/>
              </w:rPr>
              <w:t>2,722,669</w:t>
            </w:r>
          </w:p>
        </w:tc>
        <w:tc>
          <w:tcPr>
            <w:tcW w:w="800" w:type="dxa"/>
            <w:vAlign w:val="bottom"/>
            <w:tcBorders>
              <w:bottom w:val="single" w:sz="8" w:color="auto"/>
            </w:tcBorders>
          </w:tcPr>
          <w:p>
            <w:pPr>
              <w:jc w:val="right"/>
              <w:ind w:right="57"/>
              <w:spacing w:after="0" w:line="142" w:lineRule="exact"/>
              <w:rPr>
                <w:sz w:val="20"/>
                <w:szCs w:val="20"/>
                <w:color w:val="auto"/>
              </w:rPr>
            </w:pPr>
            <w:r>
              <w:rPr>
                <w:rFonts w:ascii="Calibri" w:cs="Calibri" w:eastAsia="Calibri" w:hAnsi="Calibri"/>
                <w:sz w:val="13"/>
                <w:szCs w:val="13"/>
                <w:b w:val="1"/>
                <w:bCs w:val="1"/>
                <w:color w:val="auto"/>
              </w:rPr>
              <w:t>14.6%</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b w:val="1"/>
                <w:bCs w:val="1"/>
                <w:color w:val="auto"/>
              </w:rPr>
              <w:t>16.5%</w:t>
            </w:r>
          </w:p>
        </w:tc>
        <w:tc>
          <w:tcPr>
            <w:tcW w:w="1200" w:type="dxa"/>
            <w:vAlign w:val="bottom"/>
            <w:tcBorders>
              <w:bottom w:val="single" w:sz="8" w:color="auto"/>
            </w:tcBorders>
          </w:tcPr>
          <w:p>
            <w:pPr>
              <w:jc w:val="right"/>
              <w:ind w:right="53"/>
              <w:spacing w:after="0" w:line="142" w:lineRule="exact"/>
              <w:rPr>
                <w:sz w:val="20"/>
                <w:szCs w:val="20"/>
                <w:color w:val="auto"/>
              </w:rPr>
            </w:pPr>
            <w:r>
              <w:rPr>
                <w:rFonts w:ascii="Calibri" w:cs="Calibri" w:eastAsia="Calibri" w:hAnsi="Calibri"/>
                <w:sz w:val="13"/>
                <w:szCs w:val="13"/>
                <w:b w:val="1"/>
                <w:bCs w:val="1"/>
                <w:color w:val="auto"/>
              </w:rPr>
              <w:t>7,141,397</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b w:val="1"/>
                <w:bCs w:val="1"/>
                <w:color w:val="auto"/>
              </w:rPr>
              <w:t>7,709,186</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Calibri" w:cs="Calibri" w:eastAsia="Calibri" w:hAnsi="Calibri"/>
                <w:sz w:val="13"/>
                <w:szCs w:val="13"/>
                <w:b w:val="1"/>
                <w:bCs w:val="1"/>
                <w:color w:val="auto"/>
              </w:rPr>
              <w:t>8.0%</w:t>
            </w:r>
          </w:p>
        </w:tc>
        <w:tc>
          <w:tcPr>
            <w:tcW w:w="0" w:type="dxa"/>
            <w:vAlign w:val="bottom"/>
          </w:tcPr>
          <w:p>
            <w:pPr>
              <w:spacing w:after="0"/>
              <w:rPr>
                <w:sz w:val="1"/>
                <w:szCs w:val="1"/>
                <w:color w:val="auto"/>
              </w:rPr>
            </w:pPr>
          </w:p>
        </w:tc>
      </w:tr>
      <w:tr>
        <w:trPr>
          <w:trHeight w:val="142"/>
        </w:trPr>
        <w:tc>
          <w:tcPr>
            <w:tcW w:w="3220" w:type="dxa"/>
            <w:vAlign w:val="bottom"/>
            <w:tcBorders>
              <w:left w:val="single" w:sz="8" w:color="auto"/>
              <w:bottom w:val="single" w:sz="8" w:color="auto"/>
              <w:right w:val="single" w:sz="8" w:color="auto"/>
            </w:tcBorders>
            <w:gridSpan w:val="2"/>
          </w:tcPr>
          <w:p>
            <w:pPr>
              <w:ind w:left="20"/>
              <w:spacing w:after="0" w:line="142" w:lineRule="exact"/>
              <w:rPr>
                <w:sz w:val="20"/>
                <w:szCs w:val="20"/>
                <w:color w:val="auto"/>
              </w:rPr>
            </w:pPr>
            <w:r>
              <w:rPr>
                <w:rFonts w:ascii="Calibri" w:cs="Calibri" w:eastAsia="Calibri" w:hAnsi="Calibri"/>
                <w:sz w:val="13"/>
                <w:szCs w:val="13"/>
                <w:color w:val="auto"/>
              </w:rPr>
              <w:t>Average interest earning assets</w:t>
            </w:r>
          </w:p>
        </w:tc>
        <w:tc>
          <w:tcPr>
            <w:tcW w:w="1180" w:type="dxa"/>
            <w:vAlign w:val="bottom"/>
            <w:tcBorders>
              <w:bottom w:val="single" w:sz="8" w:color="auto"/>
            </w:tcBorders>
          </w:tcPr>
          <w:p>
            <w:pPr>
              <w:jc w:val="right"/>
              <w:ind w:right="37"/>
              <w:spacing w:after="0" w:line="142" w:lineRule="exact"/>
              <w:rPr>
                <w:sz w:val="20"/>
                <w:szCs w:val="20"/>
                <w:color w:val="auto"/>
              </w:rPr>
            </w:pPr>
            <w:r>
              <w:rPr>
                <w:rFonts w:ascii="Calibri" w:cs="Calibri" w:eastAsia="Calibri" w:hAnsi="Calibri"/>
                <w:sz w:val="13"/>
                <w:szCs w:val="13"/>
                <w:color w:val="auto"/>
              </w:rPr>
              <w:t>220,724,334</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1"/>
              <w:spacing w:after="0" w:line="142" w:lineRule="exact"/>
              <w:rPr>
                <w:sz w:val="20"/>
                <w:szCs w:val="20"/>
                <w:color w:val="auto"/>
              </w:rPr>
            </w:pPr>
            <w:r>
              <w:rPr>
                <w:rFonts w:ascii="Calibri" w:cs="Calibri" w:eastAsia="Calibri" w:hAnsi="Calibri"/>
                <w:sz w:val="13"/>
                <w:szCs w:val="13"/>
                <w:color w:val="auto"/>
              </w:rPr>
              <w:t>227,161,179</w:t>
            </w:r>
          </w:p>
        </w:tc>
        <w:tc>
          <w:tcPr>
            <w:tcW w:w="78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color w:val="auto"/>
              </w:rPr>
              <w:t>231,316,507</w:t>
            </w:r>
          </w:p>
        </w:tc>
        <w:tc>
          <w:tcPr>
            <w:tcW w:w="800" w:type="dxa"/>
            <w:vAlign w:val="bottom"/>
            <w:tcBorders>
              <w:bottom w:val="single" w:sz="8" w:color="auto"/>
            </w:tcBorders>
          </w:tcPr>
          <w:p>
            <w:pPr>
              <w:jc w:val="right"/>
              <w:ind w:right="57"/>
              <w:spacing w:after="0" w:line="142" w:lineRule="exact"/>
              <w:rPr>
                <w:sz w:val="20"/>
                <w:szCs w:val="20"/>
                <w:color w:val="auto"/>
              </w:rPr>
            </w:pPr>
            <w:r>
              <w:rPr>
                <w:rFonts w:ascii="Calibri" w:cs="Calibri" w:eastAsia="Calibri" w:hAnsi="Calibri"/>
                <w:sz w:val="13"/>
                <w:szCs w:val="13"/>
                <w:color w:val="auto"/>
              </w:rPr>
              <w:t>1.8%</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color w:val="auto"/>
              </w:rPr>
              <w:t>4.8%</w:t>
            </w:r>
          </w:p>
        </w:tc>
        <w:tc>
          <w:tcPr>
            <w:tcW w:w="1200" w:type="dxa"/>
            <w:vAlign w:val="bottom"/>
            <w:tcBorders>
              <w:bottom w:val="single" w:sz="8" w:color="auto"/>
            </w:tcBorders>
          </w:tcPr>
          <w:p>
            <w:pPr>
              <w:jc w:val="right"/>
              <w:ind w:right="53"/>
              <w:spacing w:after="0" w:line="142" w:lineRule="exact"/>
              <w:rPr>
                <w:sz w:val="20"/>
                <w:szCs w:val="20"/>
                <w:color w:val="auto"/>
              </w:rPr>
            </w:pPr>
            <w:r>
              <w:rPr>
                <w:rFonts w:ascii="Calibri" w:cs="Calibri" w:eastAsia="Calibri" w:hAnsi="Calibri"/>
                <w:sz w:val="13"/>
                <w:szCs w:val="13"/>
                <w:color w:val="auto"/>
              </w:rPr>
              <w:t>222,362,151</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color w:val="auto"/>
              </w:rPr>
              <w:t>229,452,866</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Calibri" w:cs="Calibri" w:eastAsia="Calibri" w:hAnsi="Calibri"/>
                <w:sz w:val="13"/>
                <w:szCs w:val="13"/>
                <w:color w:val="auto"/>
              </w:rPr>
              <w:t>3.2%</w:t>
            </w:r>
          </w:p>
        </w:tc>
        <w:tc>
          <w:tcPr>
            <w:tcW w:w="0" w:type="dxa"/>
            <w:vAlign w:val="bottom"/>
          </w:tcPr>
          <w:p>
            <w:pPr>
              <w:spacing w:after="0"/>
              <w:rPr>
                <w:sz w:val="1"/>
                <w:szCs w:val="1"/>
                <w:color w:val="auto"/>
              </w:rPr>
            </w:pPr>
          </w:p>
        </w:tc>
      </w:tr>
      <w:tr>
        <w:trPr>
          <w:trHeight w:val="132"/>
        </w:trPr>
        <w:tc>
          <w:tcPr>
            <w:tcW w:w="3220" w:type="dxa"/>
            <w:vAlign w:val="bottom"/>
            <w:tcBorders>
              <w:left w:val="single" w:sz="8" w:color="auto"/>
              <w:right w:val="single" w:sz="8" w:color="auto"/>
            </w:tcBorders>
            <w:gridSpan w:val="2"/>
          </w:tcPr>
          <w:p>
            <w:pPr>
              <w:ind w:left="20"/>
              <w:spacing w:after="0" w:line="131" w:lineRule="exact"/>
              <w:rPr>
                <w:sz w:val="20"/>
                <w:szCs w:val="20"/>
                <w:color w:val="auto"/>
              </w:rPr>
            </w:pPr>
            <w:r>
              <w:rPr>
                <w:rFonts w:ascii="Calibri" w:cs="Calibri" w:eastAsia="Calibri" w:hAnsi="Calibri"/>
                <w:sz w:val="13"/>
                <w:szCs w:val="13"/>
                <w:b w:val="1"/>
                <w:bCs w:val="1"/>
                <w:color w:val="auto"/>
              </w:rPr>
              <w:t>Net interest margin (1)</w:t>
            </w:r>
          </w:p>
        </w:tc>
        <w:tc>
          <w:tcPr>
            <w:tcW w:w="1180" w:type="dxa"/>
            <w:vAlign w:val="bottom"/>
          </w:tcPr>
          <w:p>
            <w:pPr>
              <w:jc w:val="right"/>
              <w:ind w:right="37"/>
              <w:spacing w:after="0" w:line="131" w:lineRule="exact"/>
              <w:rPr>
                <w:sz w:val="20"/>
                <w:szCs w:val="20"/>
                <w:color w:val="auto"/>
              </w:rPr>
            </w:pPr>
            <w:r>
              <w:rPr>
                <w:rFonts w:ascii="Calibri" w:cs="Calibri" w:eastAsia="Calibri" w:hAnsi="Calibri"/>
                <w:sz w:val="13"/>
                <w:szCs w:val="13"/>
                <w:b w:val="1"/>
                <w:bCs w:val="1"/>
                <w:color w:val="auto"/>
              </w:rPr>
              <w:t>6.11%</w:t>
            </w:r>
          </w:p>
        </w:tc>
        <w:tc>
          <w:tcPr>
            <w:tcW w:w="220" w:type="dxa"/>
            <w:vAlign w:val="bottom"/>
          </w:tcPr>
          <w:p>
            <w:pPr>
              <w:spacing w:after="0"/>
              <w:rPr>
                <w:sz w:val="11"/>
                <w:szCs w:val="11"/>
                <w:color w:val="auto"/>
              </w:rPr>
            </w:pPr>
          </w:p>
        </w:tc>
        <w:tc>
          <w:tcPr>
            <w:tcW w:w="1120" w:type="dxa"/>
            <w:vAlign w:val="bottom"/>
          </w:tcPr>
          <w:p>
            <w:pPr>
              <w:jc w:val="right"/>
              <w:ind w:right="271"/>
              <w:spacing w:after="0" w:line="131" w:lineRule="exact"/>
              <w:rPr>
                <w:sz w:val="20"/>
                <w:szCs w:val="20"/>
                <w:color w:val="auto"/>
              </w:rPr>
            </w:pPr>
            <w:r>
              <w:rPr>
                <w:rFonts w:ascii="Calibri" w:cs="Calibri" w:eastAsia="Calibri" w:hAnsi="Calibri"/>
                <w:sz w:val="13"/>
                <w:szCs w:val="13"/>
                <w:b w:val="1"/>
                <w:bCs w:val="1"/>
                <w:color w:val="auto"/>
              </w:rPr>
              <w:t>6.33%</w:t>
            </w:r>
          </w:p>
        </w:tc>
        <w:tc>
          <w:tcPr>
            <w:tcW w:w="78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6.43%</w:t>
            </w:r>
          </w:p>
        </w:tc>
        <w:tc>
          <w:tcPr>
            <w:tcW w:w="800" w:type="dxa"/>
            <w:vAlign w:val="bottom"/>
          </w:tcPr>
          <w:p>
            <w:pPr>
              <w:jc w:val="right"/>
              <w:ind w:right="57"/>
              <w:spacing w:after="0" w:line="131" w:lineRule="exact"/>
              <w:rPr>
                <w:sz w:val="20"/>
                <w:szCs w:val="20"/>
                <w:color w:val="auto"/>
              </w:rPr>
            </w:pPr>
            <w:r>
              <w:rPr>
                <w:rFonts w:ascii="Calibri" w:cs="Calibri" w:eastAsia="Calibri" w:hAnsi="Calibri"/>
                <w:sz w:val="13"/>
                <w:szCs w:val="13"/>
                <w:b w:val="1"/>
                <w:bCs w:val="1"/>
                <w:color w:val="auto"/>
              </w:rPr>
              <w:t>10 bps</w:t>
            </w:r>
          </w:p>
        </w:tc>
        <w:tc>
          <w:tcPr>
            <w:tcW w:w="160" w:type="dxa"/>
            <w:vAlign w:val="bottom"/>
          </w:tcPr>
          <w:p>
            <w:pPr>
              <w:spacing w:after="0"/>
              <w:rPr>
                <w:sz w:val="11"/>
                <w:szCs w:val="11"/>
                <w:color w:val="auto"/>
              </w:rPr>
            </w:pPr>
          </w:p>
        </w:tc>
        <w:tc>
          <w:tcPr>
            <w:tcW w:w="42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32 bps</w:t>
            </w:r>
          </w:p>
        </w:tc>
        <w:tc>
          <w:tcPr>
            <w:tcW w:w="1200" w:type="dxa"/>
            <w:vAlign w:val="bottom"/>
          </w:tcPr>
          <w:p>
            <w:pPr>
              <w:jc w:val="right"/>
              <w:ind w:right="53"/>
              <w:spacing w:after="0" w:line="131" w:lineRule="exact"/>
              <w:rPr>
                <w:sz w:val="20"/>
                <w:szCs w:val="20"/>
                <w:color w:val="auto"/>
              </w:rPr>
            </w:pPr>
            <w:r>
              <w:rPr>
                <w:rFonts w:ascii="Calibri" w:cs="Calibri" w:eastAsia="Calibri" w:hAnsi="Calibri"/>
                <w:sz w:val="13"/>
                <w:szCs w:val="13"/>
                <w:b w:val="1"/>
                <w:bCs w:val="1"/>
                <w:color w:val="auto"/>
              </w:rPr>
              <w:t>5.96%</w:t>
            </w:r>
          </w:p>
        </w:tc>
        <w:tc>
          <w:tcPr>
            <w:tcW w:w="200" w:type="dxa"/>
            <w:vAlign w:val="bottom"/>
          </w:tcPr>
          <w:p>
            <w:pPr>
              <w:spacing w:after="0"/>
              <w:rPr>
                <w:sz w:val="11"/>
                <w:szCs w:val="11"/>
                <w:color w:val="auto"/>
              </w:rPr>
            </w:pPr>
          </w:p>
        </w:tc>
        <w:tc>
          <w:tcPr>
            <w:tcW w:w="82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6.31%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b w:val="1"/>
                <w:bCs w:val="1"/>
                <w:color w:val="auto"/>
              </w:rPr>
              <w:t>35 bps</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gridSpan w:val="2"/>
          </w:tcPr>
          <w:p>
            <w:pPr>
              <w:ind w:left="20"/>
              <w:spacing w:after="0" w:line="149" w:lineRule="exact"/>
              <w:rPr>
                <w:sz w:val="20"/>
                <w:szCs w:val="20"/>
                <w:color w:val="auto"/>
              </w:rPr>
            </w:pPr>
            <w:r>
              <w:rPr>
                <w:rFonts w:ascii="Calibri" w:cs="Calibri" w:eastAsia="Calibri" w:hAnsi="Calibri"/>
                <w:sz w:val="13"/>
                <w:szCs w:val="13"/>
                <w:b w:val="1"/>
                <w:bCs w:val="1"/>
                <w:color w:val="auto"/>
              </w:rPr>
              <w:t>Risk-adjusted Net interest margin (1)</w:t>
            </w:r>
          </w:p>
        </w:tc>
        <w:tc>
          <w:tcPr>
            <w:tcW w:w="1180" w:type="dxa"/>
            <w:vAlign w:val="bottom"/>
          </w:tcPr>
          <w:p>
            <w:pPr>
              <w:jc w:val="right"/>
              <w:ind w:right="37"/>
              <w:spacing w:after="0" w:line="149" w:lineRule="exact"/>
              <w:rPr>
                <w:sz w:val="20"/>
                <w:szCs w:val="20"/>
                <w:color w:val="auto"/>
              </w:rPr>
            </w:pPr>
            <w:r>
              <w:rPr>
                <w:rFonts w:ascii="Calibri" w:cs="Calibri" w:eastAsia="Calibri" w:hAnsi="Calibri"/>
                <w:sz w:val="13"/>
                <w:szCs w:val="13"/>
                <w:b w:val="1"/>
                <w:bCs w:val="1"/>
                <w:color w:val="auto"/>
              </w:rPr>
              <w:t>4.45%</w:t>
            </w:r>
          </w:p>
        </w:tc>
        <w:tc>
          <w:tcPr>
            <w:tcW w:w="220" w:type="dxa"/>
            <w:vAlign w:val="bottom"/>
          </w:tcPr>
          <w:p>
            <w:pPr>
              <w:spacing w:after="0"/>
              <w:rPr>
                <w:sz w:val="12"/>
                <w:szCs w:val="12"/>
                <w:color w:val="auto"/>
              </w:rPr>
            </w:pPr>
          </w:p>
        </w:tc>
        <w:tc>
          <w:tcPr>
            <w:tcW w:w="1120" w:type="dxa"/>
            <w:vAlign w:val="bottom"/>
          </w:tcPr>
          <w:p>
            <w:pPr>
              <w:jc w:val="right"/>
              <w:ind w:right="271"/>
              <w:spacing w:after="0" w:line="149" w:lineRule="exact"/>
              <w:rPr>
                <w:sz w:val="20"/>
                <w:szCs w:val="20"/>
                <w:color w:val="auto"/>
              </w:rPr>
            </w:pPr>
            <w:r>
              <w:rPr>
                <w:rFonts w:ascii="Calibri" w:cs="Calibri" w:eastAsia="Calibri" w:hAnsi="Calibri"/>
                <w:sz w:val="13"/>
                <w:szCs w:val="13"/>
                <w:b w:val="1"/>
                <w:bCs w:val="1"/>
                <w:color w:val="auto"/>
              </w:rPr>
              <w:t>4.40%</w:t>
            </w:r>
          </w:p>
        </w:tc>
        <w:tc>
          <w:tcPr>
            <w:tcW w:w="78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4.93%</w:t>
            </w:r>
          </w:p>
        </w:tc>
        <w:tc>
          <w:tcPr>
            <w:tcW w:w="800" w:type="dxa"/>
            <w:vAlign w:val="bottom"/>
          </w:tcPr>
          <w:p>
            <w:pPr>
              <w:jc w:val="right"/>
              <w:ind w:right="57"/>
              <w:spacing w:after="0" w:line="149" w:lineRule="exact"/>
              <w:rPr>
                <w:sz w:val="20"/>
                <w:szCs w:val="20"/>
                <w:color w:val="auto"/>
              </w:rPr>
            </w:pPr>
            <w:r>
              <w:rPr>
                <w:rFonts w:ascii="Calibri" w:cs="Calibri" w:eastAsia="Calibri" w:hAnsi="Calibri"/>
                <w:sz w:val="13"/>
                <w:szCs w:val="13"/>
                <w:b w:val="1"/>
                <w:bCs w:val="1"/>
                <w:color w:val="auto"/>
              </w:rPr>
              <w:t>53 bps</w:t>
            </w:r>
          </w:p>
        </w:tc>
        <w:tc>
          <w:tcPr>
            <w:tcW w:w="160" w:type="dxa"/>
            <w:vAlign w:val="bottom"/>
          </w:tcPr>
          <w:p>
            <w:pPr>
              <w:spacing w:after="0"/>
              <w:rPr>
                <w:sz w:val="12"/>
                <w:szCs w:val="12"/>
                <w:color w:val="auto"/>
              </w:rPr>
            </w:pPr>
          </w:p>
        </w:tc>
        <w:tc>
          <w:tcPr>
            <w:tcW w:w="4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48 bps</w:t>
            </w:r>
          </w:p>
        </w:tc>
        <w:tc>
          <w:tcPr>
            <w:tcW w:w="1200" w:type="dxa"/>
            <w:vAlign w:val="bottom"/>
          </w:tcPr>
          <w:p>
            <w:pPr>
              <w:jc w:val="right"/>
              <w:ind w:right="53"/>
              <w:spacing w:after="0" w:line="149" w:lineRule="exact"/>
              <w:rPr>
                <w:sz w:val="20"/>
                <w:szCs w:val="20"/>
                <w:color w:val="auto"/>
              </w:rPr>
            </w:pPr>
            <w:r>
              <w:rPr>
                <w:rFonts w:ascii="Calibri" w:cs="Calibri" w:eastAsia="Calibri" w:hAnsi="Calibri"/>
                <w:sz w:val="13"/>
                <w:szCs w:val="13"/>
                <w:b w:val="1"/>
                <w:bCs w:val="1"/>
                <w:color w:val="auto"/>
              </w:rPr>
              <w:t>4.49%</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4.70%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21 bps</w:t>
            </w:r>
          </w:p>
        </w:tc>
        <w:tc>
          <w:tcPr>
            <w:tcW w:w="0" w:type="dxa"/>
            <w:vAlign w:val="bottom"/>
          </w:tcPr>
          <w:p>
            <w:pPr>
              <w:spacing w:after="0"/>
              <w:rPr>
                <w:sz w:val="1"/>
                <w:szCs w:val="1"/>
                <w:color w:val="auto"/>
              </w:rPr>
            </w:pPr>
          </w:p>
        </w:tc>
      </w:tr>
      <w:tr>
        <w:trPr>
          <w:trHeight w:val="154"/>
        </w:trPr>
        <w:tc>
          <w:tcPr>
            <w:tcW w:w="3220" w:type="dxa"/>
            <w:vAlign w:val="bottom"/>
            <w:tcBorders>
              <w:left w:val="single" w:sz="8" w:color="auto"/>
              <w:bottom w:val="single" w:sz="8" w:color="auto"/>
              <w:right w:val="single" w:sz="8" w:color="auto"/>
            </w:tcBorders>
            <w:gridSpan w:val="2"/>
          </w:tcPr>
          <w:p>
            <w:pPr>
              <w:ind w:left="20"/>
              <w:spacing w:after="0" w:line="149" w:lineRule="exact"/>
              <w:rPr>
                <w:sz w:val="20"/>
                <w:szCs w:val="20"/>
                <w:color w:val="auto"/>
              </w:rPr>
            </w:pPr>
            <w:r>
              <w:rPr>
                <w:rFonts w:ascii="Calibri" w:cs="Calibri" w:eastAsia="Calibri" w:hAnsi="Calibri"/>
                <w:sz w:val="13"/>
                <w:szCs w:val="13"/>
                <w:b w:val="1"/>
                <w:bCs w:val="1"/>
                <w:color w:val="auto"/>
              </w:rPr>
              <w:t>Net provisions for loan losses / Net interest income</w:t>
            </w:r>
          </w:p>
        </w:tc>
        <w:tc>
          <w:tcPr>
            <w:tcW w:w="1180" w:type="dxa"/>
            <w:vAlign w:val="bottom"/>
            <w:tcBorders>
              <w:bottom w:val="single" w:sz="8" w:color="auto"/>
            </w:tcBorders>
          </w:tcPr>
          <w:p>
            <w:pPr>
              <w:jc w:val="right"/>
              <w:ind w:right="37"/>
              <w:spacing w:after="0" w:line="149" w:lineRule="exact"/>
              <w:rPr>
                <w:sz w:val="20"/>
                <w:szCs w:val="20"/>
                <w:color w:val="auto"/>
              </w:rPr>
            </w:pPr>
            <w:r>
              <w:rPr>
                <w:rFonts w:ascii="Calibri" w:cs="Calibri" w:eastAsia="Calibri" w:hAnsi="Calibri"/>
                <w:sz w:val="13"/>
                <w:szCs w:val="13"/>
                <w:b w:val="1"/>
                <w:bCs w:val="1"/>
                <w:color w:val="auto"/>
              </w:rPr>
              <w:t>28.20%</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71"/>
              <w:spacing w:after="0" w:line="149" w:lineRule="exact"/>
              <w:rPr>
                <w:sz w:val="20"/>
                <w:szCs w:val="20"/>
                <w:color w:val="auto"/>
              </w:rPr>
            </w:pPr>
            <w:r>
              <w:rPr>
                <w:rFonts w:ascii="Calibri" w:cs="Calibri" w:eastAsia="Calibri" w:hAnsi="Calibri"/>
                <w:sz w:val="13"/>
                <w:szCs w:val="13"/>
                <w:b w:val="1"/>
                <w:bCs w:val="1"/>
                <w:color w:val="auto"/>
              </w:rPr>
              <w:t>31.52%</w:t>
            </w:r>
          </w:p>
        </w:tc>
        <w:tc>
          <w:tcPr>
            <w:tcW w:w="78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24.18%</w:t>
            </w:r>
          </w:p>
        </w:tc>
        <w:tc>
          <w:tcPr>
            <w:tcW w:w="800" w:type="dxa"/>
            <w:vAlign w:val="bottom"/>
            <w:tcBorders>
              <w:bottom w:val="single" w:sz="8" w:color="auto"/>
            </w:tcBorders>
          </w:tcPr>
          <w:p>
            <w:pPr>
              <w:jc w:val="right"/>
              <w:ind w:right="57"/>
              <w:spacing w:after="0" w:line="149" w:lineRule="exact"/>
              <w:rPr>
                <w:sz w:val="20"/>
                <w:szCs w:val="20"/>
                <w:color w:val="auto"/>
              </w:rPr>
            </w:pPr>
            <w:r>
              <w:rPr>
                <w:rFonts w:ascii="Calibri" w:cs="Calibri" w:eastAsia="Calibri" w:hAnsi="Calibri"/>
                <w:sz w:val="13"/>
                <w:szCs w:val="13"/>
                <w:b w:val="1"/>
                <w:bCs w:val="1"/>
                <w:color w:val="auto"/>
              </w:rPr>
              <w:t>-734 bps</w:t>
            </w:r>
          </w:p>
        </w:tc>
        <w:tc>
          <w:tcPr>
            <w:tcW w:w="580" w:type="dxa"/>
            <w:vAlign w:val="bottom"/>
            <w:tcBorders>
              <w:bottom w:val="single" w:sz="8" w:color="auto"/>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b w:val="1"/>
                <w:bCs w:val="1"/>
                <w:color w:val="auto"/>
              </w:rPr>
              <w:t>-402 bps</w:t>
            </w:r>
          </w:p>
        </w:tc>
        <w:tc>
          <w:tcPr>
            <w:tcW w:w="1200" w:type="dxa"/>
            <w:vAlign w:val="bottom"/>
            <w:tcBorders>
              <w:bottom w:val="single" w:sz="8" w:color="auto"/>
            </w:tcBorders>
          </w:tcPr>
          <w:p>
            <w:pPr>
              <w:jc w:val="right"/>
              <w:ind w:right="53"/>
              <w:spacing w:after="0" w:line="149" w:lineRule="exact"/>
              <w:rPr>
                <w:sz w:val="20"/>
                <w:szCs w:val="20"/>
                <w:color w:val="auto"/>
              </w:rPr>
            </w:pPr>
            <w:r>
              <w:rPr>
                <w:rFonts w:ascii="Calibri" w:cs="Calibri" w:eastAsia="Calibri" w:hAnsi="Calibri"/>
                <w:sz w:val="13"/>
                <w:szCs w:val="13"/>
                <w:b w:val="1"/>
                <w:bCs w:val="1"/>
                <w:color w:val="auto"/>
              </w:rPr>
              <w:t>25.54%</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26.48%</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94 bps</w:t>
            </w:r>
          </w:p>
        </w:tc>
        <w:tc>
          <w:tcPr>
            <w:tcW w:w="0" w:type="dxa"/>
            <w:vAlign w:val="bottom"/>
          </w:tcPr>
          <w:p>
            <w:pPr>
              <w:spacing w:after="0"/>
              <w:rPr>
                <w:sz w:val="1"/>
                <w:szCs w:val="1"/>
                <w:color w:val="auto"/>
              </w:rPr>
            </w:pPr>
          </w:p>
        </w:tc>
      </w:tr>
      <w:tr>
        <w:trPr>
          <w:trHeight w:val="272"/>
        </w:trPr>
        <w:tc>
          <w:tcPr>
            <w:tcW w:w="5740" w:type="dxa"/>
            <w:vAlign w:val="bottom"/>
            <w:gridSpan w:val="5"/>
          </w:tcPr>
          <w:p>
            <w:pPr>
              <w:spacing w:after="0"/>
              <w:rPr>
                <w:sz w:val="20"/>
                <w:szCs w:val="20"/>
                <w:color w:val="auto"/>
              </w:rPr>
            </w:pPr>
            <w:r>
              <w:rPr>
                <w:rFonts w:ascii="Calibri" w:cs="Calibri" w:eastAsia="Calibri" w:hAnsi="Calibri"/>
                <w:sz w:val="13"/>
                <w:szCs w:val="13"/>
                <w:color w:val="auto"/>
              </w:rPr>
              <w:t>(1) Annualized. For further detail on the new NIM calculaton due to IFRS17, please refer to Annex 12.1.7</w:t>
            </w: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600" w:type="dxa"/>
            <w:vAlign w:val="bottom"/>
          </w:tcPr>
          <w:p>
            <w:pPr>
              <w:spacing w:after="0"/>
              <w:rPr>
                <w:sz w:val="20"/>
                <w:szCs w:val="20"/>
                <w:color w:val="auto"/>
              </w:rPr>
            </w:pPr>
            <w:r>
              <w:rPr>
                <w:rFonts w:ascii="Calibri" w:cs="Calibri" w:eastAsia="Calibri" w:hAnsi="Calibri"/>
                <w:sz w:val="16"/>
                <w:szCs w:val="16"/>
                <w:b w:val="1"/>
                <w:bCs w:val="1"/>
                <w:color w:val="auto"/>
              </w:rPr>
              <w:t>12.4.</w:t>
            </w:r>
          </w:p>
        </w:tc>
        <w:tc>
          <w:tcPr>
            <w:tcW w:w="5140" w:type="dxa"/>
            <w:vAlign w:val="bottom"/>
            <w:gridSpan w:val="4"/>
          </w:tcPr>
          <w:p>
            <w:pPr>
              <w:ind w:left="20"/>
              <w:spacing w:after="0"/>
              <w:rPr>
                <w:sz w:val="20"/>
                <w:szCs w:val="20"/>
                <w:color w:val="auto"/>
              </w:rPr>
            </w:pPr>
            <w:r>
              <w:rPr>
                <w:rFonts w:ascii="Calibri" w:cs="Calibri" w:eastAsia="Calibri" w:hAnsi="Calibri"/>
                <w:sz w:val="16"/>
                <w:szCs w:val="16"/>
                <w:b w:val="1"/>
                <w:bCs w:val="1"/>
                <w:color w:val="auto"/>
              </w:rPr>
              <w:t>Net Interest Margin (NIM) and Risk Adjusted NIM by Subsidiary</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0" w:type="dxa"/>
            <w:vAlign w:val="bottom"/>
            <w:tcBorders>
              <w:right w:val="single" w:sz="8" w:color="auto"/>
            </w:tcBorders>
          </w:tcPr>
          <w:p>
            <w:pPr>
              <w:spacing w:after="0"/>
              <w:rPr>
                <w:sz w:val="19"/>
                <w:szCs w:val="19"/>
                <w:color w:val="auto"/>
              </w:rPr>
            </w:pPr>
          </w:p>
        </w:tc>
        <w:tc>
          <w:tcPr>
            <w:tcW w:w="2620" w:type="dxa"/>
            <w:vAlign w:val="bottom"/>
            <w:tcBorders>
              <w:right w:val="single" w:sz="8" w:color="2AD2C9"/>
            </w:tcBorders>
            <w:vMerge w:val="restart"/>
            <w:shd w:val="clear" w:color="auto" w:fill="2AD2C9"/>
          </w:tcPr>
          <w:p>
            <w:pPr>
              <w:ind w:left="1240"/>
              <w:spacing w:after="0"/>
              <w:rPr>
                <w:sz w:val="20"/>
                <w:szCs w:val="20"/>
                <w:color w:val="auto"/>
              </w:rPr>
            </w:pPr>
            <w:r>
              <w:rPr>
                <w:rFonts w:ascii="Calibri" w:cs="Calibri" w:eastAsia="Calibri" w:hAnsi="Calibri"/>
                <w:sz w:val="19"/>
                <w:szCs w:val="19"/>
                <w:b w:val="1"/>
                <w:bCs w:val="1"/>
                <w:color w:val="FFFFFF"/>
              </w:rPr>
              <w:t>NIM Breakdown</w:t>
            </w:r>
          </w:p>
        </w:tc>
        <w:tc>
          <w:tcPr>
            <w:tcW w:w="1180" w:type="dxa"/>
            <w:vAlign w:val="bottom"/>
            <w:tcBorders>
              <w:right w:val="single" w:sz="8" w:color="auto"/>
            </w:tcBorders>
            <w:shd w:val="clear" w:color="auto" w:fill="2AD2C9"/>
          </w:tcPr>
          <w:p>
            <w:pPr>
              <w:spacing w:after="0"/>
              <w:rPr>
                <w:sz w:val="19"/>
                <w:szCs w:val="19"/>
                <w:color w:val="auto"/>
              </w:rPr>
            </w:pPr>
          </w:p>
        </w:tc>
        <w:tc>
          <w:tcPr>
            <w:tcW w:w="220" w:type="dxa"/>
            <w:vAlign w:val="bottom"/>
            <w:shd w:val="clear" w:color="auto" w:fill="2AD2C9"/>
          </w:tcPr>
          <w:p>
            <w:pPr>
              <w:spacing w:after="0"/>
              <w:rPr>
                <w:sz w:val="19"/>
                <w:szCs w:val="19"/>
                <w:color w:val="auto"/>
              </w:rPr>
            </w:pPr>
          </w:p>
        </w:tc>
        <w:tc>
          <w:tcPr>
            <w:tcW w:w="1120" w:type="dxa"/>
            <w:vAlign w:val="bottom"/>
            <w:shd w:val="clear" w:color="auto" w:fill="2AD2C9"/>
          </w:tcPr>
          <w:p>
            <w:pPr>
              <w:jc w:val="center"/>
              <w:spacing w:after="0" w:line="219" w:lineRule="exact"/>
              <w:rPr>
                <w:sz w:val="20"/>
                <w:szCs w:val="20"/>
                <w:color w:val="auto"/>
              </w:rPr>
            </w:pPr>
            <w:r>
              <w:rPr>
                <w:rFonts w:ascii="Calibri" w:cs="Calibri" w:eastAsia="Calibri" w:hAnsi="Calibri"/>
                <w:sz w:val="19"/>
                <w:szCs w:val="19"/>
                <w:b w:val="1"/>
                <w:bCs w:val="1"/>
                <w:color w:val="FFFFFF"/>
                <w:w w:val="99"/>
              </w:rPr>
              <w:t>BCP Stand-</w:t>
            </w:r>
          </w:p>
        </w:tc>
        <w:tc>
          <w:tcPr>
            <w:tcW w:w="1580" w:type="dxa"/>
            <w:vAlign w:val="bottom"/>
            <w:gridSpan w:val="2"/>
            <w:vMerge w:val="restart"/>
            <w:shd w:val="clear" w:color="auto" w:fill="2AD2C9"/>
          </w:tcPr>
          <w:p>
            <w:pPr>
              <w:jc w:val="right"/>
              <w:ind w:right="177"/>
              <w:spacing w:after="0"/>
              <w:rPr>
                <w:sz w:val="20"/>
                <w:szCs w:val="20"/>
                <w:color w:val="auto"/>
              </w:rPr>
            </w:pPr>
            <w:r>
              <w:rPr>
                <w:rFonts w:ascii="Calibri" w:cs="Calibri" w:eastAsia="Calibri" w:hAnsi="Calibri"/>
                <w:sz w:val="19"/>
                <w:szCs w:val="19"/>
                <w:b w:val="1"/>
                <w:bCs w:val="1"/>
                <w:color w:val="FFFFFF"/>
              </w:rPr>
              <w:t>Mibanco</w:t>
            </w:r>
          </w:p>
        </w:tc>
        <w:tc>
          <w:tcPr>
            <w:tcW w:w="160" w:type="dxa"/>
            <w:vAlign w:val="bottom"/>
            <w:shd w:val="clear" w:color="auto" w:fill="2AD2C9"/>
          </w:tcPr>
          <w:p>
            <w:pPr>
              <w:spacing w:after="0"/>
              <w:rPr>
                <w:sz w:val="19"/>
                <w:szCs w:val="19"/>
                <w:color w:val="auto"/>
              </w:rPr>
            </w:pPr>
          </w:p>
        </w:tc>
        <w:tc>
          <w:tcPr>
            <w:tcW w:w="1620" w:type="dxa"/>
            <w:vAlign w:val="bottom"/>
            <w:tcBorders>
              <w:right w:val="single" w:sz="8" w:color="auto"/>
            </w:tcBorders>
            <w:gridSpan w:val="2"/>
            <w:vMerge w:val="restart"/>
            <w:shd w:val="clear" w:color="auto" w:fill="2AD2C9"/>
          </w:tcPr>
          <w:p>
            <w:pPr>
              <w:jc w:val="right"/>
              <w:ind w:right="293"/>
              <w:spacing w:after="0"/>
              <w:rPr>
                <w:sz w:val="20"/>
                <w:szCs w:val="20"/>
                <w:color w:val="auto"/>
              </w:rPr>
            </w:pPr>
            <w:r>
              <w:rPr>
                <w:rFonts w:ascii="Calibri" w:cs="Calibri" w:eastAsia="Calibri" w:hAnsi="Calibri"/>
                <w:sz w:val="19"/>
                <w:szCs w:val="19"/>
                <w:b w:val="1"/>
                <w:bCs w:val="1"/>
                <w:color w:val="FFFFFF"/>
              </w:rPr>
              <w:t>BCP Bolivia</w:t>
            </w:r>
          </w:p>
        </w:tc>
        <w:tc>
          <w:tcPr>
            <w:tcW w:w="200" w:type="dxa"/>
            <w:vAlign w:val="bottom"/>
            <w:shd w:val="clear" w:color="auto" w:fill="2AD2C9"/>
          </w:tcPr>
          <w:p>
            <w:pPr>
              <w:spacing w:after="0"/>
              <w:rPr>
                <w:sz w:val="19"/>
                <w:szCs w:val="19"/>
                <w:color w:val="auto"/>
              </w:rPr>
            </w:pPr>
          </w:p>
        </w:tc>
        <w:tc>
          <w:tcPr>
            <w:tcW w:w="1040" w:type="dxa"/>
            <w:vAlign w:val="bottom"/>
            <w:gridSpan w:val="2"/>
            <w:vMerge w:val="restart"/>
            <w:shd w:val="clear" w:color="auto" w:fill="2AD2C9"/>
          </w:tcPr>
          <w:p>
            <w:pPr>
              <w:ind w:left="200"/>
              <w:spacing w:after="0"/>
              <w:rPr>
                <w:sz w:val="20"/>
                <w:szCs w:val="20"/>
                <w:color w:val="auto"/>
              </w:rPr>
            </w:pPr>
            <w:r>
              <w:rPr>
                <w:rFonts w:ascii="Calibri" w:cs="Calibri" w:eastAsia="Calibri" w:hAnsi="Calibri"/>
                <w:sz w:val="19"/>
                <w:szCs w:val="19"/>
                <w:b w:val="1"/>
                <w:bCs w:val="1"/>
                <w:color w:val="FFFFFF"/>
              </w:rPr>
              <w:t>Credicorp</w:t>
            </w:r>
          </w:p>
        </w:tc>
        <w:tc>
          <w:tcPr>
            <w:tcW w:w="340" w:type="dxa"/>
            <w:vAlign w:val="bottom"/>
            <w:tcBorders>
              <w:right w:val="single" w:sz="8" w:color="auto"/>
            </w:tcBorders>
            <w:shd w:val="clear" w:color="auto" w:fill="2AD2C9"/>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600" w:type="dxa"/>
            <w:vAlign w:val="bottom"/>
            <w:tcBorders>
              <w:right w:val="single" w:sz="8" w:color="auto"/>
            </w:tcBorders>
          </w:tcPr>
          <w:p>
            <w:pPr>
              <w:spacing w:after="0"/>
              <w:rPr>
                <w:sz w:val="9"/>
                <w:szCs w:val="9"/>
                <w:color w:val="auto"/>
              </w:rPr>
            </w:pPr>
          </w:p>
        </w:tc>
        <w:tc>
          <w:tcPr>
            <w:tcW w:w="2620" w:type="dxa"/>
            <w:vAlign w:val="bottom"/>
            <w:tcBorders>
              <w:right w:val="single" w:sz="8" w:color="2AD2C9"/>
            </w:tcBorders>
            <w:vMerge w:val="continue"/>
            <w:shd w:val="clear" w:color="auto" w:fill="2AD2C9"/>
          </w:tcPr>
          <w:p>
            <w:pPr>
              <w:spacing w:after="0"/>
              <w:rPr>
                <w:sz w:val="9"/>
                <w:szCs w:val="9"/>
                <w:color w:val="auto"/>
              </w:rPr>
            </w:pPr>
          </w:p>
        </w:tc>
        <w:tc>
          <w:tcPr>
            <w:tcW w:w="1180" w:type="dxa"/>
            <w:vAlign w:val="bottom"/>
            <w:tcBorders>
              <w:right w:val="single" w:sz="8" w:color="auto"/>
            </w:tcBorders>
            <w:shd w:val="clear" w:color="auto" w:fill="2AD2C9"/>
          </w:tcPr>
          <w:p>
            <w:pPr>
              <w:spacing w:after="0"/>
              <w:rPr>
                <w:sz w:val="9"/>
                <w:szCs w:val="9"/>
                <w:color w:val="auto"/>
              </w:rPr>
            </w:pPr>
          </w:p>
        </w:tc>
        <w:tc>
          <w:tcPr>
            <w:tcW w:w="220" w:type="dxa"/>
            <w:vAlign w:val="bottom"/>
            <w:shd w:val="clear" w:color="auto" w:fill="2AD2C9"/>
          </w:tcPr>
          <w:p>
            <w:pPr>
              <w:spacing w:after="0"/>
              <w:rPr>
                <w:sz w:val="9"/>
                <w:szCs w:val="9"/>
                <w:color w:val="auto"/>
              </w:rPr>
            </w:pPr>
          </w:p>
        </w:tc>
        <w:tc>
          <w:tcPr>
            <w:tcW w:w="1120" w:type="dxa"/>
            <w:vAlign w:val="bottom"/>
            <w:vMerge w:val="restart"/>
            <w:shd w:val="clear" w:color="auto" w:fill="2AD2C9"/>
          </w:tcPr>
          <w:p>
            <w:pPr>
              <w:jc w:val="center"/>
              <w:spacing w:after="0" w:line="226" w:lineRule="exact"/>
              <w:rPr>
                <w:sz w:val="20"/>
                <w:szCs w:val="20"/>
                <w:color w:val="auto"/>
              </w:rPr>
            </w:pPr>
            <w:r>
              <w:rPr>
                <w:rFonts w:ascii="Calibri" w:cs="Calibri" w:eastAsia="Calibri" w:hAnsi="Calibri"/>
                <w:sz w:val="19"/>
                <w:szCs w:val="19"/>
                <w:b w:val="1"/>
                <w:bCs w:val="1"/>
                <w:color w:val="FFFFFF"/>
                <w:w w:val="99"/>
              </w:rPr>
              <w:t>alone</w:t>
            </w:r>
          </w:p>
        </w:tc>
        <w:tc>
          <w:tcPr>
            <w:tcW w:w="1580" w:type="dxa"/>
            <w:vAlign w:val="bottom"/>
            <w:gridSpan w:val="2"/>
            <w:vMerge w:val="continue"/>
            <w:shd w:val="clear" w:color="auto" w:fill="2AD2C9"/>
          </w:tcPr>
          <w:p>
            <w:pPr>
              <w:spacing w:after="0"/>
              <w:rPr>
                <w:sz w:val="9"/>
                <w:szCs w:val="9"/>
                <w:color w:val="auto"/>
              </w:rPr>
            </w:pPr>
          </w:p>
        </w:tc>
        <w:tc>
          <w:tcPr>
            <w:tcW w:w="160" w:type="dxa"/>
            <w:vAlign w:val="bottom"/>
            <w:shd w:val="clear" w:color="auto" w:fill="2AD2C9"/>
          </w:tcPr>
          <w:p>
            <w:pPr>
              <w:spacing w:after="0"/>
              <w:rPr>
                <w:sz w:val="9"/>
                <w:szCs w:val="9"/>
                <w:color w:val="auto"/>
              </w:rPr>
            </w:pPr>
          </w:p>
        </w:tc>
        <w:tc>
          <w:tcPr>
            <w:tcW w:w="1620" w:type="dxa"/>
            <w:vAlign w:val="bottom"/>
            <w:tcBorders>
              <w:right w:val="single" w:sz="8" w:color="auto"/>
            </w:tcBorders>
            <w:gridSpan w:val="2"/>
            <w:vMerge w:val="continue"/>
            <w:shd w:val="clear" w:color="auto" w:fill="2AD2C9"/>
          </w:tcPr>
          <w:p>
            <w:pPr>
              <w:spacing w:after="0"/>
              <w:rPr>
                <w:sz w:val="9"/>
                <w:szCs w:val="9"/>
                <w:color w:val="auto"/>
              </w:rPr>
            </w:pPr>
          </w:p>
        </w:tc>
        <w:tc>
          <w:tcPr>
            <w:tcW w:w="200" w:type="dxa"/>
            <w:vAlign w:val="bottom"/>
            <w:shd w:val="clear" w:color="auto" w:fill="2AD2C9"/>
          </w:tcPr>
          <w:p>
            <w:pPr>
              <w:spacing w:after="0"/>
              <w:rPr>
                <w:sz w:val="9"/>
                <w:szCs w:val="9"/>
                <w:color w:val="auto"/>
              </w:rPr>
            </w:pPr>
          </w:p>
        </w:tc>
        <w:tc>
          <w:tcPr>
            <w:tcW w:w="1040" w:type="dxa"/>
            <w:vAlign w:val="bottom"/>
            <w:gridSpan w:val="2"/>
            <w:vMerge w:val="continue"/>
            <w:shd w:val="clear" w:color="auto" w:fill="2AD2C9"/>
          </w:tcPr>
          <w:p>
            <w:pPr>
              <w:spacing w:after="0"/>
              <w:rPr>
                <w:sz w:val="9"/>
                <w:szCs w:val="9"/>
                <w:color w:val="auto"/>
              </w:rPr>
            </w:pPr>
          </w:p>
        </w:tc>
        <w:tc>
          <w:tcPr>
            <w:tcW w:w="340" w:type="dxa"/>
            <w:vAlign w:val="bottom"/>
            <w:tcBorders>
              <w:right w:val="single" w:sz="8" w:color="auto"/>
            </w:tcBorders>
            <w:shd w:val="clear" w:color="auto" w:fill="2AD2C9"/>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600" w:type="dxa"/>
            <w:vAlign w:val="bottom"/>
            <w:tcBorders>
              <w:right w:val="single" w:sz="8" w:color="auto"/>
            </w:tcBorders>
          </w:tcPr>
          <w:p>
            <w:pPr>
              <w:spacing w:after="0"/>
              <w:rPr>
                <w:sz w:val="13"/>
                <w:szCs w:val="13"/>
                <w:color w:val="auto"/>
              </w:rPr>
            </w:pPr>
          </w:p>
        </w:tc>
        <w:tc>
          <w:tcPr>
            <w:tcW w:w="2620" w:type="dxa"/>
            <w:vAlign w:val="bottom"/>
            <w:tcBorders>
              <w:bottom w:val="single" w:sz="8" w:color="2AD2C9"/>
              <w:right w:val="single" w:sz="8" w:color="2AD2C9"/>
            </w:tcBorders>
            <w:shd w:val="clear" w:color="auto" w:fill="2AD2C9"/>
          </w:tcPr>
          <w:p>
            <w:pPr>
              <w:spacing w:after="0"/>
              <w:rPr>
                <w:sz w:val="13"/>
                <w:szCs w:val="13"/>
                <w:color w:val="auto"/>
              </w:rPr>
            </w:pPr>
          </w:p>
        </w:tc>
        <w:tc>
          <w:tcPr>
            <w:tcW w:w="1180" w:type="dxa"/>
            <w:vAlign w:val="bottom"/>
            <w:tcBorders>
              <w:bottom w:val="single" w:sz="8" w:color="2AD2C9"/>
              <w:right w:val="single" w:sz="8" w:color="auto"/>
            </w:tcBorders>
            <w:shd w:val="clear" w:color="auto" w:fill="2AD2C9"/>
          </w:tcPr>
          <w:p>
            <w:pPr>
              <w:spacing w:after="0"/>
              <w:rPr>
                <w:sz w:val="13"/>
                <w:szCs w:val="13"/>
                <w:color w:val="auto"/>
              </w:rPr>
            </w:pPr>
          </w:p>
        </w:tc>
        <w:tc>
          <w:tcPr>
            <w:tcW w:w="220" w:type="dxa"/>
            <w:vAlign w:val="bottom"/>
            <w:tcBorders>
              <w:bottom w:val="single" w:sz="8" w:color="2AD2C9"/>
            </w:tcBorders>
            <w:shd w:val="clear" w:color="auto" w:fill="2AD2C9"/>
          </w:tcPr>
          <w:p>
            <w:pPr>
              <w:spacing w:after="0"/>
              <w:rPr>
                <w:sz w:val="13"/>
                <w:szCs w:val="13"/>
                <w:color w:val="auto"/>
              </w:rPr>
            </w:pPr>
          </w:p>
        </w:tc>
        <w:tc>
          <w:tcPr>
            <w:tcW w:w="1120" w:type="dxa"/>
            <w:vAlign w:val="bottom"/>
            <w:tcBorders>
              <w:bottom w:val="single" w:sz="8" w:color="2AD2C9"/>
            </w:tcBorders>
            <w:vMerge w:val="continue"/>
            <w:shd w:val="clear" w:color="auto" w:fill="2AD2C9"/>
          </w:tcPr>
          <w:p>
            <w:pPr>
              <w:spacing w:after="0"/>
              <w:rPr>
                <w:sz w:val="13"/>
                <w:szCs w:val="13"/>
                <w:color w:val="auto"/>
              </w:rPr>
            </w:pPr>
          </w:p>
        </w:tc>
        <w:tc>
          <w:tcPr>
            <w:tcW w:w="780" w:type="dxa"/>
            <w:vAlign w:val="bottom"/>
            <w:tcBorders>
              <w:bottom w:val="single" w:sz="8" w:color="2AD2C9"/>
              <w:right w:val="single" w:sz="8" w:color="2AD2C9"/>
            </w:tcBorders>
            <w:shd w:val="clear" w:color="auto" w:fill="2AD2C9"/>
          </w:tcPr>
          <w:p>
            <w:pPr>
              <w:spacing w:after="0"/>
              <w:rPr>
                <w:sz w:val="13"/>
                <w:szCs w:val="13"/>
                <w:color w:val="auto"/>
              </w:rPr>
            </w:pPr>
          </w:p>
        </w:tc>
        <w:tc>
          <w:tcPr>
            <w:tcW w:w="800" w:type="dxa"/>
            <w:vAlign w:val="bottom"/>
            <w:tcBorders>
              <w:bottom w:val="single" w:sz="8" w:color="2AD2C9"/>
            </w:tcBorders>
            <w:shd w:val="clear" w:color="auto" w:fill="2AD2C9"/>
          </w:tcPr>
          <w:p>
            <w:pPr>
              <w:spacing w:after="0"/>
              <w:rPr>
                <w:sz w:val="13"/>
                <w:szCs w:val="13"/>
                <w:color w:val="auto"/>
              </w:rPr>
            </w:pPr>
          </w:p>
        </w:tc>
        <w:tc>
          <w:tcPr>
            <w:tcW w:w="160" w:type="dxa"/>
            <w:vAlign w:val="bottom"/>
            <w:tcBorders>
              <w:bottom w:val="single" w:sz="8" w:color="2AD2C9"/>
            </w:tcBorders>
            <w:shd w:val="clear" w:color="auto" w:fill="2AD2C9"/>
          </w:tcPr>
          <w:p>
            <w:pPr>
              <w:spacing w:after="0"/>
              <w:rPr>
                <w:sz w:val="13"/>
                <w:szCs w:val="13"/>
                <w:color w:val="auto"/>
              </w:rPr>
            </w:pPr>
          </w:p>
        </w:tc>
        <w:tc>
          <w:tcPr>
            <w:tcW w:w="420" w:type="dxa"/>
            <w:vAlign w:val="bottom"/>
            <w:tcBorders>
              <w:bottom w:val="single" w:sz="8" w:color="2AD2C9"/>
              <w:right w:val="single" w:sz="8" w:color="2AD2C9"/>
            </w:tcBorders>
            <w:shd w:val="clear" w:color="auto" w:fill="2AD2C9"/>
          </w:tcPr>
          <w:p>
            <w:pPr>
              <w:spacing w:after="0"/>
              <w:rPr>
                <w:sz w:val="13"/>
                <w:szCs w:val="13"/>
                <w:color w:val="auto"/>
              </w:rPr>
            </w:pPr>
          </w:p>
        </w:tc>
        <w:tc>
          <w:tcPr>
            <w:tcW w:w="1200" w:type="dxa"/>
            <w:vAlign w:val="bottom"/>
            <w:tcBorders>
              <w:bottom w:val="single" w:sz="8" w:color="2AD2C9"/>
              <w:right w:val="single" w:sz="8" w:color="auto"/>
            </w:tcBorders>
            <w:shd w:val="clear" w:color="auto" w:fill="2AD2C9"/>
          </w:tcPr>
          <w:p>
            <w:pPr>
              <w:spacing w:after="0"/>
              <w:rPr>
                <w:sz w:val="13"/>
                <w:szCs w:val="13"/>
                <w:color w:val="auto"/>
              </w:rPr>
            </w:pPr>
          </w:p>
        </w:tc>
        <w:tc>
          <w:tcPr>
            <w:tcW w:w="200" w:type="dxa"/>
            <w:vAlign w:val="bottom"/>
            <w:tcBorders>
              <w:bottom w:val="single" w:sz="8" w:color="2AD2C9"/>
            </w:tcBorders>
            <w:shd w:val="clear" w:color="auto" w:fill="2AD2C9"/>
          </w:tcPr>
          <w:p>
            <w:pPr>
              <w:spacing w:after="0"/>
              <w:rPr>
                <w:sz w:val="13"/>
                <w:szCs w:val="13"/>
                <w:color w:val="auto"/>
              </w:rPr>
            </w:pPr>
          </w:p>
        </w:tc>
        <w:tc>
          <w:tcPr>
            <w:tcW w:w="820" w:type="dxa"/>
            <w:vAlign w:val="bottom"/>
            <w:tcBorders>
              <w:bottom w:val="single" w:sz="8" w:color="2AD2C9"/>
              <w:right w:val="single" w:sz="8" w:color="2AD2C9"/>
            </w:tcBorders>
            <w:shd w:val="clear" w:color="auto" w:fill="2AD2C9"/>
          </w:tcPr>
          <w:p>
            <w:pPr>
              <w:spacing w:after="0"/>
              <w:rPr>
                <w:sz w:val="13"/>
                <w:szCs w:val="13"/>
                <w:color w:val="auto"/>
              </w:rPr>
            </w:pPr>
          </w:p>
        </w:tc>
        <w:tc>
          <w:tcPr>
            <w:tcW w:w="220" w:type="dxa"/>
            <w:vAlign w:val="bottom"/>
            <w:tcBorders>
              <w:bottom w:val="single" w:sz="8" w:color="2AD2C9"/>
            </w:tcBorders>
            <w:shd w:val="clear" w:color="auto" w:fill="2AD2C9"/>
          </w:tcPr>
          <w:p>
            <w:pPr>
              <w:spacing w:after="0"/>
              <w:rPr>
                <w:sz w:val="13"/>
                <w:szCs w:val="13"/>
                <w:color w:val="auto"/>
              </w:rPr>
            </w:pPr>
          </w:p>
        </w:tc>
        <w:tc>
          <w:tcPr>
            <w:tcW w:w="340" w:type="dxa"/>
            <w:vAlign w:val="bottom"/>
            <w:tcBorders>
              <w:bottom w:val="single" w:sz="8" w:color="2AD2C9"/>
              <w:right w:val="single" w:sz="8" w:color="auto"/>
            </w:tcBorders>
            <w:shd w:val="clear" w:color="auto" w:fill="2AD2C9"/>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0" w:type="dxa"/>
            <w:vAlign w:val="bottom"/>
            <w:tcBorders>
              <w:right w:val="single" w:sz="8" w:color="auto"/>
            </w:tcBorders>
          </w:tcPr>
          <w:p>
            <w:pPr>
              <w:spacing w:after="0"/>
              <w:rPr>
                <w:sz w:val="19"/>
                <w:szCs w:val="19"/>
                <w:color w:val="auto"/>
              </w:rPr>
            </w:pPr>
          </w:p>
        </w:tc>
        <w:tc>
          <w:tcPr>
            <w:tcW w:w="2620" w:type="dxa"/>
            <w:vAlign w:val="bottom"/>
            <w:tcBorders>
              <w:top w:val="single" w:sz="8" w:color="auto"/>
            </w:tcBorders>
          </w:tcPr>
          <w:p>
            <w:pPr>
              <w:ind w:left="1700"/>
              <w:spacing w:after="0" w:line="219" w:lineRule="exact"/>
              <w:rPr>
                <w:sz w:val="20"/>
                <w:szCs w:val="20"/>
                <w:color w:val="auto"/>
              </w:rPr>
            </w:pPr>
            <w:r>
              <w:rPr>
                <w:rFonts w:ascii="Calibri" w:cs="Calibri" w:eastAsia="Calibri" w:hAnsi="Calibri"/>
                <w:sz w:val="19"/>
                <w:szCs w:val="19"/>
                <w:b w:val="1"/>
                <w:bCs w:val="1"/>
                <w:color w:val="auto"/>
              </w:rPr>
              <w:t>3Q23</w:t>
            </w:r>
          </w:p>
        </w:tc>
        <w:tc>
          <w:tcPr>
            <w:tcW w:w="118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spacing w:after="0" w:line="219" w:lineRule="exact"/>
              <w:rPr>
                <w:sz w:val="20"/>
                <w:szCs w:val="20"/>
                <w:color w:val="auto"/>
              </w:rPr>
            </w:pPr>
            <w:r>
              <w:rPr>
                <w:rFonts w:ascii="Calibri" w:cs="Calibri" w:eastAsia="Calibri" w:hAnsi="Calibri"/>
                <w:sz w:val="19"/>
                <w:szCs w:val="19"/>
                <w:color w:val="auto"/>
                <w:w w:val="97"/>
              </w:rPr>
              <w:t>5.77%</w:t>
            </w:r>
          </w:p>
        </w:tc>
        <w:tc>
          <w:tcPr>
            <w:tcW w:w="1580" w:type="dxa"/>
            <w:vAlign w:val="bottom"/>
            <w:tcBorders>
              <w:top w:val="single" w:sz="8" w:color="auto"/>
            </w:tcBorders>
            <w:gridSpan w:val="2"/>
          </w:tcPr>
          <w:p>
            <w:pPr>
              <w:jc w:val="right"/>
              <w:ind w:right="237"/>
              <w:spacing w:after="0" w:line="219" w:lineRule="exact"/>
              <w:rPr>
                <w:sz w:val="20"/>
                <w:szCs w:val="20"/>
                <w:color w:val="auto"/>
              </w:rPr>
            </w:pPr>
            <w:r>
              <w:rPr>
                <w:rFonts w:ascii="Calibri" w:cs="Calibri" w:eastAsia="Calibri" w:hAnsi="Calibri"/>
                <w:sz w:val="19"/>
                <w:szCs w:val="19"/>
                <w:color w:val="auto"/>
              </w:rPr>
              <w:t>13.64%</w:t>
            </w: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jc w:val="right"/>
              <w:ind w:right="493"/>
              <w:spacing w:after="0" w:line="219" w:lineRule="exact"/>
              <w:rPr>
                <w:sz w:val="20"/>
                <w:szCs w:val="20"/>
                <w:color w:val="auto"/>
              </w:rPr>
            </w:pPr>
            <w:r>
              <w:rPr>
                <w:rFonts w:ascii="Calibri" w:cs="Calibri" w:eastAsia="Calibri" w:hAnsi="Calibri"/>
                <w:sz w:val="19"/>
                <w:szCs w:val="19"/>
                <w:color w:val="auto"/>
              </w:rPr>
              <w:t>2.87%</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19" w:lineRule="exact"/>
              <w:rPr>
                <w:sz w:val="20"/>
                <w:szCs w:val="20"/>
                <w:color w:val="auto"/>
              </w:rPr>
            </w:pPr>
            <w:r>
              <w:rPr>
                <w:rFonts w:ascii="Calibri" w:cs="Calibri" w:eastAsia="Calibri" w:hAnsi="Calibri"/>
                <w:sz w:val="19"/>
                <w:szCs w:val="19"/>
                <w:b w:val="1"/>
                <w:bCs w:val="1"/>
                <w:color w:val="auto"/>
              </w:rPr>
              <w:t>6.11%</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right w:val="single" w:sz="8" w:color="auto"/>
            </w:tcBorders>
          </w:tcPr>
          <w:p>
            <w:pPr>
              <w:spacing w:after="0"/>
              <w:rPr>
                <w:sz w:val="19"/>
                <w:szCs w:val="19"/>
                <w:color w:val="auto"/>
              </w:rPr>
            </w:pPr>
          </w:p>
        </w:tc>
        <w:tc>
          <w:tcPr>
            <w:tcW w:w="2620" w:type="dxa"/>
            <w:vAlign w:val="bottom"/>
          </w:tcPr>
          <w:p>
            <w:pPr>
              <w:ind w:left="1700"/>
              <w:spacing w:after="0" w:line="226" w:lineRule="exact"/>
              <w:rPr>
                <w:sz w:val="20"/>
                <w:szCs w:val="20"/>
                <w:color w:val="auto"/>
              </w:rPr>
            </w:pPr>
            <w:r>
              <w:rPr>
                <w:rFonts w:ascii="Calibri" w:cs="Calibri" w:eastAsia="Calibri" w:hAnsi="Calibri"/>
                <w:sz w:val="19"/>
                <w:szCs w:val="19"/>
                <w:b w:val="1"/>
                <w:bCs w:val="1"/>
                <w:color w:val="auto"/>
              </w:rPr>
              <w:t>2Q24</w:t>
            </w:r>
          </w:p>
        </w:tc>
        <w:tc>
          <w:tcPr>
            <w:tcW w:w="11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spacing w:after="0" w:line="226" w:lineRule="exact"/>
              <w:rPr>
                <w:sz w:val="20"/>
                <w:szCs w:val="20"/>
                <w:color w:val="auto"/>
              </w:rPr>
            </w:pPr>
            <w:r>
              <w:rPr>
                <w:rFonts w:ascii="Calibri" w:cs="Calibri" w:eastAsia="Calibri" w:hAnsi="Calibri"/>
                <w:sz w:val="19"/>
                <w:szCs w:val="19"/>
                <w:color w:val="auto"/>
                <w:w w:val="97"/>
              </w:rPr>
              <w:t>6.08%</w:t>
            </w:r>
          </w:p>
        </w:tc>
        <w:tc>
          <w:tcPr>
            <w:tcW w:w="1580" w:type="dxa"/>
            <w:vAlign w:val="bottom"/>
            <w:gridSpan w:val="2"/>
          </w:tcPr>
          <w:p>
            <w:pPr>
              <w:jc w:val="right"/>
              <w:ind w:right="237"/>
              <w:spacing w:after="0" w:line="226" w:lineRule="exact"/>
              <w:rPr>
                <w:sz w:val="20"/>
                <w:szCs w:val="20"/>
                <w:color w:val="auto"/>
              </w:rPr>
            </w:pPr>
            <w:r>
              <w:rPr>
                <w:rFonts w:ascii="Calibri" w:cs="Calibri" w:eastAsia="Calibri" w:hAnsi="Calibri"/>
                <w:sz w:val="19"/>
                <w:szCs w:val="19"/>
                <w:color w:val="auto"/>
              </w:rPr>
              <w:t>13.61%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Borders>
              <w:right w:val="single" w:sz="8" w:color="auto"/>
            </w:tcBorders>
          </w:tcPr>
          <w:p>
            <w:pPr>
              <w:jc w:val="right"/>
              <w:ind w:right="493"/>
              <w:spacing w:after="0" w:line="226" w:lineRule="exact"/>
              <w:rPr>
                <w:sz w:val="20"/>
                <w:szCs w:val="20"/>
                <w:color w:val="auto"/>
              </w:rPr>
            </w:pPr>
            <w:r>
              <w:rPr>
                <w:rFonts w:ascii="Calibri" w:cs="Calibri" w:eastAsia="Calibri" w:hAnsi="Calibri"/>
                <w:sz w:val="19"/>
                <w:szCs w:val="19"/>
                <w:color w:val="auto"/>
              </w:rPr>
              <w:t>3.03%</w:t>
            </w:r>
          </w:p>
        </w:tc>
        <w:tc>
          <w:tcPr>
            <w:tcW w:w="20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Calibri" w:cs="Calibri" w:eastAsia="Calibri" w:hAnsi="Calibri"/>
                <w:sz w:val="19"/>
                <w:szCs w:val="19"/>
                <w:b w:val="1"/>
                <w:bCs w:val="1"/>
                <w:color w:val="auto"/>
              </w:rPr>
              <w:t>6.33%</w:t>
            </w:r>
          </w:p>
        </w:tc>
        <w:tc>
          <w:tcPr>
            <w:tcW w:w="2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2620" w:type="dxa"/>
            <w:vAlign w:val="bottom"/>
          </w:tcPr>
          <w:p>
            <w:pPr>
              <w:ind w:left="1700"/>
              <w:spacing w:after="0"/>
              <w:rPr>
                <w:sz w:val="20"/>
                <w:szCs w:val="20"/>
                <w:color w:val="auto"/>
              </w:rPr>
            </w:pPr>
            <w:r>
              <w:rPr>
                <w:rFonts w:ascii="Calibri" w:cs="Calibri" w:eastAsia="Calibri" w:hAnsi="Calibri"/>
                <w:sz w:val="19"/>
                <w:szCs w:val="19"/>
                <w:b w:val="1"/>
                <w:bCs w:val="1"/>
                <w:color w:val="auto"/>
              </w:rPr>
              <w:t>3Q24</w:t>
            </w:r>
          </w:p>
        </w:tc>
        <w:tc>
          <w:tcPr>
            <w:tcW w:w="11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9"/>
                <w:szCs w:val="19"/>
                <w:color w:val="auto"/>
                <w:w w:val="97"/>
              </w:rPr>
              <w:t>6.17%</w:t>
            </w:r>
          </w:p>
        </w:tc>
        <w:tc>
          <w:tcPr>
            <w:tcW w:w="1580" w:type="dxa"/>
            <w:vAlign w:val="bottom"/>
            <w:gridSpan w:val="2"/>
          </w:tcPr>
          <w:p>
            <w:pPr>
              <w:jc w:val="right"/>
              <w:ind w:right="237"/>
              <w:spacing w:after="0"/>
              <w:rPr>
                <w:sz w:val="20"/>
                <w:szCs w:val="20"/>
                <w:color w:val="auto"/>
              </w:rPr>
            </w:pPr>
            <w:r>
              <w:rPr>
                <w:rFonts w:ascii="Calibri" w:cs="Calibri" w:eastAsia="Calibri" w:hAnsi="Calibri"/>
                <w:sz w:val="19"/>
                <w:szCs w:val="19"/>
                <w:color w:val="auto"/>
              </w:rPr>
              <w:t>13.86%</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Borders>
              <w:right w:val="single" w:sz="8" w:color="auto"/>
            </w:tcBorders>
          </w:tcPr>
          <w:p>
            <w:pPr>
              <w:jc w:val="right"/>
              <w:ind w:right="493"/>
              <w:spacing w:after="0"/>
              <w:rPr>
                <w:sz w:val="20"/>
                <w:szCs w:val="20"/>
                <w:color w:val="auto"/>
              </w:rPr>
            </w:pPr>
            <w:r>
              <w:rPr>
                <w:rFonts w:ascii="Calibri" w:cs="Calibri" w:eastAsia="Calibri" w:hAnsi="Calibri"/>
                <w:sz w:val="19"/>
                <w:szCs w:val="19"/>
                <w:color w:val="auto"/>
              </w:rPr>
              <w:t>2.95%</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9"/>
                <w:szCs w:val="19"/>
                <w:b w:val="1"/>
                <w:bCs w:val="1"/>
                <w:color w:val="auto"/>
              </w:rPr>
              <w:t>6.43%</w:t>
            </w:r>
          </w:p>
        </w:tc>
        <w:tc>
          <w:tcPr>
            <w:tcW w:w="2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600" w:type="dxa"/>
            <w:vAlign w:val="bottom"/>
            <w:tcBorders>
              <w:right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-4611370</wp:posOffset>
            </wp:positionV>
            <wp:extent cx="108013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jc w:val="center"/>
        <w:spacing w:after="0" w:line="229" w:lineRule="auto"/>
        <w:rPr>
          <w:sz w:val="20"/>
          <w:szCs w:val="20"/>
          <w:color w:val="auto"/>
        </w:rPr>
      </w:pPr>
      <w:r>
        <w:rPr>
          <w:rFonts w:ascii="Calibri" w:cs="Calibri" w:eastAsia="Calibri" w:hAnsi="Calibri"/>
          <w:sz w:val="13"/>
          <w:szCs w:val="13"/>
          <w:color w:val="auto"/>
        </w:rPr>
        <w:t>NIM: Annualized Net interest income (excluding Net Insurance Financial Expenses) / Average period end and period beginning interest-earning assets.</w:t>
      </w:r>
    </w:p>
    <w:p>
      <w:pPr>
        <w:spacing w:after="0" w:line="193"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3820" w:type="dxa"/>
            <w:vAlign w:val="bottom"/>
            <w:tcBorders>
              <w:top w:val="single" w:sz="8" w:color="auto"/>
              <w:left w:val="single" w:sz="8" w:color="auto"/>
              <w:right w:val="single" w:sz="8" w:color="auto"/>
            </w:tcBorders>
            <w:shd w:val="clear" w:color="auto" w:fill="2AD2C9"/>
          </w:tcPr>
          <w:p>
            <w:pPr>
              <w:jc w:val="center"/>
              <w:spacing w:after="0" w:line="207" w:lineRule="exact"/>
              <w:rPr>
                <w:sz w:val="20"/>
                <w:szCs w:val="20"/>
                <w:color w:val="auto"/>
              </w:rPr>
            </w:pPr>
            <w:r>
              <w:rPr>
                <w:rFonts w:ascii="Calibri" w:cs="Calibri" w:eastAsia="Calibri" w:hAnsi="Calibri"/>
                <w:sz w:val="18"/>
                <w:szCs w:val="18"/>
                <w:b w:val="1"/>
                <w:bCs w:val="1"/>
                <w:color w:val="FFFFFF"/>
                <w:w w:val="97"/>
              </w:rPr>
              <w:t>Risk Adjusted NIM</w:t>
            </w:r>
          </w:p>
        </w:tc>
        <w:tc>
          <w:tcPr>
            <w:tcW w:w="1620" w:type="dxa"/>
            <w:vAlign w:val="bottom"/>
            <w:tcBorders>
              <w:top w:val="single" w:sz="8" w:color="auto"/>
            </w:tcBorders>
            <w:shd w:val="clear" w:color="auto" w:fill="2AD2C9"/>
          </w:tcPr>
          <w:p>
            <w:pPr>
              <w:jc w:val="center"/>
              <w:spacing w:after="0" w:line="207" w:lineRule="exact"/>
              <w:rPr>
                <w:sz w:val="20"/>
                <w:szCs w:val="20"/>
                <w:color w:val="auto"/>
              </w:rPr>
            </w:pPr>
            <w:r>
              <w:rPr>
                <w:rFonts w:ascii="Calibri" w:cs="Calibri" w:eastAsia="Calibri" w:hAnsi="Calibri"/>
                <w:sz w:val="18"/>
                <w:szCs w:val="18"/>
                <w:b w:val="1"/>
                <w:bCs w:val="1"/>
                <w:color w:val="FFFFFF"/>
              </w:rPr>
              <w:t>BCP</w:t>
            </w:r>
          </w:p>
        </w:tc>
        <w:tc>
          <w:tcPr>
            <w:tcW w:w="1520" w:type="dxa"/>
            <w:vAlign w:val="bottom"/>
            <w:tcBorders>
              <w:top w:val="single" w:sz="8" w:color="auto"/>
            </w:tcBorders>
            <w:vMerge w:val="restart"/>
            <w:shd w:val="clear" w:color="auto" w:fill="2AD2C9"/>
          </w:tcPr>
          <w:p>
            <w:pPr>
              <w:jc w:val="center"/>
              <w:spacing w:after="0"/>
              <w:rPr>
                <w:sz w:val="20"/>
                <w:szCs w:val="20"/>
                <w:color w:val="auto"/>
              </w:rPr>
            </w:pPr>
            <w:r>
              <w:rPr>
                <w:rFonts w:ascii="Calibri" w:cs="Calibri" w:eastAsia="Calibri" w:hAnsi="Calibri"/>
                <w:sz w:val="18"/>
                <w:szCs w:val="18"/>
                <w:b w:val="1"/>
                <w:bCs w:val="1"/>
                <w:color w:val="FFFFFF"/>
                <w:w w:val="97"/>
              </w:rPr>
              <w:t>Mibanco</w:t>
            </w:r>
          </w:p>
        </w:tc>
        <w:tc>
          <w:tcPr>
            <w:tcW w:w="1560" w:type="dxa"/>
            <w:vAlign w:val="bottom"/>
            <w:tcBorders>
              <w:top w:val="single" w:sz="8" w:color="auto"/>
              <w:right w:val="single" w:sz="8" w:color="auto"/>
            </w:tcBorders>
            <w:shd w:val="clear" w:color="auto" w:fill="2AD2C9"/>
          </w:tcPr>
          <w:p>
            <w:pPr>
              <w:jc w:val="center"/>
              <w:spacing w:after="0" w:line="207" w:lineRule="exact"/>
              <w:rPr>
                <w:sz w:val="20"/>
                <w:szCs w:val="20"/>
                <w:color w:val="auto"/>
              </w:rPr>
            </w:pPr>
            <w:r>
              <w:rPr>
                <w:rFonts w:ascii="Calibri" w:cs="Calibri" w:eastAsia="Calibri" w:hAnsi="Calibri"/>
                <w:sz w:val="18"/>
                <w:szCs w:val="18"/>
                <w:b w:val="1"/>
                <w:bCs w:val="1"/>
                <w:color w:val="FFFFFF"/>
                <w:w w:val="95"/>
              </w:rPr>
              <w:t>BCP</w:t>
            </w:r>
          </w:p>
        </w:tc>
        <w:tc>
          <w:tcPr>
            <w:tcW w:w="158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Calibri" w:cs="Calibri" w:eastAsia="Calibri" w:hAnsi="Calibri"/>
                <w:sz w:val="18"/>
                <w:szCs w:val="18"/>
                <w:b w:val="1"/>
                <w:bCs w:val="1"/>
                <w:color w:val="FFFFFF"/>
                <w:w w:val="99"/>
              </w:rPr>
              <w:t>Credicorp</w:t>
            </w:r>
          </w:p>
        </w:tc>
        <w:tc>
          <w:tcPr>
            <w:tcW w:w="0" w:type="dxa"/>
            <w:vAlign w:val="bottom"/>
          </w:tcPr>
          <w:p>
            <w:pPr>
              <w:spacing w:after="0"/>
              <w:rPr>
                <w:sz w:val="1"/>
                <w:szCs w:val="1"/>
                <w:color w:val="auto"/>
              </w:rPr>
            </w:pPr>
          </w:p>
        </w:tc>
      </w:tr>
      <w:tr>
        <w:trPr>
          <w:trHeight w:val="107"/>
        </w:trPr>
        <w:tc>
          <w:tcPr>
            <w:tcW w:w="3820" w:type="dxa"/>
            <w:vAlign w:val="bottom"/>
            <w:tcBorders>
              <w:left w:val="single" w:sz="8" w:color="auto"/>
              <w:right w:val="single" w:sz="8" w:color="auto"/>
            </w:tcBorders>
            <w:vMerge w:val="restart"/>
            <w:shd w:val="clear" w:color="auto" w:fill="2AD2C9"/>
          </w:tcPr>
          <w:p>
            <w:pPr>
              <w:jc w:val="center"/>
              <w:spacing w:after="0" w:line="215" w:lineRule="exact"/>
              <w:rPr>
                <w:sz w:val="20"/>
                <w:szCs w:val="20"/>
                <w:color w:val="auto"/>
              </w:rPr>
            </w:pPr>
            <w:r>
              <w:rPr>
                <w:rFonts w:ascii="Calibri" w:cs="Calibri" w:eastAsia="Calibri" w:hAnsi="Calibri"/>
                <w:sz w:val="18"/>
                <w:szCs w:val="18"/>
                <w:b w:val="1"/>
                <w:bCs w:val="1"/>
                <w:color w:val="FFFFFF"/>
                <w:w w:val="95"/>
              </w:rPr>
              <w:t>Breakdown</w:t>
            </w:r>
          </w:p>
        </w:tc>
        <w:tc>
          <w:tcPr>
            <w:tcW w:w="1620" w:type="dxa"/>
            <w:vAlign w:val="bottom"/>
            <w:vMerge w:val="restart"/>
            <w:shd w:val="clear" w:color="auto" w:fill="2AD2C9"/>
          </w:tcPr>
          <w:p>
            <w:pPr>
              <w:jc w:val="center"/>
              <w:spacing w:after="0" w:line="215" w:lineRule="exact"/>
              <w:rPr>
                <w:sz w:val="20"/>
                <w:szCs w:val="20"/>
                <w:color w:val="auto"/>
              </w:rPr>
            </w:pPr>
            <w:r>
              <w:rPr>
                <w:rFonts w:ascii="Calibri" w:cs="Calibri" w:eastAsia="Calibri" w:hAnsi="Calibri"/>
                <w:sz w:val="18"/>
                <w:szCs w:val="18"/>
                <w:b w:val="1"/>
                <w:bCs w:val="1"/>
                <w:color w:val="FFFFFF"/>
                <w:w w:val="97"/>
              </w:rPr>
              <w:t>Stand-alone</w:t>
            </w:r>
          </w:p>
        </w:tc>
        <w:tc>
          <w:tcPr>
            <w:tcW w:w="1520" w:type="dxa"/>
            <w:vAlign w:val="bottom"/>
            <w:vMerge w:val="continue"/>
            <w:shd w:val="clear" w:color="auto" w:fill="2AD2C9"/>
          </w:tcPr>
          <w:p>
            <w:pPr>
              <w:spacing w:after="0"/>
              <w:rPr>
                <w:sz w:val="9"/>
                <w:szCs w:val="9"/>
                <w:color w:val="auto"/>
              </w:rPr>
            </w:pPr>
          </w:p>
        </w:tc>
        <w:tc>
          <w:tcPr>
            <w:tcW w:w="1560" w:type="dxa"/>
            <w:vAlign w:val="bottom"/>
            <w:tcBorders>
              <w:right w:val="single" w:sz="8" w:color="auto"/>
            </w:tcBorders>
            <w:vMerge w:val="restart"/>
            <w:shd w:val="clear" w:color="auto" w:fill="2AD2C9"/>
          </w:tcPr>
          <w:p>
            <w:pPr>
              <w:jc w:val="center"/>
              <w:spacing w:after="0" w:line="215" w:lineRule="exact"/>
              <w:rPr>
                <w:sz w:val="20"/>
                <w:szCs w:val="20"/>
                <w:color w:val="auto"/>
              </w:rPr>
            </w:pPr>
            <w:r>
              <w:rPr>
                <w:rFonts w:ascii="Calibri" w:cs="Calibri" w:eastAsia="Calibri" w:hAnsi="Calibri"/>
                <w:sz w:val="18"/>
                <w:szCs w:val="18"/>
                <w:b w:val="1"/>
                <w:bCs w:val="1"/>
                <w:color w:val="FFFFFF"/>
                <w:w w:val="95"/>
              </w:rPr>
              <w:t>Bolivia</w:t>
            </w:r>
          </w:p>
        </w:tc>
        <w:tc>
          <w:tcPr>
            <w:tcW w:w="1580" w:type="dxa"/>
            <w:vAlign w:val="bottom"/>
            <w:tcBorders>
              <w:right w:val="single" w:sz="8" w:color="auto"/>
            </w:tcBorders>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820" w:type="dxa"/>
            <w:vAlign w:val="bottom"/>
            <w:tcBorders>
              <w:left w:val="single" w:sz="8" w:color="auto"/>
              <w:bottom w:val="single" w:sz="8" w:color="2AD2C9"/>
              <w:right w:val="single" w:sz="8" w:color="auto"/>
            </w:tcBorders>
            <w:vMerge w:val="continue"/>
            <w:shd w:val="clear" w:color="auto" w:fill="2AD2C9"/>
          </w:tcPr>
          <w:p>
            <w:pPr>
              <w:spacing w:after="0"/>
              <w:rPr>
                <w:sz w:val="11"/>
                <w:szCs w:val="11"/>
                <w:color w:val="auto"/>
              </w:rPr>
            </w:pPr>
          </w:p>
        </w:tc>
        <w:tc>
          <w:tcPr>
            <w:tcW w:w="1620" w:type="dxa"/>
            <w:vAlign w:val="bottom"/>
            <w:tcBorders>
              <w:bottom w:val="single" w:sz="8" w:color="2AD2C9"/>
            </w:tcBorders>
            <w:vMerge w:val="continue"/>
            <w:shd w:val="clear" w:color="auto" w:fill="2AD2C9"/>
          </w:tcPr>
          <w:p>
            <w:pPr>
              <w:spacing w:after="0"/>
              <w:rPr>
                <w:sz w:val="11"/>
                <w:szCs w:val="11"/>
                <w:color w:val="auto"/>
              </w:rPr>
            </w:pPr>
          </w:p>
        </w:tc>
        <w:tc>
          <w:tcPr>
            <w:tcW w:w="1520" w:type="dxa"/>
            <w:vAlign w:val="bottom"/>
            <w:tcBorders>
              <w:bottom w:val="single" w:sz="8" w:color="2AD2C9"/>
            </w:tcBorders>
            <w:shd w:val="clear" w:color="auto" w:fill="2AD2C9"/>
          </w:tcPr>
          <w:p>
            <w:pPr>
              <w:spacing w:after="0"/>
              <w:rPr>
                <w:sz w:val="11"/>
                <w:szCs w:val="11"/>
                <w:color w:val="auto"/>
              </w:rPr>
            </w:pPr>
          </w:p>
        </w:tc>
        <w:tc>
          <w:tcPr>
            <w:tcW w:w="1560" w:type="dxa"/>
            <w:vAlign w:val="bottom"/>
            <w:tcBorders>
              <w:bottom w:val="single" w:sz="8" w:color="2AD2C9"/>
              <w:right w:val="single" w:sz="8" w:color="auto"/>
            </w:tcBorders>
            <w:vMerge w:val="continue"/>
            <w:shd w:val="clear" w:color="auto" w:fill="2AD2C9"/>
          </w:tcPr>
          <w:p>
            <w:pPr>
              <w:spacing w:after="0"/>
              <w:rPr>
                <w:sz w:val="11"/>
                <w:szCs w:val="11"/>
                <w:color w:val="auto"/>
              </w:rPr>
            </w:pPr>
          </w:p>
        </w:tc>
        <w:tc>
          <w:tcPr>
            <w:tcW w:w="1580" w:type="dxa"/>
            <w:vAlign w:val="bottom"/>
            <w:tcBorders>
              <w:bottom w:val="single" w:sz="8" w:color="2AD2C9"/>
              <w:right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20" w:type="dxa"/>
            <w:vAlign w:val="bottom"/>
            <w:tcBorders>
              <w:top w:val="single" w:sz="8" w:color="auto"/>
              <w:left w:val="single" w:sz="8" w:color="auto"/>
              <w:right w:val="single" w:sz="8" w:color="auto"/>
            </w:tcBorders>
          </w:tcPr>
          <w:p>
            <w:pPr>
              <w:jc w:val="center"/>
              <w:spacing w:after="0" w:line="212" w:lineRule="exact"/>
              <w:rPr>
                <w:sz w:val="20"/>
                <w:szCs w:val="20"/>
                <w:color w:val="auto"/>
              </w:rPr>
            </w:pPr>
            <w:r>
              <w:rPr>
                <w:rFonts w:ascii="Calibri" w:cs="Calibri" w:eastAsia="Calibri" w:hAnsi="Calibri"/>
                <w:sz w:val="20"/>
                <w:szCs w:val="20"/>
                <w:b w:val="1"/>
                <w:bCs w:val="1"/>
                <w:color w:val="auto"/>
                <w:w w:val="99"/>
              </w:rPr>
              <w:t>3Q23</w:t>
            </w:r>
          </w:p>
        </w:tc>
        <w:tc>
          <w:tcPr>
            <w:tcW w:w="1620" w:type="dxa"/>
            <w:vAlign w:val="bottom"/>
            <w:tcBorders>
              <w:top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4.18%</w:t>
            </w:r>
          </w:p>
        </w:tc>
        <w:tc>
          <w:tcPr>
            <w:tcW w:w="1520" w:type="dxa"/>
            <w:vAlign w:val="bottom"/>
            <w:tcBorders>
              <w:top w:val="single" w:sz="8" w:color="auto"/>
            </w:tcBorders>
          </w:tcPr>
          <w:p>
            <w:pPr>
              <w:jc w:val="center"/>
              <w:ind w:right="3"/>
              <w:spacing w:after="0" w:line="212" w:lineRule="exact"/>
              <w:rPr>
                <w:sz w:val="20"/>
                <w:szCs w:val="20"/>
                <w:color w:val="auto"/>
              </w:rPr>
            </w:pPr>
            <w:r>
              <w:rPr>
                <w:rFonts w:ascii="Calibri" w:cs="Calibri" w:eastAsia="Calibri" w:hAnsi="Calibri"/>
                <w:sz w:val="20"/>
                <w:szCs w:val="20"/>
                <w:color w:val="auto"/>
              </w:rPr>
              <w:t>8.73%</w:t>
            </w:r>
          </w:p>
        </w:tc>
        <w:tc>
          <w:tcPr>
            <w:tcW w:w="1560" w:type="dxa"/>
            <w:vAlign w:val="bottom"/>
            <w:tcBorders>
              <w:top w:val="single" w:sz="8" w:color="auto"/>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2.47%</w:t>
            </w:r>
          </w:p>
        </w:tc>
        <w:tc>
          <w:tcPr>
            <w:tcW w:w="1580" w:type="dxa"/>
            <w:vAlign w:val="bottom"/>
            <w:tcBorders>
              <w:top w:val="single" w:sz="8" w:color="auto"/>
              <w:right w:val="single" w:sz="8" w:color="auto"/>
            </w:tcBorders>
          </w:tcPr>
          <w:p>
            <w:pPr>
              <w:jc w:val="center"/>
              <w:spacing w:after="0" w:line="212" w:lineRule="exact"/>
              <w:rPr>
                <w:sz w:val="20"/>
                <w:szCs w:val="20"/>
                <w:color w:val="auto"/>
              </w:rPr>
            </w:pPr>
            <w:r>
              <w:rPr>
                <w:rFonts w:ascii="Calibri" w:cs="Calibri" w:eastAsia="Calibri" w:hAnsi="Calibri"/>
                <w:sz w:val="20"/>
                <w:szCs w:val="20"/>
                <w:b w:val="1"/>
                <w:bCs w:val="1"/>
                <w:color w:val="auto"/>
                <w:w w:val="99"/>
              </w:rPr>
              <w:t>4.45%</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right w:val="single" w:sz="8" w:color="auto"/>
            </w:tcBorders>
          </w:tcPr>
          <w:p>
            <w:pPr>
              <w:jc w:val="center"/>
              <w:spacing w:after="0" w:line="234" w:lineRule="exact"/>
              <w:rPr>
                <w:sz w:val="20"/>
                <w:szCs w:val="20"/>
                <w:color w:val="auto"/>
              </w:rPr>
            </w:pPr>
            <w:r>
              <w:rPr>
                <w:rFonts w:ascii="Calibri" w:cs="Calibri" w:eastAsia="Calibri" w:hAnsi="Calibri"/>
                <w:sz w:val="20"/>
                <w:szCs w:val="20"/>
                <w:b w:val="1"/>
                <w:bCs w:val="1"/>
                <w:color w:val="auto"/>
                <w:w w:val="99"/>
              </w:rPr>
              <w:t>2Q24</w:t>
            </w:r>
          </w:p>
        </w:tc>
        <w:tc>
          <w:tcPr>
            <w:tcW w:w="1620" w:type="dxa"/>
            <w:vAlign w:val="bottom"/>
          </w:tcPr>
          <w:p>
            <w:pPr>
              <w:jc w:val="center"/>
              <w:spacing w:after="0" w:line="234" w:lineRule="exact"/>
              <w:rPr>
                <w:sz w:val="20"/>
                <w:szCs w:val="20"/>
                <w:color w:val="auto"/>
              </w:rPr>
            </w:pPr>
            <w:r>
              <w:rPr>
                <w:rFonts w:ascii="Calibri" w:cs="Calibri" w:eastAsia="Calibri" w:hAnsi="Calibri"/>
                <w:sz w:val="20"/>
                <w:szCs w:val="20"/>
                <w:color w:val="auto"/>
              </w:rPr>
              <w:t>4.30%</w:t>
            </w:r>
          </w:p>
        </w:tc>
        <w:tc>
          <w:tcPr>
            <w:tcW w:w="1520" w:type="dxa"/>
            <w:vAlign w:val="bottom"/>
          </w:tcPr>
          <w:p>
            <w:pPr>
              <w:jc w:val="center"/>
              <w:ind w:right="3"/>
              <w:spacing w:after="0" w:line="234" w:lineRule="exact"/>
              <w:rPr>
                <w:sz w:val="20"/>
                <w:szCs w:val="20"/>
                <w:color w:val="auto"/>
              </w:rPr>
            </w:pPr>
            <w:r>
              <w:rPr>
                <w:rFonts w:ascii="Calibri" w:cs="Calibri" w:eastAsia="Calibri" w:hAnsi="Calibri"/>
                <w:sz w:val="20"/>
                <w:szCs w:val="20"/>
                <w:color w:val="auto"/>
              </w:rPr>
              <w:t>7.67%</w:t>
            </w:r>
          </w:p>
        </w:tc>
        <w:tc>
          <w:tcPr>
            <w:tcW w:w="15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2.25%</w:t>
            </w:r>
          </w:p>
        </w:tc>
        <w:tc>
          <w:tcPr>
            <w:tcW w:w="15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b w:val="1"/>
                <w:bCs w:val="1"/>
                <w:color w:val="auto"/>
                <w:w w:val="99"/>
              </w:rPr>
              <w:t>4.40%</w:t>
            </w:r>
          </w:p>
        </w:tc>
        <w:tc>
          <w:tcPr>
            <w:tcW w:w="0" w:type="dxa"/>
            <w:vAlign w:val="bottom"/>
          </w:tcPr>
          <w:p>
            <w:pPr>
              <w:spacing w:after="0"/>
              <w:rPr>
                <w:sz w:val="1"/>
                <w:szCs w:val="1"/>
                <w:color w:val="auto"/>
              </w:rPr>
            </w:pPr>
          </w:p>
        </w:tc>
      </w:tr>
      <w:tr>
        <w:trPr>
          <w:trHeight w:val="243"/>
        </w:trPr>
        <w:tc>
          <w:tcPr>
            <w:tcW w:w="3820" w:type="dxa"/>
            <w:vAlign w:val="bottom"/>
            <w:tcBorders>
              <w:left w:val="single" w:sz="8" w:color="auto"/>
              <w:right w:val="single" w:sz="8" w:color="auto"/>
            </w:tcBorders>
          </w:tcPr>
          <w:p>
            <w:pPr>
              <w:jc w:val="center"/>
              <w:spacing w:after="0" w:line="243" w:lineRule="exact"/>
              <w:rPr>
                <w:sz w:val="20"/>
                <w:szCs w:val="20"/>
                <w:color w:val="auto"/>
              </w:rPr>
            </w:pPr>
            <w:r>
              <w:rPr>
                <w:rFonts w:ascii="Calibri" w:cs="Calibri" w:eastAsia="Calibri" w:hAnsi="Calibri"/>
                <w:sz w:val="20"/>
                <w:szCs w:val="20"/>
                <w:b w:val="1"/>
                <w:bCs w:val="1"/>
                <w:color w:val="auto"/>
                <w:w w:val="99"/>
              </w:rPr>
              <w:t>3Q24</w:t>
            </w:r>
          </w:p>
        </w:tc>
        <w:tc>
          <w:tcPr>
            <w:tcW w:w="1620" w:type="dxa"/>
            <w:vAlign w:val="bottom"/>
          </w:tcPr>
          <w:p>
            <w:pPr>
              <w:jc w:val="center"/>
              <w:spacing w:after="0" w:line="243" w:lineRule="exact"/>
              <w:rPr>
                <w:sz w:val="20"/>
                <w:szCs w:val="20"/>
                <w:color w:val="auto"/>
              </w:rPr>
            </w:pPr>
            <w:r>
              <w:rPr>
                <w:rFonts w:ascii="Calibri" w:cs="Calibri" w:eastAsia="Calibri" w:hAnsi="Calibri"/>
                <w:sz w:val="20"/>
                <w:szCs w:val="20"/>
                <w:color w:val="auto"/>
              </w:rPr>
              <w:t>4.75%</w:t>
            </w:r>
          </w:p>
        </w:tc>
        <w:tc>
          <w:tcPr>
            <w:tcW w:w="1520" w:type="dxa"/>
            <w:vAlign w:val="bottom"/>
          </w:tcPr>
          <w:p>
            <w:pPr>
              <w:jc w:val="center"/>
              <w:ind w:right="3"/>
              <w:spacing w:after="0" w:line="243" w:lineRule="exact"/>
              <w:rPr>
                <w:sz w:val="20"/>
                <w:szCs w:val="20"/>
                <w:color w:val="auto"/>
              </w:rPr>
            </w:pPr>
            <w:r>
              <w:rPr>
                <w:rFonts w:ascii="Calibri" w:cs="Calibri" w:eastAsia="Calibri" w:hAnsi="Calibri"/>
                <w:sz w:val="20"/>
                <w:szCs w:val="20"/>
                <w:color w:val="auto"/>
              </w:rPr>
              <w:t>9.12%</w:t>
            </w:r>
          </w:p>
        </w:tc>
        <w:tc>
          <w:tcPr>
            <w:tcW w:w="156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color w:val="auto"/>
              </w:rPr>
              <w:t>2.59%</w:t>
            </w:r>
          </w:p>
        </w:tc>
        <w:tc>
          <w:tcPr>
            <w:tcW w:w="1580" w:type="dxa"/>
            <w:vAlign w:val="bottom"/>
            <w:tcBorders>
              <w:right w:val="single" w:sz="8" w:color="auto"/>
            </w:tcBorders>
          </w:tcPr>
          <w:p>
            <w:pPr>
              <w:jc w:val="center"/>
              <w:spacing w:after="0" w:line="243" w:lineRule="exact"/>
              <w:rPr>
                <w:sz w:val="20"/>
                <w:szCs w:val="20"/>
                <w:color w:val="auto"/>
              </w:rPr>
            </w:pPr>
            <w:r>
              <w:rPr>
                <w:rFonts w:ascii="Calibri" w:cs="Calibri" w:eastAsia="Calibri" w:hAnsi="Calibri"/>
                <w:sz w:val="20"/>
                <w:szCs w:val="20"/>
                <w:b w:val="1"/>
                <w:bCs w:val="1"/>
                <w:color w:val="auto"/>
                <w:w w:val="99"/>
              </w:rPr>
              <w:t>4.93%</w:t>
            </w:r>
          </w:p>
        </w:tc>
        <w:tc>
          <w:tcPr>
            <w:tcW w:w="0" w:type="dxa"/>
            <w:vAlign w:val="bottom"/>
          </w:tcPr>
          <w:p>
            <w:pPr>
              <w:spacing w:after="0"/>
              <w:rPr>
                <w:sz w:val="1"/>
                <w:szCs w:val="1"/>
                <w:color w:val="auto"/>
              </w:rPr>
            </w:pPr>
          </w:p>
        </w:tc>
      </w:tr>
      <w:tr>
        <w:trPr>
          <w:trHeight w:val="33"/>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jc w:val="center"/>
        <w:spacing w:after="0" w:line="208" w:lineRule="auto"/>
        <w:rPr>
          <w:sz w:val="20"/>
          <w:szCs w:val="20"/>
          <w:color w:val="auto"/>
        </w:rPr>
      </w:pPr>
      <w:r>
        <w:rPr>
          <w:rFonts w:ascii="Calibri" w:cs="Calibri" w:eastAsia="Calibri" w:hAnsi="Calibri"/>
          <w:sz w:val="13"/>
          <w:szCs w:val="13"/>
          <w:color w:val="auto"/>
        </w:rPr>
        <w:t>Risk-Adjusted NIM: (Annualized Net interest income (excluding Net Insurance Financial Expenses) - annualized provisions) / Average period end and period beginning interest-earning assets.</w:t>
      </w:r>
    </w:p>
    <w:p>
      <w:pPr>
        <w:spacing w:after="0" w:line="31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15"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20"/>
          <w:szCs w:val="20"/>
          <w:b w:val="1"/>
          <w:bCs w:val="1"/>
          <w:color w:val="auto"/>
        </w:rPr>
        <w:t>12.5.</w:t>
        <w:tab/>
        <w:t>Regulatory Capital</w:t>
      </w:r>
    </w:p>
    <w:p>
      <w:pPr>
        <w:jc w:val="center"/>
        <w:spacing w:after="0" w:line="238" w:lineRule="auto"/>
        <w:rPr>
          <w:sz w:val="20"/>
          <w:szCs w:val="20"/>
          <w:color w:val="auto"/>
        </w:rPr>
      </w:pPr>
      <w:r>
        <w:rPr>
          <w:rFonts w:ascii="Calibri" w:cs="Calibri" w:eastAsia="Calibri" w:hAnsi="Calibri"/>
          <w:sz w:val="20"/>
          <w:szCs w:val="20"/>
          <w:b w:val="1"/>
          <w:bCs w:val="1"/>
          <w:color w:val="auto"/>
        </w:rPr>
        <w:t>Regulatory Capital and Capital Adequacy Ratos</w:t>
      </w:r>
    </w:p>
    <w:p>
      <w:pPr>
        <w:jc w:val="center"/>
        <w:spacing w:after="0"/>
        <w:rPr>
          <w:sz w:val="20"/>
          <w:szCs w:val="20"/>
          <w:color w:val="auto"/>
        </w:rPr>
      </w:pPr>
      <w:r>
        <w:rPr>
          <w:rFonts w:ascii="Calibri" w:cs="Calibri" w:eastAsia="Calibri" w:hAnsi="Calibri"/>
          <w:sz w:val="20"/>
          <w:szCs w:val="20"/>
          <w:b w:val="1"/>
          <w:bCs w:val="1"/>
          <w:color w:val="auto"/>
        </w:rPr>
        <w:t>(IFRS)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66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Calibri" w:cs="Calibri" w:eastAsia="Calibri" w:hAnsi="Calibri"/>
                <w:sz w:val="18"/>
                <w:szCs w:val="18"/>
                <w:b w:val="1"/>
                <w:bCs w:val="1"/>
                <w:color w:val="FFFFFF"/>
              </w:rPr>
              <w:t>Regulatory Capital and Capital Adequacy Ratos</w:t>
            </w:r>
          </w:p>
        </w:tc>
        <w:tc>
          <w:tcPr>
            <w:tcW w:w="1900" w:type="dxa"/>
            <w:vAlign w:val="bottom"/>
            <w:tcBorders>
              <w:top w:val="single" w:sz="8" w:color="auto"/>
            </w:tcBorders>
            <w:shd w:val="clear" w:color="auto" w:fill="2AD2C9"/>
          </w:tcPr>
          <w:p>
            <w:pPr>
              <w:jc w:val="right"/>
              <w:ind w:right="70"/>
              <w:spacing w:after="0"/>
              <w:rPr>
                <w:sz w:val="20"/>
                <w:szCs w:val="20"/>
                <w:color w:val="auto"/>
              </w:rPr>
            </w:pPr>
            <w:r>
              <w:rPr>
                <w:rFonts w:ascii="Calibri" w:cs="Calibri" w:eastAsia="Calibri" w:hAnsi="Calibri"/>
                <w:sz w:val="18"/>
                <w:szCs w:val="18"/>
                <w:b w:val="1"/>
                <w:bCs w:val="1"/>
                <w:color w:val="FFFFFF"/>
              </w:rPr>
              <w:t>As of</w:t>
            </w:r>
          </w:p>
        </w:tc>
        <w:tc>
          <w:tcPr>
            <w:tcW w:w="1240" w:type="dxa"/>
            <w:vAlign w:val="bottom"/>
            <w:tcBorders>
              <w:top w:val="single" w:sz="8" w:color="auto"/>
              <w:right w:val="single" w:sz="8" w:color="auto"/>
            </w:tcBorders>
            <w:shd w:val="clear" w:color="auto" w:fill="2AD2C9"/>
          </w:tcPr>
          <w:p>
            <w:pPr>
              <w:spacing w:after="0"/>
              <w:rPr>
                <w:sz w:val="19"/>
                <w:szCs w:val="19"/>
                <w:color w:val="auto"/>
              </w:rPr>
            </w:pPr>
          </w:p>
        </w:tc>
        <w:tc>
          <w:tcPr>
            <w:tcW w:w="1500" w:type="dxa"/>
            <w:vAlign w:val="bottom"/>
            <w:tcBorders>
              <w:top w:val="single" w:sz="8" w:color="auto"/>
              <w:right w:val="single" w:sz="8" w:color="auto"/>
            </w:tcBorders>
            <w:shd w:val="clear" w:color="auto" w:fill="2AD2C9"/>
          </w:tcPr>
          <w:p>
            <w:pPr>
              <w:jc w:val="right"/>
              <w:ind w:right="286"/>
              <w:spacing w:after="0"/>
              <w:rPr>
                <w:sz w:val="20"/>
                <w:szCs w:val="20"/>
                <w:color w:val="auto"/>
              </w:rPr>
            </w:pPr>
            <w:r>
              <w:rPr>
                <w:rFonts w:ascii="Calibri" w:cs="Calibri" w:eastAsia="Calibri" w:hAnsi="Calibri"/>
                <w:sz w:val="18"/>
                <w:szCs w:val="18"/>
                <w:b w:val="1"/>
                <w:bCs w:val="1"/>
                <w:color w:val="FFFFFF"/>
              </w:rPr>
              <w:t>% Change</w:t>
            </w:r>
          </w:p>
        </w:tc>
      </w:tr>
      <w:tr>
        <w:trPr>
          <w:trHeight w:val="216"/>
        </w:trPr>
        <w:tc>
          <w:tcPr>
            <w:tcW w:w="6600" w:type="dxa"/>
            <w:vAlign w:val="bottom"/>
            <w:tcBorders>
              <w:left w:val="single" w:sz="8" w:color="auto"/>
              <w:bottom w:val="single" w:sz="8" w:color="auto"/>
              <w:right w:val="single" w:sz="8" w:color="auto"/>
            </w:tcBorders>
            <w:shd w:val="clear" w:color="auto" w:fill="2AD2C9"/>
          </w:tcPr>
          <w:p>
            <w:pPr>
              <w:ind w:left="20"/>
              <w:spacing w:after="0" w:line="215" w:lineRule="exact"/>
              <w:rPr>
                <w:sz w:val="20"/>
                <w:szCs w:val="20"/>
                <w:color w:val="auto"/>
              </w:rPr>
            </w:pPr>
            <w:r>
              <w:rPr>
                <w:rFonts w:ascii="Calibri" w:cs="Calibri" w:eastAsia="Calibri" w:hAnsi="Calibri"/>
                <w:sz w:val="18"/>
                <w:szCs w:val="18"/>
                <w:b w:val="1"/>
                <w:bCs w:val="1"/>
                <w:color w:val="FFFFFF"/>
              </w:rPr>
              <w:t>S/000</w:t>
            </w:r>
          </w:p>
        </w:tc>
        <w:tc>
          <w:tcPr>
            <w:tcW w:w="1900" w:type="dxa"/>
            <w:vAlign w:val="bottom"/>
            <w:tcBorders>
              <w:bottom w:val="single" w:sz="8" w:color="auto"/>
            </w:tcBorders>
            <w:shd w:val="clear" w:color="auto" w:fill="2AD2C9"/>
          </w:tcPr>
          <w:p>
            <w:pPr>
              <w:jc w:val="right"/>
              <w:ind w:right="870"/>
              <w:spacing w:after="0" w:line="215" w:lineRule="exact"/>
              <w:rPr>
                <w:sz w:val="20"/>
                <w:szCs w:val="20"/>
                <w:color w:val="auto"/>
              </w:rPr>
            </w:pPr>
            <w:r>
              <w:rPr>
                <w:rFonts w:ascii="Calibri" w:cs="Calibri" w:eastAsia="Calibri" w:hAnsi="Calibri"/>
                <w:sz w:val="18"/>
                <w:szCs w:val="18"/>
                <w:b w:val="1"/>
                <w:bCs w:val="1"/>
                <w:color w:val="FFFFFF"/>
              </w:rPr>
              <w:t>Jun 24</w:t>
            </w:r>
          </w:p>
        </w:tc>
        <w:tc>
          <w:tcPr>
            <w:tcW w:w="1240" w:type="dxa"/>
            <w:vAlign w:val="bottom"/>
            <w:tcBorders>
              <w:bottom w:val="single" w:sz="8" w:color="auto"/>
              <w:right w:val="single" w:sz="8" w:color="auto"/>
            </w:tcBorders>
            <w:shd w:val="clear" w:color="auto" w:fill="2AD2C9"/>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Sep 24</w:t>
            </w:r>
          </w:p>
        </w:tc>
        <w:tc>
          <w:tcPr>
            <w:tcW w:w="1500" w:type="dxa"/>
            <w:vAlign w:val="bottom"/>
            <w:tcBorders>
              <w:bottom w:val="single" w:sz="8" w:color="auto"/>
              <w:right w:val="single" w:sz="8" w:color="auto"/>
            </w:tcBorders>
            <w:shd w:val="clear" w:color="auto" w:fill="2AD2C9"/>
          </w:tcPr>
          <w:p>
            <w:pPr>
              <w:jc w:val="right"/>
              <w:ind w:right="486"/>
              <w:spacing w:after="0" w:line="215" w:lineRule="exact"/>
              <w:rPr>
                <w:sz w:val="20"/>
                <w:szCs w:val="20"/>
                <w:color w:val="auto"/>
              </w:rPr>
            </w:pPr>
            <w:r>
              <w:rPr>
                <w:rFonts w:ascii="Calibri" w:cs="Calibri" w:eastAsia="Calibri" w:hAnsi="Calibri"/>
                <w:sz w:val="18"/>
                <w:szCs w:val="18"/>
                <w:b w:val="1"/>
                <w:bCs w:val="1"/>
                <w:color w:val="FFFFFF"/>
              </w:rPr>
              <w:t>QoQ</w:t>
            </w:r>
          </w:p>
        </w:tc>
      </w:tr>
      <w:tr>
        <w:trPr>
          <w:trHeight w:val="186"/>
        </w:trPr>
        <w:tc>
          <w:tcPr>
            <w:tcW w:w="6600" w:type="dxa"/>
            <w:vAlign w:val="bottom"/>
            <w:tcBorders>
              <w:left w:val="single" w:sz="8" w:color="auto"/>
              <w:right w:val="single" w:sz="8" w:color="auto"/>
            </w:tcBorders>
          </w:tcPr>
          <w:p>
            <w:pPr>
              <w:ind w:left="180"/>
              <w:spacing w:after="0" w:line="186" w:lineRule="exact"/>
              <w:rPr>
                <w:sz w:val="20"/>
                <w:szCs w:val="20"/>
                <w:color w:val="auto"/>
              </w:rPr>
            </w:pPr>
            <w:r>
              <w:rPr>
                <w:rFonts w:ascii="Calibri" w:cs="Calibri" w:eastAsia="Calibri" w:hAnsi="Calibri"/>
                <w:sz w:val="18"/>
                <w:szCs w:val="18"/>
                <w:color w:val="auto"/>
              </w:rPr>
              <w:t>Capital Stock</w:t>
            </w:r>
          </w:p>
        </w:tc>
        <w:tc>
          <w:tcPr>
            <w:tcW w:w="1900" w:type="dxa"/>
            <w:vAlign w:val="bottom"/>
          </w:tcPr>
          <w:p>
            <w:pPr>
              <w:jc w:val="right"/>
              <w:ind w:right="390"/>
              <w:spacing w:after="0" w:line="186" w:lineRule="exact"/>
              <w:rPr>
                <w:sz w:val="20"/>
                <w:szCs w:val="20"/>
                <w:color w:val="auto"/>
              </w:rPr>
            </w:pPr>
            <w:r>
              <w:rPr>
                <w:rFonts w:ascii="Calibri" w:cs="Calibri" w:eastAsia="Calibri" w:hAnsi="Calibri"/>
                <w:sz w:val="18"/>
                <w:szCs w:val="18"/>
                <w:color w:val="auto"/>
              </w:rPr>
              <w:t>1,318,993</w:t>
            </w:r>
          </w:p>
        </w:tc>
        <w:tc>
          <w:tcPr>
            <w:tcW w:w="1240" w:type="dxa"/>
            <w:vAlign w:val="bottom"/>
            <w:tcBorders>
              <w:right w:val="single" w:sz="8" w:color="auto"/>
            </w:tcBorders>
          </w:tcPr>
          <w:p>
            <w:pPr>
              <w:jc w:val="right"/>
              <w:spacing w:after="0" w:line="186" w:lineRule="exact"/>
              <w:rPr>
                <w:sz w:val="20"/>
                <w:szCs w:val="20"/>
                <w:color w:val="auto"/>
              </w:rPr>
            </w:pPr>
            <w:r>
              <w:rPr>
                <w:rFonts w:ascii="Calibri" w:cs="Calibri" w:eastAsia="Calibri" w:hAnsi="Calibri"/>
                <w:sz w:val="18"/>
                <w:szCs w:val="18"/>
                <w:color w:val="auto"/>
              </w:rPr>
              <w:t>1,318,993</w:t>
            </w:r>
          </w:p>
        </w:tc>
        <w:tc>
          <w:tcPr>
            <w:tcW w:w="1500" w:type="dxa"/>
            <w:vAlign w:val="bottom"/>
            <w:tcBorders>
              <w:right w:val="single" w:sz="8" w:color="auto"/>
            </w:tcBorders>
          </w:tcPr>
          <w:p>
            <w:pPr>
              <w:jc w:val="right"/>
              <w:spacing w:after="0" w:line="186" w:lineRule="exact"/>
              <w:rPr>
                <w:sz w:val="20"/>
                <w:szCs w:val="20"/>
                <w:color w:val="auto"/>
              </w:rPr>
            </w:pPr>
            <w:r>
              <w:rPr>
                <w:rFonts w:ascii="Calibri" w:cs="Calibri" w:eastAsia="Calibri" w:hAnsi="Calibri"/>
                <w:sz w:val="18"/>
                <w:szCs w:val="18"/>
                <w:color w:val="auto"/>
              </w:rPr>
              <w:t>-</w:t>
            </w:r>
          </w:p>
        </w:tc>
      </w:tr>
      <w:tr>
        <w:trPr>
          <w:trHeight w:val="234"/>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Treasury Stocks</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(208,918)</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(208,901)</w:t>
            </w:r>
          </w:p>
        </w:tc>
        <w:tc>
          <w:tcPr>
            <w:tcW w:w="1500" w:type="dxa"/>
            <w:vAlign w:val="bottom"/>
            <w:tcBorders>
              <w:right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0.0%</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Capital Surplus</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172,303</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179,027</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3.9%</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Legal and Other Capital reserves</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28,008,038</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27,187,346</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-2.9%</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Minority interest</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518,838</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479,027</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-7.7%</w:t>
            </w:r>
          </w:p>
        </w:tc>
      </w:tr>
      <w:tr>
        <w:trPr>
          <w:trHeight w:val="243"/>
        </w:trPr>
        <w:tc>
          <w:tcPr>
            <w:tcW w:w="6600" w:type="dxa"/>
            <w:vAlign w:val="bottom"/>
            <w:tcBorders>
              <w:left w:val="single" w:sz="8" w:color="auto"/>
              <w:right w:val="single" w:sz="8" w:color="auto"/>
            </w:tcBorders>
          </w:tcPr>
          <w:p>
            <w:pPr>
              <w:ind w:left="180"/>
              <w:spacing w:after="0" w:line="243" w:lineRule="exact"/>
              <w:rPr>
                <w:sz w:val="20"/>
                <w:szCs w:val="20"/>
                <w:color w:val="auto"/>
              </w:rPr>
            </w:pPr>
            <w:r>
              <w:rPr>
                <w:rFonts w:ascii="Calibri" w:cs="Calibri" w:eastAsia="Calibri" w:hAnsi="Calibri"/>
                <w:sz w:val="20"/>
                <w:szCs w:val="20"/>
                <w:color w:val="auto"/>
              </w:rPr>
              <w:t>Current and Accumulated Earnings (1)</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3,914,339</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5,432,237</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38.8%</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Unrealized Gains or Losses (2)</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(936,472)</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(227,247)</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-75.7%</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Goodwill</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(763,671)</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(734,431)</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-3.8%</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Intangible Assets (3)</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(2,151,581)</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(2,050,646)</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-4.7%</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Deductons in Common Equity Tier 1 instruments (4)</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(685,466)</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(678,924)</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-1.0%</w:t>
            </w:r>
          </w:p>
        </w:tc>
      </w:tr>
      <w:tr>
        <w:trPr>
          <w:trHeight w:val="225"/>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Perpetual subordinated debt</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w:t>
            </w:r>
          </w:p>
        </w:tc>
        <w:tc>
          <w:tcPr>
            <w:tcW w:w="15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w:t>
            </w:r>
          </w:p>
        </w:tc>
      </w:tr>
      <w:tr>
        <w:trPr>
          <w:trHeight w:val="234"/>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Subordinated Debt</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5,896,957</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7,939,610</w:t>
            </w:r>
          </w:p>
        </w:tc>
        <w:tc>
          <w:tcPr>
            <w:tcW w:w="1500" w:type="dxa"/>
            <w:vAlign w:val="bottom"/>
            <w:tcBorders>
              <w:right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34.6%</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Loan loss reserves (5)</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2,041,564</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1,967,574</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-3.6%</w:t>
            </w:r>
          </w:p>
        </w:tc>
      </w:tr>
      <w:tr>
        <w:trPr>
          <w:trHeight w:val="243"/>
        </w:trPr>
        <w:tc>
          <w:tcPr>
            <w:tcW w:w="66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8"/>
                <w:szCs w:val="18"/>
                <w:color w:val="auto"/>
              </w:rPr>
              <w:t>Deductons in Tier 2 instruments (6)</w:t>
            </w:r>
          </w:p>
        </w:tc>
        <w:tc>
          <w:tcPr>
            <w:tcW w:w="1900" w:type="dxa"/>
            <w:vAlign w:val="bottom"/>
          </w:tcPr>
          <w:p>
            <w:pPr>
              <w:jc w:val="right"/>
              <w:ind w:right="390"/>
              <w:spacing w:after="0"/>
              <w:rPr>
                <w:sz w:val="20"/>
                <w:szCs w:val="20"/>
                <w:color w:val="auto"/>
              </w:rPr>
            </w:pPr>
            <w:r>
              <w:rPr>
                <w:rFonts w:ascii="Calibri" w:cs="Calibri" w:eastAsia="Calibri" w:hAnsi="Calibri"/>
                <w:sz w:val="18"/>
                <w:szCs w:val="18"/>
                <w:color w:val="auto"/>
              </w:rPr>
              <w:t>(973,281)</w:t>
            </w:r>
          </w:p>
        </w:tc>
        <w:tc>
          <w:tcPr>
            <w:tcW w:w="12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(1,525,608)</w:t>
            </w:r>
          </w:p>
        </w:tc>
        <w:tc>
          <w:tcPr>
            <w:tcW w:w="150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56.7%</w:t>
            </w:r>
          </w:p>
        </w:tc>
      </w:tr>
      <w:tr>
        <w:trPr>
          <w:trHeight w:val="33"/>
        </w:trPr>
        <w:tc>
          <w:tcPr>
            <w:tcW w:w="6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09"/>
        </w:trPr>
        <w:tc>
          <w:tcPr>
            <w:tcW w:w="66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Total Regulatory Capital (A)</w:t>
            </w:r>
          </w:p>
        </w:tc>
        <w:tc>
          <w:tcPr>
            <w:tcW w:w="19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36,151,641</w:t>
            </w:r>
          </w:p>
        </w:tc>
        <w:tc>
          <w:tcPr>
            <w:tcW w:w="12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39,078,056</w:t>
            </w:r>
          </w:p>
        </w:tc>
        <w:tc>
          <w:tcPr>
            <w:tcW w:w="150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8.1%</w:t>
            </w:r>
          </w:p>
        </w:tc>
      </w:tr>
      <w:tr>
        <w:trPr>
          <w:trHeight w:val="210"/>
        </w:trPr>
        <w:tc>
          <w:tcPr>
            <w:tcW w:w="66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Total Regulatory Common Equity Tier 1 Capital (B)</w:t>
            </w:r>
          </w:p>
        </w:tc>
        <w:tc>
          <w:tcPr>
            <w:tcW w:w="19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29,186,401</w:t>
            </w:r>
          </w:p>
        </w:tc>
        <w:tc>
          <w:tcPr>
            <w:tcW w:w="12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30,696,480</w:t>
            </w:r>
          </w:p>
        </w:tc>
        <w:tc>
          <w:tcPr>
            <w:tcW w:w="150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5.2%</w:t>
            </w:r>
          </w:p>
        </w:tc>
      </w:tr>
      <w:tr>
        <w:trPr>
          <w:trHeight w:val="209"/>
        </w:trPr>
        <w:tc>
          <w:tcPr>
            <w:tcW w:w="66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Total Regulatory Tier 1 Capital (C)</w:t>
            </w:r>
          </w:p>
        </w:tc>
        <w:tc>
          <w:tcPr>
            <w:tcW w:w="19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29,186,145</w:t>
            </w:r>
          </w:p>
        </w:tc>
        <w:tc>
          <w:tcPr>
            <w:tcW w:w="12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30,696,480</w:t>
            </w:r>
          </w:p>
        </w:tc>
        <w:tc>
          <w:tcPr>
            <w:tcW w:w="150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5.2%</w:t>
            </w:r>
          </w:p>
        </w:tc>
      </w:tr>
      <w:tr>
        <w:trPr>
          <w:trHeight w:val="210"/>
        </w:trPr>
        <w:tc>
          <w:tcPr>
            <w:tcW w:w="6600" w:type="dxa"/>
            <w:vAlign w:val="bottom"/>
            <w:tcBorders>
              <w:left w:val="single" w:sz="8" w:color="auto"/>
              <w:bottom w:val="single" w:sz="8" w:color="auto"/>
              <w:right w:val="single" w:sz="8" w:color="auto"/>
            </w:tcBorders>
            <w:shd w:val="clear" w:color="auto" w:fill="EDEDED"/>
          </w:tcPr>
          <w:p>
            <w:pPr>
              <w:ind w:left="20"/>
              <w:spacing w:after="0" w:line="209" w:lineRule="exact"/>
              <w:rPr>
                <w:sz w:val="20"/>
                <w:szCs w:val="20"/>
                <w:color w:val="auto"/>
              </w:rPr>
            </w:pPr>
            <w:r>
              <w:rPr>
                <w:rFonts w:ascii="Calibri" w:cs="Calibri" w:eastAsia="Calibri" w:hAnsi="Calibri"/>
                <w:sz w:val="18"/>
                <w:szCs w:val="18"/>
                <w:color w:val="auto"/>
              </w:rPr>
              <w:t>Total Regulatory Capital Requirement (D)</w:t>
            </w:r>
          </w:p>
        </w:tc>
        <w:tc>
          <w:tcPr>
            <w:tcW w:w="1900" w:type="dxa"/>
            <w:vAlign w:val="bottom"/>
            <w:tcBorders>
              <w:bottom w:val="single" w:sz="8" w:color="auto"/>
            </w:tcBorders>
            <w:shd w:val="clear" w:color="auto" w:fill="EDEDED"/>
          </w:tcPr>
          <w:p>
            <w:pPr>
              <w:jc w:val="right"/>
              <w:ind w:right="390"/>
              <w:spacing w:after="0" w:line="209" w:lineRule="exact"/>
              <w:rPr>
                <w:sz w:val="20"/>
                <w:szCs w:val="20"/>
                <w:color w:val="auto"/>
              </w:rPr>
            </w:pPr>
            <w:r>
              <w:rPr>
                <w:rFonts w:ascii="Calibri" w:cs="Calibri" w:eastAsia="Calibri" w:hAnsi="Calibri"/>
                <w:sz w:val="18"/>
                <w:szCs w:val="18"/>
                <w:color w:val="auto"/>
              </w:rPr>
              <w:t>27,146,595</w:t>
            </w:r>
          </w:p>
        </w:tc>
        <w:tc>
          <w:tcPr>
            <w:tcW w:w="1240" w:type="dxa"/>
            <w:vAlign w:val="bottom"/>
            <w:tcBorders>
              <w:bottom w:val="single" w:sz="8" w:color="auto"/>
              <w:right w:val="single" w:sz="8" w:color="auto"/>
            </w:tcBorders>
            <w:shd w:val="clear" w:color="auto" w:fill="EDEDED"/>
          </w:tcPr>
          <w:p>
            <w:pPr>
              <w:jc w:val="right"/>
              <w:spacing w:after="0" w:line="209" w:lineRule="exact"/>
              <w:rPr>
                <w:sz w:val="20"/>
                <w:szCs w:val="20"/>
                <w:color w:val="auto"/>
              </w:rPr>
            </w:pPr>
            <w:r>
              <w:rPr>
                <w:rFonts w:ascii="Calibri" w:cs="Calibri" w:eastAsia="Calibri" w:hAnsi="Calibri"/>
                <w:sz w:val="18"/>
                <w:szCs w:val="18"/>
                <w:color w:val="auto"/>
              </w:rPr>
              <w:t>27,276,454</w:t>
            </w:r>
          </w:p>
        </w:tc>
        <w:tc>
          <w:tcPr>
            <w:tcW w:w="1500" w:type="dxa"/>
            <w:vAlign w:val="bottom"/>
            <w:tcBorders>
              <w:bottom w:val="single" w:sz="8" w:color="auto"/>
              <w:right w:val="single" w:sz="8" w:color="auto"/>
            </w:tcBorders>
            <w:shd w:val="clear" w:color="auto" w:fill="EDEDED"/>
          </w:tcPr>
          <w:p>
            <w:pPr>
              <w:jc w:val="right"/>
              <w:spacing w:after="0" w:line="209" w:lineRule="exact"/>
              <w:rPr>
                <w:sz w:val="20"/>
                <w:szCs w:val="20"/>
                <w:color w:val="auto"/>
              </w:rPr>
            </w:pPr>
            <w:r>
              <w:rPr>
                <w:rFonts w:ascii="Calibri" w:cs="Calibri" w:eastAsia="Calibri" w:hAnsi="Calibri"/>
                <w:sz w:val="18"/>
                <w:szCs w:val="18"/>
                <w:color w:val="auto"/>
              </w:rPr>
              <w:t>0.5%</w:t>
            </w:r>
          </w:p>
        </w:tc>
      </w:tr>
      <w:tr>
        <w:trPr>
          <w:trHeight w:val="210"/>
        </w:trPr>
        <w:tc>
          <w:tcPr>
            <w:tcW w:w="6600" w:type="dxa"/>
            <w:vAlign w:val="bottom"/>
            <w:tcBorders>
              <w:left w:val="single" w:sz="8" w:color="auto"/>
              <w:bottom w:val="single" w:sz="8" w:color="auto"/>
              <w:right w:val="single" w:sz="8" w:color="auto"/>
            </w:tcBorders>
            <w:shd w:val="clear" w:color="auto" w:fill="EDEDED"/>
          </w:tcPr>
          <w:p>
            <w:pPr>
              <w:ind w:left="20"/>
              <w:spacing w:after="0" w:line="209" w:lineRule="exact"/>
              <w:rPr>
                <w:sz w:val="20"/>
                <w:szCs w:val="20"/>
                <w:color w:val="auto"/>
              </w:rPr>
            </w:pPr>
            <w:r>
              <w:rPr>
                <w:rFonts w:ascii="Calibri" w:cs="Calibri" w:eastAsia="Calibri" w:hAnsi="Calibri"/>
                <w:sz w:val="18"/>
                <w:szCs w:val="18"/>
                <w:color w:val="auto"/>
              </w:rPr>
              <w:t>Total Regulatory Common Equity Tier 1 Capital Requirement (E)</w:t>
            </w:r>
          </w:p>
        </w:tc>
        <w:tc>
          <w:tcPr>
            <w:tcW w:w="1900" w:type="dxa"/>
            <w:vAlign w:val="bottom"/>
            <w:tcBorders>
              <w:bottom w:val="single" w:sz="8" w:color="auto"/>
            </w:tcBorders>
            <w:shd w:val="clear" w:color="auto" w:fill="EDEDED"/>
          </w:tcPr>
          <w:p>
            <w:pPr>
              <w:jc w:val="right"/>
              <w:ind w:right="390"/>
              <w:spacing w:after="0" w:line="209" w:lineRule="exact"/>
              <w:rPr>
                <w:sz w:val="20"/>
                <w:szCs w:val="20"/>
                <w:color w:val="auto"/>
              </w:rPr>
            </w:pPr>
            <w:r>
              <w:rPr>
                <w:rFonts w:ascii="Calibri" w:cs="Calibri" w:eastAsia="Calibri" w:hAnsi="Calibri"/>
                <w:sz w:val="18"/>
                <w:szCs w:val="18"/>
                <w:color w:val="auto"/>
              </w:rPr>
              <w:t>13,975,808</w:t>
            </w:r>
          </w:p>
        </w:tc>
        <w:tc>
          <w:tcPr>
            <w:tcW w:w="1240" w:type="dxa"/>
            <w:vAlign w:val="bottom"/>
            <w:tcBorders>
              <w:bottom w:val="single" w:sz="8" w:color="auto"/>
              <w:right w:val="single" w:sz="8" w:color="auto"/>
            </w:tcBorders>
            <w:shd w:val="clear" w:color="auto" w:fill="EDEDED"/>
          </w:tcPr>
          <w:p>
            <w:pPr>
              <w:jc w:val="right"/>
              <w:spacing w:after="0" w:line="209" w:lineRule="exact"/>
              <w:rPr>
                <w:sz w:val="20"/>
                <w:szCs w:val="20"/>
                <w:color w:val="auto"/>
              </w:rPr>
            </w:pPr>
            <w:r>
              <w:rPr>
                <w:rFonts w:ascii="Calibri" w:cs="Calibri" w:eastAsia="Calibri" w:hAnsi="Calibri"/>
                <w:sz w:val="18"/>
                <w:szCs w:val="18"/>
                <w:color w:val="auto"/>
              </w:rPr>
              <w:t>13,968,158</w:t>
            </w:r>
          </w:p>
        </w:tc>
        <w:tc>
          <w:tcPr>
            <w:tcW w:w="1500" w:type="dxa"/>
            <w:vAlign w:val="bottom"/>
            <w:tcBorders>
              <w:bottom w:val="single" w:sz="8" w:color="auto"/>
              <w:right w:val="single" w:sz="8" w:color="auto"/>
            </w:tcBorders>
            <w:shd w:val="clear" w:color="auto" w:fill="EDEDED"/>
          </w:tcPr>
          <w:p>
            <w:pPr>
              <w:jc w:val="right"/>
              <w:spacing w:after="0" w:line="209" w:lineRule="exact"/>
              <w:rPr>
                <w:sz w:val="20"/>
                <w:szCs w:val="20"/>
                <w:color w:val="auto"/>
              </w:rPr>
            </w:pPr>
            <w:r>
              <w:rPr>
                <w:rFonts w:ascii="Calibri" w:cs="Calibri" w:eastAsia="Calibri" w:hAnsi="Calibri"/>
                <w:sz w:val="18"/>
                <w:szCs w:val="18"/>
                <w:color w:val="auto"/>
              </w:rPr>
              <w:t>-0.1%</w:t>
            </w:r>
          </w:p>
        </w:tc>
      </w:tr>
      <w:tr>
        <w:trPr>
          <w:trHeight w:val="209"/>
        </w:trPr>
        <w:tc>
          <w:tcPr>
            <w:tcW w:w="6600" w:type="dxa"/>
            <w:vAlign w:val="bottom"/>
            <w:tcBorders>
              <w:left w:val="single" w:sz="8" w:color="auto"/>
              <w:bottom w:val="single" w:sz="8" w:color="auto"/>
              <w:right w:val="single" w:sz="8" w:color="auto"/>
            </w:tcBorders>
            <w:shd w:val="clear" w:color="auto" w:fill="EDEDED"/>
          </w:tcPr>
          <w:p>
            <w:pPr>
              <w:ind w:left="20"/>
              <w:spacing w:after="0" w:line="209" w:lineRule="exact"/>
              <w:rPr>
                <w:sz w:val="20"/>
                <w:szCs w:val="20"/>
                <w:color w:val="auto"/>
              </w:rPr>
            </w:pPr>
            <w:r>
              <w:rPr>
                <w:rFonts w:ascii="Calibri" w:cs="Calibri" w:eastAsia="Calibri" w:hAnsi="Calibri"/>
                <w:sz w:val="18"/>
                <w:szCs w:val="18"/>
                <w:color w:val="auto"/>
              </w:rPr>
              <w:t>Total Regulatory Tier 1 Capital Requirement (F)</w:t>
            </w:r>
          </w:p>
        </w:tc>
        <w:tc>
          <w:tcPr>
            <w:tcW w:w="1900" w:type="dxa"/>
            <w:vAlign w:val="bottom"/>
            <w:tcBorders>
              <w:bottom w:val="single" w:sz="8" w:color="auto"/>
            </w:tcBorders>
            <w:shd w:val="clear" w:color="auto" w:fill="EDEDED"/>
          </w:tcPr>
          <w:p>
            <w:pPr>
              <w:jc w:val="right"/>
              <w:ind w:right="390"/>
              <w:spacing w:after="0" w:line="209" w:lineRule="exact"/>
              <w:rPr>
                <w:sz w:val="20"/>
                <w:szCs w:val="20"/>
                <w:color w:val="auto"/>
              </w:rPr>
            </w:pPr>
            <w:r>
              <w:rPr>
                <w:rFonts w:ascii="Calibri" w:cs="Calibri" w:eastAsia="Calibri" w:hAnsi="Calibri"/>
                <w:sz w:val="18"/>
                <w:szCs w:val="18"/>
                <w:color w:val="auto"/>
              </w:rPr>
              <w:t>17,108,445</w:t>
            </w:r>
          </w:p>
        </w:tc>
        <w:tc>
          <w:tcPr>
            <w:tcW w:w="1240" w:type="dxa"/>
            <w:vAlign w:val="bottom"/>
            <w:tcBorders>
              <w:bottom w:val="single" w:sz="8" w:color="auto"/>
              <w:right w:val="single" w:sz="8" w:color="auto"/>
            </w:tcBorders>
            <w:shd w:val="clear" w:color="auto" w:fill="EDEDED"/>
          </w:tcPr>
          <w:p>
            <w:pPr>
              <w:jc w:val="right"/>
              <w:spacing w:after="0" w:line="209" w:lineRule="exact"/>
              <w:rPr>
                <w:sz w:val="20"/>
                <w:szCs w:val="20"/>
                <w:color w:val="auto"/>
              </w:rPr>
            </w:pPr>
            <w:r>
              <w:rPr>
                <w:rFonts w:ascii="Calibri" w:cs="Calibri" w:eastAsia="Calibri" w:hAnsi="Calibri"/>
                <w:sz w:val="18"/>
                <w:szCs w:val="18"/>
                <w:color w:val="auto"/>
              </w:rPr>
              <w:t>17,131,013</w:t>
            </w:r>
          </w:p>
        </w:tc>
        <w:tc>
          <w:tcPr>
            <w:tcW w:w="1500" w:type="dxa"/>
            <w:vAlign w:val="bottom"/>
            <w:tcBorders>
              <w:bottom w:val="single" w:sz="8" w:color="auto"/>
              <w:right w:val="single" w:sz="8" w:color="auto"/>
            </w:tcBorders>
            <w:shd w:val="clear" w:color="auto" w:fill="EDEDED"/>
          </w:tcPr>
          <w:p>
            <w:pPr>
              <w:jc w:val="right"/>
              <w:spacing w:after="0" w:line="209" w:lineRule="exact"/>
              <w:rPr>
                <w:sz w:val="20"/>
                <w:szCs w:val="20"/>
                <w:color w:val="auto"/>
              </w:rPr>
            </w:pPr>
            <w:r>
              <w:rPr>
                <w:rFonts w:ascii="Calibri" w:cs="Calibri" w:eastAsia="Calibri" w:hAnsi="Calibri"/>
                <w:sz w:val="18"/>
                <w:szCs w:val="18"/>
                <w:color w:val="auto"/>
              </w:rPr>
              <w:t>0.1%</w:t>
            </w:r>
          </w:p>
        </w:tc>
      </w:tr>
      <w:tr>
        <w:trPr>
          <w:trHeight w:val="209"/>
        </w:trPr>
        <w:tc>
          <w:tcPr>
            <w:tcW w:w="66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Regulatory Capital Rato (A) / (D)</w:t>
            </w:r>
          </w:p>
        </w:tc>
        <w:tc>
          <w:tcPr>
            <w:tcW w:w="19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1.33</w:t>
            </w:r>
          </w:p>
        </w:tc>
        <w:tc>
          <w:tcPr>
            <w:tcW w:w="12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1.43</w:t>
            </w:r>
          </w:p>
        </w:tc>
        <w:tc>
          <w:tcPr>
            <w:tcW w:w="150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10 bps</w:t>
            </w:r>
          </w:p>
        </w:tc>
      </w:tr>
      <w:tr>
        <w:trPr>
          <w:trHeight w:val="210"/>
        </w:trPr>
        <w:tc>
          <w:tcPr>
            <w:tcW w:w="66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Regulatory Common Equity Tier 1 Capital Rato (B) / (E)</w:t>
            </w:r>
          </w:p>
        </w:tc>
        <w:tc>
          <w:tcPr>
            <w:tcW w:w="19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2.09</w:t>
            </w:r>
          </w:p>
        </w:tc>
        <w:tc>
          <w:tcPr>
            <w:tcW w:w="12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2.20</w:t>
            </w:r>
          </w:p>
        </w:tc>
        <w:tc>
          <w:tcPr>
            <w:tcW w:w="150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11 bps</w:t>
            </w:r>
          </w:p>
        </w:tc>
      </w:tr>
      <w:tr>
        <w:trPr>
          <w:trHeight w:val="209"/>
        </w:trPr>
        <w:tc>
          <w:tcPr>
            <w:tcW w:w="660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Regulatory Tier 1 Capital Rato (C) / (F)</w:t>
            </w:r>
          </w:p>
        </w:tc>
        <w:tc>
          <w:tcPr>
            <w:tcW w:w="19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1.71</w:t>
            </w:r>
          </w:p>
        </w:tc>
        <w:tc>
          <w:tcPr>
            <w:tcW w:w="124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1.79</w:t>
            </w:r>
          </w:p>
        </w:tc>
        <w:tc>
          <w:tcPr>
            <w:tcW w:w="1500" w:type="dxa"/>
            <w:vAlign w:val="bottom"/>
            <w:tcBorders>
              <w:bottom w:val="single" w:sz="8" w:color="auto"/>
              <w:right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9 bps</w:t>
            </w:r>
          </w:p>
        </w:tc>
      </w:tr>
    </w:tbl>
    <w:p>
      <w:pPr>
        <w:spacing w:after="0" w:line="179" w:lineRule="exact"/>
        <w:rPr>
          <w:sz w:val="20"/>
          <w:szCs w:val="20"/>
          <w:color w:val="auto"/>
        </w:rPr>
      </w:pPr>
    </w:p>
    <w:p>
      <w:pPr>
        <w:ind w:left="160" w:hanging="152"/>
        <w:spacing w:after="0"/>
        <w:tabs>
          <w:tab w:leader="none" w:pos="160" w:val="left"/>
        </w:tabs>
        <w:numPr>
          <w:ilvl w:val="0"/>
          <w:numId w:val="56"/>
        </w:numPr>
        <w:rPr>
          <w:rFonts w:ascii="Calibri" w:cs="Calibri" w:eastAsia="Calibri" w:hAnsi="Calibri"/>
          <w:sz w:val="12"/>
          <w:szCs w:val="12"/>
          <w:color w:val="auto"/>
        </w:rPr>
      </w:pPr>
      <w:r>
        <w:rPr>
          <w:rFonts w:ascii="Calibri" w:cs="Calibri" w:eastAsia="Calibri" w:hAnsi="Calibri"/>
          <w:sz w:val="12"/>
          <w:szCs w:val="12"/>
          <w:color w:val="auto"/>
        </w:rPr>
        <w:t>Earnings include Banco de Crédito del Perú and Mibanco Perú. Losses include all subsidiaries.</w:t>
      </w:r>
    </w:p>
    <w:p>
      <w:pPr>
        <w:ind w:left="160" w:hanging="152"/>
        <w:spacing w:after="0" w:line="221" w:lineRule="auto"/>
        <w:tabs>
          <w:tab w:leader="none" w:pos="160" w:val="left"/>
        </w:tabs>
        <w:numPr>
          <w:ilvl w:val="0"/>
          <w:numId w:val="56"/>
        </w:numPr>
        <w:rPr>
          <w:rFonts w:ascii="Calibri" w:cs="Calibri" w:eastAsia="Calibri" w:hAnsi="Calibri"/>
          <w:sz w:val="12"/>
          <w:szCs w:val="12"/>
          <w:color w:val="auto"/>
        </w:rPr>
      </w:pPr>
      <w:r>
        <w:rPr>
          <w:rFonts w:ascii="Calibri" w:cs="Calibri" w:eastAsia="Calibri" w:hAnsi="Calibri"/>
          <w:sz w:val="12"/>
          <w:szCs w:val="12"/>
          <w:color w:val="auto"/>
        </w:rPr>
        <w:t>Gains include Investment Grade Government Bonds and Peruvian Central Bank Certfcates of Deposits. Losses include all bonds.</w:t>
      </w:r>
    </w:p>
    <w:p>
      <w:pPr>
        <w:ind w:left="160" w:hanging="152"/>
        <w:spacing w:after="0" w:line="221" w:lineRule="auto"/>
        <w:tabs>
          <w:tab w:leader="none" w:pos="160" w:val="left"/>
        </w:tabs>
        <w:numPr>
          <w:ilvl w:val="0"/>
          <w:numId w:val="56"/>
        </w:numPr>
        <w:rPr>
          <w:rFonts w:ascii="Calibri" w:cs="Calibri" w:eastAsia="Calibri" w:hAnsi="Calibri"/>
          <w:sz w:val="12"/>
          <w:szCs w:val="12"/>
          <w:color w:val="auto"/>
        </w:rPr>
      </w:pPr>
      <w:r>
        <w:rPr>
          <w:rFonts w:ascii="Calibri" w:cs="Calibri" w:eastAsia="Calibri" w:hAnsi="Calibri"/>
          <w:sz w:val="12"/>
          <w:szCs w:val="12"/>
          <w:color w:val="auto"/>
        </w:rPr>
        <w:t>Diferent to Goodwill. Includes Diferred Tax Assets.</w:t>
      </w:r>
    </w:p>
    <w:p>
      <w:pPr>
        <w:ind w:left="160" w:hanging="152"/>
        <w:spacing w:after="0" w:line="221" w:lineRule="auto"/>
        <w:tabs>
          <w:tab w:leader="none" w:pos="160" w:val="left"/>
        </w:tabs>
        <w:numPr>
          <w:ilvl w:val="0"/>
          <w:numId w:val="56"/>
        </w:numPr>
        <w:rPr>
          <w:rFonts w:ascii="Calibri" w:cs="Calibri" w:eastAsia="Calibri" w:hAnsi="Calibri"/>
          <w:sz w:val="12"/>
          <w:szCs w:val="12"/>
          <w:color w:val="auto"/>
        </w:rPr>
      </w:pPr>
      <w:r>
        <w:rPr>
          <w:rFonts w:ascii="Calibri" w:cs="Calibri" w:eastAsia="Calibri" w:hAnsi="Calibri"/>
          <w:sz w:val="12"/>
          <w:szCs w:val="12"/>
          <w:color w:val="auto"/>
        </w:rPr>
        <w:t>Investments in Equity.</w:t>
      </w:r>
    </w:p>
    <w:p>
      <w:pPr>
        <w:ind w:left="160" w:hanging="152"/>
        <w:spacing w:after="0" w:line="221" w:lineRule="auto"/>
        <w:tabs>
          <w:tab w:leader="none" w:pos="160" w:val="left"/>
        </w:tabs>
        <w:numPr>
          <w:ilvl w:val="0"/>
          <w:numId w:val="56"/>
        </w:numPr>
        <w:rPr>
          <w:rFonts w:ascii="Calibri" w:cs="Calibri" w:eastAsia="Calibri" w:hAnsi="Calibri"/>
          <w:sz w:val="12"/>
          <w:szCs w:val="12"/>
          <w:color w:val="auto"/>
        </w:rPr>
      </w:pPr>
      <w:r>
        <w:rPr>
          <w:rFonts w:ascii="Calibri" w:cs="Calibri" w:eastAsia="Calibri" w:hAnsi="Calibri"/>
          <w:sz w:val="12"/>
          <w:szCs w:val="12"/>
          <w:color w:val="auto"/>
        </w:rPr>
        <w:t>Up to 1.25% of total risk-weighted assets of Banco de Crédito del Perú, Solución Empresa Administradora Hipotecaria, Mibanco and Atlantc Security Bank.</w:t>
      </w:r>
    </w:p>
    <w:p>
      <w:pPr>
        <w:ind w:left="160" w:hanging="152"/>
        <w:spacing w:after="0" w:line="221" w:lineRule="auto"/>
        <w:tabs>
          <w:tab w:leader="none" w:pos="160" w:val="left"/>
        </w:tabs>
        <w:numPr>
          <w:ilvl w:val="0"/>
          <w:numId w:val="56"/>
        </w:numPr>
        <w:rPr>
          <w:rFonts w:ascii="Calibri" w:cs="Calibri" w:eastAsia="Calibri" w:hAnsi="Calibri"/>
          <w:sz w:val="12"/>
          <w:szCs w:val="12"/>
          <w:color w:val="auto"/>
        </w:rPr>
      </w:pPr>
      <w:r>
        <w:rPr>
          <w:rFonts w:ascii="Calibri" w:cs="Calibri" w:eastAsia="Calibri" w:hAnsi="Calibri"/>
          <w:sz w:val="12"/>
          <w:szCs w:val="12"/>
          <w:color w:val="auto"/>
        </w:rPr>
        <w:t>Investments in Tier 2 Subordinated Debt.</w:t>
      </w:r>
    </w:p>
    <w:p>
      <w:pPr>
        <w:spacing w:after="0" w:line="200" w:lineRule="exact"/>
        <w:rPr>
          <w:sz w:val="20"/>
          <w:szCs w:val="20"/>
          <w:color w:val="auto"/>
        </w:rPr>
      </w:pPr>
    </w:p>
    <w:p>
      <w:pPr>
        <w:spacing w:after="0" w:line="20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453"/>
        </w:trPr>
        <w:tc>
          <w:tcPr>
            <w:tcW w:w="2220" w:type="dxa"/>
            <w:vAlign w:val="bottom"/>
            <w:tcBorders>
              <w:left w:val="single" w:sz="8" w:color="auto"/>
            </w:tcBorders>
            <w:shd w:val="clear" w:color="auto" w:fill="000000"/>
          </w:tcPr>
          <w:p>
            <w:pPr>
              <w:spacing w:after="0"/>
              <w:rPr>
                <w:sz w:val="24"/>
                <w:szCs w:val="24"/>
                <w:color w:val="auto"/>
              </w:rPr>
            </w:pPr>
          </w:p>
        </w:tc>
        <w:tc>
          <w:tcPr>
            <w:tcW w:w="2600" w:type="dxa"/>
            <w:vAlign w:val="bottom"/>
            <w:gridSpan w:val="2"/>
            <w:shd w:val="clear" w:color="auto" w:fill="000000"/>
          </w:tcPr>
          <w:p>
            <w:pPr>
              <w:ind w:left="48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1380" w:type="dxa"/>
            <w:vAlign w:val="bottom"/>
            <w:shd w:val="clear" w:color="auto" w:fill="000000"/>
          </w:tcPr>
          <w:p>
            <w:pPr>
              <w:spacing w:after="0"/>
              <w:rPr>
                <w:sz w:val="24"/>
                <w:szCs w:val="24"/>
                <w:color w:val="auto"/>
              </w:rPr>
            </w:pPr>
          </w:p>
        </w:tc>
        <w:tc>
          <w:tcPr>
            <w:tcW w:w="1320" w:type="dxa"/>
            <w:vAlign w:val="bottom"/>
            <w:shd w:val="clear" w:color="auto" w:fill="000000"/>
          </w:tcPr>
          <w:p>
            <w:pPr>
              <w:spacing w:after="0"/>
              <w:rPr>
                <w:sz w:val="24"/>
                <w:szCs w:val="24"/>
                <w:color w:val="auto"/>
              </w:rPr>
            </w:pPr>
          </w:p>
        </w:tc>
        <w:tc>
          <w:tcPr>
            <w:tcW w:w="2940" w:type="dxa"/>
            <w:vAlign w:val="bottom"/>
            <w:gridSpan w:val="2"/>
            <w:shd w:val="clear" w:color="auto" w:fill="000000"/>
          </w:tcPr>
          <w:p>
            <w:pPr>
              <w:jc w:val="right"/>
              <w:ind w:right="262"/>
              <w:spacing w:after="0"/>
              <w:rPr>
                <w:sz w:val="20"/>
                <w:szCs w:val="20"/>
                <w:color w:val="auto"/>
              </w:rPr>
            </w:pPr>
            <w:r>
              <w:rPr>
                <w:rFonts w:ascii="Calibri" w:cs="Calibri" w:eastAsia="Calibri" w:hAnsi="Calibri"/>
                <w:sz w:val="16"/>
                <w:szCs w:val="16"/>
                <w:color w:val="ED3FA8"/>
              </w:rPr>
              <w:t>Analysis of 3Q24 Consolidated Results</w:t>
            </w:r>
          </w:p>
        </w:tc>
        <w:tc>
          <w:tcPr>
            <w:tcW w:w="7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220" w:type="dxa"/>
            <w:vAlign w:val="bottom"/>
            <w:tcBorders>
              <w:left w:val="single" w:sz="8" w:color="auto"/>
            </w:tcBorders>
            <w:shd w:val="clear" w:color="auto" w:fill="000000"/>
          </w:tcPr>
          <w:p>
            <w:pPr>
              <w:spacing w:after="0"/>
              <w:rPr>
                <w:sz w:val="24"/>
                <w:szCs w:val="24"/>
                <w:color w:val="auto"/>
              </w:rPr>
            </w:pPr>
          </w:p>
        </w:tc>
        <w:tc>
          <w:tcPr>
            <w:tcW w:w="2240" w:type="dxa"/>
            <w:vAlign w:val="bottom"/>
            <w:tcBorders>
              <w:right w:val="single" w:sz="8" w:color="auto"/>
            </w:tcBorders>
            <w:shd w:val="clear" w:color="auto" w:fill="000000"/>
          </w:tcPr>
          <w:p>
            <w:pPr>
              <w:spacing w:after="0"/>
              <w:rPr>
                <w:sz w:val="24"/>
                <w:szCs w:val="24"/>
                <w:color w:val="auto"/>
              </w:rPr>
            </w:pPr>
          </w:p>
        </w:tc>
        <w:tc>
          <w:tcPr>
            <w:tcW w:w="360" w:type="dxa"/>
            <w:vAlign w:val="bottom"/>
            <w:shd w:val="clear" w:color="auto" w:fill="000000"/>
          </w:tcPr>
          <w:p>
            <w:pPr>
              <w:spacing w:after="0"/>
              <w:rPr>
                <w:sz w:val="24"/>
                <w:szCs w:val="24"/>
                <w:color w:val="auto"/>
              </w:rPr>
            </w:pPr>
          </w:p>
        </w:tc>
        <w:tc>
          <w:tcPr>
            <w:tcW w:w="1380" w:type="dxa"/>
            <w:vAlign w:val="bottom"/>
            <w:shd w:val="clear" w:color="auto" w:fill="000000"/>
          </w:tcPr>
          <w:p>
            <w:pPr>
              <w:spacing w:after="0"/>
              <w:rPr>
                <w:sz w:val="24"/>
                <w:szCs w:val="24"/>
                <w:color w:val="auto"/>
              </w:rPr>
            </w:pPr>
          </w:p>
        </w:tc>
        <w:tc>
          <w:tcPr>
            <w:tcW w:w="1320" w:type="dxa"/>
            <w:vAlign w:val="bottom"/>
            <w:shd w:val="clear" w:color="auto" w:fill="000000"/>
          </w:tcPr>
          <w:p>
            <w:pPr>
              <w:spacing w:after="0"/>
              <w:rPr>
                <w:sz w:val="24"/>
                <w:szCs w:val="24"/>
                <w:color w:val="auto"/>
              </w:rPr>
            </w:pPr>
          </w:p>
        </w:tc>
        <w:tc>
          <w:tcPr>
            <w:tcW w:w="1400" w:type="dxa"/>
            <w:vAlign w:val="bottom"/>
            <w:tcBorders>
              <w:right w:val="single" w:sz="8" w:color="auto"/>
            </w:tcBorders>
            <w:shd w:val="clear" w:color="auto" w:fill="000000"/>
          </w:tcPr>
          <w:p>
            <w:pPr>
              <w:spacing w:after="0"/>
              <w:rPr>
                <w:sz w:val="24"/>
                <w:szCs w:val="24"/>
                <w:color w:val="auto"/>
              </w:rPr>
            </w:pPr>
          </w:p>
        </w:tc>
        <w:tc>
          <w:tcPr>
            <w:tcW w:w="154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2240" w:type="dxa"/>
            <w:vAlign w:val="bottom"/>
            <w:tcBorders>
              <w:right w:val="single" w:sz="8" w:color="E93BAC"/>
            </w:tcBorders>
            <w:shd w:val="clear" w:color="auto" w:fill="E93BAC"/>
          </w:tcPr>
          <w:p>
            <w:pPr>
              <w:spacing w:after="0"/>
              <w:rPr>
                <w:sz w:val="22"/>
                <w:szCs w:val="22"/>
                <w:color w:val="auto"/>
              </w:rPr>
            </w:pPr>
          </w:p>
        </w:tc>
        <w:tc>
          <w:tcPr>
            <w:tcW w:w="360" w:type="dxa"/>
            <w:vAlign w:val="bottom"/>
            <w:shd w:val="clear" w:color="auto" w:fill="E93BAC"/>
          </w:tcPr>
          <w:p>
            <w:pPr>
              <w:spacing w:after="0"/>
              <w:rPr>
                <w:sz w:val="22"/>
                <w:szCs w:val="22"/>
                <w:color w:val="auto"/>
              </w:rPr>
            </w:pPr>
          </w:p>
        </w:tc>
        <w:tc>
          <w:tcPr>
            <w:tcW w:w="1380" w:type="dxa"/>
            <w:vAlign w:val="bottom"/>
            <w:shd w:val="clear" w:color="auto" w:fill="E93BAC"/>
          </w:tcPr>
          <w:p>
            <w:pPr>
              <w:spacing w:after="0"/>
              <w:rPr>
                <w:sz w:val="22"/>
                <w:szCs w:val="22"/>
                <w:color w:val="auto"/>
              </w:rPr>
            </w:pPr>
          </w:p>
        </w:tc>
        <w:tc>
          <w:tcPr>
            <w:tcW w:w="1320" w:type="dxa"/>
            <w:vAlign w:val="bottom"/>
            <w:shd w:val="clear" w:color="auto" w:fill="E93BAC"/>
          </w:tcPr>
          <w:p>
            <w:pPr>
              <w:spacing w:after="0"/>
              <w:rPr>
                <w:sz w:val="22"/>
                <w:szCs w:val="22"/>
                <w:color w:val="auto"/>
              </w:rPr>
            </w:pPr>
          </w:p>
        </w:tc>
        <w:tc>
          <w:tcPr>
            <w:tcW w:w="1400" w:type="dxa"/>
            <w:vAlign w:val="bottom"/>
            <w:tcBorders>
              <w:right w:val="single" w:sz="8" w:color="E93BAC"/>
            </w:tcBorders>
            <w:shd w:val="clear" w:color="auto" w:fill="E93BAC"/>
          </w:tcPr>
          <w:p>
            <w:pPr>
              <w:spacing w:after="0"/>
              <w:rPr>
                <w:sz w:val="22"/>
                <w:szCs w:val="22"/>
                <w:color w:val="auto"/>
              </w:rPr>
            </w:pPr>
          </w:p>
        </w:tc>
        <w:tc>
          <w:tcPr>
            <w:tcW w:w="1540" w:type="dxa"/>
            <w:vAlign w:val="bottom"/>
            <w:shd w:val="clear" w:color="auto" w:fill="E93BAC"/>
          </w:tcPr>
          <w:p>
            <w:pPr>
              <w:spacing w:after="0"/>
              <w:rPr>
                <w:sz w:val="22"/>
                <w:szCs w:val="22"/>
                <w:color w:val="auto"/>
              </w:rPr>
            </w:pPr>
          </w:p>
        </w:tc>
        <w:tc>
          <w:tcPr>
            <w:tcW w:w="780" w:type="dxa"/>
            <w:vAlign w:val="bottom"/>
            <w:tcBorders>
              <w:right w:val="single" w:sz="8" w:color="E93BAC"/>
            </w:tcBorders>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220" w:type="dxa"/>
            <w:vAlign w:val="bottom"/>
            <w:tcBorders>
              <w:left w:val="single" w:sz="8" w:color="E93BAC"/>
            </w:tcBorders>
            <w:shd w:val="clear" w:color="auto" w:fill="E93BAC"/>
          </w:tcPr>
          <w:p>
            <w:pPr>
              <w:spacing w:after="0"/>
              <w:rPr>
                <w:sz w:val="7"/>
                <w:szCs w:val="7"/>
                <w:color w:val="auto"/>
              </w:rPr>
            </w:pPr>
          </w:p>
        </w:tc>
        <w:tc>
          <w:tcPr>
            <w:tcW w:w="2240" w:type="dxa"/>
            <w:vAlign w:val="bottom"/>
            <w:tcBorders>
              <w:right w:val="single" w:sz="8" w:color="E93BAC"/>
            </w:tcBorders>
            <w:shd w:val="clear" w:color="auto" w:fill="E93BAC"/>
          </w:tcPr>
          <w:p>
            <w:pPr>
              <w:spacing w:after="0"/>
              <w:rPr>
                <w:sz w:val="7"/>
                <w:szCs w:val="7"/>
                <w:color w:val="auto"/>
              </w:rPr>
            </w:pPr>
          </w:p>
        </w:tc>
        <w:tc>
          <w:tcPr>
            <w:tcW w:w="4460" w:type="dxa"/>
            <w:vAlign w:val="bottom"/>
            <w:tcBorders>
              <w:right w:val="single" w:sz="8" w:color="E93BAC"/>
            </w:tcBorders>
            <w:gridSpan w:val="4"/>
            <w:shd w:val="clear" w:color="auto" w:fill="E93BAC"/>
          </w:tcPr>
          <w:p>
            <w:pPr>
              <w:spacing w:after="0"/>
              <w:rPr>
                <w:sz w:val="7"/>
                <w:szCs w:val="7"/>
                <w:color w:val="auto"/>
              </w:rPr>
            </w:pPr>
          </w:p>
        </w:tc>
        <w:tc>
          <w:tcPr>
            <w:tcW w:w="1540" w:type="dxa"/>
            <w:vAlign w:val="bottom"/>
            <w:shd w:val="clear" w:color="auto" w:fill="E93BAC"/>
          </w:tcPr>
          <w:p>
            <w:pPr>
              <w:spacing w:after="0"/>
              <w:rPr>
                <w:sz w:val="7"/>
                <w:szCs w:val="7"/>
                <w:color w:val="auto"/>
              </w:rPr>
            </w:pPr>
          </w:p>
        </w:tc>
        <w:tc>
          <w:tcPr>
            <w:tcW w:w="780" w:type="dxa"/>
            <w:vAlign w:val="bottom"/>
            <w:tcBorders>
              <w:right w:val="single" w:sz="8" w:color="E93BAC"/>
            </w:tcBorders>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2220" w:type="dxa"/>
            <w:vAlign w:val="bottom"/>
          </w:tcPr>
          <w:p>
            <w:pPr>
              <w:spacing w:after="0"/>
              <w:rPr>
                <w:sz w:val="24"/>
                <w:szCs w:val="24"/>
                <w:color w:val="auto"/>
              </w:rPr>
            </w:pPr>
          </w:p>
        </w:tc>
        <w:tc>
          <w:tcPr>
            <w:tcW w:w="6700" w:type="dxa"/>
            <w:vAlign w:val="bottom"/>
            <w:gridSpan w:val="5"/>
          </w:tcPr>
          <w:p>
            <w:pPr>
              <w:jc w:val="right"/>
              <w:ind w:right="1081"/>
              <w:spacing w:after="0"/>
              <w:rPr>
                <w:sz w:val="20"/>
                <w:szCs w:val="20"/>
                <w:color w:val="auto"/>
              </w:rPr>
            </w:pPr>
            <w:r>
              <w:rPr>
                <w:rFonts w:ascii="Calibri" w:cs="Calibri" w:eastAsia="Calibri" w:hAnsi="Calibri"/>
                <w:sz w:val="18"/>
                <w:szCs w:val="18"/>
                <w:b w:val="1"/>
                <w:bCs w:val="1"/>
                <w:color w:val="auto"/>
              </w:rPr>
              <w:t>Regulatory and Capital Adequacy Ratos at BCP Stand-alone</w:t>
            </w: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20" w:type="dxa"/>
            <w:vAlign w:val="bottom"/>
            <w:tcBorders>
              <w:left w:val="single" w:sz="8" w:color="auto"/>
            </w:tcBorders>
            <w:shd w:val="clear" w:color="auto" w:fill="2AD2C9"/>
          </w:tcPr>
          <w:p>
            <w:pPr>
              <w:ind w:left="20"/>
              <w:spacing w:after="0" w:line="129" w:lineRule="exact"/>
              <w:rPr>
                <w:sz w:val="20"/>
                <w:szCs w:val="20"/>
                <w:color w:val="auto"/>
              </w:rPr>
            </w:pPr>
            <w:r>
              <w:rPr>
                <w:rFonts w:ascii="Calibri" w:cs="Calibri" w:eastAsia="Calibri" w:hAnsi="Calibri"/>
                <w:sz w:val="12"/>
                <w:szCs w:val="12"/>
                <w:b w:val="1"/>
                <w:bCs w:val="1"/>
                <w:color w:val="FFFFFF"/>
              </w:rPr>
              <w:t>Regulatory Capital</w:t>
            </w:r>
          </w:p>
        </w:tc>
        <w:tc>
          <w:tcPr>
            <w:tcW w:w="2240" w:type="dxa"/>
            <w:vAlign w:val="bottom"/>
            <w:tcBorders>
              <w:right w:val="single" w:sz="8" w:color="auto"/>
            </w:tcBorders>
            <w:shd w:val="clear" w:color="auto" w:fill="2AD2C9"/>
          </w:tcPr>
          <w:p>
            <w:pPr>
              <w:spacing w:after="0"/>
              <w:rPr>
                <w:sz w:val="11"/>
                <w:szCs w:val="11"/>
                <w:color w:val="auto"/>
              </w:rPr>
            </w:pPr>
          </w:p>
        </w:tc>
        <w:tc>
          <w:tcPr>
            <w:tcW w:w="360" w:type="dxa"/>
            <w:vAlign w:val="bottom"/>
            <w:shd w:val="clear" w:color="auto" w:fill="2AD2C9"/>
          </w:tcPr>
          <w:p>
            <w:pPr>
              <w:spacing w:after="0"/>
              <w:rPr>
                <w:sz w:val="11"/>
                <w:szCs w:val="11"/>
                <w:color w:val="auto"/>
              </w:rPr>
            </w:pPr>
          </w:p>
        </w:tc>
        <w:tc>
          <w:tcPr>
            <w:tcW w:w="1380" w:type="dxa"/>
            <w:vAlign w:val="bottom"/>
            <w:shd w:val="clear" w:color="auto" w:fill="2AD2C9"/>
          </w:tcPr>
          <w:p>
            <w:pPr>
              <w:spacing w:after="0"/>
              <w:rPr>
                <w:sz w:val="11"/>
                <w:szCs w:val="11"/>
                <w:color w:val="auto"/>
              </w:rPr>
            </w:pPr>
          </w:p>
        </w:tc>
        <w:tc>
          <w:tcPr>
            <w:tcW w:w="1320" w:type="dxa"/>
            <w:vAlign w:val="bottom"/>
            <w:shd w:val="clear" w:color="auto" w:fill="2AD2C9"/>
          </w:tcPr>
          <w:p>
            <w:pPr>
              <w:jc w:val="center"/>
              <w:ind w:right="322"/>
              <w:spacing w:after="0" w:line="129" w:lineRule="exact"/>
              <w:rPr>
                <w:sz w:val="20"/>
                <w:szCs w:val="20"/>
                <w:color w:val="auto"/>
              </w:rPr>
            </w:pPr>
            <w:r>
              <w:rPr>
                <w:rFonts w:ascii="Calibri" w:cs="Calibri" w:eastAsia="Calibri" w:hAnsi="Calibri"/>
                <w:sz w:val="12"/>
                <w:szCs w:val="12"/>
                <w:b w:val="1"/>
                <w:bCs w:val="1"/>
                <w:color w:val="FFFFFF"/>
                <w:w w:val="96"/>
              </w:rPr>
              <w:t>Quarter</w:t>
            </w:r>
          </w:p>
        </w:tc>
        <w:tc>
          <w:tcPr>
            <w:tcW w:w="1400" w:type="dxa"/>
            <w:vAlign w:val="bottom"/>
            <w:tcBorders>
              <w:right w:val="single" w:sz="8" w:color="auto"/>
            </w:tcBorders>
            <w:shd w:val="clear" w:color="auto" w:fill="2AD2C9"/>
          </w:tcPr>
          <w:p>
            <w:pPr>
              <w:spacing w:after="0"/>
              <w:rPr>
                <w:sz w:val="11"/>
                <w:szCs w:val="11"/>
                <w:color w:val="auto"/>
              </w:rPr>
            </w:pPr>
          </w:p>
        </w:tc>
        <w:tc>
          <w:tcPr>
            <w:tcW w:w="1540" w:type="dxa"/>
            <w:vAlign w:val="bottom"/>
            <w:shd w:val="clear" w:color="auto" w:fill="2AD2C9"/>
          </w:tcPr>
          <w:p>
            <w:pPr>
              <w:ind w:left="920"/>
              <w:spacing w:after="0" w:line="129" w:lineRule="exact"/>
              <w:rPr>
                <w:sz w:val="20"/>
                <w:szCs w:val="20"/>
                <w:color w:val="auto"/>
              </w:rPr>
            </w:pPr>
            <w:r>
              <w:rPr>
                <w:rFonts w:ascii="Calibri" w:cs="Calibri" w:eastAsia="Calibri" w:hAnsi="Calibri"/>
                <w:sz w:val="12"/>
                <w:szCs w:val="12"/>
                <w:b w:val="1"/>
                <w:bCs w:val="1"/>
                <w:color w:val="FFFFFF"/>
              </w:rPr>
              <w:t>Change %</w:t>
            </w:r>
          </w:p>
        </w:tc>
        <w:tc>
          <w:tcPr>
            <w:tcW w:w="780" w:type="dxa"/>
            <w:vAlign w:val="bottom"/>
            <w:tcBorders>
              <w:right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auto"/>
            </w:tcBorders>
            <w:shd w:val="clear" w:color="auto" w:fill="2AD2C9"/>
          </w:tcPr>
          <w:p>
            <w:pPr>
              <w:ind w:left="40"/>
              <w:spacing w:after="0" w:line="135" w:lineRule="exact"/>
              <w:rPr>
                <w:sz w:val="20"/>
                <w:szCs w:val="20"/>
                <w:color w:val="auto"/>
              </w:rPr>
            </w:pPr>
            <w:r>
              <w:rPr>
                <w:rFonts w:ascii="Calibri" w:cs="Calibri" w:eastAsia="Calibri" w:hAnsi="Calibri"/>
                <w:sz w:val="12"/>
                <w:szCs w:val="12"/>
                <w:color w:val="FFFFFF"/>
              </w:rPr>
              <w:t>(S/ thousand)</w:t>
            </w:r>
          </w:p>
        </w:tc>
        <w:tc>
          <w:tcPr>
            <w:tcW w:w="2240" w:type="dxa"/>
            <w:vAlign w:val="bottom"/>
            <w:tcBorders>
              <w:bottom w:val="single" w:sz="8" w:color="auto"/>
              <w:right w:val="single" w:sz="8" w:color="auto"/>
            </w:tcBorders>
            <w:shd w:val="clear" w:color="auto" w:fill="2AD2C9"/>
          </w:tcPr>
          <w:p>
            <w:pPr>
              <w:spacing w:after="0"/>
              <w:rPr>
                <w:sz w:val="11"/>
                <w:szCs w:val="11"/>
                <w:color w:val="auto"/>
              </w:rPr>
            </w:pPr>
          </w:p>
        </w:tc>
        <w:tc>
          <w:tcPr>
            <w:tcW w:w="360" w:type="dxa"/>
            <w:vAlign w:val="bottom"/>
            <w:tcBorders>
              <w:bottom w:val="single" w:sz="8" w:color="auto"/>
            </w:tcBorders>
            <w:shd w:val="clear" w:color="auto" w:fill="2AD2C9"/>
          </w:tcPr>
          <w:p>
            <w:pPr>
              <w:spacing w:after="0"/>
              <w:rPr>
                <w:sz w:val="11"/>
                <w:szCs w:val="11"/>
                <w:color w:val="auto"/>
              </w:rPr>
            </w:pPr>
          </w:p>
        </w:tc>
        <w:tc>
          <w:tcPr>
            <w:tcW w:w="1380" w:type="dxa"/>
            <w:vAlign w:val="bottom"/>
            <w:tcBorders>
              <w:bottom w:val="single" w:sz="8" w:color="auto"/>
            </w:tcBorders>
            <w:shd w:val="clear" w:color="auto" w:fill="2AD2C9"/>
          </w:tcPr>
          <w:p>
            <w:pPr>
              <w:ind w:left="220"/>
              <w:spacing w:after="0" w:line="135" w:lineRule="exact"/>
              <w:rPr>
                <w:sz w:val="20"/>
                <w:szCs w:val="20"/>
                <w:color w:val="auto"/>
              </w:rPr>
            </w:pPr>
            <w:r>
              <w:rPr>
                <w:rFonts w:ascii="Calibri" w:cs="Calibri" w:eastAsia="Calibri" w:hAnsi="Calibri"/>
                <w:sz w:val="12"/>
                <w:szCs w:val="12"/>
                <w:b w:val="1"/>
                <w:bCs w:val="1"/>
                <w:color w:val="FFFFFF"/>
              </w:rPr>
              <w:t>Sep 23</w:t>
            </w:r>
          </w:p>
        </w:tc>
        <w:tc>
          <w:tcPr>
            <w:tcW w:w="1320" w:type="dxa"/>
            <w:vAlign w:val="bottom"/>
            <w:tcBorders>
              <w:bottom w:val="single" w:sz="8" w:color="auto"/>
            </w:tcBorders>
            <w:shd w:val="clear" w:color="auto" w:fill="2AD2C9"/>
          </w:tcPr>
          <w:p>
            <w:pPr>
              <w:jc w:val="center"/>
              <w:ind w:right="342"/>
              <w:spacing w:after="0" w:line="135" w:lineRule="exact"/>
              <w:rPr>
                <w:sz w:val="20"/>
                <w:szCs w:val="20"/>
                <w:color w:val="auto"/>
              </w:rPr>
            </w:pPr>
            <w:r>
              <w:rPr>
                <w:rFonts w:ascii="Calibri" w:cs="Calibri" w:eastAsia="Calibri" w:hAnsi="Calibri"/>
                <w:sz w:val="12"/>
                <w:szCs w:val="12"/>
                <w:b w:val="1"/>
                <w:bCs w:val="1"/>
                <w:color w:val="FFFFFF"/>
              </w:rPr>
              <w:t>Jun 24</w:t>
            </w:r>
          </w:p>
        </w:tc>
        <w:tc>
          <w:tcPr>
            <w:tcW w:w="1400" w:type="dxa"/>
            <w:vAlign w:val="bottom"/>
            <w:tcBorders>
              <w:bottom w:val="single" w:sz="8" w:color="auto"/>
              <w:right w:val="single" w:sz="8" w:color="auto"/>
            </w:tcBorders>
            <w:shd w:val="clear" w:color="auto" w:fill="2AD2C9"/>
          </w:tcPr>
          <w:p>
            <w:pPr>
              <w:ind w:left="460"/>
              <w:spacing w:after="0" w:line="135" w:lineRule="exact"/>
              <w:rPr>
                <w:sz w:val="20"/>
                <w:szCs w:val="20"/>
                <w:color w:val="auto"/>
              </w:rPr>
            </w:pPr>
            <w:r>
              <w:rPr>
                <w:rFonts w:ascii="Calibri" w:cs="Calibri" w:eastAsia="Calibri" w:hAnsi="Calibri"/>
                <w:sz w:val="12"/>
                <w:szCs w:val="12"/>
                <w:b w:val="1"/>
                <w:bCs w:val="1"/>
                <w:color w:val="FFFFFF"/>
              </w:rPr>
              <w:t>Sep 24</w:t>
            </w:r>
          </w:p>
        </w:tc>
        <w:tc>
          <w:tcPr>
            <w:tcW w:w="1540" w:type="dxa"/>
            <w:vAlign w:val="bottom"/>
            <w:tcBorders>
              <w:bottom w:val="single" w:sz="8" w:color="auto"/>
            </w:tcBorders>
            <w:shd w:val="clear" w:color="auto" w:fill="2AD2C9"/>
          </w:tcPr>
          <w:p>
            <w:pPr>
              <w:ind w:left="540"/>
              <w:spacing w:after="0" w:line="135" w:lineRule="exact"/>
              <w:rPr>
                <w:sz w:val="20"/>
                <w:szCs w:val="20"/>
                <w:color w:val="auto"/>
              </w:rPr>
            </w:pPr>
            <w:r>
              <w:rPr>
                <w:rFonts w:ascii="Calibri" w:cs="Calibri" w:eastAsia="Calibri" w:hAnsi="Calibri"/>
                <w:sz w:val="12"/>
                <w:szCs w:val="12"/>
                <w:b w:val="1"/>
                <w:bCs w:val="1"/>
                <w:color w:val="FFFFFF"/>
              </w:rPr>
              <w:t>QoQ</w:t>
            </w:r>
          </w:p>
        </w:tc>
        <w:tc>
          <w:tcPr>
            <w:tcW w:w="780" w:type="dxa"/>
            <w:vAlign w:val="bottom"/>
            <w:tcBorders>
              <w:bottom w:val="single" w:sz="8" w:color="auto"/>
              <w:right w:val="single" w:sz="8" w:color="auto"/>
            </w:tcBorders>
            <w:shd w:val="clear" w:color="auto" w:fill="2AD2C9"/>
          </w:tcPr>
          <w:p>
            <w:pPr>
              <w:ind w:left="180"/>
              <w:spacing w:after="0" w:line="135" w:lineRule="exact"/>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13"/>
        </w:trPr>
        <w:tc>
          <w:tcPr>
            <w:tcW w:w="2220" w:type="dxa"/>
            <w:vAlign w:val="bottom"/>
            <w:tcBorders>
              <w:left w:val="single" w:sz="8" w:color="auto"/>
            </w:tcBorders>
          </w:tcPr>
          <w:p>
            <w:pPr>
              <w:ind w:left="180"/>
              <w:spacing w:after="0" w:line="113" w:lineRule="exact"/>
              <w:rPr>
                <w:sz w:val="20"/>
                <w:szCs w:val="20"/>
                <w:color w:val="auto"/>
              </w:rPr>
            </w:pPr>
            <w:r>
              <w:rPr>
                <w:rFonts w:ascii="Calibri" w:cs="Calibri" w:eastAsia="Calibri" w:hAnsi="Calibri"/>
                <w:sz w:val="12"/>
                <w:szCs w:val="12"/>
                <w:color w:val="auto"/>
              </w:rPr>
              <w:t>Capital Stock</w:t>
            </w:r>
          </w:p>
        </w:tc>
        <w:tc>
          <w:tcPr>
            <w:tcW w:w="22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jc w:val="right"/>
              <w:ind w:right="222"/>
              <w:spacing w:after="0" w:line="113" w:lineRule="exact"/>
              <w:rPr>
                <w:sz w:val="20"/>
                <w:szCs w:val="20"/>
                <w:color w:val="auto"/>
              </w:rPr>
            </w:pPr>
            <w:r>
              <w:rPr>
                <w:rFonts w:ascii="Calibri" w:cs="Calibri" w:eastAsia="Calibri" w:hAnsi="Calibri"/>
                <w:sz w:val="12"/>
                <w:szCs w:val="12"/>
                <w:color w:val="auto"/>
              </w:rPr>
              <w:t>12,973,175</w:t>
            </w:r>
          </w:p>
        </w:tc>
        <w:tc>
          <w:tcPr>
            <w:tcW w:w="1320" w:type="dxa"/>
            <w:vAlign w:val="bottom"/>
          </w:tcPr>
          <w:p>
            <w:pPr>
              <w:jc w:val="right"/>
              <w:ind w:right="62"/>
              <w:spacing w:after="0" w:line="113" w:lineRule="exact"/>
              <w:rPr>
                <w:sz w:val="20"/>
                <w:szCs w:val="20"/>
                <w:color w:val="auto"/>
              </w:rPr>
            </w:pPr>
            <w:r>
              <w:rPr>
                <w:rFonts w:ascii="Calibri" w:cs="Calibri" w:eastAsia="Calibri" w:hAnsi="Calibri"/>
                <w:sz w:val="12"/>
                <w:szCs w:val="12"/>
                <w:color w:val="auto"/>
              </w:rPr>
              <w:t>12,973,175</w:t>
            </w:r>
          </w:p>
        </w:tc>
        <w:tc>
          <w:tcPr>
            <w:tcW w:w="140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12,973,175</w:t>
            </w:r>
          </w:p>
        </w:tc>
        <w:tc>
          <w:tcPr>
            <w:tcW w:w="1540" w:type="dxa"/>
            <w:vAlign w:val="bottom"/>
          </w:tcPr>
          <w:p>
            <w:pPr>
              <w:jc w:val="right"/>
              <w:ind w:right="182"/>
              <w:spacing w:after="0" w:line="113" w:lineRule="exact"/>
              <w:rPr>
                <w:sz w:val="20"/>
                <w:szCs w:val="20"/>
                <w:color w:val="auto"/>
              </w:rPr>
            </w:pPr>
            <w:r>
              <w:rPr>
                <w:rFonts w:ascii="Calibri" w:cs="Calibri" w:eastAsia="Calibri" w:hAnsi="Calibri"/>
                <w:sz w:val="12"/>
                <w:szCs w:val="12"/>
                <w:color w:val="auto"/>
              </w:rPr>
              <w:t>0.0%</w:t>
            </w:r>
          </w:p>
        </w:tc>
        <w:tc>
          <w:tcPr>
            <w:tcW w:w="78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Reserves</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7,039,793</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6,591,330</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6,591,330</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0.0%</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-6.4%</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Accumulated earnings</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4,474,351</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3,920,795</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5,426,132</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38.4%</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21.3%</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Loan loss reserves (1)</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1,667,750</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1,749,878</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1,689,307</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-3.5%</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1.3%</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Perpetual subordinated debt</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n.a</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n.a</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Subordinated Debt</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5,120,550</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5,171,850</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7,232,550</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39.8%</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41.2%</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Unrealized Proft or Losses</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(916,337)</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(621,417)</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(322,210)</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-48.1%</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-64.8%</w:t>
            </w:r>
          </w:p>
        </w:tc>
        <w:tc>
          <w:tcPr>
            <w:tcW w:w="0" w:type="dxa"/>
            <w:vAlign w:val="bottom"/>
          </w:tcPr>
          <w:p>
            <w:pPr>
              <w:spacing w:after="0"/>
              <w:rPr>
                <w:sz w:val="1"/>
                <w:szCs w:val="1"/>
                <w:color w:val="auto"/>
              </w:rPr>
            </w:pPr>
          </w:p>
        </w:tc>
      </w:tr>
      <w:tr>
        <w:trPr>
          <w:trHeight w:val="135"/>
        </w:trPr>
        <w:tc>
          <w:tcPr>
            <w:tcW w:w="4460" w:type="dxa"/>
            <w:vAlign w:val="bottom"/>
            <w:tcBorders>
              <w:left w:val="single" w:sz="8" w:color="auto"/>
              <w:right w:val="single" w:sz="8" w:color="auto"/>
            </w:tcBorders>
            <w:gridSpan w:val="2"/>
          </w:tcPr>
          <w:p>
            <w:pPr>
              <w:ind w:left="180"/>
              <w:spacing w:after="0" w:line="135" w:lineRule="exact"/>
              <w:rPr>
                <w:sz w:val="20"/>
                <w:szCs w:val="20"/>
                <w:color w:val="auto"/>
              </w:rPr>
            </w:pPr>
            <w:r>
              <w:rPr>
                <w:rFonts w:ascii="Calibri" w:cs="Calibri" w:eastAsia="Calibri" w:hAnsi="Calibri"/>
                <w:sz w:val="12"/>
                <w:szCs w:val="12"/>
                <w:color w:val="auto"/>
              </w:rPr>
              <w:t>Investment in subsidiaries and others, net of unrealized proft and net income in</w:t>
            </w:r>
          </w:p>
        </w:tc>
        <w:tc>
          <w:tcPr>
            <w:tcW w:w="360" w:type="dxa"/>
            <w:vAlign w:val="bottom"/>
          </w:tcPr>
          <w:p>
            <w:pPr>
              <w:spacing w:after="0"/>
              <w:rPr>
                <w:sz w:val="11"/>
                <w:szCs w:val="11"/>
                <w:color w:val="auto"/>
              </w:rPr>
            </w:pPr>
          </w:p>
        </w:tc>
        <w:tc>
          <w:tcPr>
            <w:tcW w:w="1380" w:type="dxa"/>
            <w:vAlign w:val="bottom"/>
            <w:vMerge w:val="restart"/>
          </w:tcPr>
          <w:p>
            <w:pPr>
              <w:jc w:val="right"/>
              <w:ind w:right="222"/>
              <w:spacing w:after="0"/>
              <w:rPr>
                <w:sz w:val="20"/>
                <w:szCs w:val="20"/>
                <w:color w:val="auto"/>
              </w:rPr>
            </w:pPr>
            <w:r>
              <w:rPr>
                <w:rFonts w:ascii="Calibri" w:cs="Calibri" w:eastAsia="Calibri" w:hAnsi="Calibri"/>
                <w:sz w:val="12"/>
                <w:szCs w:val="12"/>
                <w:color w:val="auto"/>
              </w:rPr>
              <w:t>(2,714,749)</w:t>
            </w:r>
          </w:p>
        </w:tc>
        <w:tc>
          <w:tcPr>
            <w:tcW w:w="1320" w:type="dxa"/>
            <w:vAlign w:val="bottom"/>
            <w:vMerge w:val="restart"/>
          </w:tcPr>
          <w:p>
            <w:pPr>
              <w:jc w:val="right"/>
              <w:ind w:right="62"/>
              <w:spacing w:after="0"/>
              <w:rPr>
                <w:sz w:val="20"/>
                <w:szCs w:val="20"/>
                <w:color w:val="auto"/>
              </w:rPr>
            </w:pPr>
            <w:r>
              <w:rPr>
                <w:rFonts w:ascii="Calibri" w:cs="Calibri" w:eastAsia="Calibri" w:hAnsi="Calibri"/>
                <w:sz w:val="12"/>
                <w:szCs w:val="12"/>
                <w:color w:val="auto"/>
              </w:rPr>
              <w:t>(2,465,969)</w:t>
            </w:r>
          </w:p>
        </w:tc>
        <w:tc>
          <w:tcPr>
            <w:tcW w:w="14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2"/>
                <w:szCs w:val="12"/>
                <w:color w:val="auto"/>
              </w:rPr>
              <w:t>(2,537,005)</w:t>
            </w:r>
          </w:p>
        </w:tc>
        <w:tc>
          <w:tcPr>
            <w:tcW w:w="1540" w:type="dxa"/>
            <w:vAlign w:val="bottom"/>
            <w:vMerge w:val="restart"/>
          </w:tcPr>
          <w:p>
            <w:pPr>
              <w:jc w:val="right"/>
              <w:ind w:right="182"/>
              <w:spacing w:after="0"/>
              <w:rPr>
                <w:sz w:val="20"/>
                <w:szCs w:val="20"/>
                <w:color w:val="auto"/>
              </w:rPr>
            </w:pPr>
            <w:r>
              <w:rPr>
                <w:rFonts w:ascii="Calibri" w:cs="Calibri" w:eastAsia="Calibri" w:hAnsi="Calibri"/>
                <w:sz w:val="12"/>
                <w:szCs w:val="12"/>
                <w:color w:val="auto"/>
              </w:rPr>
              <w:t>2.9%</w:t>
            </w:r>
          </w:p>
        </w:tc>
        <w:tc>
          <w:tcPr>
            <w:tcW w:w="7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2"/>
                <w:szCs w:val="12"/>
                <w:color w:val="auto"/>
              </w:rPr>
              <w:t>-6.5%</w:t>
            </w:r>
          </w:p>
        </w:tc>
        <w:tc>
          <w:tcPr>
            <w:tcW w:w="0" w:type="dxa"/>
            <w:vAlign w:val="bottom"/>
          </w:tcPr>
          <w:p>
            <w:pPr>
              <w:spacing w:after="0"/>
              <w:rPr>
                <w:sz w:val="1"/>
                <w:szCs w:val="1"/>
                <w:color w:val="auto"/>
              </w:rPr>
            </w:pPr>
          </w:p>
        </w:tc>
      </w:tr>
      <w:tr>
        <w:trPr>
          <w:trHeight w:val="70"/>
        </w:trPr>
        <w:tc>
          <w:tcPr>
            <w:tcW w:w="2220" w:type="dxa"/>
            <w:vAlign w:val="bottom"/>
            <w:tcBorders>
              <w:left w:val="single" w:sz="8" w:color="auto"/>
            </w:tcBorders>
            <w:vMerge w:val="restart"/>
          </w:tcPr>
          <w:p>
            <w:pPr>
              <w:ind w:left="180"/>
              <w:spacing w:after="0" w:line="135" w:lineRule="exact"/>
              <w:rPr>
                <w:sz w:val="20"/>
                <w:szCs w:val="20"/>
                <w:color w:val="auto"/>
              </w:rPr>
            </w:pPr>
            <w:r>
              <w:rPr>
                <w:rFonts w:ascii="Calibri" w:cs="Calibri" w:eastAsia="Calibri" w:hAnsi="Calibri"/>
                <w:sz w:val="12"/>
                <w:szCs w:val="12"/>
                <w:color w:val="auto"/>
              </w:rPr>
              <w:t>subsidiaries</w:t>
            </w:r>
          </w:p>
        </w:tc>
        <w:tc>
          <w:tcPr>
            <w:tcW w:w="22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220" w:type="dxa"/>
            <w:vAlign w:val="bottom"/>
            <w:tcBorders>
              <w:left w:val="single" w:sz="8" w:color="auto"/>
            </w:tcBorders>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180"/>
              <w:spacing w:after="0" w:line="135" w:lineRule="exact"/>
              <w:rPr>
                <w:sz w:val="20"/>
                <w:szCs w:val="20"/>
                <w:color w:val="auto"/>
              </w:rPr>
            </w:pPr>
            <w:r>
              <w:rPr>
                <w:rFonts w:ascii="Calibri" w:cs="Calibri" w:eastAsia="Calibri" w:hAnsi="Calibri"/>
                <w:sz w:val="12"/>
                <w:szCs w:val="12"/>
                <w:color w:val="auto"/>
              </w:rPr>
              <w:t>Intangibles</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(1,124,983)</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(1,303,792)</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(1,330,135)</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2.0%</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18.2%</w:t>
            </w:r>
          </w:p>
        </w:tc>
        <w:tc>
          <w:tcPr>
            <w:tcW w:w="0" w:type="dxa"/>
            <w:vAlign w:val="bottom"/>
          </w:tcPr>
          <w:p>
            <w:pPr>
              <w:spacing w:after="0"/>
              <w:rPr>
                <w:sz w:val="1"/>
                <w:szCs w:val="1"/>
                <w:color w:val="auto"/>
              </w:rPr>
            </w:pPr>
          </w:p>
        </w:tc>
      </w:tr>
      <w:tr>
        <w:trPr>
          <w:trHeight w:val="144"/>
        </w:trPr>
        <w:tc>
          <w:tcPr>
            <w:tcW w:w="2220" w:type="dxa"/>
            <w:vAlign w:val="bottom"/>
            <w:tcBorders>
              <w:left w:val="single" w:sz="8" w:color="auto"/>
              <w:bottom w:val="single" w:sz="8" w:color="auto"/>
            </w:tcBorders>
          </w:tcPr>
          <w:p>
            <w:pPr>
              <w:ind w:left="180"/>
              <w:spacing w:after="0" w:line="138" w:lineRule="exact"/>
              <w:rPr>
                <w:sz w:val="20"/>
                <w:szCs w:val="20"/>
                <w:color w:val="auto"/>
              </w:rPr>
            </w:pPr>
            <w:r>
              <w:rPr>
                <w:rFonts w:ascii="Calibri" w:cs="Calibri" w:eastAsia="Calibri" w:hAnsi="Calibri"/>
                <w:sz w:val="12"/>
                <w:szCs w:val="12"/>
                <w:color w:val="auto"/>
              </w:rPr>
              <w:t>Goodwill</w:t>
            </w:r>
          </w:p>
        </w:tc>
        <w:tc>
          <w:tcPr>
            <w:tcW w:w="2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22"/>
              <w:spacing w:after="0" w:line="138" w:lineRule="exact"/>
              <w:rPr>
                <w:sz w:val="20"/>
                <w:szCs w:val="20"/>
                <w:color w:val="auto"/>
              </w:rPr>
            </w:pPr>
            <w:r>
              <w:rPr>
                <w:rFonts w:ascii="Calibri" w:cs="Calibri" w:eastAsia="Calibri" w:hAnsi="Calibri"/>
                <w:sz w:val="12"/>
                <w:szCs w:val="12"/>
                <w:color w:val="auto"/>
              </w:rPr>
              <w:t>(122,083)</w:t>
            </w:r>
          </w:p>
        </w:tc>
        <w:tc>
          <w:tcPr>
            <w:tcW w:w="1320" w:type="dxa"/>
            <w:vAlign w:val="bottom"/>
            <w:tcBorders>
              <w:bottom w:val="single" w:sz="8" w:color="auto"/>
            </w:tcBorders>
          </w:tcPr>
          <w:p>
            <w:pPr>
              <w:jc w:val="right"/>
              <w:ind w:right="62"/>
              <w:spacing w:after="0" w:line="138" w:lineRule="exact"/>
              <w:rPr>
                <w:sz w:val="20"/>
                <w:szCs w:val="20"/>
                <w:color w:val="auto"/>
              </w:rPr>
            </w:pPr>
            <w:r>
              <w:rPr>
                <w:rFonts w:ascii="Calibri" w:cs="Calibri" w:eastAsia="Calibri" w:hAnsi="Calibri"/>
                <w:sz w:val="12"/>
                <w:szCs w:val="12"/>
                <w:color w:val="auto"/>
              </w:rPr>
              <w:t>(122,083)</w:t>
            </w:r>
          </w:p>
        </w:tc>
        <w:tc>
          <w:tcPr>
            <w:tcW w:w="140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(122,083)</w:t>
            </w:r>
          </w:p>
        </w:tc>
        <w:tc>
          <w:tcPr>
            <w:tcW w:w="1540" w:type="dxa"/>
            <w:vAlign w:val="bottom"/>
            <w:tcBorders>
              <w:bottom w:val="single" w:sz="8" w:color="auto"/>
            </w:tcBorders>
          </w:tcPr>
          <w:p>
            <w:pPr>
              <w:jc w:val="right"/>
              <w:ind w:right="182"/>
              <w:spacing w:after="0" w:line="138" w:lineRule="exact"/>
              <w:rPr>
                <w:sz w:val="20"/>
                <w:szCs w:val="20"/>
                <w:color w:val="auto"/>
              </w:rPr>
            </w:pPr>
            <w:r>
              <w:rPr>
                <w:rFonts w:ascii="Calibri" w:cs="Calibri" w:eastAsia="Calibri" w:hAnsi="Calibri"/>
                <w:sz w:val="12"/>
                <w:szCs w:val="12"/>
                <w:color w:val="auto"/>
              </w:rPr>
              <w:t>0.0%</w:t>
            </w:r>
          </w:p>
        </w:tc>
        <w:tc>
          <w:tcPr>
            <w:tcW w:w="78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auto"/>
            </w:tcBorders>
          </w:tcPr>
          <w:p>
            <w:pPr>
              <w:ind w:left="20"/>
              <w:spacing w:after="0" w:line="135" w:lineRule="exact"/>
              <w:rPr>
                <w:sz w:val="20"/>
                <w:szCs w:val="20"/>
                <w:color w:val="auto"/>
              </w:rPr>
            </w:pPr>
            <w:r>
              <w:rPr>
                <w:rFonts w:ascii="Calibri" w:cs="Calibri" w:eastAsia="Calibri" w:hAnsi="Calibri"/>
                <w:sz w:val="12"/>
                <w:szCs w:val="12"/>
                <w:b w:val="1"/>
                <w:bCs w:val="1"/>
                <w:color w:val="auto"/>
              </w:rPr>
              <w:t>Total Regulatory Capital</w:t>
            </w:r>
          </w:p>
        </w:tc>
        <w:tc>
          <w:tcPr>
            <w:tcW w:w="22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22"/>
              <w:spacing w:after="0" w:line="135" w:lineRule="exact"/>
              <w:rPr>
                <w:sz w:val="20"/>
                <w:szCs w:val="20"/>
                <w:color w:val="auto"/>
              </w:rPr>
            </w:pPr>
            <w:r>
              <w:rPr>
                <w:rFonts w:ascii="Calibri" w:cs="Calibri" w:eastAsia="Calibri" w:hAnsi="Calibri"/>
                <w:sz w:val="12"/>
                <w:szCs w:val="12"/>
                <w:b w:val="1"/>
                <w:bCs w:val="1"/>
                <w:color w:val="auto"/>
              </w:rPr>
              <w:t>26,397,466</w:t>
            </w:r>
          </w:p>
        </w:tc>
        <w:tc>
          <w:tcPr>
            <w:tcW w:w="1320" w:type="dxa"/>
            <w:vAlign w:val="bottom"/>
            <w:tcBorders>
              <w:bottom w:val="single" w:sz="8" w:color="auto"/>
            </w:tcBorders>
          </w:tcPr>
          <w:p>
            <w:pPr>
              <w:jc w:val="right"/>
              <w:ind w:right="62"/>
              <w:spacing w:after="0" w:line="135" w:lineRule="exact"/>
              <w:rPr>
                <w:sz w:val="20"/>
                <w:szCs w:val="20"/>
                <w:color w:val="auto"/>
              </w:rPr>
            </w:pPr>
            <w:r>
              <w:rPr>
                <w:rFonts w:ascii="Calibri" w:cs="Calibri" w:eastAsia="Calibri" w:hAnsi="Calibri"/>
                <w:sz w:val="12"/>
                <w:szCs w:val="12"/>
                <w:b w:val="1"/>
                <w:bCs w:val="1"/>
                <w:color w:val="auto"/>
              </w:rPr>
              <w:t>25,893,766</w:t>
            </w:r>
          </w:p>
        </w:tc>
        <w:tc>
          <w:tcPr>
            <w:tcW w:w="1400" w:type="dxa"/>
            <w:vAlign w:val="bottom"/>
            <w:tcBorders>
              <w:bottom w:val="single" w:sz="8" w:color="auto"/>
              <w:right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29,601,060</w:t>
            </w:r>
          </w:p>
        </w:tc>
        <w:tc>
          <w:tcPr>
            <w:tcW w:w="1540" w:type="dxa"/>
            <w:vAlign w:val="bottom"/>
            <w:tcBorders>
              <w:bottom w:val="single" w:sz="8" w:color="auto"/>
            </w:tcBorders>
          </w:tcPr>
          <w:p>
            <w:pPr>
              <w:jc w:val="right"/>
              <w:ind w:right="182"/>
              <w:spacing w:after="0" w:line="135" w:lineRule="exact"/>
              <w:rPr>
                <w:sz w:val="20"/>
                <w:szCs w:val="20"/>
                <w:color w:val="auto"/>
              </w:rPr>
            </w:pPr>
            <w:r>
              <w:rPr>
                <w:rFonts w:ascii="Calibri" w:cs="Calibri" w:eastAsia="Calibri" w:hAnsi="Calibri"/>
                <w:sz w:val="12"/>
                <w:szCs w:val="12"/>
                <w:b w:val="1"/>
                <w:bCs w:val="1"/>
                <w:color w:val="auto"/>
              </w:rPr>
              <w:t>14.3%</w:t>
            </w:r>
          </w:p>
        </w:tc>
        <w:tc>
          <w:tcPr>
            <w:tcW w:w="780" w:type="dxa"/>
            <w:vAlign w:val="bottom"/>
            <w:tcBorders>
              <w:bottom w:val="single" w:sz="8" w:color="auto"/>
              <w:right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12.1%</w:t>
            </w:r>
          </w:p>
        </w:tc>
        <w:tc>
          <w:tcPr>
            <w:tcW w:w="0" w:type="dxa"/>
            <w:vAlign w:val="bottom"/>
          </w:tcPr>
          <w:p>
            <w:pPr>
              <w:spacing w:after="0"/>
              <w:rPr>
                <w:sz w:val="1"/>
                <w:szCs w:val="1"/>
                <w:color w:val="auto"/>
              </w:rPr>
            </w:pPr>
          </w:p>
        </w:tc>
      </w:tr>
      <w:tr>
        <w:trPr>
          <w:trHeight w:val="129"/>
        </w:trPr>
        <w:tc>
          <w:tcPr>
            <w:tcW w:w="2220" w:type="dxa"/>
            <w:vAlign w:val="bottom"/>
            <w:tcBorders>
              <w:left w:val="single" w:sz="8" w:color="auto"/>
              <w:bottom w:val="single" w:sz="8" w:color="auto"/>
            </w:tcBorders>
          </w:tcPr>
          <w:p>
            <w:pPr>
              <w:ind w:left="20"/>
              <w:spacing w:after="0" w:line="129" w:lineRule="exact"/>
              <w:rPr>
                <w:sz w:val="20"/>
                <w:szCs w:val="20"/>
                <w:color w:val="auto"/>
              </w:rPr>
            </w:pPr>
            <w:r>
              <w:rPr>
                <w:rFonts w:ascii="Calibri" w:cs="Calibri" w:eastAsia="Calibri" w:hAnsi="Calibri"/>
                <w:sz w:val="12"/>
                <w:szCs w:val="12"/>
                <w:b w:val="1"/>
                <w:bCs w:val="1"/>
                <w:color w:val="auto"/>
              </w:rPr>
              <w:t>Tier 1 Common Equity (2)</w:t>
            </w:r>
          </w:p>
        </w:tc>
        <w:tc>
          <w:tcPr>
            <w:tcW w:w="22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22"/>
              <w:spacing w:after="0" w:line="129" w:lineRule="exact"/>
              <w:rPr>
                <w:sz w:val="20"/>
                <w:szCs w:val="20"/>
                <w:color w:val="auto"/>
              </w:rPr>
            </w:pPr>
            <w:r>
              <w:rPr>
                <w:rFonts w:ascii="Calibri" w:cs="Calibri" w:eastAsia="Calibri" w:hAnsi="Calibri"/>
                <w:sz w:val="12"/>
                <w:szCs w:val="12"/>
                <w:b w:val="1"/>
                <w:bCs w:val="1"/>
                <w:color w:val="auto"/>
              </w:rPr>
              <w:t>19,609,166</w:t>
            </w:r>
          </w:p>
        </w:tc>
        <w:tc>
          <w:tcPr>
            <w:tcW w:w="1320" w:type="dxa"/>
            <w:vAlign w:val="bottom"/>
            <w:tcBorders>
              <w:bottom w:val="single" w:sz="8" w:color="auto"/>
            </w:tcBorders>
          </w:tcPr>
          <w:p>
            <w:pPr>
              <w:jc w:val="right"/>
              <w:ind w:right="62"/>
              <w:spacing w:after="0" w:line="129" w:lineRule="exact"/>
              <w:rPr>
                <w:sz w:val="20"/>
                <w:szCs w:val="20"/>
                <w:color w:val="auto"/>
              </w:rPr>
            </w:pPr>
            <w:r>
              <w:rPr>
                <w:rFonts w:ascii="Calibri" w:cs="Calibri" w:eastAsia="Calibri" w:hAnsi="Calibri"/>
                <w:sz w:val="12"/>
                <w:szCs w:val="12"/>
                <w:b w:val="1"/>
                <w:bCs w:val="1"/>
                <w:color w:val="auto"/>
              </w:rPr>
              <w:t>18,972,038</w:t>
            </w:r>
          </w:p>
        </w:tc>
        <w:tc>
          <w:tcPr>
            <w:tcW w:w="1400" w:type="dxa"/>
            <w:vAlign w:val="bottom"/>
            <w:tcBorders>
              <w:bottom w:val="single" w:sz="8" w:color="auto"/>
              <w:right w:val="single" w:sz="8" w:color="auto"/>
            </w:tcBorders>
          </w:tcPr>
          <w:p>
            <w:pPr>
              <w:jc w:val="right"/>
              <w:spacing w:after="0" w:line="129" w:lineRule="exact"/>
              <w:rPr>
                <w:sz w:val="20"/>
                <w:szCs w:val="20"/>
                <w:color w:val="auto"/>
              </w:rPr>
            </w:pPr>
            <w:r>
              <w:rPr>
                <w:rFonts w:ascii="Calibri" w:cs="Calibri" w:eastAsia="Calibri" w:hAnsi="Calibri"/>
                <w:sz w:val="12"/>
                <w:szCs w:val="12"/>
                <w:b w:val="1"/>
                <w:bCs w:val="1"/>
                <w:color w:val="auto"/>
              </w:rPr>
              <w:t>20,679,203</w:t>
            </w:r>
          </w:p>
        </w:tc>
        <w:tc>
          <w:tcPr>
            <w:tcW w:w="1540" w:type="dxa"/>
            <w:vAlign w:val="bottom"/>
            <w:tcBorders>
              <w:bottom w:val="single" w:sz="8" w:color="auto"/>
            </w:tcBorders>
          </w:tcPr>
          <w:p>
            <w:pPr>
              <w:jc w:val="right"/>
              <w:ind w:right="182"/>
              <w:spacing w:after="0" w:line="129" w:lineRule="exact"/>
              <w:rPr>
                <w:sz w:val="20"/>
                <w:szCs w:val="20"/>
                <w:color w:val="auto"/>
              </w:rPr>
            </w:pPr>
            <w:r>
              <w:rPr>
                <w:rFonts w:ascii="Calibri" w:cs="Calibri" w:eastAsia="Calibri" w:hAnsi="Calibri"/>
                <w:sz w:val="12"/>
                <w:szCs w:val="12"/>
                <w:b w:val="1"/>
                <w:bCs w:val="1"/>
                <w:color w:val="auto"/>
              </w:rPr>
              <w:t>9.0%</w:t>
            </w:r>
          </w:p>
        </w:tc>
        <w:tc>
          <w:tcPr>
            <w:tcW w:w="780" w:type="dxa"/>
            <w:vAlign w:val="bottom"/>
            <w:tcBorders>
              <w:bottom w:val="single" w:sz="8" w:color="auto"/>
              <w:right w:val="single" w:sz="8" w:color="auto"/>
            </w:tcBorders>
          </w:tcPr>
          <w:p>
            <w:pPr>
              <w:jc w:val="right"/>
              <w:spacing w:after="0" w:line="129" w:lineRule="exact"/>
              <w:rPr>
                <w:sz w:val="20"/>
                <w:szCs w:val="20"/>
                <w:color w:val="auto"/>
              </w:rPr>
            </w:pPr>
            <w:r>
              <w:rPr>
                <w:rFonts w:ascii="Calibri" w:cs="Calibri" w:eastAsia="Calibri" w:hAnsi="Calibri"/>
                <w:sz w:val="12"/>
                <w:szCs w:val="12"/>
                <w:b w:val="1"/>
                <w:bCs w:val="1"/>
                <w:color w:val="auto"/>
              </w:rPr>
              <w:t>5.5%</w:t>
            </w:r>
          </w:p>
        </w:tc>
        <w:tc>
          <w:tcPr>
            <w:tcW w:w="0" w:type="dxa"/>
            <w:vAlign w:val="bottom"/>
          </w:tcPr>
          <w:p>
            <w:pPr>
              <w:spacing w:after="0"/>
              <w:rPr>
                <w:sz w:val="1"/>
                <w:szCs w:val="1"/>
                <w:color w:val="auto"/>
              </w:rPr>
            </w:pPr>
          </w:p>
        </w:tc>
      </w:tr>
      <w:tr>
        <w:trPr>
          <w:trHeight w:val="128"/>
        </w:trPr>
        <w:tc>
          <w:tcPr>
            <w:tcW w:w="2220" w:type="dxa"/>
            <w:vAlign w:val="bottom"/>
            <w:tcBorders>
              <w:left w:val="single" w:sz="8" w:color="auto"/>
              <w:bottom w:val="single" w:sz="8" w:color="auto"/>
            </w:tcBorders>
          </w:tcPr>
          <w:p>
            <w:pPr>
              <w:ind w:left="20"/>
              <w:spacing w:after="0" w:line="129" w:lineRule="exact"/>
              <w:rPr>
                <w:sz w:val="20"/>
                <w:szCs w:val="20"/>
                <w:color w:val="auto"/>
              </w:rPr>
            </w:pPr>
            <w:r>
              <w:rPr>
                <w:rFonts w:ascii="Calibri" w:cs="Calibri" w:eastAsia="Calibri" w:hAnsi="Calibri"/>
                <w:sz w:val="12"/>
                <w:szCs w:val="12"/>
                <w:b w:val="1"/>
                <w:bCs w:val="1"/>
                <w:color w:val="auto"/>
              </w:rPr>
              <w:t>Regulatory Tier 1 Capital (3)</w:t>
            </w:r>
          </w:p>
        </w:tc>
        <w:tc>
          <w:tcPr>
            <w:tcW w:w="22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22"/>
              <w:spacing w:after="0" w:line="129" w:lineRule="exact"/>
              <w:rPr>
                <w:sz w:val="20"/>
                <w:szCs w:val="20"/>
                <w:color w:val="auto"/>
              </w:rPr>
            </w:pPr>
            <w:r>
              <w:rPr>
                <w:rFonts w:ascii="Calibri" w:cs="Calibri" w:eastAsia="Calibri" w:hAnsi="Calibri"/>
                <w:sz w:val="12"/>
                <w:szCs w:val="12"/>
                <w:b w:val="1"/>
                <w:bCs w:val="1"/>
                <w:color w:val="auto"/>
              </w:rPr>
              <w:t>19,609,166</w:t>
            </w:r>
          </w:p>
        </w:tc>
        <w:tc>
          <w:tcPr>
            <w:tcW w:w="1320" w:type="dxa"/>
            <w:vAlign w:val="bottom"/>
            <w:tcBorders>
              <w:bottom w:val="single" w:sz="8" w:color="auto"/>
            </w:tcBorders>
          </w:tcPr>
          <w:p>
            <w:pPr>
              <w:jc w:val="right"/>
              <w:ind w:right="62"/>
              <w:spacing w:after="0" w:line="129" w:lineRule="exact"/>
              <w:rPr>
                <w:sz w:val="20"/>
                <w:szCs w:val="20"/>
                <w:color w:val="auto"/>
              </w:rPr>
            </w:pPr>
            <w:r>
              <w:rPr>
                <w:rFonts w:ascii="Calibri" w:cs="Calibri" w:eastAsia="Calibri" w:hAnsi="Calibri"/>
                <w:sz w:val="12"/>
                <w:szCs w:val="12"/>
                <w:b w:val="1"/>
                <w:bCs w:val="1"/>
                <w:color w:val="auto"/>
              </w:rPr>
              <w:t>18,972,038</w:t>
            </w:r>
          </w:p>
        </w:tc>
        <w:tc>
          <w:tcPr>
            <w:tcW w:w="1400" w:type="dxa"/>
            <w:vAlign w:val="bottom"/>
            <w:tcBorders>
              <w:bottom w:val="single" w:sz="8" w:color="auto"/>
              <w:right w:val="single" w:sz="8" w:color="auto"/>
            </w:tcBorders>
          </w:tcPr>
          <w:p>
            <w:pPr>
              <w:jc w:val="right"/>
              <w:spacing w:after="0" w:line="129" w:lineRule="exact"/>
              <w:rPr>
                <w:sz w:val="20"/>
                <w:szCs w:val="20"/>
                <w:color w:val="auto"/>
              </w:rPr>
            </w:pPr>
            <w:r>
              <w:rPr>
                <w:rFonts w:ascii="Calibri" w:cs="Calibri" w:eastAsia="Calibri" w:hAnsi="Calibri"/>
                <w:sz w:val="12"/>
                <w:szCs w:val="12"/>
                <w:b w:val="1"/>
                <w:bCs w:val="1"/>
                <w:color w:val="auto"/>
              </w:rPr>
              <w:t>20,679,203</w:t>
            </w:r>
          </w:p>
        </w:tc>
        <w:tc>
          <w:tcPr>
            <w:tcW w:w="1540" w:type="dxa"/>
            <w:vAlign w:val="bottom"/>
            <w:tcBorders>
              <w:bottom w:val="single" w:sz="8" w:color="auto"/>
            </w:tcBorders>
          </w:tcPr>
          <w:p>
            <w:pPr>
              <w:jc w:val="right"/>
              <w:ind w:right="182"/>
              <w:spacing w:after="0" w:line="129" w:lineRule="exact"/>
              <w:rPr>
                <w:sz w:val="20"/>
                <w:szCs w:val="20"/>
                <w:color w:val="auto"/>
              </w:rPr>
            </w:pPr>
            <w:r>
              <w:rPr>
                <w:rFonts w:ascii="Calibri" w:cs="Calibri" w:eastAsia="Calibri" w:hAnsi="Calibri"/>
                <w:sz w:val="12"/>
                <w:szCs w:val="12"/>
                <w:b w:val="1"/>
                <w:bCs w:val="1"/>
                <w:color w:val="auto"/>
              </w:rPr>
              <w:t>9.0%</w:t>
            </w:r>
          </w:p>
        </w:tc>
        <w:tc>
          <w:tcPr>
            <w:tcW w:w="780" w:type="dxa"/>
            <w:vAlign w:val="bottom"/>
            <w:tcBorders>
              <w:bottom w:val="single" w:sz="8" w:color="auto"/>
              <w:right w:val="single" w:sz="8" w:color="auto"/>
            </w:tcBorders>
          </w:tcPr>
          <w:p>
            <w:pPr>
              <w:jc w:val="right"/>
              <w:spacing w:after="0" w:line="129" w:lineRule="exact"/>
              <w:rPr>
                <w:sz w:val="20"/>
                <w:szCs w:val="20"/>
                <w:color w:val="auto"/>
              </w:rPr>
            </w:pPr>
            <w:r>
              <w:rPr>
                <w:rFonts w:ascii="Calibri" w:cs="Calibri" w:eastAsia="Calibri" w:hAnsi="Calibri"/>
                <w:sz w:val="12"/>
                <w:szCs w:val="12"/>
                <w:b w:val="1"/>
                <w:bCs w:val="1"/>
                <w:color w:val="auto"/>
              </w:rPr>
              <w:t>5.5%</w:t>
            </w:r>
          </w:p>
        </w:tc>
        <w:tc>
          <w:tcPr>
            <w:tcW w:w="0" w:type="dxa"/>
            <w:vAlign w:val="bottom"/>
          </w:tcPr>
          <w:p>
            <w:pPr>
              <w:spacing w:after="0"/>
              <w:rPr>
                <w:sz w:val="1"/>
                <w:szCs w:val="1"/>
                <w:color w:val="auto"/>
              </w:rPr>
            </w:pPr>
          </w:p>
        </w:tc>
      </w:tr>
      <w:tr>
        <w:trPr>
          <w:trHeight w:val="128"/>
        </w:trPr>
        <w:tc>
          <w:tcPr>
            <w:tcW w:w="2220" w:type="dxa"/>
            <w:vAlign w:val="bottom"/>
            <w:tcBorders>
              <w:left w:val="single" w:sz="8" w:color="auto"/>
              <w:bottom w:val="single" w:sz="8" w:color="auto"/>
            </w:tcBorders>
          </w:tcPr>
          <w:p>
            <w:pPr>
              <w:ind w:left="20"/>
              <w:spacing w:after="0" w:line="129" w:lineRule="exact"/>
              <w:rPr>
                <w:sz w:val="20"/>
                <w:szCs w:val="20"/>
                <w:color w:val="auto"/>
              </w:rPr>
            </w:pPr>
            <w:r>
              <w:rPr>
                <w:rFonts w:ascii="Calibri" w:cs="Calibri" w:eastAsia="Calibri" w:hAnsi="Calibri"/>
                <w:sz w:val="12"/>
                <w:szCs w:val="12"/>
                <w:b w:val="1"/>
                <w:bCs w:val="1"/>
                <w:color w:val="auto"/>
              </w:rPr>
              <w:t>Regulatory Tier 2 Capital (4)</w:t>
            </w:r>
          </w:p>
        </w:tc>
        <w:tc>
          <w:tcPr>
            <w:tcW w:w="22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22"/>
              <w:spacing w:after="0" w:line="129" w:lineRule="exact"/>
              <w:rPr>
                <w:sz w:val="20"/>
                <w:szCs w:val="20"/>
                <w:color w:val="auto"/>
              </w:rPr>
            </w:pPr>
            <w:r>
              <w:rPr>
                <w:rFonts w:ascii="Calibri" w:cs="Calibri" w:eastAsia="Calibri" w:hAnsi="Calibri"/>
                <w:sz w:val="12"/>
                <w:szCs w:val="12"/>
                <w:b w:val="1"/>
                <w:bCs w:val="1"/>
                <w:color w:val="auto"/>
              </w:rPr>
              <w:t>6,788,300</w:t>
            </w:r>
          </w:p>
        </w:tc>
        <w:tc>
          <w:tcPr>
            <w:tcW w:w="1320" w:type="dxa"/>
            <w:vAlign w:val="bottom"/>
            <w:tcBorders>
              <w:bottom w:val="single" w:sz="8" w:color="auto"/>
            </w:tcBorders>
          </w:tcPr>
          <w:p>
            <w:pPr>
              <w:jc w:val="right"/>
              <w:ind w:right="62"/>
              <w:spacing w:after="0" w:line="129" w:lineRule="exact"/>
              <w:rPr>
                <w:sz w:val="20"/>
                <w:szCs w:val="20"/>
                <w:color w:val="auto"/>
              </w:rPr>
            </w:pPr>
            <w:r>
              <w:rPr>
                <w:rFonts w:ascii="Calibri" w:cs="Calibri" w:eastAsia="Calibri" w:hAnsi="Calibri"/>
                <w:sz w:val="12"/>
                <w:szCs w:val="12"/>
                <w:b w:val="1"/>
                <w:bCs w:val="1"/>
                <w:color w:val="auto"/>
              </w:rPr>
              <w:t>6,921,728</w:t>
            </w:r>
          </w:p>
        </w:tc>
        <w:tc>
          <w:tcPr>
            <w:tcW w:w="1400" w:type="dxa"/>
            <w:vAlign w:val="bottom"/>
            <w:tcBorders>
              <w:bottom w:val="single" w:sz="8" w:color="auto"/>
              <w:right w:val="single" w:sz="8" w:color="auto"/>
            </w:tcBorders>
          </w:tcPr>
          <w:p>
            <w:pPr>
              <w:jc w:val="right"/>
              <w:spacing w:after="0" w:line="129" w:lineRule="exact"/>
              <w:rPr>
                <w:sz w:val="20"/>
                <w:szCs w:val="20"/>
                <w:color w:val="auto"/>
              </w:rPr>
            </w:pPr>
            <w:r>
              <w:rPr>
                <w:rFonts w:ascii="Calibri" w:cs="Calibri" w:eastAsia="Calibri" w:hAnsi="Calibri"/>
                <w:sz w:val="12"/>
                <w:szCs w:val="12"/>
                <w:b w:val="1"/>
                <w:bCs w:val="1"/>
                <w:color w:val="auto"/>
              </w:rPr>
              <w:t>8,921,857</w:t>
            </w:r>
          </w:p>
        </w:tc>
        <w:tc>
          <w:tcPr>
            <w:tcW w:w="1540" w:type="dxa"/>
            <w:vAlign w:val="bottom"/>
            <w:tcBorders>
              <w:bottom w:val="single" w:sz="8" w:color="auto"/>
            </w:tcBorders>
          </w:tcPr>
          <w:p>
            <w:pPr>
              <w:jc w:val="right"/>
              <w:ind w:right="182"/>
              <w:spacing w:after="0" w:line="129" w:lineRule="exact"/>
              <w:rPr>
                <w:sz w:val="20"/>
                <w:szCs w:val="20"/>
                <w:color w:val="auto"/>
              </w:rPr>
            </w:pPr>
            <w:r>
              <w:rPr>
                <w:rFonts w:ascii="Calibri" w:cs="Calibri" w:eastAsia="Calibri" w:hAnsi="Calibri"/>
                <w:sz w:val="12"/>
                <w:szCs w:val="12"/>
                <w:b w:val="1"/>
                <w:bCs w:val="1"/>
                <w:color w:val="auto"/>
              </w:rPr>
              <w:t>28.9%</w:t>
            </w:r>
          </w:p>
        </w:tc>
        <w:tc>
          <w:tcPr>
            <w:tcW w:w="780" w:type="dxa"/>
            <w:vAlign w:val="bottom"/>
            <w:tcBorders>
              <w:bottom w:val="single" w:sz="8" w:color="auto"/>
              <w:right w:val="single" w:sz="8" w:color="auto"/>
            </w:tcBorders>
          </w:tcPr>
          <w:p>
            <w:pPr>
              <w:jc w:val="right"/>
              <w:spacing w:after="0" w:line="129" w:lineRule="exact"/>
              <w:rPr>
                <w:sz w:val="20"/>
                <w:szCs w:val="20"/>
                <w:color w:val="auto"/>
              </w:rPr>
            </w:pPr>
            <w:r>
              <w:rPr>
                <w:rFonts w:ascii="Calibri" w:cs="Calibri" w:eastAsia="Calibri" w:hAnsi="Calibri"/>
                <w:sz w:val="12"/>
                <w:szCs w:val="12"/>
                <w:b w:val="1"/>
                <w:bCs w:val="1"/>
                <w:color w:val="auto"/>
              </w:rPr>
              <w:t>31.4%</w:t>
            </w:r>
          </w:p>
        </w:tc>
        <w:tc>
          <w:tcPr>
            <w:tcW w:w="0" w:type="dxa"/>
            <w:vAlign w:val="bottom"/>
          </w:tcPr>
          <w:p>
            <w:pPr>
              <w:spacing w:after="0"/>
              <w:rPr>
                <w:sz w:val="1"/>
                <w:szCs w:val="1"/>
                <w:color w:val="auto"/>
              </w:rPr>
            </w:pPr>
          </w:p>
        </w:tc>
      </w:tr>
      <w:tr>
        <w:trPr>
          <w:trHeight w:val="344"/>
        </w:trPr>
        <w:tc>
          <w:tcPr>
            <w:tcW w:w="2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220" w:type="dxa"/>
            <w:vAlign w:val="bottom"/>
            <w:tcBorders>
              <w:left w:val="single" w:sz="8" w:color="auto"/>
            </w:tcBorders>
            <w:shd w:val="clear" w:color="auto" w:fill="2AD2C9"/>
          </w:tcPr>
          <w:p>
            <w:pPr>
              <w:ind w:left="20"/>
              <w:spacing w:after="0" w:line="129" w:lineRule="exact"/>
              <w:rPr>
                <w:sz w:val="20"/>
                <w:szCs w:val="20"/>
                <w:color w:val="auto"/>
              </w:rPr>
            </w:pPr>
            <w:r>
              <w:rPr>
                <w:rFonts w:ascii="Calibri" w:cs="Calibri" w:eastAsia="Calibri" w:hAnsi="Calibri"/>
                <w:sz w:val="12"/>
                <w:szCs w:val="12"/>
                <w:b w:val="1"/>
                <w:bCs w:val="1"/>
                <w:color w:val="FFFFFF"/>
              </w:rPr>
              <w:t>Total risk-weighted assets</w:t>
            </w:r>
          </w:p>
        </w:tc>
        <w:tc>
          <w:tcPr>
            <w:tcW w:w="2240" w:type="dxa"/>
            <w:vAlign w:val="bottom"/>
            <w:tcBorders>
              <w:right w:val="single" w:sz="8" w:color="auto"/>
            </w:tcBorders>
            <w:shd w:val="clear" w:color="auto" w:fill="2AD2C9"/>
          </w:tcPr>
          <w:p>
            <w:pPr>
              <w:spacing w:after="0"/>
              <w:rPr>
                <w:sz w:val="11"/>
                <w:szCs w:val="11"/>
                <w:color w:val="auto"/>
              </w:rPr>
            </w:pPr>
          </w:p>
        </w:tc>
        <w:tc>
          <w:tcPr>
            <w:tcW w:w="360" w:type="dxa"/>
            <w:vAlign w:val="bottom"/>
            <w:shd w:val="clear" w:color="auto" w:fill="2AD2C9"/>
          </w:tcPr>
          <w:p>
            <w:pPr>
              <w:spacing w:after="0"/>
              <w:rPr>
                <w:sz w:val="11"/>
                <w:szCs w:val="11"/>
                <w:color w:val="auto"/>
              </w:rPr>
            </w:pPr>
          </w:p>
        </w:tc>
        <w:tc>
          <w:tcPr>
            <w:tcW w:w="1380" w:type="dxa"/>
            <w:vAlign w:val="bottom"/>
            <w:shd w:val="clear" w:color="auto" w:fill="2AD2C9"/>
          </w:tcPr>
          <w:p>
            <w:pPr>
              <w:spacing w:after="0"/>
              <w:rPr>
                <w:sz w:val="11"/>
                <w:szCs w:val="11"/>
                <w:color w:val="auto"/>
              </w:rPr>
            </w:pPr>
          </w:p>
        </w:tc>
        <w:tc>
          <w:tcPr>
            <w:tcW w:w="1320" w:type="dxa"/>
            <w:vAlign w:val="bottom"/>
            <w:shd w:val="clear" w:color="auto" w:fill="2AD2C9"/>
          </w:tcPr>
          <w:p>
            <w:pPr>
              <w:jc w:val="center"/>
              <w:ind w:right="322"/>
              <w:spacing w:after="0" w:line="129" w:lineRule="exact"/>
              <w:rPr>
                <w:sz w:val="20"/>
                <w:szCs w:val="20"/>
                <w:color w:val="auto"/>
              </w:rPr>
            </w:pPr>
            <w:r>
              <w:rPr>
                <w:rFonts w:ascii="Calibri" w:cs="Calibri" w:eastAsia="Calibri" w:hAnsi="Calibri"/>
                <w:sz w:val="12"/>
                <w:szCs w:val="12"/>
                <w:b w:val="1"/>
                <w:bCs w:val="1"/>
                <w:color w:val="FFFFFF"/>
                <w:w w:val="96"/>
              </w:rPr>
              <w:t>Quarter</w:t>
            </w:r>
          </w:p>
        </w:tc>
        <w:tc>
          <w:tcPr>
            <w:tcW w:w="1400" w:type="dxa"/>
            <w:vAlign w:val="bottom"/>
            <w:tcBorders>
              <w:right w:val="single" w:sz="8" w:color="auto"/>
            </w:tcBorders>
            <w:shd w:val="clear" w:color="auto" w:fill="2AD2C9"/>
          </w:tcPr>
          <w:p>
            <w:pPr>
              <w:spacing w:after="0"/>
              <w:rPr>
                <w:sz w:val="11"/>
                <w:szCs w:val="11"/>
                <w:color w:val="auto"/>
              </w:rPr>
            </w:pPr>
          </w:p>
        </w:tc>
        <w:tc>
          <w:tcPr>
            <w:tcW w:w="1540" w:type="dxa"/>
            <w:vAlign w:val="bottom"/>
            <w:shd w:val="clear" w:color="auto" w:fill="2AD2C9"/>
          </w:tcPr>
          <w:p>
            <w:pPr>
              <w:ind w:left="920"/>
              <w:spacing w:after="0" w:line="129" w:lineRule="exact"/>
              <w:rPr>
                <w:sz w:val="20"/>
                <w:szCs w:val="20"/>
                <w:color w:val="auto"/>
              </w:rPr>
            </w:pPr>
            <w:r>
              <w:rPr>
                <w:rFonts w:ascii="Calibri" w:cs="Calibri" w:eastAsia="Calibri" w:hAnsi="Calibri"/>
                <w:sz w:val="12"/>
                <w:szCs w:val="12"/>
                <w:b w:val="1"/>
                <w:bCs w:val="1"/>
                <w:color w:val="FFFFFF"/>
              </w:rPr>
              <w:t>Change %</w:t>
            </w:r>
          </w:p>
        </w:tc>
        <w:tc>
          <w:tcPr>
            <w:tcW w:w="780" w:type="dxa"/>
            <w:vAlign w:val="bottom"/>
            <w:tcBorders>
              <w:right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auto"/>
            </w:tcBorders>
            <w:shd w:val="clear" w:color="auto" w:fill="2AD2C9"/>
          </w:tcPr>
          <w:p>
            <w:pPr>
              <w:ind w:left="40"/>
              <w:spacing w:after="0" w:line="135" w:lineRule="exact"/>
              <w:rPr>
                <w:sz w:val="20"/>
                <w:szCs w:val="20"/>
                <w:color w:val="auto"/>
              </w:rPr>
            </w:pPr>
            <w:r>
              <w:rPr>
                <w:rFonts w:ascii="Calibri" w:cs="Calibri" w:eastAsia="Calibri" w:hAnsi="Calibri"/>
                <w:sz w:val="12"/>
                <w:szCs w:val="12"/>
                <w:color w:val="FFFFFF"/>
              </w:rPr>
              <w:t>(S/ thousand)</w:t>
            </w:r>
          </w:p>
        </w:tc>
        <w:tc>
          <w:tcPr>
            <w:tcW w:w="2240" w:type="dxa"/>
            <w:vAlign w:val="bottom"/>
            <w:tcBorders>
              <w:bottom w:val="single" w:sz="8" w:color="auto"/>
              <w:right w:val="single" w:sz="8" w:color="auto"/>
            </w:tcBorders>
            <w:shd w:val="clear" w:color="auto" w:fill="2AD2C9"/>
          </w:tcPr>
          <w:p>
            <w:pPr>
              <w:spacing w:after="0"/>
              <w:rPr>
                <w:sz w:val="11"/>
                <w:szCs w:val="11"/>
                <w:color w:val="auto"/>
              </w:rPr>
            </w:pPr>
          </w:p>
        </w:tc>
        <w:tc>
          <w:tcPr>
            <w:tcW w:w="360" w:type="dxa"/>
            <w:vAlign w:val="bottom"/>
            <w:tcBorders>
              <w:bottom w:val="single" w:sz="8" w:color="auto"/>
            </w:tcBorders>
            <w:shd w:val="clear" w:color="auto" w:fill="2AD2C9"/>
          </w:tcPr>
          <w:p>
            <w:pPr>
              <w:spacing w:after="0"/>
              <w:rPr>
                <w:sz w:val="11"/>
                <w:szCs w:val="11"/>
                <w:color w:val="auto"/>
              </w:rPr>
            </w:pPr>
          </w:p>
        </w:tc>
        <w:tc>
          <w:tcPr>
            <w:tcW w:w="1380" w:type="dxa"/>
            <w:vAlign w:val="bottom"/>
            <w:tcBorders>
              <w:bottom w:val="single" w:sz="8" w:color="auto"/>
            </w:tcBorders>
            <w:shd w:val="clear" w:color="auto" w:fill="2AD2C9"/>
          </w:tcPr>
          <w:p>
            <w:pPr>
              <w:ind w:left="220"/>
              <w:spacing w:after="0" w:line="135" w:lineRule="exact"/>
              <w:rPr>
                <w:sz w:val="20"/>
                <w:szCs w:val="20"/>
                <w:color w:val="auto"/>
              </w:rPr>
            </w:pPr>
            <w:r>
              <w:rPr>
                <w:rFonts w:ascii="Calibri" w:cs="Calibri" w:eastAsia="Calibri" w:hAnsi="Calibri"/>
                <w:sz w:val="12"/>
                <w:szCs w:val="12"/>
                <w:b w:val="1"/>
                <w:bCs w:val="1"/>
                <w:color w:val="FFFFFF"/>
              </w:rPr>
              <w:t>Sep 23</w:t>
            </w:r>
          </w:p>
        </w:tc>
        <w:tc>
          <w:tcPr>
            <w:tcW w:w="1320" w:type="dxa"/>
            <w:vAlign w:val="bottom"/>
            <w:tcBorders>
              <w:bottom w:val="single" w:sz="8" w:color="auto"/>
            </w:tcBorders>
            <w:shd w:val="clear" w:color="auto" w:fill="2AD2C9"/>
          </w:tcPr>
          <w:p>
            <w:pPr>
              <w:jc w:val="center"/>
              <w:ind w:right="342"/>
              <w:spacing w:after="0" w:line="135" w:lineRule="exact"/>
              <w:rPr>
                <w:sz w:val="20"/>
                <w:szCs w:val="20"/>
                <w:color w:val="auto"/>
              </w:rPr>
            </w:pPr>
            <w:r>
              <w:rPr>
                <w:rFonts w:ascii="Calibri" w:cs="Calibri" w:eastAsia="Calibri" w:hAnsi="Calibri"/>
                <w:sz w:val="12"/>
                <w:szCs w:val="12"/>
                <w:b w:val="1"/>
                <w:bCs w:val="1"/>
                <w:color w:val="FFFFFF"/>
              </w:rPr>
              <w:t>Jun 24</w:t>
            </w:r>
          </w:p>
        </w:tc>
        <w:tc>
          <w:tcPr>
            <w:tcW w:w="1400" w:type="dxa"/>
            <w:vAlign w:val="bottom"/>
            <w:tcBorders>
              <w:bottom w:val="single" w:sz="8" w:color="auto"/>
              <w:right w:val="single" w:sz="8" w:color="auto"/>
            </w:tcBorders>
            <w:shd w:val="clear" w:color="auto" w:fill="2AD2C9"/>
          </w:tcPr>
          <w:p>
            <w:pPr>
              <w:ind w:left="460"/>
              <w:spacing w:after="0" w:line="135" w:lineRule="exact"/>
              <w:rPr>
                <w:sz w:val="20"/>
                <w:szCs w:val="20"/>
                <w:color w:val="auto"/>
              </w:rPr>
            </w:pPr>
            <w:r>
              <w:rPr>
                <w:rFonts w:ascii="Calibri" w:cs="Calibri" w:eastAsia="Calibri" w:hAnsi="Calibri"/>
                <w:sz w:val="12"/>
                <w:szCs w:val="12"/>
                <w:b w:val="1"/>
                <w:bCs w:val="1"/>
                <w:color w:val="FFFFFF"/>
              </w:rPr>
              <w:t>Sep 24</w:t>
            </w:r>
          </w:p>
        </w:tc>
        <w:tc>
          <w:tcPr>
            <w:tcW w:w="1540" w:type="dxa"/>
            <w:vAlign w:val="bottom"/>
            <w:tcBorders>
              <w:bottom w:val="single" w:sz="8" w:color="auto"/>
            </w:tcBorders>
            <w:shd w:val="clear" w:color="auto" w:fill="2AD2C9"/>
          </w:tcPr>
          <w:p>
            <w:pPr>
              <w:ind w:left="540"/>
              <w:spacing w:after="0" w:line="135" w:lineRule="exact"/>
              <w:rPr>
                <w:sz w:val="20"/>
                <w:szCs w:val="20"/>
                <w:color w:val="auto"/>
              </w:rPr>
            </w:pPr>
            <w:r>
              <w:rPr>
                <w:rFonts w:ascii="Calibri" w:cs="Calibri" w:eastAsia="Calibri" w:hAnsi="Calibri"/>
                <w:sz w:val="12"/>
                <w:szCs w:val="12"/>
                <w:b w:val="1"/>
                <w:bCs w:val="1"/>
                <w:color w:val="FFFFFF"/>
              </w:rPr>
              <w:t>QoQ</w:t>
            </w:r>
          </w:p>
        </w:tc>
        <w:tc>
          <w:tcPr>
            <w:tcW w:w="780" w:type="dxa"/>
            <w:vAlign w:val="bottom"/>
            <w:tcBorders>
              <w:bottom w:val="single" w:sz="8" w:color="auto"/>
              <w:right w:val="single" w:sz="8" w:color="auto"/>
            </w:tcBorders>
            <w:shd w:val="clear" w:color="auto" w:fill="2AD2C9"/>
          </w:tcPr>
          <w:p>
            <w:pPr>
              <w:ind w:left="180"/>
              <w:spacing w:after="0" w:line="135" w:lineRule="exact"/>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13"/>
        </w:trPr>
        <w:tc>
          <w:tcPr>
            <w:tcW w:w="2220" w:type="dxa"/>
            <w:vAlign w:val="bottom"/>
            <w:tcBorders>
              <w:left w:val="single" w:sz="8" w:color="auto"/>
            </w:tcBorders>
          </w:tcPr>
          <w:p>
            <w:pPr>
              <w:ind w:left="20"/>
              <w:spacing w:after="0" w:line="113" w:lineRule="exact"/>
              <w:rPr>
                <w:sz w:val="20"/>
                <w:szCs w:val="20"/>
                <w:color w:val="auto"/>
              </w:rPr>
            </w:pPr>
            <w:r>
              <w:rPr>
                <w:rFonts w:ascii="Calibri" w:cs="Calibri" w:eastAsia="Calibri" w:hAnsi="Calibri"/>
                <w:sz w:val="12"/>
                <w:szCs w:val="12"/>
                <w:color w:val="auto"/>
              </w:rPr>
              <w:t>Market risk-weighted assets (5)</w:t>
            </w:r>
          </w:p>
        </w:tc>
        <w:tc>
          <w:tcPr>
            <w:tcW w:w="22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jc w:val="right"/>
              <w:ind w:right="222"/>
              <w:spacing w:after="0" w:line="113" w:lineRule="exact"/>
              <w:rPr>
                <w:sz w:val="20"/>
                <w:szCs w:val="20"/>
                <w:color w:val="auto"/>
              </w:rPr>
            </w:pPr>
            <w:r>
              <w:rPr>
                <w:rFonts w:ascii="Calibri" w:cs="Calibri" w:eastAsia="Calibri" w:hAnsi="Calibri"/>
                <w:sz w:val="12"/>
                <w:szCs w:val="12"/>
                <w:color w:val="auto"/>
              </w:rPr>
              <w:t>2,576,734</w:t>
            </w:r>
          </w:p>
        </w:tc>
        <w:tc>
          <w:tcPr>
            <w:tcW w:w="1320" w:type="dxa"/>
            <w:vAlign w:val="bottom"/>
          </w:tcPr>
          <w:p>
            <w:pPr>
              <w:jc w:val="right"/>
              <w:ind w:right="62"/>
              <w:spacing w:after="0" w:line="113" w:lineRule="exact"/>
              <w:rPr>
                <w:sz w:val="20"/>
                <w:szCs w:val="20"/>
                <w:color w:val="auto"/>
              </w:rPr>
            </w:pPr>
            <w:r>
              <w:rPr>
                <w:rFonts w:ascii="Calibri" w:cs="Calibri" w:eastAsia="Calibri" w:hAnsi="Calibri"/>
                <w:sz w:val="12"/>
                <w:szCs w:val="12"/>
                <w:color w:val="auto"/>
              </w:rPr>
              <w:t>3,300,703</w:t>
            </w:r>
          </w:p>
        </w:tc>
        <w:tc>
          <w:tcPr>
            <w:tcW w:w="140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4,301,156</w:t>
            </w:r>
          </w:p>
        </w:tc>
        <w:tc>
          <w:tcPr>
            <w:tcW w:w="1540" w:type="dxa"/>
            <w:vAlign w:val="bottom"/>
          </w:tcPr>
          <w:p>
            <w:pPr>
              <w:jc w:val="right"/>
              <w:ind w:right="182"/>
              <w:spacing w:after="0" w:line="113" w:lineRule="exact"/>
              <w:rPr>
                <w:sz w:val="20"/>
                <w:szCs w:val="20"/>
                <w:color w:val="auto"/>
              </w:rPr>
            </w:pPr>
            <w:r>
              <w:rPr>
                <w:rFonts w:ascii="Calibri" w:cs="Calibri" w:eastAsia="Calibri" w:hAnsi="Calibri"/>
                <w:sz w:val="12"/>
                <w:szCs w:val="12"/>
                <w:color w:val="auto"/>
              </w:rPr>
              <w:t>30.3%</w:t>
            </w:r>
          </w:p>
        </w:tc>
        <w:tc>
          <w:tcPr>
            <w:tcW w:w="78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66.9%</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Credit risk-weighted assets</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22"/>
              <w:spacing w:after="0" w:line="135" w:lineRule="exact"/>
              <w:rPr>
                <w:sz w:val="20"/>
                <w:szCs w:val="20"/>
                <w:color w:val="auto"/>
              </w:rPr>
            </w:pPr>
            <w:r>
              <w:rPr>
                <w:rFonts w:ascii="Calibri" w:cs="Calibri" w:eastAsia="Calibri" w:hAnsi="Calibri"/>
                <w:sz w:val="12"/>
                <w:szCs w:val="12"/>
                <w:color w:val="auto"/>
              </w:rPr>
              <w:t>132,297,592</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138,806,587</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133,937,442</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-3.5%</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1.2%</w:t>
            </w:r>
          </w:p>
        </w:tc>
        <w:tc>
          <w:tcPr>
            <w:tcW w:w="0" w:type="dxa"/>
            <w:vAlign w:val="bottom"/>
          </w:tcPr>
          <w:p>
            <w:pPr>
              <w:spacing w:after="0"/>
              <w:rPr>
                <w:sz w:val="1"/>
                <w:szCs w:val="1"/>
                <w:color w:val="auto"/>
              </w:rPr>
            </w:pPr>
          </w:p>
        </w:tc>
      </w:tr>
      <w:tr>
        <w:trPr>
          <w:trHeight w:val="144"/>
        </w:trPr>
        <w:tc>
          <w:tcPr>
            <w:tcW w:w="2220" w:type="dxa"/>
            <w:vAlign w:val="bottom"/>
            <w:tcBorders>
              <w:left w:val="single" w:sz="8" w:color="auto"/>
              <w:bottom w:val="single" w:sz="8" w:color="auto"/>
            </w:tcBorders>
          </w:tcPr>
          <w:p>
            <w:pPr>
              <w:ind w:left="20"/>
              <w:spacing w:after="0" w:line="138" w:lineRule="exact"/>
              <w:rPr>
                <w:sz w:val="20"/>
                <w:szCs w:val="20"/>
                <w:color w:val="auto"/>
              </w:rPr>
            </w:pPr>
            <w:r>
              <w:rPr>
                <w:rFonts w:ascii="Calibri" w:cs="Calibri" w:eastAsia="Calibri" w:hAnsi="Calibri"/>
                <w:sz w:val="12"/>
                <w:szCs w:val="12"/>
                <w:color w:val="auto"/>
              </w:rPr>
              <w:t>Operatonal risk-weighted assets</w:t>
            </w:r>
          </w:p>
        </w:tc>
        <w:tc>
          <w:tcPr>
            <w:tcW w:w="2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22"/>
              <w:spacing w:after="0" w:line="138" w:lineRule="exact"/>
              <w:rPr>
                <w:sz w:val="20"/>
                <w:szCs w:val="20"/>
                <w:color w:val="auto"/>
              </w:rPr>
            </w:pPr>
            <w:r>
              <w:rPr>
                <w:rFonts w:ascii="Calibri" w:cs="Calibri" w:eastAsia="Calibri" w:hAnsi="Calibri"/>
                <w:sz w:val="12"/>
                <w:szCs w:val="12"/>
                <w:color w:val="auto"/>
              </w:rPr>
              <w:t>15,862,960</w:t>
            </w:r>
          </w:p>
        </w:tc>
        <w:tc>
          <w:tcPr>
            <w:tcW w:w="1320" w:type="dxa"/>
            <w:vAlign w:val="bottom"/>
            <w:tcBorders>
              <w:bottom w:val="single" w:sz="8" w:color="auto"/>
            </w:tcBorders>
          </w:tcPr>
          <w:p>
            <w:pPr>
              <w:jc w:val="right"/>
              <w:ind w:right="62"/>
              <w:spacing w:after="0" w:line="138" w:lineRule="exact"/>
              <w:rPr>
                <w:sz w:val="20"/>
                <w:szCs w:val="20"/>
                <w:color w:val="auto"/>
              </w:rPr>
            </w:pPr>
            <w:r>
              <w:rPr>
                <w:rFonts w:ascii="Calibri" w:cs="Calibri" w:eastAsia="Calibri" w:hAnsi="Calibri"/>
                <w:sz w:val="12"/>
                <w:szCs w:val="12"/>
                <w:color w:val="auto"/>
              </w:rPr>
              <w:t>17,335,423</w:t>
            </w:r>
          </w:p>
        </w:tc>
        <w:tc>
          <w:tcPr>
            <w:tcW w:w="140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17,871,737</w:t>
            </w:r>
          </w:p>
        </w:tc>
        <w:tc>
          <w:tcPr>
            <w:tcW w:w="1540" w:type="dxa"/>
            <w:vAlign w:val="bottom"/>
            <w:tcBorders>
              <w:bottom w:val="single" w:sz="8" w:color="auto"/>
            </w:tcBorders>
          </w:tcPr>
          <w:p>
            <w:pPr>
              <w:jc w:val="right"/>
              <w:ind w:right="182"/>
              <w:spacing w:after="0" w:line="138" w:lineRule="exact"/>
              <w:rPr>
                <w:sz w:val="20"/>
                <w:szCs w:val="20"/>
                <w:color w:val="auto"/>
              </w:rPr>
            </w:pPr>
            <w:r>
              <w:rPr>
                <w:rFonts w:ascii="Calibri" w:cs="Calibri" w:eastAsia="Calibri" w:hAnsi="Calibri"/>
                <w:sz w:val="12"/>
                <w:szCs w:val="12"/>
                <w:color w:val="auto"/>
              </w:rPr>
              <w:t>3.1%</w:t>
            </w:r>
          </w:p>
        </w:tc>
        <w:tc>
          <w:tcPr>
            <w:tcW w:w="78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12.7%</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auto"/>
            </w:tcBorders>
          </w:tcPr>
          <w:p>
            <w:pPr>
              <w:ind w:left="20"/>
              <w:spacing w:after="0" w:line="135" w:lineRule="exact"/>
              <w:rPr>
                <w:sz w:val="20"/>
                <w:szCs w:val="20"/>
                <w:color w:val="auto"/>
              </w:rPr>
            </w:pPr>
            <w:r>
              <w:rPr>
                <w:rFonts w:ascii="Calibri" w:cs="Calibri" w:eastAsia="Calibri" w:hAnsi="Calibri"/>
                <w:sz w:val="12"/>
                <w:szCs w:val="12"/>
                <w:b w:val="1"/>
                <w:bCs w:val="1"/>
                <w:color w:val="auto"/>
              </w:rPr>
              <w:t>Total</w:t>
            </w:r>
          </w:p>
        </w:tc>
        <w:tc>
          <w:tcPr>
            <w:tcW w:w="22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22"/>
              <w:spacing w:after="0" w:line="135" w:lineRule="exact"/>
              <w:rPr>
                <w:sz w:val="20"/>
                <w:szCs w:val="20"/>
                <w:color w:val="auto"/>
              </w:rPr>
            </w:pPr>
            <w:r>
              <w:rPr>
                <w:rFonts w:ascii="Calibri" w:cs="Calibri" w:eastAsia="Calibri" w:hAnsi="Calibri"/>
                <w:sz w:val="12"/>
                <w:szCs w:val="12"/>
                <w:b w:val="1"/>
                <w:bCs w:val="1"/>
                <w:color w:val="auto"/>
              </w:rPr>
              <w:t>150,737,286</w:t>
            </w:r>
          </w:p>
        </w:tc>
        <w:tc>
          <w:tcPr>
            <w:tcW w:w="1320" w:type="dxa"/>
            <w:vAlign w:val="bottom"/>
            <w:tcBorders>
              <w:bottom w:val="single" w:sz="8" w:color="auto"/>
            </w:tcBorders>
          </w:tcPr>
          <w:p>
            <w:pPr>
              <w:jc w:val="right"/>
              <w:ind w:right="62"/>
              <w:spacing w:after="0" w:line="135" w:lineRule="exact"/>
              <w:rPr>
                <w:sz w:val="20"/>
                <w:szCs w:val="20"/>
                <w:color w:val="auto"/>
              </w:rPr>
            </w:pPr>
            <w:r>
              <w:rPr>
                <w:rFonts w:ascii="Calibri" w:cs="Calibri" w:eastAsia="Calibri" w:hAnsi="Calibri"/>
                <w:sz w:val="12"/>
                <w:szCs w:val="12"/>
                <w:b w:val="1"/>
                <w:bCs w:val="1"/>
                <w:color w:val="auto"/>
              </w:rPr>
              <w:t>159,442,714</w:t>
            </w:r>
          </w:p>
        </w:tc>
        <w:tc>
          <w:tcPr>
            <w:tcW w:w="1400" w:type="dxa"/>
            <w:vAlign w:val="bottom"/>
            <w:tcBorders>
              <w:bottom w:val="single" w:sz="8" w:color="auto"/>
              <w:right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156,110,335</w:t>
            </w:r>
          </w:p>
        </w:tc>
        <w:tc>
          <w:tcPr>
            <w:tcW w:w="1540" w:type="dxa"/>
            <w:vAlign w:val="bottom"/>
            <w:tcBorders>
              <w:bottom w:val="single" w:sz="8" w:color="auto"/>
            </w:tcBorders>
          </w:tcPr>
          <w:p>
            <w:pPr>
              <w:jc w:val="right"/>
              <w:ind w:right="182"/>
              <w:spacing w:after="0" w:line="135" w:lineRule="exact"/>
              <w:rPr>
                <w:sz w:val="20"/>
                <w:szCs w:val="20"/>
                <w:color w:val="auto"/>
              </w:rPr>
            </w:pPr>
            <w:r>
              <w:rPr>
                <w:rFonts w:ascii="Calibri" w:cs="Calibri" w:eastAsia="Calibri" w:hAnsi="Calibri"/>
                <w:sz w:val="12"/>
                <w:szCs w:val="12"/>
                <w:b w:val="1"/>
                <w:bCs w:val="1"/>
                <w:color w:val="auto"/>
              </w:rPr>
              <w:t>-2.1%</w:t>
            </w:r>
          </w:p>
        </w:tc>
        <w:tc>
          <w:tcPr>
            <w:tcW w:w="780" w:type="dxa"/>
            <w:vAlign w:val="bottom"/>
            <w:tcBorders>
              <w:bottom w:val="single" w:sz="8" w:color="auto"/>
              <w:right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3.6%</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220" w:type="dxa"/>
            <w:vAlign w:val="bottom"/>
            <w:tcBorders>
              <w:left w:val="single" w:sz="8" w:color="auto"/>
            </w:tcBorders>
            <w:shd w:val="clear" w:color="auto" w:fill="2AD2C9"/>
          </w:tcPr>
          <w:p>
            <w:pPr>
              <w:ind w:left="20"/>
              <w:spacing w:after="0" w:line="129" w:lineRule="exact"/>
              <w:rPr>
                <w:sz w:val="20"/>
                <w:szCs w:val="20"/>
                <w:color w:val="auto"/>
              </w:rPr>
            </w:pPr>
            <w:r>
              <w:rPr>
                <w:rFonts w:ascii="Calibri" w:cs="Calibri" w:eastAsia="Calibri" w:hAnsi="Calibri"/>
                <w:sz w:val="12"/>
                <w:szCs w:val="12"/>
                <w:b w:val="1"/>
                <w:bCs w:val="1"/>
                <w:color w:val="FFFFFF"/>
              </w:rPr>
              <w:t>Capital requirement</w:t>
            </w:r>
          </w:p>
        </w:tc>
        <w:tc>
          <w:tcPr>
            <w:tcW w:w="2240" w:type="dxa"/>
            <w:vAlign w:val="bottom"/>
            <w:tcBorders>
              <w:right w:val="single" w:sz="8" w:color="auto"/>
            </w:tcBorders>
            <w:shd w:val="clear" w:color="auto" w:fill="2AD2C9"/>
          </w:tcPr>
          <w:p>
            <w:pPr>
              <w:spacing w:after="0"/>
              <w:rPr>
                <w:sz w:val="11"/>
                <w:szCs w:val="11"/>
                <w:color w:val="auto"/>
              </w:rPr>
            </w:pPr>
          </w:p>
        </w:tc>
        <w:tc>
          <w:tcPr>
            <w:tcW w:w="360" w:type="dxa"/>
            <w:vAlign w:val="bottom"/>
            <w:shd w:val="clear" w:color="auto" w:fill="2AD2C9"/>
          </w:tcPr>
          <w:p>
            <w:pPr>
              <w:spacing w:after="0"/>
              <w:rPr>
                <w:sz w:val="11"/>
                <w:szCs w:val="11"/>
                <w:color w:val="auto"/>
              </w:rPr>
            </w:pPr>
          </w:p>
        </w:tc>
        <w:tc>
          <w:tcPr>
            <w:tcW w:w="1380" w:type="dxa"/>
            <w:vAlign w:val="bottom"/>
            <w:shd w:val="clear" w:color="auto" w:fill="2AD2C9"/>
          </w:tcPr>
          <w:p>
            <w:pPr>
              <w:spacing w:after="0"/>
              <w:rPr>
                <w:sz w:val="11"/>
                <w:szCs w:val="11"/>
                <w:color w:val="auto"/>
              </w:rPr>
            </w:pPr>
          </w:p>
        </w:tc>
        <w:tc>
          <w:tcPr>
            <w:tcW w:w="1320" w:type="dxa"/>
            <w:vAlign w:val="bottom"/>
            <w:shd w:val="clear" w:color="auto" w:fill="2AD2C9"/>
          </w:tcPr>
          <w:p>
            <w:pPr>
              <w:jc w:val="center"/>
              <w:ind w:right="322"/>
              <w:spacing w:after="0" w:line="129" w:lineRule="exact"/>
              <w:rPr>
                <w:sz w:val="20"/>
                <w:szCs w:val="20"/>
                <w:color w:val="auto"/>
              </w:rPr>
            </w:pPr>
            <w:r>
              <w:rPr>
                <w:rFonts w:ascii="Calibri" w:cs="Calibri" w:eastAsia="Calibri" w:hAnsi="Calibri"/>
                <w:sz w:val="12"/>
                <w:szCs w:val="12"/>
                <w:b w:val="1"/>
                <w:bCs w:val="1"/>
                <w:color w:val="FFFFFF"/>
                <w:w w:val="96"/>
              </w:rPr>
              <w:t>Quarter</w:t>
            </w:r>
          </w:p>
        </w:tc>
        <w:tc>
          <w:tcPr>
            <w:tcW w:w="1400" w:type="dxa"/>
            <w:vAlign w:val="bottom"/>
            <w:tcBorders>
              <w:right w:val="single" w:sz="8" w:color="auto"/>
            </w:tcBorders>
            <w:shd w:val="clear" w:color="auto" w:fill="2AD2C9"/>
          </w:tcPr>
          <w:p>
            <w:pPr>
              <w:spacing w:after="0"/>
              <w:rPr>
                <w:sz w:val="11"/>
                <w:szCs w:val="11"/>
                <w:color w:val="auto"/>
              </w:rPr>
            </w:pPr>
          </w:p>
        </w:tc>
        <w:tc>
          <w:tcPr>
            <w:tcW w:w="1540" w:type="dxa"/>
            <w:vAlign w:val="bottom"/>
            <w:shd w:val="clear" w:color="auto" w:fill="2AD2C9"/>
          </w:tcPr>
          <w:p>
            <w:pPr>
              <w:ind w:left="900"/>
              <w:spacing w:after="0" w:line="129" w:lineRule="exact"/>
              <w:rPr>
                <w:sz w:val="20"/>
                <w:szCs w:val="20"/>
                <w:color w:val="auto"/>
              </w:rPr>
            </w:pPr>
            <w:r>
              <w:rPr>
                <w:rFonts w:ascii="Calibri" w:cs="Calibri" w:eastAsia="Calibri" w:hAnsi="Calibri"/>
                <w:sz w:val="12"/>
                <w:szCs w:val="12"/>
                <w:b w:val="1"/>
                <w:bCs w:val="1"/>
                <w:color w:val="FFFFFF"/>
              </w:rPr>
              <w:t>Change %</w:t>
            </w:r>
          </w:p>
        </w:tc>
        <w:tc>
          <w:tcPr>
            <w:tcW w:w="780" w:type="dxa"/>
            <w:vAlign w:val="bottom"/>
            <w:tcBorders>
              <w:right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auto"/>
            </w:tcBorders>
            <w:shd w:val="clear" w:color="auto" w:fill="2AD2C9"/>
          </w:tcPr>
          <w:p>
            <w:pPr>
              <w:ind w:left="40"/>
              <w:spacing w:after="0" w:line="135" w:lineRule="exact"/>
              <w:rPr>
                <w:sz w:val="20"/>
                <w:szCs w:val="20"/>
                <w:color w:val="auto"/>
              </w:rPr>
            </w:pPr>
            <w:r>
              <w:rPr>
                <w:rFonts w:ascii="Calibri" w:cs="Calibri" w:eastAsia="Calibri" w:hAnsi="Calibri"/>
                <w:sz w:val="12"/>
                <w:szCs w:val="12"/>
                <w:color w:val="FFFFFF"/>
              </w:rPr>
              <w:t>(S/ thousand)</w:t>
            </w:r>
          </w:p>
        </w:tc>
        <w:tc>
          <w:tcPr>
            <w:tcW w:w="2240" w:type="dxa"/>
            <w:vAlign w:val="bottom"/>
            <w:tcBorders>
              <w:bottom w:val="single" w:sz="8" w:color="auto"/>
              <w:right w:val="single" w:sz="8" w:color="auto"/>
            </w:tcBorders>
            <w:shd w:val="clear" w:color="auto" w:fill="2AD2C9"/>
          </w:tcPr>
          <w:p>
            <w:pPr>
              <w:spacing w:after="0"/>
              <w:rPr>
                <w:sz w:val="11"/>
                <w:szCs w:val="11"/>
                <w:color w:val="auto"/>
              </w:rPr>
            </w:pPr>
          </w:p>
        </w:tc>
        <w:tc>
          <w:tcPr>
            <w:tcW w:w="360" w:type="dxa"/>
            <w:vAlign w:val="bottom"/>
            <w:tcBorders>
              <w:bottom w:val="single" w:sz="8" w:color="auto"/>
            </w:tcBorders>
            <w:shd w:val="clear" w:color="auto" w:fill="2AD2C9"/>
          </w:tcPr>
          <w:p>
            <w:pPr>
              <w:spacing w:after="0"/>
              <w:rPr>
                <w:sz w:val="11"/>
                <w:szCs w:val="11"/>
                <w:color w:val="auto"/>
              </w:rPr>
            </w:pPr>
          </w:p>
        </w:tc>
        <w:tc>
          <w:tcPr>
            <w:tcW w:w="1380" w:type="dxa"/>
            <w:vAlign w:val="bottom"/>
            <w:tcBorders>
              <w:bottom w:val="single" w:sz="8" w:color="auto"/>
            </w:tcBorders>
            <w:shd w:val="clear" w:color="auto" w:fill="2AD2C9"/>
          </w:tcPr>
          <w:p>
            <w:pPr>
              <w:ind w:left="200"/>
              <w:spacing w:after="0" w:line="135" w:lineRule="exact"/>
              <w:rPr>
                <w:sz w:val="20"/>
                <w:szCs w:val="20"/>
                <w:color w:val="auto"/>
              </w:rPr>
            </w:pPr>
            <w:r>
              <w:rPr>
                <w:rFonts w:ascii="Calibri" w:cs="Calibri" w:eastAsia="Calibri" w:hAnsi="Calibri"/>
                <w:sz w:val="12"/>
                <w:szCs w:val="12"/>
                <w:b w:val="1"/>
                <w:bCs w:val="1"/>
                <w:color w:val="FFFFFF"/>
              </w:rPr>
              <w:t>Sep 23</w:t>
            </w:r>
          </w:p>
        </w:tc>
        <w:tc>
          <w:tcPr>
            <w:tcW w:w="1320" w:type="dxa"/>
            <w:vAlign w:val="bottom"/>
            <w:tcBorders>
              <w:bottom w:val="single" w:sz="8" w:color="auto"/>
            </w:tcBorders>
            <w:shd w:val="clear" w:color="auto" w:fill="2AD2C9"/>
          </w:tcPr>
          <w:p>
            <w:pPr>
              <w:jc w:val="right"/>
              <w:ind w:right="662"/>
              <w:spacing w:after="0" w:line="135" w:lineRule="exact"/>
              <w:rPr>
                <w:sz w:val="20"/>
                <w:szCs w:val="20"/>
                <w:color w:val="auto"/>
              </w:rPr>
            </w:pPr>
            <w:r>
              <w:rPr>
                <w:rFonts w:ascii="Calibri" w:cs="Calibri" w:eastAsia="Calibri" w:hAnsi="Calibri"/>
                <w:sz w:val="12"/>
                <w:szCs w:val="12"/>
                <w:b w:val="1"/>
                <w:bCs w:val="1"/>
                <w:color w:val="FFFFFF"/>
              </w:rPr>
              <w:t>Jun 24</w:t>
            </w:r>
          </w:p>
        </w:tc>
        <w:tc>
          <w:tcPr>
            <w:tcW w:w="1400" w:type="dxa"/>
            <w:vAlign w:val="bottom"/>
            <w:tcBorders>
              <w:bottom w:val="single" w:sz="8" w:color="auto"/>
              <w:right w:val="single" w:sz="8" w:color="auto"/>
            </w:tcBorders>
            <w:shd w:val="clear" w:color="auto" w:fill="2AD2C9"/>
          </w:tcPr>
          <w:p>
            <w:pPr>
              <w:ind w:left="460"/>
              <w:spacing w:after="0" w:line="135" w:lineRule="exact"/>
              <w:rPr>
                <w:sz w:val="20"/>
                <w:szCs w:val="20"/>
                <w:color w:val="auto"/>
              </w:rPr>
            </w:pPr>
            <w:r>
              <w:rPr>
                <w:rFonts w:ascii="Calibri" w:cs="Calibri" w:eastAsia="Calibri" w:hAnsi="Calibri"/>
                <w:sz w:val="12"/>
                <w:szCs w:val="12"/>
                <w:b w:val="1"/>
                <w:bCs w:val="1"/>
                <w:color w:val="FFFFFF"/>
              </w:rPr>
              <w:t>Sep 24</w:t>
            </w:r>
          </w:p>
        </w:tc>
        <w:tc>
          <w:tcPr>
            <w:tcW w:w="1540" w:type="dxa"/>
            <w:vAlign w:val="bottom"/>
            <w:tcBorders>
              <w:bottom w:val="single" w:sz="8" w:color="auto"/>
            </w:tcBorders>
            <w:shd w:val="clear" w:color="auto" w:fill="2AD2C9"/>
          </w:tcPr>
          <w:p>
            <w:pPr>
              <w:ind w:left="520"/>
              <w:spacing w:after="0" w:line="135" w:lineRule="exact"/>
              <w:rPr>
                <w:sz w:val="20"/>
                <w:szCs w:val="20"/>
                <w:color w:val="auto"/>
              </w:rPr>
            </w:pPr>
            <w:r>
              <w:rPr>
                <w:rFonts w:ascii="Calibri" w:cs="Calibri" w:eastAsia="Calibri" w:hAnsi="Calibri"/>
                <w:sz w:val="12"/>
                <w:szCs w:val="12"/>
                <w:b w:val="1"/>
                <w:bCs w:val="1"/>
                <w:color w:val="FFFFFF"/>
              </w:rPr>
              <w:t>QoQ</w:t>
            </w:r>
          </w:p>
        </w:tc>
        <w:tc>
          <w:tcPr>
            <w:tcW w:w="780" w:type="dxa"/>
            <w:vAlign w:val="bottom"/>
            <w:tcBorders>
              <w:bottom w:val="single" w:sz="8" w:color="auto"/>
              <w:right w:val="single" w:sz="8" w:color="auto"/>
            </w:tcBorders>
            <w:shd w:val="clear" w:color="auto" w:fill="2AD2C9"/>
          </w:tcPr>
          <w:p>
            <w:pPr>
              <w:ind w:left="180"/>
              <w:spacing w:after="0" w:line="135" w:lineRule="exact"/>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13"/>
        </w:trPr>
        <w:tc>
          <w:tcPr>
            <w:tcW w:w="2220" w:type="dxa"/>
            <w:vAlign w:val="bottom"/>
            <w:tcBorders>
              <w:left w:val="single" w:sz="8" w:color="auto"/>
            </w:tcBorders>
          </w:tcPr>
          <w:p>
            <w:pPr>
              <w:ind w:left="20"/>
              <w:spacing w:after="0" w:line="113" w:lineRule="exact"/>
              <w:rPr>
                <w:sz w:val="20"/>
                <w:szCs w:val="20"/>
                <w:color w:val="auto"/>
              </w:rPr>
            </w:pPr>
            <w:r>
              <w:rPr>
                <w:rFonts w:ascii="Calibri" w:cs="Calibri" w:eastAsia="Calibri" w:hAnsi="Calibri"/>
                <w:sz w:val="12"/>
                <w:szCs w:val="12"/>
                <w:color w:val="auto"/>
              </w:rPr>
              <w:t>Market risk capital requirement (5)</w:t>
            </w:r>
          </w:p>
        </w:tc>
        <w:tc>
          <w:tcPr>
            <w:tcW w:w="22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jc w:val="right"/>
              <w:ind w:right="242"/>
              <w:spacing w:after="0" w:line="113" w:lineRule="exact"/>
              <w:rPr>
                <w:sz w:val="20"/>
                <w:szCs w:val="20"/>
                <w:color w:val="auto"/>
              </w:rPr>
            </w:pPr>
            <w:r>
              <w:rPr>
                <w:rFonts w:ascii="Calibri" w:cs="Calibri" w:eastAsia="Calibri" w:hAnsi="Calibri"/>
                <w:sz w:val="12"/>
                <w:szCs w:val="12"/>
                <w:color w:val="auto"/>
              </w:rPr>
              <w:t>257,673</w:t>
            </w:r>
          </w:p>
        </w:tc>
        <w:tc>
          <w:tcPr>
            <w:tcW w:w="1320" w:type="dxa"/>
            <w:vAlign w:val="bottom"/>
          </w:tcPr>
          <w:p>
            <w:pPr>
              <w:jc w:val="right"/>
              <w:ind w:right="62"/>
              <w:spacing w:after="0" w:line="113" w:lineRule="exact"/>
              <w:rPr>
                <w:sz w:val="20"/>
                <w:szCs w:val="20"/>
                <w:color w:val="auto"/>
              </w:rPr>
            </w:pPr>
            <w:r>
              <w:rPr>
                <w:rFonts w:ascii="Calibri" w:cs="Calibri" w:eastAsia="Calibri" w:hAnsi="Calibri"/>
                <w:sz w:val="12"/>
                <w:szCs w:val="12"/>
                <w:color w:val="auto"/>
              </w:rPr>
              <w:t>330,070</w:t>
            </w:r>
          </w:p>
        </w:tc>
        <w:tc>
          <w:tcPr>
            <w:tcW w:w="140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430,116</w:t>
            </w:r>
          </w:p>
        </w:tc>
        <w:tc>
          <w:tcPr>
            <w:tcW w:w="1540" w:type="dxa"/>
            <w:vAlign w:val="bottom"/>
          </w:tcPr>
          <w:p>
            <w:pPr>
              <w:jc w:val="right"/>
              <w:ind w:right="182"/>
              <w:spacing w:after="0" w:line="113" w:lineRule="exact"/>
              <w:rPr>
                <w:sz w:val="20"/>
                <w:szCs w:val="20"/>
                <w:color w:val="auto"/>
              </w:rPr>
            </w:pPr>
            <w:r>
              <w:rPr>
                <w:rFonts w:ascii="Calibri" w:cs="Calibri" w:eastAsia="Calibri" w:hAnsi="Calibri"/>
                <w:sz w:val="12"/>
                <w:szCs w:val="12"/>
                <w:color w:val="auto"/>
              </w:rPr>
              <w:t>30.3%</w:t>
            </w:r>
          </w:p>
        </w:tc>
        <w:tc>
          <w:tcPr>
            <w:tcW w:w="78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66.9%</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Credit risk capital requirement</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42"/>
              <w:spacing w:after="0" w:line="135" w:lineRule="exact"/>
              <w:rPr>
                <w:sz w:val="20"/>
                <w:szCs w:val="20"/>
                <w:color w:val="auto"/>
              </w:rPr>
            </w:pPr>
            <w:r>
              <w:rPr>
                <w:rFonts w:ascii="Calibri" w:cs="Calibri" w:eastAsia="Calibri" w:hAnsi="Calibri"/>
                <w:sz w:val="12"/>
                <w:szCs w:val="12"/>
                <w:color w:val="auto"/>
              </w:rPr>
              <w:t>11,906,783</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12,492,593</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12,724,057</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1.9%</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6.9%</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Operatonal risk capital requirement</w:t>
            </w:r>
          </w:p>
        </w:tc>
        <w:tc>
          <w:tcPr>
            <w:tcW w:w="2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jc w:val="right"/>
              <w:ind w:right="242"/>
              <w:spacing w:after="0" w:line="135" w:lineRule="exact"/>
              <w:rPr>
                <w:sz w:val="20"/>
                <w:szCs w:val="20"/>
                <w:color w:val="auto"/>
              </w:rPr>
            </w:pPr>
            <w:r>
              <w:rPr>
                <w:rFonts w:ascii="Calibri" w:cs="Calibri" w:eastAsia="Calibri" w:hAnsi="Calibri"/>
                <w:sz w:val="12"/>
                <w:szCs w:val="12"/>
                <w:color w:val="auto"/>
              </w:rPr>
              <w:t>1,586,296</w:t>
            </w:r>
          </w:p>
        </w:tc>
        <w:tc>
          <w:tcPr>
            <w:tcW w:w="1320" w:type="dxa"/>
            <w:vAlign w:val="bottom"/>
          </w:tcPr>
          <w:p>
            <w:pPr>
              <w:jc w:val="right"/>
              <w:ind w:right="62"/>
              <w:spacing w:after="0" w:line="135" w:lineRule="exact"/>
              <w:rPr>
                <w:sz w:val="20"/>
                <w:szCs w:val="20"/>
                <w:color w:val="auto"/>
              </w:rPr>
            </w:pPr>
            <w:r>
              <w:rPr>
                <w:rFonts w:ascii="Calibri" w:cs="Calibri" w:eastAsia="Calibri" w:hAnsi="Calibri"/>
                <w:sz w:val="12"/>
                <w:szCs w:val="12"/>
                <w:color w:val="auto"/>
              </w:rPr>
              <w:t>1,733,542</w:t>
            </w:r>
          </w:p>
        </w:tc>
        <w:tc>
          <w:tcPr>
            <w:tcW w:w="140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1,787,174</w:t>
            </w:r>
          </w:p>
        </w:tc>
        <w:tc>
          <w:tcPr>
            <w:tcW w:w="15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3.1%</w:t>
            </w:r>
          </w:p>
        </w:tc>
        <w:tc>
          <w:tcPr>
            <w:tcW w:w="7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12.7%</w:t>
            </w:r>
          </w:p>
        </w:tc>
        <w:tc>
          <w:tcPr>
            <w:tcW w:w="0" w:type="dxa"/>
            <w:vAlign w:val="bottom"/>
          </w:tcPr>
          <w:p>
            <w:pPr>
              <w:spacing w:after="0"/>
              <w:rPr>
                <w:sz w:val="1"/>
                <w:szCs w:val="1"/>
                <w:color w:val="auto"/>
              </w:rPr>
            </w:pPr>
          </w:p>
        </w:tc>
      </w:tr>
      <w:tr>
        <w:trPr>
          <w:trHeight w:val="144"/>
        </w:trPr>
        <w:tc>
          <w:tcPr>
            <w:tcW w:w="2220" w:type="dxa"/>
            <w:vAlign w:val="bottom"/>
            <w:tcBorders>
              <w:left w:val="single" w:sz="8" w:color="auto"/>
              <w:bottom w:val="single" w:sz="8" w:color="auto"/>
            </w:tcBorders>
          </w:tcPr>
          <w:p>
            <w:pPr>
              <w:ind w:left="20"/>
              <w:spacing w:after="0" w:line="138" w:lineRule="exact"/>
              <w:rPr>
                <w:sz w:val="20"/>
                <w:szCs w:val="20"/>
                <w:color w:val="auto"/>
              </w:rPr>
            </w:pPr>
            <w:r>
              <w:rPr>
                <w:rFonts w:ascii="Calibri" w:cs="Calibri" w:eastAsia="Calibri" w:hAnsi="Calibri"/>
                <w:sz w:val="12"/>
                <w:szCs w:val="12"/>
                <w:color w:val="auto"/>
              </w:rPr>
              <w:t>Additonal capital requirements</w:t>
            </w:r>
          </w:p>
        </w:tc>
        <w:tc>
          <w:tcPr>
            <w:tcW w:w="2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42"/>
              <w:spacing w:after="0" w:line="138" w:lineRule="exact"/>
              <w:rPr>
                <w:sz w:val="20"/>
                <w:szCs w:val="20"/>
                <w:color w:val="auto"/>
              </w:rPr>
            </w:pPr>
            <w:r>
              <w:rPr>
                <w:rFonts w:ascii="Calibri" w:cs="Calibri" w:eastAsia="Calibri" w:hAnsi="Calibri"/>
                <w:sz w:val="12"/>
                <w:szCs w:val="12"/>
                <w:color w:val="auto"/>
              </w:rPr>
              <w:t>3,595,810</w:t>
            </w:r>
          </w:p>
        </w:tc>
        <w:tc>
          <w:tcPr>
            <w:tcW w:w="1320" w:type="dxa"/>
            <w:vAlign w:val="bottom"/>
            <w:tcBorders>
              <w:bottom w:val="single" w:sz="8" w:color="auto"/>
            </w:tcBorders>
          </w:tcPr>
          <w:p>
            <w:pPr>
              <w:jc w:val="right"/>
              <w:ind w:right="62"/>
              <w:spacing w:after="0" w:line="138" w:lineRule="exact"/>
              <w:rPr>
                <w:sz w:val="20"/>
                <w:szCs w:val="20"/>
                <w:color w:val="auto"/>
              </w:rPr>
            </w:pPr>
            <w:r>
              <w:rPr>
                <w:rFonts w:ascii="Calibri" w:cs="Calibri" w:eastAsia="Calibri" w:hAnsi="Calibri"/>
                <w:sz w:val="12"/>
                <w:szCs w:val="12"/>
                <w:color w:val="auto"/>
              </w:rPr>
              <w:t>5,709,468</w:t>
            </w:r>
          </w:p>
        </w:tc>
        <w:tc>
          <w:tcPr>
            <w:tcW w:w="140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5,647,686</w:t>
            </w:r>
          </w:p>
        </w:tc>
        <w:tc>
          <w:tcPr>
            <w:tcW w:w="1540" w:type="dxa"/>
            <w:vAlign w:val="bottom"/>
            <w:tcBorders>
              <w:bottom w:val="single" w:sz="8" w:color="auto"/>
            </w:tcBorders>
          </w:tcPr>
          <w:p>
            <w:pPr>
              <w:jc w:val="right"/>
              <w:ind w:right="182"/>
              <w:spacing w:after="0" w:line="138" w:lineRule="exact"/>
              <w:rPr>
                <w:sz w:val="20"/>
                <w:szCs w:val="20"/>
                <w:color w:val="auto"/>
              </w:rPr>
            </w:pPr>
            <w:r>
              <w:rPr>
                <w:rFonts w:ascii="Calibri" w:cs="Calibri" w:eastAsia="Calibri" w:hAnsi="Calibri"/>
                <w:sz w:val="12"/>
                <w:szCs w:val="12"/>
                <w:color w:val="auto"/>
              </w:rPr>
              <w:t>-1.1%</w:t>
            </w:r>
          </w:p>
        </w:tc>
        <w:tc>
          <w:tcPr>
            <w:tcW w:w="78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57.1%</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auto"/>
            </w:tcBorders>
          </w:tcPr>
          <w:p>
            <w:pPr>
              <w:ind w:left="20"/>
              <w:spacing w:after="0" w:line="135" w:lineRule="exact"/>
              <w:rPr>
                <w:sz w:val="20"/>
                <w:szCs w:val="20"/>
                <w:color w:val="auto"/>
              </w:rPr>
            </w:pPr>
            <w:r>
              <w:rPr>
                <w:rFonts w:ascii="Calibri" w:cs="Calibri" w:eastAsia="Calibri" w:hAnsi="Calibri"/>
                <w:sz w:val="12"/>
                <w:szCs w:val="12"/>
                <w:b w:val="1"/>
                <w:bCs w:val="1"/>
                <w:color w:val="auto"/>
              </w:rPr>
              <w:t>Total</w:t>
            </w:r>
          </w:p>
        </w:tc>
        <w:tc>
          <w:tcPr>
            <w:tcW w:w="224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42"/>
              <w:spacing w:after="0" w:line="135" w:lineRule="exact"/>
              <w:rPr>
                <w:sz w:val="20"/>
                <w:szCs w:val="20"/>
                <w:color w:val="auto"/>
              </w:rPr>
            </w:pPr>
            <w:r>
              <w:rPr>
                <w:rFonts w:ascii="Calibri" w:cs="Calibri" w:eastAsia="Calibri" w:hAnsi="Calibri"/>
                <w:sz w:val="12"/>
                <w:szCs w:val="12"/>
                <w:b w:val="1"/>
                <w:bCs w:val="1"/>
                <w:color w:val="auto"/>
              </w:rPr>
              <w:t>17,346,562</w:t>
            </w:r>
          </w:p>
        </w:tc>
        <w:tc>
          <w:tcPr>
            <w:tcW w:w="1320" w:type="dxa"/>
            <w:vAlign w:val="bottom"/>
            <w:tcBorders>
              <w:bottom w:val="single" w:sz="8" w:color="auto"/>
            </w:tcBorders>
          </w:tcPr>
          <w:p>
            <w:pPr>
              <w:jc w:val="right"/>
              <w:ind w:right="62"/>
              <w:spacing w:after="0" w:line="135" w:lineRule="exact"/>
              <w:rPr>
                <w:sz w:val="20"/>
                <w:szCs w:val="20"/>
                <w:color w:val="auto"/>
              </w:rPr>
            </w:pPr>
            <w:r>
              <w:rPr>
                <w:rFonts w:ascii="Calibri" w:cs="Calibri" w:eastAsia="Calibri" w:hAnsi="Calibri"/>
                <w:sz w:val="12"/>
                <w:szCs w:val="12"/>
                <w:b w:val="1"/>
                <w:bCs w:val="1"/>
                <w:color w:val="auto"/>
              </w:rPr>
              <w:t>20,265,673</w:t>
            </w:r>
          </w:p>
        </w:tc>
        <w:tc>
          <w:tcPr>
            <w:tcW w:w="1400" w:type="dxa"/>
            <w:vAlign w:val="bottom"/>
            <w:tcBorders>
              <w:bottom w:val="single" w:sz="8" w:color="auto"/>
              <w:right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20,589,033</w:t>
            </w:r>
          </w:p>
        </w:tc>
        <w:tc>
          <w:tcPr>
            <w:tcW w:w="1540" w:type="dxa"/>
            <w:vAlign w:val="bottom"/>
            <w:tcBorders>
              <w:bottom w:val="single" w:sz="8" w:color="auto"/>
            </w:tcBorders>
          </w:tcPr>
          <w:p>
            <w:pPr>
              <w:jc w:val="right"/>
              <w:ind w:right="182"/>
              <w:spacing w:after="0" w:line="135" w:lineRule="exact"/>
              <w:rPr>
                <w:sz w:val="20"/>
                <w:szCs w:val="20"/>
                <w:color w:val="auto"/>
              </w:rPr>
            </w:pPr>
            <w:r>
              <w:rPr>
                <w:rFonts w:ascii="Calibri" w:cs="Calibri" w:eastAsia="Calibri" w:hAnsi="Calibri"/>
                <w:sz w:val="12"/>
                <w:szCs w:val="12"/>
                <w:b w:val="1"/>
                <w:bCs w:val="1"/>
                <w:color w:val="auto"/>
              </w:rPr>
              <w:t>1.6%</w:t>
            </w:r>
          </w:p>
        </w:tc>
        <w:tc>
          <w:tcPr>
            <w:tcW w:w="780" w:type="dxa"/>
            <w:vAlign w:val="bottom"/>
            <w:tcBorders>
              <w:bottom w:val="single" w:sz="8" w:color="auto"/>
              <w:right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-3856990</wp:posOffset>
            </wp:positionV>
            <wp:extent cx="108013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Capital Ratos under Local Regulaton</w:t>
      </w:r>
    </w:p>
    <w:p>
      <w:pPr>
        <w:spacing w:after="0" w:line="203" w:lineRule="exact"/>
        <w:rPr>
          <w:sz w:val="20"/>
          <w:szCs w:val="20"/>
          <w:color w:val="auto"/>
        </w:rPr>
      </w:pPr>
    </w:p>
    <w:tbl>
      <w:tblPr>
        <w:tblLayout w:type="fixed"/>
        <w:tblInd w:w="590" w:type="dxa"/>
        <w:tblCellMar>
          <w:top w:w="0" w:type="dxa"/>
          <w:left w:w="0" w:type="dxa"/>
          <w:bottom w:w="0" w:type="dxa"/>
          <w:right w:w="0" w:type="dxa"/>
        </w:tblCellMar>
      </w:tblPr>
      <w:tr>
        <w:trPr>
          <w:trHeight w:val="148"/>
        </w:trPr>
        <w:tc>
          <w:tcPr>
            <w:tcW w:w="3920" w:type="dxa"/>
            <w:vAlign w:val="bottom"/>
            <w:tcBorders>
              <w:top w:val="single" w:sz="8" w:color="auto"/>
              <w:left w:val="single" w:sz="8" w:color="auto"/>
              <w:right w:val="single" w:sz="8" w:color="auto"/>
            </w:tcBorders>
            <w:shd w:val="clear" w:color="auto" w:fill="2AD2C9"/>
          </w:tcPr>
          <w:p>
            <w:pPr>
              <w:spacing w:after="0"/>
              <w:rPr>
                <w:sz w:val="20"/>
                <w:szCs w:val="20"/>
                <w:color w:val="auto"/>
              </w:rPr>
            </w:pPr>
            <w:r>
              <w:rPr>
                <w:rFonts w:ascii="Calibri" w:cs="Calibri" w:eastAsia="Calibri" w:hAnsi="Calibri"/>
                <w:sz w:val="12"/>
                <w:szCs w:val="12"/>
                <w:b w:val="1"/>
                <w:bCs w:val="1"/>
                <w:color w:val="FFFFFF"/>
              </w:rPr>
              <w:t>Capital ratos under Local Regulaton</w:t>
            </w:r>
          </w:p>
        </w:tc>
        <w:tc>
          <w:tcPr>
            <w:tcW w:w="1440" w:type="dxa"/>
            <w:vAlign w:val="bottom"/>
            <w:tcBorders>
              <w:top w:val="single" w:sz="8" w:color="auto"/>
            </w:tcBorders>
            <w:shd w:val="clear" w:color="auto" w:fill="2AD2C9"/>
          </w:tcPr>
          <w:p>
            <w:pPr>
              <w:spacing w:after="0"/>
              <w:rPr>
                <w:sz w:val="12"/>
                <w:szCs w:val="12"/>
                <w:color w:val="auto"/>
              </w:rPr>
            </w:pPr>
          </w:p>
        </w:tc>
        <w:tc>
          <w:tcPr>
            <w:tcW w:w="1240" w:type="dxa"/>
            <w:vAlign w:val="bottom"/>
            <w:tcBorders>
              <w:top w:val="single" w:sz="8" w:color="auto"/>
            </w:tcBorders>
            <w:shd w:val="clear" w:color="auto" w:fill="2AD2C9"/>
          </w:tcPr>
          <w:p>
            <w:pPr>
              <w:jc w:val="right"/>
              <w:ind w:right="582"/>
              <w:spacing w:after="0"/>
              <w:rPr>
                <w:sz w:val="20"/>
                <w:szCs w:val="20"/>
                <w:color w:val="auto"/>
              </w:rPr>
            </w:pPr>
            <w:r>
              <w:rPr>
                <w:rFonts w:ascii="Calibri" w:cs="Calibri" w:eastAsia="Calibri" w:hAnsi="Calibri"/>
                <w:sz w:val="12"/>
                <w:szCs w:val="12"/>
                <w:b w:val="1"/>
                <w:bCs w:val="1"/>
                <w:color w:val="FFFFFF"/>
              </w:rPr>
              <w:t>Quarter</w:t>
            </w:r>
          </w:p>
        </w:tc>
        <w:tc>
          <w:tcPr>
            <w:tcW w:w="600" w:type="dxa"/>
            <w:vAlign w:val="bottom"/>
            <w:tcBorders>
              <w:top w:val="single" w:sz="8" w:color="auto"/>
            </w:tcBorders>
            <w:shd w:val="clear" w:color="auto" w:fill="2AD2C9"/>
          </w:tcPr>
          <w:p>
            <w:pPr>
              <w:spacing w:after="0"/>
              <w:rPr>
                <w:sz w:val="12"/>
                <w:szCs w:val="12"/>
                <w:color w:val="auto"/>
              </w:rPr>
            </w:pPr>
          </w:p>
        </w:tc>
        <w:tc>
          <w:tcPr>
            <w:tcW w:w="420" w:type="dxa"/>
            <w:vAlign w:val="bottom"/>
            <w:tcBorders>
              <w:top w:val="single" w:sz="8" w:color="auto"/>
              <w:right w:val="single" w:sz="8" w:color="auto"/>
            </w:tcBorders>
            <w:shd w:val="clear" w:color="auto" w:fill="2AD2C9"/>
          </w:tcPr>
          <w:p>
            <w:pPr>
              <w:spacing w:after="0"/>
              <w:rPr>
                <w:sz w:val="12"/>
                <w:szCs w:val="12"/>
                <w:color w:val="auto"/>
              </w:rPr>
            </w:pPr>
          </w:p>
        </w:tc>
        <w:tc>
          <w:tcPr>
            <w:tcW w:w="780" w:type="dxa"/>
            <w:vAlign w:val="bottom"/>
            <w:tcBorders>
              <w:top w:val="single" w:sz="8" w:color="auto"/>
            </w:tcBorders>
            <w:shd w:val="clear" w:color="auto" w:fill="2AD2C9"/>
          </w:tcPr>
          <w:p>
            <w:pPr>
              <w:spacing w:after="0"/>
              <w:rPr>
                <w:sz w:val="12"/>
                <w:szCs w:val="12"/>
                <w:color w:val="auto"/>
              </w:rPr>
            </w:pPr>
          </w:p>
        </w:tc>
        <w:tc>
          <w:tcPr>
            <w:tcW w:w="820" w:type="dxa"/>
            <w:vAlign w:val="bottom"/>
            <w:tcBorders>
              <w:top w:val="single" w:sz="8" w:color="auto"/>
            </w:tcBorders>
            <w:shd w:val="clear" w:color="auto" w:fill="2AD2C9"/>
          </w:tcPr>
          <w:p>
            <w:pPr>
              <w:ind w:left="200"/>
              <w:spacing w:after="0"/>
              <w:rPr>
                <w:sz w:val="20"/>
                <w:szCs w:val="20"/>
                <w:color w:val="auto"/>
              </w:rPr>
            </w:pPr>
            <w:r>
              <w:rPr>
                <w:rFonts w:ascii="Calibri" w:cs="Calibri" w:eastAsia="Calibri" w:hAnsi="Calibri"/>
                <w:sz w:val="12"/>
                <w:szCs w:val="12"/>
                <w:b w:val="1"/>
                <w:bCs w:val="1"/>
                <w:color w:val="FFFFFF"/>
              </w:rPr>
              <w:t>Change %</w:t>
            </w:r>
          </w:p>
        </w:tc>
        <w:tc>
          <w:tcPr>
            <w:tcW w:w="880" w:type="dxa"/>
            <w:vAlign w:val="bottom"/>
            <w:tcBorders>
              <w:top w:val="single" w:sz="8" w:color="auto"/>
              <w:right w:val="single" w:sz="8" w:color="auto"/>
            </w:tcBorders>
            <w:shd w:val="clear" w:color="auto" w:fill="2AD2C9"/>
          </w:tcPr>
          <w:p>
            <w:pPr>
              <w:spacing w:after="0"/>
              <w:rPr>
                <w:sz w:val="12"/>
                <w:szCs w:val="12"/>
                <w:color w:val="auto"/>
              </w:rPr>
            </w:pPr>
          </w:p>
        </w:tc>
      </w:tr>
      <w:tr>
        <w:trPr>
          <w:trHeight w:val="135"/>
        </w:trPr>
        <w:tc>
          <w:tcPr>
            <w:tcW w:w="3920" w:type="dxa"/>
            <w:vAlign w:val="bottom"/>
            <w:tcBorders>
              <w:left w:val="single" w:sz="8" w:color="auto"/>
              <w:bottom w:val="single" w:sz="8" w:color="auto"/>
              <w:right w:val="single" w:sz="8" w:color="auto"/>
            </w:tcBorders>
            <w:shd w:val="clear" w:color="auto" w:fill="2AD2C9"/>
          </w:tcPr>
          <w:p>
            <w:pPr>
              <w:spacing w:after="0" w:line="135" w:lineRule="exact"/>
              <w:rPr>
                <w:sz w:val="20"/>
                <w:szCs w:val="20"/>
                <w:color w:val="auto"/>
              </w:rPr>
            </w:pPr>
            <w:r>
              <w:rPr>
                <w:rFonts w:ascii="Calibri" w:cs="Calibri" w:eastAsia="Calibri" w:hAnsi="Calibri"/>
                <w:sz w:val="12"/>
                <w:szCs w:val="12"/>
                <w:color w:val="FFFFFF"/>
              </w:rPr>
              <w:t>(S/. thousand)</w:t>
            </w:r>
          </w:p>
        </w:tc>
        <w:tc>
          <w:tcPr>
            <w:tcW w:w="1440" w:type="dxa"/>
            <w:vAlign w:val="bottom"/>
            <w:tcBorders>
              <w:bottom w:val="single" w:sz="8" w:color="auto"/>
            </w:tcBorders>
            <w:shd w:val="clear" w:color="auto" w:fill="2AD2C9"/>
          </w:tcPr>
          <w:p>
            <w:pPr>
              <w:jc w:val="right"/>
              <w:ind w:right="602"/>
              <w:spacing w:after="0" w:line="135" w:lineRule="exact"/>
              <w:rPr>
                <w:sz w:val="20"/>
                <w:szCs w:val="20"/>
                <w:color w:val="auto"/>
              </w:rPr>
            </w:pPr>
            <w:r>
              <w:rPr>
                <w:rFonts w:ascii="Calibri" w:cs="Calibri" w:eastAsia="Calibri" w:hAnsi="Calibri"/>
                <w:sz w:val="12"/>
                <w:szCs w:val="12"/>
                <w:b w:val="1"/>
                <w:bCs w:val="1"/>
                <w:color w:val="FFFFFF"/>
              </w:rPr>
              <w:t>Sep 23</w:t>
            </w:r>
          </w:p>
        </w:tc>
        <w:tc>
          <w:tcPr>
            <w:tcW w:w="1240" w:type="dxa"/>
            <w:vAlign w:val="bottom"/>
            <w:tcBorders>
              <w:bottom w:val="single" w:sz="8" w:color="auto"/>
            </w:tcBorders>
            <w:shd w:val="clear" w:color="auto" w:fill="2AD2C9"/>
          </w:tcPr>
          <w:p>
            <w:pPr>
              <w:jc w:val="right"/>
              <w:ind w:right="642"/>
              <w:spacing w:after="0" w:line="135" w:lineRule="exact"/>
              <w:rPr>
                <w:sz w:val="20"/>
                <w:szCs w:val="20"/>
                <w:color w:val="auto"/>
              </w:rPr>
            </w:pPr>
            <w:r>
              <w:rPr>
                <w:rFonts w:ascii="Calibri" w:cs="Calibri" w:eastAsia="Calibri" w:hAnsi="Calibri"/>
                <w:sz w:val="12"/>
                <w:szCs w:val="12"/>
                <w:b w:val="1"/>
                <w:bCs w:val="1"/>
                <w:color w:val="FFFFFF"/>
              </w:rPr>
              <w:t>Jun 24</w:t>
            </w:r>
          </w:p>
        </w:tc>
        <w:tc>
          <w:tcPr>
            <w:tcW w:w="600" w:type="dxa"/>
            <w:vAlign w:val="bottom"/>
            <w:tcBorders>
              <w:bottom w:val="single" w:sz="8" w:color="auto"/>
            </w:tcBorders>
            <w:shd w:val="clear" w:color="auto" w:fill="2AD2C9"/>
          </w:tcPr>
          <w:p>
            <w:pPr>
              <w:ind w:left="220"/>
              <w:spacing w:after="0" w:line="135" w:lineRule="exact"/>
              <w:rPr>
                <w:sz w:val="20"/>
                <w:szCs w:val="20"/>
                <w:color w:val="auto"/>
              </w:rPr>
            </w:pPr>
            <w:r>
              <w:rPr>
                <w:rFonts w:ascii="Calibri" w:cs="Calibri" w:eastAsia="Calibri" w:hAnsi="Calibri"/>
                <w:sz w:val="12"/>
                <w:szCs w:val="12"/>
                <w:b w:val="1"/>
                <w:bCs w:val="1"/>
                <w:color w:val="FFFFFF"/>
              </w:rPr>
              <w:t>Sep 24</w:t>
            </w:r>
          </w:p>
        </w:tc>
        <w:tc>
          <w:tcPr>
            <w:tcW w:w="420" w:type="dxa"/>
            <w:vAlign w:val="bottom"/>
            <w:tcBorders>
              <w:bottom w:val="single" w:sz="8" w:color="auto"/>
              <w:right w:val="single" w:sz="8" w:color="auto"/>
            </w:tcBorders>
            <w:shd w:val="clear" w:color="auto" w:fill="2AD2C9"/>
          </w:tcPr>
          <w:p>
            <w:pPr>
              <w:spacing w:after="0"/>
              <w:rPr>
                <w:sz w:val="11"/>
                <w:szCs w:val="11"/>
                <w:color w:val="auto"/>
              </w:rPr>
            </w:pPr>
          </w:p>
        </w:tc>
        <w:tc>
          <w:tcPr>
            <w:tcW w:w="780" w:type="dxa"/>
            <w:vAlign w:val="bottom"/>
            <w:tcBorders>
              <w:bottom w:val="single" w:sz="8" w:color="auto"/>
            </w:tcBorders>
            <w:shd w:val="clear" w:color="auto" w:fill="2AD2C9"/>
          </w:tcPr>
          <w:p>
            <w:pPr>
              <w:ind w:left="500"/>
              <w:spacing w:after="0" w:line="135" w:lineRule="exact"/>
              <w:rPr>
                <w:sz w:val="20"/>
                <w:szCs w:val="20"/>
                <w:color w:val="auto"/>
              </w:rPr>
            </w:pPr>
            <w:r>
              <w:rPr>
                <w:rFonts w:ascii="Calibri" w:cs="Calibri" w:eastAsia="Calibri" w:hAnsi="Calibri"/>
                <w:sz w:val="12"/>
                <w:szCs w:val="12"/>
                <w:b w:val="1"/>
                <w:bCs w:val="1"/>
                <w:color w:val="FFFFFF"/>
              </w:rPr>
              <w:t>QoQ</w:t>
            </w:r>
          </w:p>
        </w:tc>
        <w:tc>
          <w:tcPr>
            <w:tcW w:w="820" w:type="dxa"/>
            <w:vAlign w:val="bottom"/>
            <w:tcBorders>
              <w:bottom w:val="single" w:sz="8" w:color="auto"/>
            </w:tcBorders>
            <w:shd w:val="clear" w:color="auto" w:fill="2AD2C9"/>
          </w:tcPr>
          <w:p>
            <w:pPr>
              <w:spacing w:after="0"/>
              <w:rPr>
                <w:sz w:val="11"/>
                <w:szCs w:val="11"/>
                <w:color w:val="auto"/>
              </w:rPr>
            </w:pPr>
          </w:p>
        </w:tc>
        <w:tc>
          <w:tcPr>
            <w:tcW w:w="880" w:type="dxa"/>
            <w:vAlign w:val="bottom"/>
            <w:tcBorders>
              <w:bottom w:val="single" w:sz="8" w:color="auto"/>
              <w:right w:val="single" w:sz="8" w:color="auto"/>
            </w:tcBorders>
            <w:shd w:val="clear" w:color="auto" w:fill="2AD2C9"/>
          </w:tcPr>
          <w:p>
            <w:pPr>
              <w:jc w:val="right"/>
              <w:ind w:right="502"/>
              <w:spacing w:after="0" w:line="135" w:lineRule="exact"/>
              <w:rPr>
                <w:sz w:val="20"/>
                <w:szCs w:val="20"/>
                <w:color w:val="auto"/>
              </w:rPr>
            </w:pPr>
            <w:r>
              <w:rPr>
                <w:rFonts w:ascii="Calibri" w:cs="Calibri" w:eastAsia="Calibri" w:hAnsi="Calibri"/>
                <w:sz w:val="12"/>
                <w:szCs w:val="12"/>
                <w:b w:val="1"/>
                <w:bCs w:val="1"/>
                <w:color w:val="FFFFFF"/>
              </w:rPr>
              <w:t>YoY</w:t>
            </w:r>
          </w:p>
        </w:tc>
      </w:tr>
      <w:tr>
        <w:trPr>
          <w:trHeight w:val="113"/>
        </w:trPr>
        <w:tc>
          <w:tcPr>
            <w:tcW w:w="3920" w:type="dxa"/>
            <w:vAlign w:val="bottom"/>
            <w:tcBorders>
              <w:left w:val="single" w:sz="8" w:color="auto"/>
              <w:right w:val="single" w:sz="8" w:color="auto"/>
            </w:tcBorders>
          </w:tcPr>
          <w:p>
            <w:pPr>
              <w:spacing w:after="0" w:line="113" w:lineRule="exact"/>
              <w:rPr>
                <w:sz w:val="20"/>
                <w:szCs w:val="20"/>
                <w:color w:val="auto"/>
              </w:rPr>
            </w:pPr>
            <w:r>
              <w:rPr>
                <w:rFonts w:ascii="Calibri" w:cs="Calibri" w:eastAsia="Calibri" w:hAnsi="Calibri"/>
                <w:sz w:val="12"/>
                <w:szCs w:val="12"/>
                <w:b w:val="1"/>
                <w:bCs w:val="1"/>
                <w:color w:val="auto"/>
              </w:rPr>
              <w:t>Common Equity Tier 1 rato</w:t>
            </w:r>
          </w:p>
        </w:tc>
        <w:tc>
          <w:tcPr>
            <w:tcW w:w="1440" w:type="dxa"/>
            <w:vAlign w:val="bottom"/>
          </w:tcPr>
          <w:p>
            <w:pPr>
              <w:jc w:val="right"/>
              <w:ind w:right="162"/>
              <w:spacing w:after="0" w:line="113" w:lineRule="exact"/>
              <w:rPr>
                <w:sz w:val="20"/>
                <w:szCs w:val="20"/>
                <w:color w:val="auto"/>
              </w:rPr>
            </w:pPr>
            <w:r>
              <w:rPr>
                <w:rFonts w:ascii="Calibri" w:cs="Calibri" w:eastAsia="Calibri" w:hAnsi="Calibri"/>
                <w:sz w:val="12"/>
                <w:szCs w:val="12"/>
                <w:color w:val="auto"/>
              </w:rPr>
              <w:t>13.01%</w:t>
            </w:r>
          </w:p>
        </w:tc>
        <w:tc>
          <w:tcPr>
            <w:tcW w:w="1240" w:type="dxa"/>
            <w:vAlign w:val="bottom"/>
          </w:tcPr>
          <w:p>
            <w:pPr>
              <w:jc w:val="right"/>
              <w:ind w:right="182"/>
              <w:spacing w:after="0" w:line="113" w:lineRule="exact"/>
              <w:rPr>
                <w:sz w:val="20"/>
                <w:szCs w:val="20"/>
                <w:color w:val="auto"/>
              </w:rPr>
            </w:pPr>
            <w:r>
              <w:rPr>
                <w:rFonts w:ascii="Calibri" w:cs="Calibri" w:eastAsia="Calibri" w:hAnsi="Calibri"/>
                <w:sz w:val="12"/>
                <w:szCs w:val="12"/>
                <w:color w:val="auto"/>
              </w:rPr>
              <w:t>11.90%</w:t>
            </w:r>
          </w:p>
        </w:tc>
        <w:tc>
          <w:tcPr>
            <w:tcW w:w="600" w:type="dxa"/>
            <w:vAlign w:val="bottom"/>
          </w:tcPr>
          <w:p>
            <w:pPr>
              <w:spacing w:after="0"/>
              <w:rPr>
                <w:sz w:val="9"/>
                <w:szCs w:val="9"/>
                <w:color w:val="auto"/>
              </w:rPr>
            </w:pPr>
          </w:p>
        </w:tc>
        <w:tc>
          <w:tcPr>
            <w:tcW w:w="42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13.25%</w:t>
            </w:r>
          </w:p>
        </w:tc>
        <w:tc>
          <w:tcPr>
            <w:tcW w:w="780" w:type="dxa"/>
            <w:vAlign w:val="bottom"/>
          </w:tcPr>
          <w:p>
            <w:pPr>
              <w:spacing w:after="0"/>
              <w:rPr>
                <w:sz w:val="9"/>
                <w:szCs w:val="9"/>
                <w:color w:val="auto"/>
              </w:rPr>
            </w:pPr>
          </w:p>
        </w:tc>
        <w:tc>
          <w:tcPr>
            <w:tcW w:w="820" w:type="dxa"/>
            <w:vAlign w:val="bottom"/>
          </w:tcPr>
          <w:p>
            <w:pPr>
              <w:ind w:left="60"/>
              <w:spacing w:after="0" w:line="113" w:lineRule="exact"/>
              <w:rPr>
                <w:sz w:val="20"/>
                <w:szCs w:val="20"/>
                <w:color w:val="auto"/>
              </w:rPr>
            </w:pPr>
            <w:r>
              <w:rPr>
                <w:rFonts w:ascii="Calibri" w:cs="Calibri" w:eastAsia="Calibri" w:hAnsi="Calibri"/>
                <w:sz w:val="12"/>
                <w:szCs w:val="12"/>
                <w:color w:val="auto"/>
              </w:rPr>
              <w:t>135 bps</w:t>
            </w:r>
          </w:p>
        </w:tc>
        <w:tc>
          <w:tcPr>
            <w:tcW w:w="880" w:type="dxa"/>
            <w:vAlign w:val="bottom"/>
            <w:tcBorders>
              <w:right w:val="single" w:sz="8" w:color="auto"/>
            </w:tcBorders>
          </w:tcPr>
          <w:p>
            <w:pPr>
              <w:jc w:val="right"/>
              <w:spacing w:after="0" w:line="113" w:lineRule="exact"/>
              <w:rPr>
                <w:sz w:val="20"/>
                <w:szCs w:val="20"/>
                <w:color w:val="auto"/>
              </w:rPr>
            </w:pPr>
            <w:r>
              <w:rPr>
                <w:rFonts w:ascii="Calibri" w:cs="Calibri" w:eastAsia="Calibri" w:hAnsi="Calibri"/>
                <w:sz w:val="12"/>
                <w:szCs w:val="12"/>
                <w:color w:val="auto"/>
              </w:rPr>
              <w:t>24 bps</w:t>
            </w:r>
          </w:p>
        </w:tc>
      </w:tr>
      <w:tr>
        <w:trPr>
          <w:trHeight w:val="135"/>
        </w:trPr>
        <w:tc>
          <w:tcPr>
            <w:tcW w:w="3920" w:type="dxa"/>
            <w:vAlign w:val="bottom"/>
            <w:tcBorders>
              <w:left w:val="single" w:sz="8" w:color="auto"/>
              <w:right w:val="single" w:sz="8" w:color="auto"/>
            </w:tcBorders>
          </w:tcPr>
          <w:p>
            <w:pPr>
              <w:spacing w:after="0" w:line="135" w:lineRule="exact"/>
              <w:rPr>
                <w:sz w:val="20"/>
                <w:szCs w:val="20"/>
                <w:color w:val="auto"/>
              </w:rPr>
            </w:pPr>
            <w:r>
              <w:rPr>
                <w:rFonts w:ascii="Calibri" w:cs="Calibri" w:eastAsia="Calibri" w:hAnsi="Calibri"/>
                <w:sz w:val="12"/>
                <w:szCs w:val="12"/>
                <w:b w:val="1"/>
                <w:bCs w:val="1"/>
                <w:color w:val="auto"/>
              </w:rPr>
              <w:t>Tier 1 Capital rato</w:t>
            </w:r>
          </w:p>
        </w:tc>
        <w:tc>
          <w:tcPr>
            <w:tcW w:w="1440" w:type="dxa"/>
            <w:vAlign w:val="bottom"/>
          </w:tcPr>
          <w:p>
            <w:pPr>
              <w:jc w:val="right"/>
              <w:ind w:right="162"/>
              <w:spacing w:after="0" w:line="135" w:lineRule="exact"/>
              <w:rPr>
                <w:sz w:val="20"/>
                <w:szCs w:val="20"/>
                <w:color w:val="auto"/>
              </w:rPr>
            </w:pPr>
            <w:r>
              <w:rPr>
                <w:rFonts w:ascii="Calibri" w:cs="Calibri" w:eastAsia="Calibri" w:hAnsi="Calibri"/>
                <w:sz w:val="12"/>
                <w:szCs w:val="12"/>
                <w:color w:val="auto"/>
              </w:rPr>
              <w:t>13.01%</w:t>
            </w:r>
          </w:p>
        </w:tc>
        <w:tc>
          <w:tcPr>
            <w:tcW w:w="124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rPr>
              <w:t>11.90%</w:t>
            </w:r>
          </w:p>
        </w:tc>
        <w:tc>
          <w:tcPr>
            <w:tcW w:w="600" w:type="dxa"/>
            <w:vAlign w:val="bottom"/>
          </w:tcPr>
          <w:p>
            <w:pPr>
              <w:spacing w:after="0"/>
              <w:rPr>
                <w:sz w:val="11"/>
                <w:szCs w:val="11"/>
                <w:color w:val="auto"/>
              </w:rPr>
            </w:pPr>
          </w:p>
        </w:tc>
        <w:tc>
          <w:tcPr>
            <w:tcW w:w="42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13.25%</w:t>
            </w: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Calibri" w:cs="Calibri" w:eastAsia="Calibri" w:hAnsi="Calibri"/>
                <w:sz w:val="12"/>
                <w:szCs w:val="12"/>
                <w:color w:val="auto"/>
              </w:rPr>
              <w:t>135 bps</w:t>
            </w:r>
          </w:p>
        </w:tc>
        <w:tc>
          <w:tcPr>
            <w:tcW w:w="880" w:type="dxa"/>
            <w:vAlign w:val="bottom"/>
            <w:tcBorders>
              <w:right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24 bps</w:t>
            </w:r>
          </w:p>
        </w:tc>
      </w:tr>
      <w:tr>
        <w:trPr>
          <w:trHeight w:val="144"/>
        </w:trPr>
        <w:tc>
          <w:tcPr>
            <w:tcW w:w="3920" w:type="dxa"/>
            <w:vAlign w:val="bottom"/>
            <w:tcBorders>
              <w:left w:val="single" w:sz="8" w:color="auto"/>
              <w:bottom w:val="single" w:sz="8" w:color="auto"/>
              <w:right w:val="single" w:sz="8" w:color="auto"/>
            </w:tcBorders>
          </w:tcPr>
          <w:p>
            <w:pPr>
              <w:spacing w:after="0" w:line="138" w:lineRule="exact"/>
              <w:rPr>
                <w:sz w:val="20"/>
                <w:szCs w:val="20"/>
                <w:color w:val="auto"/>
              </w:rPr>
            </w:pPr>
            <w:r>
              <w:rPr>
                <w:rFonts w:ascii="Calibri" w:cs="Calibri" w:eastAsia="Calibri" w:hAnsi="Calibri"/>
                <w:sz w:val="12"/>
                <w:szCs w:val="12"/>
                <w:b w:val="1"/>
                <w:bCs w:val="1"/>
                <w:color w:val="auto"/>
              </w:rPr>
              <w:t>Regulatory Global Capital rato</w:t>
            </w:r>
          </w:p>
        </w:tc>
        <w:tc>
          <w:tcPr>
            <w:tcW w:w="1440" w:type="dxa"/>
            <w:vAlign w:val="bottom"/>
            <w:tcBorders>
              <w:bottom w:val="single" w:sz="8" w:color="auto"/>
            </w:tcBorders>
          </w:tcPr>
          <w:p>
            <w:pPr>
              <w:jc w:val="right"/>
              <w:ind w:right="162"/>
              <w:spacing w:after="0" w:line="138" w:lineRule="exact"/>
              <w:rPr>
                <w:sz w:val="20"/>
                <w:szCs w:val="20"/>
                <w:color w:val="auto"/>
              </w:rPr>
            </w:pPr>
            <w:r>
              <w:rPr>
                <w:rFonts w:ascii="Calibri" w:cs="Calibri" w:eastAsia="Calibri" w:hAnsi="Calibri"/>
                <w:sz w:val="12"/>
                <w:szCs w:val="12"/>
                <w:color w:val="auto"/>
              </w:rPr>
              <w:t>17.51%</w:t>
            </w:r>
          </w:p>
        </w:tc>
        <w:tc>
          <w:tcPr>
            <w:tcW w:w="1240" w:type="dxa"/>
            <w:vAlign w:val="bottom"/>
            <w:tcBorders>
              <w:bottom w:val="single" w:sz="8" w:color="auto"/>
            </w:tcBorders>
          </w:tcPr>
          <w:p>
            <w:pPr>
              <w:jc w:val="right"/>
              <w:ind w:right="182"/>
              <w:spacing w:after="0" w:line="138" w:lineRule="exact"/>
              <w:rPr>
                <w:sz w:val="20"/>
                <w:szCs w:val="20"/>
                <w:color w:val="auto"/>
              </w:rPr>
            </w:pPr>
            <w:r>
              <w:rPr>
                <w:rFonts w:ascii="Calibri" w:cs="Calibri" w:eastAsia="Calibri" w:hAnsi="Calibri"/>
                <w:sz w:val="12"/>
                <w:szCs w:val="12"/>
                <w:color w:val="auto"/>
              </w:rPr>
              <w:t>16.24%</w:t>
            </w: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18.96%</w:t>
            </w: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0"/>
              <w:spacing w:after="0" w:line="138" w:lineRule="exact"/>
              <w:rPr>
                <w:sz w:val="20"/>
                <w:szCs w:val="20"/>
                <w:color w:val="auto"/>
              </w:rPr>
            </w:pPr>
            <w:r>
              <w:rPr>
                <w:rFonts w:ascii="Calibri" w:cs="Calibri" w:eastAsia="Calibri" w:hAnsi="Calibri"/>
                <w:sz w:val="12"/>
                <w:szCs w:val="12"/>
                <w:color w:val="auto"/>
              </w:rPr>
              <w:t>272 bps</w:t>
            </w:r>
          </w:p>
        </w:tc>
        <w:tc>
          <w:tcPr>
            <w:tcW w:w="880" w:type="dxa"/>
            <w:vAlign w:val="bottom"/>
            <w:tcBorders>
              <w:bottom w:val="single" w:sz="8" w:color="auto"/>
              <w:right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145 bps</w:t>
            </w:r>
          </w:p>
        </w:tc>
      </w:tr>
    </w:tbl>
    <w:p>
      <w:pPr>
        <w:spacing w:after="0" w:line="125" w:lineRule="exact"/>
        <w:rPr>
          <w:sz w:val="20"/>
          <w:szCs w:val="20"/>
          <w:color w:val="auto"/>
        </w:rPr>
      </w:pPr>
    </w:p>
    <w:p>
      <w:pPr>
        <w:ind w:left="1760" w:hanging="294"/>
        <w:spacing w:after="0"/>
        <w:tabs>
          <w:tab w:leader="none" w:pos="1760" w:val="left"/>
        </w:tabs>
        <w:numPr>
          <w:ilvl w:val="0"/>
          <w:numId w:val="57"/>
        </w:numPr>
        <w:rPr>
          <w:rFonts w:ascii="Calibri" w:cs="Calibri" w:eastAsia="Calibri" w:hAnsi="Calibri"/>
          <w:sz w:val="12"/>
          <w:szCs w:val="12"/>
          <w:color w:val="auto"/>
        </w:rPr>
      </w:pPr>
      <w:r>
        <w:rPr>
          <w:rFonts w:ascii="Calibri" w:cs="Calibri" w:eastAsia="Calibri" w:hAnsi="Calibri"/>
          <w:sz w:val="12"/>
          <w:szCs w:val="12"/>
          <w:color w:val="auto"/>
        </w:rPr>
        <w:t>Up to 1.25% of total risk-weighted assets.</w:t>
      </w:r>
    </w:p>
    <w:p>
      <w:pPr>
        <w:spacing w:after="0" w:line="64" w:lineRule="exact"/>
        <w:rPr>
          <w:rFonts w:ascii="Calibri" w:cs="Calibri" w:eastAsia="Calibri" w:hAnsi="Calibri"/>
          <w:sz w:val="12"/>
          <w:szCs w:val="12"/>
          <w:color w:val="auto"/>
        </w:rPr>
      </w:pPr>
    </w:p>
    <w:p>
      <w:pPr>
        <w:ind w:left="1760" w:right="320" w:hanging="294"/>
        <w:spacing w:after="0" w:line="223" w:lineRule="auto"/>
        <w:tabs>
          <w:tab w:leader="none" w:pos="1760" w:val="left"/>
        </w:tabs>
        <w:numPr>
          <w:ilvl w:val="0"/>
          <w:numId w:val="57"/>
        </w:numPr>
        <w:rPr>
          <w:rFonts w:ascii="Calibri" w:cs="Calibri" w:eastAsia="Calibri" w:hAnsi="Calibri"/>
          <w:sz w:val="12"/>
          <w:szCs w:val="12"/>
          <w:color w:val="auto"/>
        </w:rPr>
      </w:pPr>
      <w:r>
        <w:rPr>
          <w:rFonts w:ascii="Calibri" w:cs="Calibri" w:eastAsia="Calibri" w:hAnsi="Calibri"/>
          <w:sz w:val="12"/>
          <w:szCs w:val="12"/>
          <w:color w:val="auto"/>
        </w:rPr>
        <w:t>Common Equity Tier 1 = Capital Stock + Reserves + Accumulated earnings – Unrealized profts or losses - 100% deductons (investment in subsidiaries, goodwill, intangible assets and deferred tax assets based on future returns).</w:t>
      </w:r>
    </w:p>
    <w:p>
      <w:pPr>
        <w:ind w:left="1760" w:hanging="294"/>
        <w:spacing w:after="0" w:line="221" w:lineRule="auto"/>
        <w:tabs>
          <w:tab w:leader="none" w:pos="1760" w:val="left"/>
        </w:tabs>
        <w:numPr>
          <w:ilvl w:val="0"/>
          <w:numId w:val="57"/>
        </w:numPr>
        <w:rPr>
          <w:rFonts w:ascii="Calibri" w:cs="Calibri" w:eastAsia="Calibri" w:hAnsi="Calibri"/>
          <w:sz w:val="12"/>
          <w:szCs w:val="12"/>
          <w:color w:val="auto"/>
        </w:rPr>
      </w:pPr>
      <w:r>
        <w:rPr>
          <w:rFonts w:ascii="Calibri" w:cs="Calibri" w:eastAsia="Calibri" w:hAnsi="Calibri"/>
          <w:sz w:val="12"/>
          <w:szCs w:val="12"/>
          <w:color w:val="auto"/>
        </w:rPr>
        <w:t>Regulatory Tier 1 Capital = Common Equity Tier 1 + Tier 1 Subordinated Debt (Perpetual).</w:t>
      </w:r>
    </w:p>
    <w:p>
      <w:pPr>
        <w:spacing w:after="0" w:line="56" w:lineRule="exact"/>
        <w:rPr>
          <w:rFonts w:ascii="Calibri" w:cs="Calibri" w:eastAsia="Calibri" w:hAnsi="Calibri"/>
          <w:sz w:val="12"/>
          <w:szCs w:val="12"/>
          <w:color w:val="auto"/>
        </w:rPr>
      </w:pPr>
    </w:p>
    <w:p>
      <w:pPr>
        <w:ind w:left="1760" w:hanging="294"/>
        <w:spacing w:after="0"/>
        <w:tabs>
          <w:tab w:leader="none" w:pos="1760" w:val="left"/>
        </w:tabs>
        <w:numPr>
          <w:ilvl w:val="0"/>
          <w:numId w:val="57"/>
        </w:numPr>
        <w:rPr>
          <w:rFonts w:ascii="Calibri" w:cs="Calibri" w:eastAsia="Calibri" w:hAnsi="Calibri"/>
          <w:sz w:val="12"/>
          <w:szCs w:val="12"/>
          <w:color w:val="auto"/>
        </w:rPr>
      </w:pPr>
      <w:r>
        <w:rPr>
          <w:rFonts w:ascii="Calibri" w:cs="Calibri" w:eastAsia="Calibri" w:hAnsi="Calibri"/>
          <w:sz w:val="12"/>
          <w:szCs w:val="12"/>
          <w:color w:val="auto"/>
        </w:rPr>
        <w:t>Regulatory Tier 2 Capital = Subordinated Debt + Loan loss reserves.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453"/>
        </w:trPr>
        <w:tc>
          <w:tcPr>
            <w:tcW w:w="2380" w:type="dxa"/>
            <w:vAlign w:val="bottom"/>
            <w:tcBorders>
              <w:left w:val="single" w:sz="8" w:color="auto"/>
            </w:tcBorders>
            <w:shd w:val="clear" w:color="auto" w:fill="000000"/>
          </w:tcPr>
          <w:p>
            <w:pPr>
              <w:spacing w:after="0"/>
              <w:rPr>
                <w:sz w:val="24"/>
                <w:szCs w:val="24"/>
                <w:color w:val="auto"/>
              </w:rPr>
            </w:pPr>
          </w:p>
        </w:tc>
        <w:tc>
          <w:tcPr>
            <w:tcW w:w="4300" w:type="dxa"/>
            <w:vAlign w:val="bottom"/>
            <w:gridSpan w:val="3"/>
            <w:shd w:val="clear" w:color="auto" w:fill="000000"/>
          </w:tcPr>
          <w:p>
            <w:pPr>
              <w:ind w:left="32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800" w:type="dxa"/>
            <w:vAlign w:val="bottom"/>
            <w:shd w:val="clear" w:color="auto" w:fill="000000"/>
          </w:tcPr>
          <w:p>
            <w:pPr>
              <w:spacing w:after="0"/>
              <w:rPr>
                <w:sz w:val="24"/>
                <w:szCs w:val="24"/>
                <w:color w:val="auto"/>
              </w:rPr>
            </w:pPr>
          </w:p>
        </w:tc>
        <w:tc>
          <w:tcPr>
            <w:tcW w:w="2980" w:type="dxa"/>
            <w:vAlign w:val="bottom"/>
            <w:gridSpan w:val="2"/>
            <w:shd w:val="clear" w:color="auto" w:fill="000000"/>
          </w:tcPr>
          <w:p>
            <w:pPr>
              <w:ind w:left="160"/>
              <w:spacing w:after="0"/>
              <w:rPr>
                <w:sz w:val="20"/>
                <w:szCs w:val="20"/>
                <w:color w:val="auto"/>
              </w:rPr>
            </w:pPr>
            <w:r>
              <w:rPr>
                <w:rFonts w:ascii="Calibri" w:cs="Calibri" w:eastAsia="Calibri" w:hAnsi="Calibri"/>
                <w:sz w:val="16"/>
                <w:szCs w:val="16"/>
                <w:color w:val="ED3FA8"/>
              </w:rPr>
              <w:t>Analysis of 3Q24 Consolidated Results</w:t>
            </w:r>
          </w:p>
        </w:tc>
        <w:tc>
          <w:tcPr>
            <w:tcW w:w="7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380" w:type="dxa"/>
            <w:vAlign w:val="bottom"/>
            <w:tcBorders>
              <w:left w:val="single" w:sz="8" w:color="auto"/>
            </w:tcBorders>
            <w:shd w:val="clear" w:color="auto" w:fill="000000"/>
          </w:tcPr>
          <w:p>
            <w:pPr>
              <w:spacing w:after="0"/>
              <w:rPr>
                <w:sz w:val="24"/>
                <w:szCs w:val="24"/>
                <w:color w:val="auto"/>
              </w:rPr>
            </w:pPr>
          </w:p>
        </w:tc>
        <w:tc>
          <w:tcPr>
            <w:tcW w:w="2120" w:type="dxa"/>
            <w:vAlign w:val="bottom"/>
            <w:shd w:val="clear" w:color="auto" w:fill="000000"/>
          </w:tcPr>
          <w:p>
            <w:pPr>
              <w:spacing w:after="0"/>
              <w:rPr>
                <w:sz w:val="24"/>
                <w:szCs w:val="24"/>
                <w:color w:val="auto"/>
              </w:rPr>
            </w:pPr>
          </w:p>
        </w:tc>
        <w:tc>
          <w:tcPr>
            <w:tcW w:w="500" w:type="dxa"/>
            <w:vAlign w:val="bottom"/>
            <w:tcBorders>
              <w:right w:val="single" w:sz="8" w:color="auto"/>
            </w:tcBorders>
            <w:shd w:val="clear" w:color="auto" w:fill="000000"/>
          </w:tcPr>
          <w:p>
            <w:pPr>
              <w:spacing w:after="0"/>
              <w:rPr>
                <w:sz w:val="24"/>
                <w:szCs w:val="24"/>
                <w:color w:val="auto"/>
              </w:rPr>
            </w:pPr>
          </w:p>
        </w:tc>
        <w:tc>
          <w:tcPr>
            <w:tcW w:w="1680" w:type="dxa"/>
            <w:vAlign w:val="bottom"/>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1560" w:type="dxa"/>
            <w:vAlign w:val="bottom"/>
            <w:tcBorders>
              <w:right w:val="single" w:sz="8" w:color="auto"/>
            </w:tcBorders>
            <w:shd w:val="clear" w:color="auto" w:fill="000000"/>
          </w:tcPr>
          <w:p>
            <w:pPr>
              <w:spacing w:after="0"/>
              <w:rPr>
                <w:sz w:val="24"/>
                <w:szCs w:val="24"/>
                <w:color w:val="auto"/>
              </w:rPr>
            </w:pPr>
          </w:p>
        </w:tc>
        <w:tc>
          <w:tcPr>
            <w:tcW w:w="142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8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2120" w:type="dxa"/>
            <w:vAlign w:val="bottom"/>
            <w:shd w:val="clear" w:color="auto" w:fill="E93BAC"/>
          </w:tcPr>
          <w:p>
            <w:pPr>
              <w:spacing w:after="0"/>
              <w:rPr>
                <w:sz w:val="22"/>
                <w:szCs w:val="22"/>
                <w:color w:val="auto"/>
              </w:rPr>
            </w:pPr>
          </w:p>
        </w:tc>
        <w:tc>
          <w:tcPr>
            <w:tcW w:w="500" w:type="dxa"/>
            <w:vAlign w:val="bottom"/>
            <w:tcBorders>
              <w:right w:val="single" w:sz="8" w:color="E93BAC"/>
            </w:tcBorders>
            <w:shd w:val="clear" w:color="auto" w:fill="E93BAC"/>
          </w:tcPr>
          <w:p>
            <w:pPr>
              <w:spacing w:after="0"/>
              <w:rPr>
                <w:sz w:val="22"/>
                <w:szCs w:val="22"/>
                <w:color w:val="auto"/>
              </w:rPr>
            </w:pPr>
          </w:p>
        </w:tc>
        <w:tc>
          <w:tcPr>
            <w:tcW w:w="1680" w:type="dxa"/>
            <w:vAlign w:val="bottom"/>
            <w:shd w:val="clear" w:color="auto" w:fill="E93BAC"/>
          </w:tcPr>
          <w:p>
            <w:pPr>
              <w:spacing w:after="0"/>
              <w:rPr>
                <w:sz w:val="22"/>
                <w:szCs w:val="22"/>
                <w:color w:val="auto"/>
              </w:rPr>
            </w:pPr>
          </w:p>
        </w:tc>
        <w:tc>
          <w:tcPr>
            <w:tcW w:w="800" w:type="dxa"/>
            <w:vAlign w:val="bottom"/>
            <w:shd w:val="clear" w:color="auto" w:fill="E93BAC"/>
          </w:tcPr>
          <w:p>
            <w:pPr>
              <w:spacing w:after="0"/>
              <w:rPr>
                <w:sz w:val="22"/>
                <w:szCs w:val="22"/>
                <w:color w:val="auto"/>
              </w:rPr>
            </w:pPr>
          </w:p>
        </w:tc>
        <w:tc>
          <w:tcPr>
            <w:tcW w:w="1560" w:type="dxa"/>
            <w:vAlign w:val="bottom"/>
            <w:tcBorders>
              <w:right w:val="single" w:sz="8" w:color="E93BAC"/>
            </w:tcBorders>
            <w:shd w:val="clear" w:color="auto" w:fill="E93BAC"/>
          </w:tcPr>
          <w:p>
            <w:pPr>
              <w:spacing w:after="0"/>
              <w:rPr>
                <w:sz w:val="22"/>
                <w:szCs w:val="22"/>
                <w:color w:val="auto"/>
              </w:rPr>
            </w:pPr>
          </w:p>
        </w:tc>
        <w:tc>
          <w:tcPr>
            <w:tcW w:w="1420" w:type="dxa"/>
            <w:vAlign w:val="bottom"/>
            <w:shd w:val="clear" w:color="auto" w:fill="E93BAC"/>
          </w:tcPr>
          <w:p>
            <w:pPr>
              <w:spacing w:after="0"/>
              <w:rPr>
                <w:sz w:val="22"/>
                <w:szCs w:val="22"/>
                <w:color w:val="auto"/>
              </w:rPr>
            </w:pPr>
          </w:p>
        </w:tc>
        <w:tc>
          <w:tcPr>
            <w:tcW w:w="780" w:type="dxa"/>
            <w:vAlign w:val="bottom"/>
            <w:tcBorders>
              <w:right w:val="single" w:sz="8" w:color="E93BAC"/>
            </w:tcBorders>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380" w:type="dxa"/>
            <w:vAlign w:val="bottom"/>
            <w:tcBorders>
              <w:left w:val="single" w:sz="8" w:color="E93BAC"/>
            </w:tcBorders>
            <w:shd w:val="clear" w:color="auto" w:fill="E93BAC"/>
          </w:tcPr>
          <w:p>
            <w:pPr>
              <w:spacing w:after="0"/>
              <w:rPr>
                <w:sz w:val="7"/>
                <w:szCs w:val="7"/>
                <w:color w:val="auto"/>
              </w:rPr>
            </w:pPr>
          </w:p>
        </w:tc>
        <w:tc>
          <w:tcPr>
            <w:tcW w:w="2620" w:type="dxa"/>
            <w:vAlign w:val="bottom"/>
            <w:tcBorders>
              <w:right w:val="single" w:sz="8" w:color="E93BAC"/>
            </w:tcBorders>
            <w:gridSpan w:val="2"/>
            <w:shd w:val="clear" w:color="auto" w:fill="E93BAC"/>
          </w:tcPr>
          <w:p>
            <w:pPr>
              <w:spacing w:after="0"/>
              <w:rPr>
                <w:sz w:val="7"/>
                <w:szCs w:val="7"/>
                <w:color w:val="auto"/>
              </w:rPr>
            </w:pPr>
          </w:p>
        </w:tc>
        <w:tc>
          <w:tcPr>
            <w:tcW w:w="4040" w:type="dxa"/>
            <w:vAlign w:val="bottom"/>
            <w:tcBorders>
              <w:right w:val="single" w:sz="8" w:color="E93BAC"/>
            </w:tcBorders>
            <w:gridSpan w:val="3"/>
            <w:shd w:val="clear" w:color="auto" w:fill="E93BAC"/>
          </w:tcPr>
          <w:p>
            <w:pPr>
              <w:spacing w:after="0"/>
              <w:rPr>
                <w:sz w:val="7"/>
                <w:szCs w:val="7"/>
                <w:color w:val="auto"/>
              </w:rPr>
            </w:pPr>
          </w:p>
        </w:tc>
        <w:tc>
          <w:tcPr>
            <w:tcW w:w="1420" w:type="dxa"/>
            <w:vAlign w:val="bottom"/>
            <w:shd w:val="clear" w:color="auto" w:fill="E93BAC"/>
          </w:tcPr>
          <w:p>
            <w:pPr>
              <w:spacing w:after="0"/>
              <w:rPr>
                <w:sz w:val="7"/>
                <w:szCs w:val="7"/>
                <w:color w:val="auto"/>
              </w:rPr>
            </w:pPr>
          </w:p>
        </w:tc>
        <w:tc>
          <w:tcPr>
            <w:tcW w:w="780" w:type="dxa"/>
            <w:vAlign w:val="bottom"/>
            <w:tcBorders>
              <w:right w:val="single" w:sz="8" w:color="E93BAC"/>
            </w:tcBorders>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2380" w:type="dxa"/>
            <w:vAlign w:val="bottom"/>
          </w:tcPr>
          <w:p>
            <w:pPr>
              <w:spacing w:after="0"/>
              <w:rPr>
                <w:sz w:val="24"/>
                <w:szCs w:val="24"/>
                <w:color w:val="auto"/>
              </w:rPr>
            </w:pPr>
          </w:p>
        </w:tc>
        <w:tc>
          <w:tcPr>
            <w:tcW w:w="6660" w:type="dxa"/>
            <w:vAlign w:val="bottom"/>
            <w:gridSpan w:val="5"/>
          </w:tcPr>
          <w:p>
            <w:pPr>
              <w:jc w:val="center"/>
              <w:ind w:right="112"/>
              <w:spacing w:after="0"/>
              <w:rPr>
                <w:sz w:val="20"/>
                <w:szCs w:val="20"/>
                <w:color w:val="auto"/>
              </w:rPr>
            </w:pPr>
            <w:r>
              <w:rPr>
                <w:rFonts w:ascii="Calibri" w:cs="Calibri" w:eastAsia="Calibri" w:hAnsi="Calibri"/>
                <w:sz w:val="18"/>
                <w:szCs w:val="18"/>
                <w:b w:val="1"/>
                <w:bCs w:val="1"/>
                <w:color w:val="auto"/>
                <w:w w:val="98"/>
              </w:rPr>
              <w:t>Regulatory Capital and Capital Adequacy Ratos at Mibanco</w:t>
            </w: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380" w:type="dxa"/>
            <w:vAlign w:val="bottom"/>
            <w:tcBorders>
              <w:left w:val="single" w:sz="8" w:color="auto"/>
            </w:tcBorders>
            <w:shd w:val="clear" w:color="auto" w:fill="2AD2C9"/>
          </w:tcPr>
          <w:p>
            <w:pPr>
              <w:ind w:left="20"/>
              <w:spacing w:after="0" w:line="153" w:lineRule="exact"/>
              <w:rPr>
                <w:sz w:val="20"/>
                <w:szCs w:val="20"/>
                <w:color w:val="auto"/>
              </w:rPr>
            </w:pPr>
            <w:r>
              <w:rPr>
                <w:rFonts w:ascii="Calibri" w:cs="Calibri" w:eastAsia="Calibri" w:hAnsi="Calibri"/>
                <w:sz w:val="13"/>
                <w:szCs w:val="13"/>
                <w:b w:val="1"/>
                <w:bCs w:val="1"/>
                <w:color w:val="FFFFFF"/>
              </w:rPr>
              <w:t>Regulatory Capital</w:t>
            </w:r>
          </w:p>
        </w:tc>
        <w:tc>
          <w:tcPr>
            <w:tcW w:w="2120" w:type="dxa"/>
            <w:vAlign w:val="bottom"/>
            <w:shd w:val="clear" w:color="auto" w:fill="2AD2C9"/>
          </w:tcPr>
          <w:p>
            <w:pPr>
              <w:spacing w:after="0"/>
              <w:rPr>
                <w:sz w:val="13"/>
                <w:szCs w:val="13"/>
                <w:color w:val="auto"/>
              </w:rPr>
            </w:pPr>
          </w:p>
        </w:tc>
        <w:tc>
          <w:tcPr>
            <w:tcW w:w="500" w:type="dxa"/>
            <w:vAlign w:val="bottom"/>
            <w:tcBorders>
              <w:right w:val="single" w:sz="8" w:color="auto"/>
            </w:tcBorders>
            <w:shd w:val="clear" w:color="auto" w:fill="2AD2C9"/>
          </w:tcPr>
          <w:p>
            <w:pPr>
              <w:spacing w:after="0"/>
              <w:rPr>
                <w:sz w:val="13"/>
                <w:szCs w:val="13"/>
                <w:color w:val="auto"/>
              </w:rPr>
            </w:pPr>
          </w:p>
        </w:tc>
        <w:tc>
          <w:tcPr>
            <w:tcW w:w="1680" w:type="dxa"/>
            <w:vAlign w:val="bottom"/>
            <w:shd w:val="clear" w:color="auto" w:fill="2AD2C9"/>
          </w:tcPr>
          <w:p>
            <w:pPr>
              <w:spacing w:after="0"/>
              <w:rPr>
                <w:sz w:val="13"/>
                <w:szCs w:val="13"/>
                <w:color w:val="auto"/>
              </w:rPr>
            </w:pPr>
          </w:p>
        </w:tc>
        <w:tc>
          <w:tcPr>
            <w:tcW w:w="800" w:type="dxa"/>
            <w:vAlign w:val="bottom"/>
            <w:shd w:val="clear" w:color="auto" w:fill="2AD2C9"/>
          </w:tcPr>
          <w:p>
            <w:pPr>
              <w:jc w:val="center"/>
              <w:ind w:right="93"/>
              <w:spacing w:after="0" w:line="153" w:lineRule="exact"/>
              <w:rPr>
                <w:sz w:val="20"/>
                <w:szCs w:val="20"/>
                <w:color w:val="auto"/>
              </w:rPr>
            </w:pPr>
            <w:r>
              <w:rPr>
                <w:rFonts w:ascii="Calibri" w:cs="Calibri" w:eastAsia="Calibri" w:hAnsi="Calibri"/>
                <w:sz w:val="13"/>
                <w:szCs w:val="13"/>
                <w:b w:val="1"/>
                <w:bCs w:val="1"/>
                <w:color w:val="FFFFFF"/>
              </w:rPr>
              <w:t>Quarter</w:t>
            </w:r>
          </w:p>
        </w:tc>
        <w:tc>
          <w:tcPr>
            <w:tcW w:w="1560" w:type="dxa"/>
            <w:vAlign w:val="bottom"/>
            <w:tcBorders>
              <w:right w:val="single" w:sz="8" w:color="auto"/>
            </w:tcBorders>
            <w:shd w:val="clear" w:color="auto" w:fill="2AD2C9"/>
          </w:tcPr>
          <w:p>
            <w:pPr>
              <w:spacing w:after="0"/>
              <w:rPr>
                <w:sz w:val="13"/>
                <w:szCs w:val="13"/>
                <w:color w:val="auto"/>
              </w:rPr>
            </w:pPr>
          </w:p>
        </w:tc>
        <w:tc>
          <w:tcPr>
            <w:tcW w:w="1420" w:type="dxa"/>
            <w:vAlign w:val="bottom"/>
            <w:shd w:val="clear" w:color="auto" w:fill="2AD2C9"/>
          </w:tcPr>
          <w:p>
            <w:pPr>
              <w:ind w:left="820"/>
              <w:spacing w:after="0" w:line="153" w:lineRule="exact"/>
              <w:rPr>
                <w:sz w:val="20"/>
                <w:szCs w:val="20"/>
                <w:color w:val="auto"/>
              </w:rPr>
            </w:pPr>
            <w:r>
              <w:rPr>
                <w:rFonts w:ascii="Calibri" w:cs="Calibri" w:eastAsia="Calibri" w:hAnsi="Calibri"/>
                <w:sz w:val="13"/>
                <w:szCs w:val="13"/>
                <w:b w:val="1"/>
                <w:bCs w:val="1"/>
                <w:color w:val="FFFFFF"/>
              </w:rPr>
              <w:t>% Change</w:t>
            </w:r>
          </w:p>
        </w:tc>
        <w:tc>
          <w:tcPr>
            <w:tcW w:w="78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380" w:type="dxa"/>
            <w:vAlign w:val="bottom"/>
            <w:tcBorders>
              <w:left w:val="single" w:sz="8" w:color="auto"/>
              <w:bottom w:val="single" w:sz="8" w:color="2AD2C9"/>
            </w:tcBorders>
            <w:shd w:val="clear" w:color="auto" w:fill="2AD2C9"/>
          </w:tcPr>
          <w:p>
            <w:pPr>
              <w:ind w:left="20"/>
              <w:spacing w:after="0"/>
              <w:rPr>
                <w:sz w:val="20"/>
                <w:szCs w:val="20"/>
                <w:color w:val="auto"/>
              </w:rPr>
            </w:pPr>
            <w:r>
              <w:rPr>
                <w:rFonts w:ascii="Calibri" w:cs="Calibri" w:eastAsia="Calibri" w:hAnsi="Calibri"/>
                <w:sz w:val="13"/>
                <w:szCs w:val="13"/>
                <w:color w:val="FFFFFF"/>
              </w:rPr>
              <w:t>(S/ thousand)</w:t>
            </w:r>
          </w:p>
        </w:tc>
        <w:tc>
          <w:tcPr>
            <w:tcW w:w="2120" w:type="dxa"/>
            <w:vAlign w:val="bottom"/>
            <w:tcBorders>
              <w:bottom w:val="single" w:sz="8" w:color="2AD2C9"/>
            </w:tcBorders>
            <w:shd w:val="clear" w:color="auto" w:fill="2AD2C9"/>
          </w:tcPr>
          <w:p>
            <w:pPr>
              <w:spacing w:after="0"/>
              <w:rPr>
                <w:sz w:val="16"/>
                <w:szCs w:val="16"/>
                <w:color w:val="auto"/>
              </w:rPr>
            </w:pPr>
          </w:p>
        </w:tc>
        <w:tc>
          <w:tcPr>
            <w:tcW w:w="500" w:type="dxa"/>
            <w:vAlign w:val="bottom"/>
            <w:tcBorders>
              <w:bottom w:val="single" w:sz="8" w:color="2AD2C9"/>
              <w:right w:val="single" w:sz="8" w:color="auto"/>
            </w:tcBorders>
            <w:shd w:val="clear" w:color="auto" w:fill="2AD2C9"/>
          </w:tcPr>
          <w:p>
            <w:pPr>
              <w:spacing w:after="0"/>
              <w:rPr>
                <w:sz w:val="16"/>
                <w:szCs w:val="16"/>
                <w:color w:val="auto"/>
              </w:rPr>
            </w:pPr>
          </w:p>
        </w:tc>
        <w:tc>
          <w:tcPr>
            <w:tcW w:w="1680" w:type="dxa"/>
            <w:vAlign w:val="bottom"/>
            <w:tcBorders>
              <w:bottom w:val="single" w:sz="8" w:color="2AD2C9"/>
            </w:tcBorders>
            <w:shd w:val="clear" w:color="auto" w:fill="2AD2C9"/>
          </w:tcPr>
          <w:p>
            <w:pPr>
              <w:ind w:left="480"/>
              <w:spacing w:after="0"/>
              <w:rPr>
                <w:sz w:val="20"/>
                <w:szCs w:val="20"/>
                <w:color w:val="auto"/>
              </w:rPr>
            </w:pPr>
            <w:r>
              <w:rPr>
                <w:rFonts w:ascii="Calibri" w:cs="Calibri" w:eastAsia="Calibri" w:hAnsi="Calibri"/>
                <w:sz w:val="13"/>
                <w:szCs w:val="13"/>
                <w:b w:val="1"/>
                <w:bCs w:val="1"/>
                <w:color w:val="FFFFFF"/>
              </w:rPr>
              <w:t>Sep 23</w:t>
            </w:r>
          </w:p>
        </w:tc>
        <w:tc>
          <w:tcPr>
            <w:tcW w:w="800" w:type="dxa"/>
            <w:vAlign w:val="bottom"/>
            <w:tcBorders>
              <w:bottom w:val="single" w:sz="8" w:color="2AD2C9"/>
            </w:tcBorders>
            <w:shd w:val="clear" w:color="auto" w:fill="2AD2C9"/>
          </w:tcPr>
          <w:p>
            <w:pPr>
              <w:jc w:val="center"/>
              <w:ind w:right="93"/>
              <w:spacing w:after="0"/>
              <w:rPr>
                <w:sz w:val="20"/>
                <w:szCs w:val="20"/>
                <w:color w:val="auto"/>
              </w:rPr>
            </w:pPr>
            <w:r>
              <w:rPr>
                <w:rFonts w:ascii="Calibri" w:cs="Calibri" w:eastAsia="Calibri" w:hAnsi="Calibri"/>
                <w:sz w:val="13"/>
                <w:szCs w:val="13"/>
                <w:b w:val="1"/>
                <w:bCs w:val="1"/>
                <w:color w:val="FFFFFF"/>
              </w:rPr>
              <w:t>Jun 24</w:t>
            </w:r>
          </w:p>
        </w:tc>
        <w:tc>
          <w:tcPr>
            <w:tcW w:w="1560" w:type="dxa"/>
            <w:vAlign w:val="bottom"/>
            <w:tcBorders>
              <w:bottom w:val="single" w:sz="8" w:color="2AD2C9"/>
              <w:right w:val="single" w:sz="8" w:color="auto"/>
            </w:tcBorders>
            <w:shd w:val="clear" w:color="auto" w:fill="2AD2C9"/>
          </w:tcPr>
          <w:p>
            <w:pPr>
              <w:ind w:left="680"/>
              <w:spacing w:after="0"/>
              <w:rPr>
                <w:sz w:val="20"/>
                <w:szCs w:val="20"/>
                <w:color w:val="auto"/>
              </w:rPr>
            </w:pPr>
            <w:r>
              <w:rPr>
                <w:rFonts w:ascii="Calibri" w:cs="Calibri" w:eastAsia="Calibri" w:hAnsi="Calibri"/>
                <w:sz w:val="13"/>
                <w:szCs w:val="13"/>
                <w:b w:val="1"/>
                <w:bCs w:val="1"/>
                <w:color w:val="FFFFFF"/>
              </w:rPr>
              <w:t>Sep 24</w:t>
            </w:r>
          </w:p>
        </w:tc>
        <w:tc>
          <w:tcPr>
            <w:tcW w:w="1420" w:type="dxa"/>
            <w:vAlign w:val="bottom"/>
            <w:tcBorders>
              <w:bottom w:val="single" w:sz="8" w:color="2AD2C9"/>
            </w:tcBorders>
            <w:shd w:val="clear" w:color="auto" w:fill="2AD2C9"/>
          </w:tcPr>
          <w:p>
            <w:pPr>
              <w:jc w:val="center"/>
              <w:ind w:right="213"/>
              <w:spacing w:after="0"/>
              <w:rPr>
                <w:sz w:val="20"/>
                <w:szCs w:val="20"/>
                <w:color w:val="auto"/>
              </w:rPr>
            </w:pPr>
            <w:r>
              <w:rPr>
                <w:rFonts w:ascii="Calibri" w:cs="Calibri" w:eastAsia="Calibri" w:hAnsi="Calibri"/>
                <w:sz w:val="13"/>
                <w:szCs w:val="13"/>
                <w:b w:val="1"/>
                <w:bCs w:val="1"/>
                <w:color w:val="FFFFFF"/>
              </w:rPr>
              <w:t>QoQ</w:t>
            </w:r>
          </w:p>
        </w:tc>
        <w:tc>
          <w:tcPr>
            <w:tcW w:w="780" w:type="dxa"/>
            <w:vAlign w:val="bottom"/>
            <w:tcBorders>
              <w:bottom w:val="single" w:sz="8" w:color="2AD2C9"/>
              <w:right w:val="single" w:sz="8" w:color="auto"/>
            </w:tcBorders>
            <w:shd w:val="clear" w:color="auto" w:fill="2AD2C9"/>
          </w:tcPr>
          <w:p>
            <w:pPr>
              <w:jc w:val="center"/>
              <w:ind w:right="233"/>
              <w:spacing w:after="0"/>
              <w:rPr>
                <w:sz w:val="20"/>
                <w:szCs w:val="20"/>
                <w:color w:val="auto"/>
              </w:rPr>
            </w:pPr>
            <w:r>
              <w:rPr>
                <w:rFonts w:ascii="Calibri" w:cs="Calibri" w:eastAsia="Calibri" w:hAnsi="Calibri"/>
                <w:sz w:val="13"/>
                <w:szCs w:val="13"/>
                <w:b w:val="1"/>
                <w:bCs w:val="1"/>
                <w:color w:val="FFFFFF"/>
                <w:w w:val="97"/>
              </w:rPr>
              <w:t>YoY</w:t>
            </w:r>
          </w:p>
        </w:tc>
        <w:tc>
          <w:tcPr>
            <w:tcW w:w="0" w:type="dxa"/>
            <w:vAlign w:val="bottom"/>
          </w:tcPr>
          <w:p>
            <w:pPr>
              <w:spacing w:after="0"/>
              <w:rPr>
                <w:sz w:val="1"/>
                <w:szCs w:val="1"/>
                <w:color w:val="auto"/>
              </w:rPr>
            </w:pPr>
          </w:p>
        </w:tc>
      </w:tr>
      <w:tr>
        <w:trPr>
          <w:trHeight w:val="153"/>
        </w:trPr>
        <w:tc>
          <w:tcPr>
            <w:tcW w:w="2380" w:type="dxa"/>
            <w:vAlign w:val="bottom"/>
            <w:tcBorders>
              <w:top w:val="single" w:sz="8" w:color="auto"/>
              <w:left w:val="single" w:sz="8" w:color="auto"/>
            </w:tcBorders>
          </w:tcPr>
          <w:p>
            <w:pPr>
              <w:ind w:left="20"/>
              <w:spacing w:after="0" w:line="153" w:lineRule="exact"/>
              <w:rPr>
                <w:sz w:val="20"/>
                <w:szCs w:val="20"/>
                <w:color w:val="auto"/>
              </w:rPr>
            </w:pPr>
            <w:r>
              <w:rPr>
                <w:rFonts w:ascii="Calibri" w:cs="Calibri" w:eastAsia="Calibri" w:hAnsi="Calibri"/>
                <w:sz w:val="13"/>
                <w:szCs w:val="13"/>
                <w:color w:val="auto"/>
              </w:rPr>
              <w:t>Capital Stock</w:t>
            </w:r>
          </w:p>
        </w:tc>
        <w:tc>
          <w:tcPr>
            <w:tcW w:w="212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680" w:type="dxa"/>
            <w:vAlign w:val="bottom"/>
            <w:tcBorders>
              <w:top w:val="single" w:sz="8" w:color="auto"/>
            </w:tcBorders>
          </w:tcPr>
          <w:p>
            <w:pPr>
              <w:jc w:val="center"/>
              <w:ind w:right="273"/>
              <w:spacing w:after="0" w:line="153" w:lineRule="exact"/>
              <w:rPr>
                <w:sz w:val="20"/>
                <w:szCs w:val="20"/>
                <w:color w:val="auto"/>
              </w:rPr>
            </w:pPr>
            <w:r>
              <w:rPr>
                <w:rFonts w:ascii="Calibri" w:cs="Calibri" w:eastAsia="Calibri" w:hAnsi="Calibri"/>
                <w:sz w:val="13"/>
                <w:szCs w:val="13"/>
                <w:color w:val="auto"/>
              </w:rPr>
              <w:t>1,840,606</w:t>
            </w:r>
          </w:p>
        </w:tc>
        <w:tc>
          <w:tcPr>
            <w:tcW w:w="800" w:type="dxa"/>
            <w:vAlign w:val="bottom"/>
            <w:tcBorders>
              <w:top w:val="single" w:sz="8" w:color="auto"/>
            </w:tcBorders>
          </w:tcPr>
          <w:p>
            <w:pPr>
              <w:jc w:val="center"/>
              <w:ind w:right="73"/>
              <w:spacing w:after="0" w:line="153" w:lineRule="exact"/>
              <w:rPr>
                <w:sz w:val="20"/>
                <w:szCs w:val="20"/>
                <w:color w:val="auto"/>
              </w:rPr>
            </w:pPr>
            <w:r>
              <w:rPr>
                <w:rFonts w:ascii="Calibri" w:cs="Calibri" w:eastAsia="Calibri" w:hAnsi="Calibri"/>
                <w:sz w:val="13"/>
                <w:szCs w:val="13"/>
                <w:color w:val="auto"/>
              </w:rPr>
              <w:t>1,840,606</w:t>
            </w:r>
          </w:p>
        </w:tc>
        <w:tc>
          <w:tcPr>
            <w:tcW w:w="1560" w:type="dxa"/>
            <w:vAlign w:val="bottom"/>
            <w:tcBorders>
              <w:top w:val="single" w:sz="8" w:color="auto"/>
              <w:right w:val="single" w:sz="8" w:color="auto"/>
            </w:tcBorders>
          </w:tcPr>
          <w:p>
            <w:pPr>
              <w:jc w:val="center"/>
              <w:ind w:left="112"/>
              <w:spacing w:after="0" w:line="153" w:lineRule="exact"/>
              <w:rPr>
                <w:sz w:val="20"/>
                <w:szCs w:val="20"/>
                <w:color w:val="auto"/>
              </w:rPr>
            </w:pPr>
            <w:r>
              <w:rPr>
                <w:rFonts w:ascii="Calibri" w:cs="Calibri" w:eastAsia="Calibri" w:hAnsi="Calibri"/>
                <w:sz w:val="13"/>
                <w:szCs w:val="13"/>
                <w:color w:val="auto"/>
              </w:rPr>
              <w:t>1,840,606</w:t>
            </w:r>
          </w:p>
        </w:tc>
        <w:tc>
          <w:tcPr>
            <w:tcW w:w="1420" w:type="dxa"/>
            <w:vAlign w:val="bottom"/>
            <w:tcBorders>
              <w:top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0.0%</w:t>
            </w:r>
          </w:p>
        </w:tc>
        <w:tc>
          <w:tcPr>
            <w:tcW w:w="780" w:type="dxa"/>
            <w:vAlign w:val="bottom"/>
            <w:tcBorders>
              <w:top w:val="single" w:sz="8" w:color="auto"/>
              <w:right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0.0%</w:t>
            </w: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Reserves</w:t>
            </w:r>
          </w:p>
        </w:tc>
        <w:tc>
          <w:tcPr>
            <w:tcW w:w="21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308,056</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334,650</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334,650</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0.0%</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8.6%</w:t>
            </w: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Accumulated earnings</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669,894</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356,449</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424,627</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19.1%</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-36.6%</w:t>
            </w:r>
          </w:p>
        </w:tc>
        <w:tc>
          <w:tcPr>
            <w:tcW w:w="0" w:type="dxa"/>
            <w:vAlign w:val="bottom"/>
          </w:tcPr>
          <w:p>
            <w:pPr>
              <w:spacing w:after="0"/>
              <w:rPr>
                <w:sz w:val="1"/>
                <w:szCs w:val="1"/>
                <w:color w:val="auto"/>
              </w:rPr>
            </w:pPr>
          </w:p>
        </w:tc>
      </w:tr>
      <w:tr>
        <w:trPr>
          <w:trHeight w:val="175"/>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Loan loss reserves</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163,158</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150,127</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143,193</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-4.6%</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-12.2%</w:t>
            </w: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Perpetual subordinated debt</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53"/>
              <w:spacing w:after="0"/>
              <w:rPr>
                <w:sz w:val="20"/>
                <w:szCs w:val="20"/>
                <w:color w:val="auto"/>
              </w:rPr>
            </w:pPr>
            <w:r>
              <w:rPr>
                <w:rFonts w:ascii="Calibri" w:cs="Calibri" w:eastAsia="Calibri" w:hAnsi="Calibri"/>
                <w:sz w:val="13"/>
                <w:szCs w:val="13"/>
                <w:color w:val="auto"/>
                <w:w w:val="99"/>
              </w:rPr>
              <w:t>-</w:t>
            </w:r>
          </w:p>
        </w:tc>
        <w:tc>
          <w:tcPr>
            <w:tcW w:w="800" w:type="dxa"/>
            <w:vAlign w:val="bottom"/>
          </w:tcPr>
          <w:p>
            <w:pPr>
              <w:jc w:val="center"/>
              <w:ind w:right="93"/>
              <w:spacing w:after="0"/>
              <w:rPr>
                <w:sz w:val="20"/>
                <w:szCs w:val="20"/>
                <w:color w:val="auto"/>
              </w:rPr>
            </w:pPr>
            <w:r>
              <w:rPr>
                <w:rFonts w:ascii="Calibri" w:cs="Calibri" w:eastAsia="Calibri" w:hAnsi="Calibri"/>
                <w:sz w:val="13"/>
                <w:szCs w:val="13"/>
                <w:color w:val="auto"/>
                <w:w w:val="99"/>
              </w:rPr>
              <w:t>-</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w w:val="99"/>
              </w:rPr>
              <w:t>-</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n.a</w:t>
            </w:r>
          </w:p>
        </w:tc>
        <w:tc>
          <w:tcPr>
            <w:tcW w:w="780" w:type="dxa"/>
            <w:vAlign w:val="bottom"/>
            <w:tcBorders>
              <w:right w:val="single" w:sz="8" w:color="auto"/>
            </w:tcBorders>
          </w:tcPr>
          <w:p>
            <w:pPr>
              <w:jc w:val="center"/>
              <w:ind w:right="233"/>
              <w:spacing w:after="0"/>
              <w:rPr>
                <w:sz w:val="20"/>
                <w:szCs w:val="20"/>
                <w:color w:val="auto"/>
              </w:rPr>
            </w:pPr>
            <w:r>
              <w:rPr>
                <w:rFonts w:ascii="Calibri" w:cs="Calibri" w:eastAsia="Calibri" w:hAnsi="Calibri"/>
                <w:sz w:val="13"/>
                <w:szCs w:val="13"/>
                <w:color w:val="auto"/>
              </w:rPr>
              <w:t>n.a.</w:t>
            </w:r>
          </w:p>
        </w:tc>
        <w:tc>
          <w:tcPr>
            <w:tcW w:w="0" w:type="dxa"/>
            <w:vAlign w:val="bottom"/>
          </w:tcPr>
          <w:p>
            <w:pPr>
              <w:spacing w:after="0"/>
              <w:rPr>
                <w:sz w:val="1"/>
                <w:szCs w:val="1"/>
                <w:color w:val="auto"/>
              </w:rPr>
            </w:pPr>
          </w:p>
        </w:tc>
      </w:tr>
      <w:tr>
        <w:trPr>
          <w:trHeight w:val="175"/>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Subordinated debt</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173,000</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167,000</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167,000</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0.0%</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-3.5%</w:t>
            </w: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Unrealized Proft or Losses</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(13,584)</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(600)</w:t>
            </w:r>
          </w:p>
        </w:tc>
        <w:tc>
          <w:tcPr>
            <w:tcW w:w="1560" w:type="dxa"/>
            <w:vAlign w:val="bottom"/>
            <w:tcBorders>
              <w:right w:val="single" w:sz="8" w:color="auto"/>
            </w:tcBorders>
          </w:tcPr>
          <w:p>
            <w:pPr>
              <w:jc w:val="center"/>
              <w:ind w:left="112"/>
              <w:spacing w:after="0"/>
              <w:rPr>
                <w:sz w:val="20"/>
                <w:szCs w:val="20"/>
                <w:color w:val="auto"/>
              </w:rPr>
            </w:pPr>
            <w:r>
              <w:rPr>
                <w:rFonts w:ascii="Calibri" w:cs="Calibri" w:eastAsia="Calibri" w:hAnsi="Calibri"/>
                <w:sz w:val="13"/>
                <w:szCs w:val="13"/>
                <w:color w:val="auto"/>
              </w:rPr>
              <w:t>6,366</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n.a</w:t>
            </w:r>
          </w:p>
        </w:tc>
        <w:tc>
          <w:tcPr>
            <w:tcW w:w="780" w:type="dxa"/>
            <w:vAlign w:val="bottom"/>
            <w:tcBorders>
              <w:right w:val="single" w:sz="8" w:color="auto"/>
            </w:tcBorders>
          </w:tcPr>
          <w:p>
            <w:pPr>
              <w:jc w:val="center"/>
              <w:ind w:right="233"/>
              <w:spacing w:after="0"/>
              <w:rPr>
                <w:sz w:val="20"/>
                <w:szCs w:val="20"/>
                <w:color w:val="auto"/>
              </w:rPr>
            </w:pPr>
            <w:r>
              <w:rPr>
                <w:rFonts w:ascii="Calibri" w:cs="Calibri" w:eastAsia="Calibri" w:hAnsi="Calibri"/>
                <w:sz w:val="13"/>
                <w:szCs w:val="13"/>
                <w:color w:val="auto"/>
              </w:rPr>
              <w:t>n.a.</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3"/>
                <w:szCs w:val="13"/>
                <w:color w:val="auto"/>
              </w:rPr>
              <w:t>Investment in subsidiaries and others, net of unrealized proft and net income in</w:t>
            </w:r>
          </w:p>
        </w:tc>
        <w:tc>
          <w:tcPr>
            <w:tcW w:w="500" w:type="dxa"/>
            <w:vAlign w:val="bottom"/>
            <w:tcBorders>
              <w:right w:val="single" w:sz="8" w:color="auto"/>
            </w:tcBorders>
          </w:tcPr>
          <w:p>
            <w:pPr>
              <w:spacing w:after="0"/>
              <w:rPr>
                <w:sz w:val="15"/>
                <w:szCs w:val="15"/>
                <w:color w:val="auto"/>
              </w:rPr>
            </w:pPr>
          </w:p>
        </w:tc>
        <w:tc>
          <w:tcPr>
            <w:tcW w:w="1680" w:type="dxa"/>
            <w:vAlign w:val="bottom"/>
            <w:vMerge w:val="restart"/>
          </w:tcPr>
          <w:p>
            <w:pPr>
              <w:jc w:val="center"/>
              <w:ind w:right="273"/>
              <w:spacing w:after="0"/>
              <w:rPr>
                <w:sz w:val="20"/>
                <w:szCs w:val="20"/>
                <w:color w:val="auto"/>
              </w:rPr>
            </w:pPr>
            <w:r>
              <w:rPr>
                <w:rFonts w:ascii="Calibri" w:cs="Calibri" w:eastAsia="Calibri" w:hAnsi="Calibri"/>
                <w:sz w:val="13"/>
                <w:szCs w:val="13"/>
                <w:color w:val="auto"/>
              </w:rPr>
              <w:t>(276)</w:t>
            </w:r>
          </w:p>
        </w:tc>
        <w:tc>
          <w:tcPr>
            <w:tcW w:w="800" w:type="dxa"/>
            <w:vAlign w:val="bottom"/>
            <w:vMerge w:val="restart"/>
          </w:tcPr>
          <w:p>
            <w:pPr>
              <w:jc w:val="center"/>
              <w:ind w:right="73"/>
              <w:spacing w:after="0"/>
              <w:rPr>
                <w:sz w:val="20"/>
                <w:szCs w:val="20"/>
                <w:color w:val="auto"/>
              </w:rPr>
            </w:pPr>
            <w:r>
              <w:rPr>
                <w:rFonts w:ascii="Calibri" w:cs="Calibri" w:eastAsia="Calibri" w:hAnsi="Calibri"/>
                <w:sz w:val="13"/>
                <w:szCs w:val="13"/>
                <w:color w:val="auto"/>
              </w:rPr>
              <w:t>(288)</w:t>
            </w:r>
          </w:p>
        </w:tc>
        <w:tc>
          <w:tcPr>
            <w:tcW w:w="1560" w:type="dxa"/>
            <w:vAlign w:val="bottom"/>
            <w:tcBorders>
              <w:right w:val="single" w:sz="8" w:color="auto"/>
            </w:tcBorders>
            <w:vMerge w:val="restart"/>
          </w:tcPr>
          <w:p>
            <w:pPr>
              <w:jc w:val="center"/>
              <w:ind w:left="92"/>
              <w:spacing w:after="0"/>
              <w:rPr>
                <w:sz w:val="20"/>
                <w:szCs w:val="20"/>
                <w:color w:val="auto"/>
              </w:rPr>
            </w:pPr>
            <w:r>
              <w:rPr>
                <w:rFonts w:ascii="Calibri" w:cs="Calibri" w:eastAsia="Calibri" w:hAnsi="Calibri"/>
                <w:sz w:val="13"/>
                <w:szCs w:val="13"/>
                <w:color w:val="auto"/>
              </w:rPr>
              <w:t>(293)</w:t>
            </w:r>
          </w:p>
        </w:tc>
        <w:tc>
          <w:tcPr>
            <w:tcW w:w="1420" w:type="dxa"/>
            <w:vAlign w:val="bottom"/>
            <w:vMerge w:val="restart"/>
          </w:tcPr>
          <w:p>
            <w:pPr>
              <w:jc w:val="center"/>
              <w:ind w:right="213"/>
              <w:spacing w:after="0"/>
              <w:rPr>
                <w:sz w:val="20"/>
                <w:szCs w:val="20"/>
                <w:color w:val="auto"/>
              </w:rPr>
            </w:pPr>
            <w:r>
              <w:rPr>
                <w:rFonts w:ascii="Calibri" w:cs="Calibri" w:eastAsia="Calibri" w:hAnsi="Calibri"/>
                <w:sz w:val="13"/>
                <w:szCs w:val="13"/>
                <w:color w:val="auto"/>
              </w:rPr>
              <w:t>1.8%</w:t>
            </w:r>
          </w:p>
        </w:tc>
        <w:tc>
          <w:tcPr>
            <w:tcW w:w="780" w:type="dxa"/>
            <w:vAlign w:val="bottom"/>
            <w:tcBorders>
              <w:right w:val="single" w:sz="8" w:color="auto"/>
            </w:tcBorders>
            <w:vMerge w:val="restart"/>
          </w:tcPr>
          <w:p>
            <w:pPr>
              <w:jc w:val="center"/>
              <w:ind w:right="213"/>
              <w:spacing w:after="0"/>
              <w:rPr>
                <w:sz w:val="20"/>
                <w:szCs w:val="20"/>
                <w:color w:val="auto"/>
              </w:rPr>
            </w:pPr>
            <w:r>
              <w:rPr>
                <w:rFonts w:ascii="Calibri" w:cs="Calibri" w:eastAsia="Calibri" w:hAnsi="Calibri"/>
                <w:sz w:val="13"/>
                <w:szCs w:val="13"/>
                <w:color w:val="auto"/>
              </w:rPr>
              <w:t>6.1%</w:t>
            </w:r>
          </w:p>
        </w:tc>
        <w:tc>
          <w:tcPr>
            <w:tcW w:w="0" w:type="dxa"/>
            <w:vAlign w:val="bottom"/>
          </w:tcPr>
          <w:p>
            <w:pPr>
              <w:spacing w:after="0"/>
              <w:rPr>
                <w:sz w:val="1"/>
                <w:szCs w:val="1"/>
                <w:color w:val="auto"/>
              </w:rPr>
            </w:pPr>
          </w:p>
        </w:tc>
      </w:tr>
      <w:tr>
        <w:trPr>
          <w:trHeight w:val="81"/>
        </w:trPr>
        <w:tc>
          <w:tcPr>
            <w:tcW w:w="2380" w:type="dxa"/>
            <w:vAlign w:val="bottom"/>
            <w:tcBorders>
              <w:left w:val="single" w:sz="8" w:color="auto"/>
            </w:tcBorders>
            <w:vMerge w:val="restart"/>
          </w:tcPr>
          <w:p>
            <w:pPr>
              <w:ind w:left="180"/>
              <w:spacing w:after="0"/>
              <w:rPr>
                <w:sz w:val="20"/>
                <w:szCs w:val="20"/>
                <w:color w:val="auto"/>
              </w:rPr>
            </w:pPr>
            <w:r>
              <w:rPr>
                <w:rFonts w:ascii="Calibri" w:cs="Calibri" w:eastAsia="Calibri" w:hAnsi="Calibri"/>
                <w:sz w:val="13"/>
                <w:szCs w:val="13"/>
                <w:color w:val="auto"/>
              </w:rPr>
              <w:t>subsidiaries</w:t>
            </w:r>
          </w:p>
        </w:tc>
        <w:tc>
          <w:tcPr>
            <w:tcW w:w="21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tcBorders>
            <w:vMerge w:val="continue"/>
          </w:tcPr>
          <w:p>
            <w:pPr>
              <w:spacing w:after="0"/>
              <w:rPr>
                <w:sz w:val="8"/>
                <w:szCs w:val="8"/>
                <w:color w:val="auto"/>
              </w:rPr>
            </w:pPr>
          </w:p>
        </w:tc>
        <w:tc>
          <w:tcPr>
            <w:tcW w:w="21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Intangibles</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(140,573)</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(123,177)</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(128,688)</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4.5%</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-8.5%</w:t>
            </w:r>
          </w:p>
        </w:tc>
        <w:tc>
          <w:tcPr>
            <w:tcW w:w="0" w:type="dxa"/>
            <w:vAlign w:val="bottom"/>
          </w:tcPr>
          <w:p>
            <w:pPr>
              <w:spacing w:after="0"/>
              <w:rPr>
                <w:sz w:val="1"/>
                <w:szCs w:val="1"/>
                <w:color w:val="auto"/>
              </w:rPr>
            </w:pPr>
          </w:p>
        </w:tc>
      </w:tr>
      <w:tr>
        <w:trPr>
          <w:trHeight w:val="175"/>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Goodwill</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(139,180)</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(139,180)</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(139,180)</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0.0%</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0.0%</w:t>
            </w:r>
          </w:p>
        </w:tc>
        <w:tc>
          <w:tcPr>
            <w:tcW w:w="0" w:type="dxa"/>
            <w:vAlign w:val="bottom"/>
          </w:tcPr>
          <w:p>
            <w:pPr>
              <w:spacing w:after="0"/>
              <w:rPr>
                <w:sz w:val="1"/>
                <w:szCs w:val="1"/>
                <w:color w:val="auto"/>
              </w:rPr>
            </w:pPr>
          </w:p>
        </w:tc>
      </w:tr>
      <w:tr>
        <w:trPr>
          <w:trHeight w:val="22"/>
        </w:trPr>
        <w:tc>
          <w:tcPr>
            <w:tcW w:w="2380" w:type="dxa"/>
            <w:vAlign w:val="bottom"/>
            <w:tcBorders>
              <w:left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Regulatory Capital</w:t>
            </w:r>
          </w:p>
        </w:tc>
        <w:tc>
          <w:tcPr>
            <w:tcW w:w="21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3"/>
              <w:spacing w:after="0"/>
              <w:rPr>
                <w:sz w:val="20"/>
                <w:szCs w:val="20"/>
                <w:color w:val="auto"/>
              </w:rPr>
            </w:pPr>
            <w:r>
              <w:rPr>
                <w:rFonts w:ascii="Calibri" w:cs="Calibri" w:eastAsia="Calibri" w:hAnsi="Calibri"/>
                <w:sz w:val="13"/>
                <w:szCs w:val="13"/>
                <w:b w:val="1"/>
                <w:bCs w:val="1"/>
                <w:color w:val="auto"/>
              </w:rPr>
              <w:t>2,861,101</w:t>
            </w:r>
          </w:p>
        </w:tc>
        <w:tc>
          <w:tcPr>
            <w:tcW w:w="80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3"/>
                <w:szCs w:val="13"/>
                <w:b w:val="1"/>
                <w:bCs w:val="1"/>
                <w:color w:val="auto"/>
              </w:rPr>
              <w:t>2,585,586</w:t>
            </w:r>
          </w:p>
        </w:tc>
        <w:tc>
          <w:tcPr>
            <w:tcW w:w="1560" w:type="dxa"/>
            <w:vAlign w:val="bottom"/>
            <w:tcBorders>
              <w:bottom w:val="single" w:sz="8" w:color="auto"/>
              <w:right w:val="single" w:sz="8" w:color="auto"/>
            </w:tcBorders>
          </w:tcPr>
          <w:p>
            <w:pPr>
              <w:jc w:val="center"/>
              <w:ind w:left="112"/>
              <w:spacing w:after="0"/>
              <w:rPr>
                <w:sz w:val="20"/>
                <w:szCs w:val="20"/>
                <w:color w:val="auto"/>
              </w:rPr>
            </w:pPr>
            <w:r>
              <w:rPr>
                <w:rFonts w:ascii="Calibri" w:cs="Calibri" w:eastAsia="Calibri" w:hAnsi="Calibri"/>
                <w:sz w:val="13"/>
                <w:szCs w:val="13"/>
                <w:b w:val="1"/>
                <w:bCs w:val="1"/>
                <w:color w:val="auto"/>
              </w:rPr>
              <w:t>2,648,281</w:t>
            </w:r>
          </w:p>
        </w:tc>
        <w:tc>
          <w:tcPr>
            <w:tcW w:w="1420" w:type="dxa"/>
            <w:vAlign w:val="bottom"/>
            <w:tcBorders>
              <w:bottom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2.4%</w:t>
            </w:r>
          </w:p>
        </w:tc>
        <w:tc>
          <w:tcPr>
            <w:tcW w:w="780" w:type="dxa"/>
            <w:vAlign w:val="bottom"/>
            <w:tcBorders>
              <w:bottom w:val="single" w:sz="8" w:color="auto"/>
              <w:right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-7.4%</w:t>
            </w:r>
          </w:p>
        </w:tc>
        <w:tc>
          <w:tcPr>
            <w:tcW w:w="0" w:type="dxa"/>
            <w:vAlign w:val="bottom"/>
          </w:tcPr>
          <w:p>
            <w:pPr>
              <w:spacing w:after="0"/>
              <w:rPr>
                <w:sz w:val="1"/>
                <w:szCs w:val="1"/>
                <w:color w:val="auto"/>
              </w:rPr>
            </w:pPr>
          </w:p>
        </w:tc>
      </w:tr>
      <w:tr>
        <w:trPr>
          <w:trHeight w:val="169"/>
        </w:trPr>
        <w:tc>
          <w:tcPr>
            <w:tcW w:w="23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Tier Common Equity (2)</w:t>
            </w:r>
          </w:p>
        </w:tc>
        <w:tc>
          <w:tcPr>
            <w:tcW w:w="21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3"/>
              <w:spacing w:after="0"/>
              <w:rPr>
                <w:sz w:val="20"/>
                <w:szCs w:val="20"/>
                <w:color w:val="auto"/>
              </w:rPr>
            </w:pPr>
            <w:r>
              <w:rPr>
                <w:rFonts w:ascii="Calibri" w:cs="Calibri" w:eastAsia="Calibri" w:hAnsi="Calibri"/>
                <w:sz w:val="13"/>
                <w:szCs w:val="13"/>
                <w:b w:val="1"/>
                <w:bCs w:val="1"/>
                <w:color w:val="auto"/>
              </w:rPr>
              <w:t>2,524,943</w:t>
            </w:r>
          </w:p>
        </w:tc>
        <w:tc>
          <w:tcPr>
            <w:tcW w:w="80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3"/>
                <w:szCs w:val="13"/>
                <w:b w:val="1"/>
                <w:bCs w:val="1"/>
                <w:color w:val="auto"/>
              </w:rPr>
              <w:t>2,268,460</w:t>
            </w:r>
          </w:p>
        </w:tc>
        <w:tc>
          <w:tcPr>
            <w:tcW w:w="1560" w:type="dxa"/>
            <w:vAlign w:val="bottom"/>
            <w:tcBorders>
              <w:bottom w:val="single" w:sz="8" w:color="auto"/>
              <w:right w:val="single" w:sz="8" w:color="auto"/>
            </w:tcBorders>
          </w:tcPr>
          <w:p>
            <w:pPr>
              <w:jc w:val="center"/>
              <w:ind w:left="112"/>
              <w:spacing w:after="0"/>
              <w:rPr>
                <w:sz w:val="20"/>
                <w:szCs w:val="20"/>
                <w:color w:val="auto"/>
              </w:rPr>
            </w:pPr>
            <w:r>
              <w:rPr>
                <w:rFonts w:ascii="Calibri" w:cs="Calibri" w:eastAsia="Calibri" w:hAnsi="Calibri"/>
                <w:sz w:val="13"/>
                <w:szCs w:val="13"/>
                <w:b w:val="1"/>
                <w:bCs w:val="1"/>
                <w:color w:val="auto"/>
              </w:rPr>
              <w:t>2,338,088</w:t>
            </w:r>
          </w:p>
        </w:tc>
        <w:tc>
          <w:tcPr>
            <w:tcW w:w="1420" w:type="dxa"/>
            <w:vAlign w:val="bottom"/>
            <w:tcBorders>
              <w:bottom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3.1%</w:t>
            </w:r>
          </w:p>
        </w:tc>
        <w:tc>
          <w:tcPr>
            <w:tcW w:w="780" w:type="dxa"/>
            <w:vAlign w:val="bottom"/>
            <w:tcBorders>
              <w:bottom w:val="single" w:sz="8" w:color="auto"/>
              <w:right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-7.4%</w:t>
            </w:r>
          </w:p>
        </w:tc>
        <w:tc>
          <w:tcPr>
            <w:tcW w:w="0" w:type="dxa"/>
            <w:vAlign w:val="bottom"/>
          </w:tcPr>
          <w:p>
            <w:pPr>
              <w:spacing w:after="0"/>
              <w:rPr>
                <w:sz w:val="1"/>
                <w:szCs w:val="1"/>
                <w:color w:val="auto"/>
              </w:rPr>
            </w:pPr>
          </w:p>
        </w:tc>
      </w:tr>
      <w:tr>
        <w:trPr>
          <w:trHeight w:val="169"/>
        </w:trPr>
        <w:tc>
          <w:tcPr>
            <w:tcW w:w="23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Regulatory Tier 1 Capital (3)</w:t>
            </w:r>
          </w:p>
        </w:tc>
        <w:tc>
          <w:tcPr>
            <w:tcW w:w="21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3"/>
              <w:spacing w:after="0"/>
              <w:rPr>
                <w:sz w:val="20"/>
                <w:szCs w:val="20"/>
                <w:color w:val="auto"/>
              </w:rPr>
            </w:pPr>
            <w:r>
              <w:rPr>
                <w:rFonts w:ascii="Calibri" w:cs="Calibri" w:eastAsia="Calibri" w:hAnsi="Calibri"/>
                <w:sz w:val="13"/>
                <w:szCs w:val="13"/>
                <w:b w:val="1"/>
                <w:bCs w:val="1"/>
                <w:color w:val="auto"/>
              </w:rPr>
              <w:t>2,524,943</w:t>
            </w:r>
          </w:p>
        </w:tc>
        <w:tc>
          <w:tcPr>
            <w:tcW w:w="80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3"/>
                <w:szCs w:val="13"/>
                <w:b w:val="1"/>
                <w:bCs w:val="1"/>
                <w:color w:val="auto"/>
              </w:rPr>
              <w:t>2,268,460</w:t>
            </w:r>
          </w:p>
        </w:tc>
        <w:tc>
          <w:tcPr>
            <w:tcW w:w="1560" w:type="dxa"/>
            <w:vAlign w:val="bottom"/>
            <w:tcBorders>
              <w:bottom w:val="single" w:sz="8" w:color="auto"/>
              <w:right w:val="single" w:sz="8" w:color="auto"/>
            </w:tcBorders>
          </w:tcPr>
          <w:p>
            <w:pPr>
              <w:jc w:val="center"/>
              <w:ind w:left="112"/>
              <w:spacing w:after="0"/>
              <w:rPr>
                <w:sz w:val="20"/>
                <w:szCs w:val="20"/>
                <w:color w:val="auto"/>
              </w:rPr>
            </w:pPr>
            <w:r>
              <w:rPr>
                <w:rFonts w:ascii="Calibri" w:cs="Calibri" w:eastAsia="Calibri" w:hAnsi="Calibri"/>
                <w:sz w:val="13"/>
                <w:szCs w:val="13"/>
                <w:b w:val="1"/>
                <w:bCs w:val="1"/>
                <w:color w:val="auto"/>
              </w:rPr>
              <w:t>2,338,088</w:t>
            </w:r>
          </w:p>
        </w:tc>
        <w:tc>
          <w:tcPr>
            <w:tcW w:w="1420" w:type="dxa"/>
            <w:vAlign w:val="bottom"/>
            <w:tcBorders>
              <w:bottom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3.1%</w:t>
            </w:r>
          </w:p>
        </w:tc>
        <w:tc>
          <w:tcPr>
            <w:tcW w:w="780" w:type="dxa"/>
            <w:vAlign w:val="bottom"/>
            <w:tcBorders>
              <w:bottom w:val="single" w:sz="8" w:color="auto"/>
              <w:right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-7.4%</w:t>
            </w:r>
          </w:p>
        </w:tc>
        <w:tc>
          <w:tcPr>
            <w:tcW w:w="0" w:type="dxa"/>
            <w:vAlign w:val="bottom"/>
          </w:tcPr>
          <w:p>
            <w:pPr>
              <w:spacing w:after="0"/>
              <w:rPr>
                <w:sz w:val="1"/>
                <w:szCs w:val="1"/>
                <w:color w:val="auto"/>
              </w:rPr>
            </w:pPr>
          </w:p>
        </w:tc>
      </w:tr>
      <w:tr>
        <w:trPr>
          <w:trHeight w:val="169"/>
        </w:trPr>
        <w:tc>
          <w:tcPr>
            <w:tcW w:w="23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Regulatory Tier 2 Capital (4)</w:t>
            </w:r>
          </w:p>
        </w:tc>
        <w:tc>
          <w:tcPr>
            <w:tcW w:w="21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3"/>
              <w:spacing w:after="0"/>
              <w:rPr>
                <w:sz w:val="20"/>
                <w:szCs w:val="20"/>
                <w:color w:val="auto"/>
              </w:rPr>
            </w:pPr>
            <w:r>
              <w:rPr>
                <w:rFonts w:ascii="Calibri" w:cs="Calibri" w:eastAsia="Calibri" w:hAnsi="Calibri"/>
                <w:sz w:val="13"/>
                <w:szCs w:val="13"/>
                <w:b w:val="1"/>
                <w:bCs w:val="1"/>
                <w:color w:val="auto"/>
              </w:rPr>
              <w:t>336,158</w:t>
            </w:r>
          </w:p>
        </w:tc>
        <w:tc>
          <w:tcPr>
            <w:tcW w:w="80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3"/>
                <w:szCs w:val="13"/>
                <w:b w:val="1"/>
                <w:bCs w:val="1"/>
                <w:color w:val="auto"/>
              </w:rPr>
              <w:t>317,127</w:t>
            </w:r>
          </w:p>
        </w:tc>
        <w:tc>
          <w:tcPr>
            <w:tcW w:w="1560" w:type="dxa"/>
            <w:vAlign w:val="bottom"/>
            <w:tcBorders>
              <w:bottom w:val="single" w:sz="8" w:color="auto"/>
              <w:right w:val="single" w:sz="8" w:color="auto"/>
            </w:tcBorders>
          </w:tcPr>
          <w:p>
            <w:pPr>
              <w:jc w:val="center"/>
              <w:ind w:left="92"/>
              <w:spacing w:after="0"/>
              <w:rPr>
                <w:sz w:val="20"/>
                <w:szCs w:val="20"/>
                <w:color w:val="auto"/>
              </w:rPr>
            </w:pPr>
            <w:r>
              <w:rPr>
                <w:rFonts w:ascii="Calibri" w:cs="Calibri" w:eastAsia="Calibri" w:hAnsi="Calibri"/>
                <w:sz w:val="13"/>
                <w:szCs w:val="13"/>
                <w:b w:val="1"/>
                <w:bCs w:val="1"/>
                <w:color w:val="auto"/>
              </w:rPr>
              <w:t>310,193</w:t>
            </w:r>
          </w:p>
        </w:tc>
        <w:tc>
          <w:tcPr>
            <w:tcW w:w="1420" w:type="dxa"/>
            <w:vAlign w:val="bottom"/>
            <w:tcBorders>
              <w:bottom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-2.2%</w:t>
            </w:r>
          </w:p>
        </w:tc>
        <w:tc>
          <w:tcPr>
            <w:tcW w:w="780" w:type="dxa"/>
            <w:vAlign w:val="bottom"/>
            <w:tcBorders>
              <w:bottom w:val="single" w:sz="8" w:color="auto"/>
              <w:right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-7.7%</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80" w:type="dxa"/>
            <w:vAlign w:val="bottom"/>
            <w:tcBorders>
              <w:left w:val="single" w:sz="8" w:color="auto"/>
            </w:tcBorders>
            <w:shd w:val="clear" w:color="auto" w:fill="2AD2C9"/>
          </w:tcPr>
          <w:p>
            <w:pPr>
              <w:ind w:left="20"/>
              <w:spacing w:after="0" w:line="153" w:lineRule="exact"/>
              <w:rPr>
                <w:sz w:val="20"/>
                <w:szCs w:val="20"/>
                <w:color w:val="auto"/>
              </w:rPr>
            </w:pPr>
            <w:r>
              <w:rPr>
                <w:rFonts w:ascii="Calibri" w:cs="Calibri" w:eastAsia="Calibri" w:hAnsi="Calibri"/>
                <w:sz w:val="13"/>
                <w:szCs w:val="13"/>
                <w:b w:val="1"/>
                <w:bCs w:val="1"/>
                <w:color w:val="FFFFFF"/>
              </w:rPr>
              <w:t>Total risk-weighted assets</w:t>
            </w:r>
          </w:p>
        </w:tc>
        <w:tc>
          <w:tcPr>
            <w:tcW w:w="2120" w:type="dxa"/>
            <w:vAlign w:val="bottom"/>
            <w:shd w:val="clear" w:color="auto" w:fill="2AD2C9"/>
          </w:tcPr>
          <w:p>
            <w:pPr>
              <w:spacing w:after="0"/>
              <w:rPr>
                <w:sz w:val="13"/>
                <w:szCs w:val="13"/>
                <w:color w:val="auto"/>
              </w:rPr>
            </w:pPr>
          </w:p>
        </w:tc>
        <w:tc>
          <w:tcPr>
            <w:tcW w:w="500" w:type="dxa"/>
            <w:vAlign w:val="bottom"/>
            <w:tcBorders>
              <w:right w:val="single" w:sz="8" w:color="auto"/>
            </w:tcBorders>
            <w:shd w:val="clear" w:color="auto" w:fill="2AD2C9"/>
          </w:tcPr>
          <w:p>
            <w:pPr>
              <w:spacing w:after="0"/>
              <w:rPr>
                <w:sz w:val="13"/>
                <w:szCs w:val="13"/>
                <w:color w:val="auto"/>
              </w:rPr>
            </w:pPr>
          </w:p>
        </w:tc>
        <w:tc>
          <w:tcPr>
            <w:tcW w:w="1680" w:type="dxa"/>
            <w:vAlign w:val="bottom"/>
            <w:shd w:val="clear" w:color="auto" w:fill="2AD2C9"/>
          </w:tcPr>
          <w:p>
            <w:pPr>
              <w:spacing w:after="0"/>
              <w:rPr>
                <w:sz w:val="13"/>
                <w:szCs w:val="13"/>
                <w:color w:val="auto"/>
              </w:rPr>
            </w:pPr>
          </w:p>
        </w:tc>
        <w:tc>
          <w:tcPr>
            <w:tcW w:w="800" w:type="dxa"/>
            <w:vAlign w:val="bottom"/>
            <w:shd w:val="clear" w:color="auto" w:fill="2AD2C9"/>
          </w:tcPr>
          <w:p>
            <w:pPr>
              <w:jc w:val="center"/>
              <w:ind w:right="93"/>
              <w:spacing w:after="0" w:line="153" w:lineRule="exact"/>
              <w:rPr>
                <w:sz w:val="20"/>
                <w:szCs w:val="20"/>
                <w:color w:val="auto"/>
              </w:rPr>
            </w:pPr>
            <w:r>
              <w:rPr>
                <w:rFonts w:ascii="Calibri" w:cs="Calibri" w:eastAsia="Calibri" w:hAnsi="Calibri"/>
                <w:sz w:val="13"/>
                <w:szCs w:val="13"/>
                <w:b w:val="1"/>
                <w:bCs w:val="1"/>
                <w:color w:val="FFFFFF"/>
              </w:rPr>
              <w:t>Quarter</w:t>
            </w:r>
          </w:p>
        </w:tc>
        <w:tc>
          <w:tcPr>
            <w:tcW w:w="1560" w:type="dxa"/>
            <w:vAlign w:val="bottom"/>
            <w:tcBorders>
              <w:right w:val="single" w:sz="8" w:color="auto"/>
            </w:tcBorders>
            <w:shd w:val="clear" w:color="auto" w:fill="2AD2C9"/>
          </w:tcPr>
          <w:p>
            <w:pPr>
              <w:spacing w:after="0"/>
              <w:rPr>
                <w:sz w:val="13"/>
                <w:szCs w:val="13"/>
                <w:color w:val="auto"/>
              </w:rPr>
            </w:pPr>
          </w:p>
        </w:tc>
        <w:tc>
          <w:tcPr>
            <w:tcW w:w="1420" w:type="dxa"/>
            <w:vAlign w:val="bottom"/>
            <w:shd w:val="clear" w:color="auto" w:fill="2AD2C9"/>
          </w:tcPr>
          <w:p>
            <w:pPr>
              <w:ind w:left="820"/>
              <w:spacing w:after="0" w:line="153" w:lineRule="exact"/>
              <w:rPr>
                <w:sz w:val="20"/>
                <w:szCs w:val="20"/>
                <w:color w:val="auto"/>
              </w:rPr>
            </w:pPr>
            <w:r>
              <w:rPr>
                <w:rFonts w:ascii="Calibri" w:cs="Calibri" w:eastAsia="Calibri" w:hAnsi="Calibri"/>
                <w:sz w:val="13"/>
                <w:szCs w:val="13"/>
                <w:b w:val="1"/>
                <w:bCs w:val="1"/>
                <w:color w:val="FFFFFF"/>
              </w:rPr>
              <w:t>% change</w:t>
            </w:r>
          </w:p>
        </w:tc>
        <w:tc>
          <w:tcPr>
            <w:tcW w:w="78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left w:val="single" w:sz="8" w:color="auto"/>
              <w:bottom w:val="single" w:sz="8" w:color="2AD2C9"/>
            </w:tcBorders>
            <w:shd w:val="clear" w:color="auto" w:fill="2AD2C9"/>
          </w:tcPr>
          <w:p>
            <w:pPr>
              <w:ind w:left="20"/>
              <w:spacing w:after="0"/>
              <w:rPr>
                <w:sz w:val="20"/>
                <w:szCs w:val="20"/>
                <w:color w:val="auto"/>
              </w:rPr>
            </w:pPr>
            <w:r>
              <w:rPr>
                <w:rFonts w:ascii="Calibri" w:cs="Calibri" w:eastAsia="Calibri" w:hAnsi="Calibri"/>
                <w:sz w:val="13"/>
                <w:szCs w:val="13"/>
                <w:color w:val="FFFFFF"/>
              </w:rPr>
              <w:t>(S/ thousand)</w:t>
            </w:r>
          </w:p>
        </w:tc>
        <w:tc>
          <w:tcPr>
            <w:tcW w:w="2120" w:type="dxa"/>
            <w:vAlign w:val="bottom"/>
            <w:tcBorders>
              <w:bottom w:val="single" w:sz="8" w:color="2AD2C9"/>
            </w:tcBorders>
            <w:shd w:val="clear" w:color="auto" w:fill="2AD2C9"/>
          </w:tcPr>
          <w:p>
            <w:pPr>
              <w:spacing w:after="0"/>
              <w:rPr>
                <w:sz w:val="17"/>
                <w:szCs w:val="17"/>
                <w:color w:val="auto"/>
              </w:rPr>
            </w:pPr>
          </w:p>
        </w:tc>
        <w:tc>
          <w:tcPr>
            <w:tcW w:w="500" w:type="dxa"/>
            <w:vAlign w:val="bottom"/>
            <w:tcBorders>
              <w:bottom w:val="single" w:sz="8" w:color="2AD2C9"/>
              <w:right w:val="single" w:sz="8" w:color="auto"/>
            </w:tcBorders>
            <w:shd w:val="clear" w:color="auto" w:fill="2AD2C9"/>
          </w:tcPr>
          <w:p>
            <w:pPr>
              <w:spacing w:after="0"/>
              <w:rPr>
                <w:sz w:val="17"/>
                <w:szCs w:val="17"/>
                <w:color w:val="auto"/>
              </w:rPr>
            </w:pPr>
          </w:p>
        </w:tc>
        <w:tc>
          <w:tcPr>
            <w:tcW w:w="1680" w:type="dxa"/>
            <w:vAlign w:val="bottom"/>
            <w:tcBorders>
              <w:bottom w:val="single" w:sz="8" w:color="2AD2C9"/>
            </w:tcBorders>
            <w:shd w:val="clear" w:color="auto" w:fill="2AD2C9"/>
          </w:tcPr>
          <w:p>
            <w:pPr>
              <w:ind w:left="480"/>
              <w:spacing w:after="0"/>
              <w:rPr>
                <w:sz w:val="20"/>
                <w:szCs w:val="20"/>
                <w:color w:val="auto"/>
              </w:rPr>
            </w:pPr>
            <w:r>
              <w:rPr>
                <w:rFonts w:ascii="Calibri" w:cs="Calibri" w:eastAsia="Calibri" w:hAnsi="Calibri"/>
                <w:sz w:val="13"/>
                <w:szCs w:val="13"/>
                <w:b w:val="1"/>
                <w:bCs w:val="1"/>
                <w:color w:val="FFFFFF"/>
              </w:rPr>
              <w:t>Sep 23</w:t>
            </w:r>
          </w:p>
        </w:tc>
        <w:tc>
          <w:tcPr>
            <w:tcW w:w="800" w:type="dxa"/>
            <w:vAlign w:val="bottom"/>
            <w:tcBorders>
              <w:bottom w:val="single" w:sz="8" w:color="2AD2C9"/>
            </w:tcBorders>
            <w:shd w:val="clear" w:color="auto" w:fill="2AD2C9"/>
          </w:tcPr>
          <w:p>
            <w:pPr>
              <w:jc w:val="center"/>
              <w:ind w:right="93"/>
              <w:spacing w:after="0"/>
              <w:rPr>
                <w:sz w:val="20"/>
                <w:szCs w:val="20"/>
                <w:color w:val="auto"/>
              </w:rPr>
            </w:pPr>
            <w:r>
              <w:rPr>
                <w:rFonts w:ascii="Calibri" w:cs="Calibri" w:eastAsia="Calibri" w:hAnsi="Calibri"/>
                <w:sz w:val="13"/>
                <w:szCs w:val="13"/>
                <w:b w:val="1"/>
                <w:bCs w:val="1"/>
                <w:color w:val="FFFFFF"/>
              </w:rPr>
              <w:t>Jun 24</w:t>
            </w:r>
          </w:p>
        </w:tc>
        <w:tc>
          <w:tcPr>
            <w:tcW w:w="1560" w:type="dxa"/>
            <w:vAlign w:val="bottom"/>
            <w:tcBorders>
              <w:bottom w:val="single" w:sz="8" w:color="2AD2C9"/>
              <w:right w:val="single" w:sz="8" w:color="auto"/>
            </w:tcBorders>
            <w:shd w:val="clear" w:color="auto" w:fill="2AD2C9"/>
          </w:tcPr>
          <w:p>
            <w:pPr>
              <w:ind w:left="680"/>
              <w:spacing w:after="0"/>
              <w:rPr>
                <w:sz w:val="20"/>
                <w:szCs w:val="20"/>
                <w:color w:val="auto"/>
              </w:rPr>
            </w:pPr>
            <w:r>
              <w:rPr>
                <w:rFonts w:ascii="Calibri" w:cs="Calibri" w:eastAsia="Calibri" w:hAnsi="Calibri"/>
                <w:sz w:val="13"/>
                <w:szCs w:val="13"/>
                <w:b w:val="1"/>
                <w:bCs w:val="1"/>
                <w:color w:val="FFFFFF"/>
              </w:rPr>
              <w:t>Sep 24</w:t>
            </w:r>
          </w:p>
        </w:tc>
        <w:tc>
          <w:tcPr>
            <w:tcW w:w="1420" w:type="dxa"/>
            <w:vAlign w:val="bottom"/>
            <w:tcBorders>
              <w:bottom w:val="single" w:sz="8" w:color="2AD2C9"/>
            </w:tcBorders>
            <w:shd w:val="clear" w:color="auto" w:fill="2AD2C9"/>
          </w:tcPr>
          <w:p>
            <w:pPr>
              <w:jc w:val="center"/>
              <w:ind w:right="213"/>
              <w:spacing w:after="0"/>
              <w:rPr>
                <w:sz w:val="20"/>
                <w:szCs w:val="20"/>
                <w:color w:val="auto"/>
              </w:rPr>
            </w:pPr>
            <w:r>
              <w:rPr>
                <w:rFonts w:ascii="Calibri" w:cs="Calibri" w:eastAsia="Calibri" w:hAnsi="Calibri"/>
                <w:sz w:val="13"/>
                <w:szCs w:val="13"/>
                <w:b w:val="1"/>
                <w:bCs w:val="1"/>
                <w:color w:val="FFFFFF"/>
              </w:rPr>
              <w:t>QoQ</w:t>
            </w:r>
          </w:p>
        </w:tc>
        <w:tc>
          <w:tcPr>
            <w:tcW w:w="780" w:type="dxa"/>
            <w:vAlign w:val="bottom"/>
            <w:tcBorders>
              <w:bottom w:val="single" w:sz="8" w:color="2AD2C9"/>
              <w:right w:val="single" w:sz="8" w:color="auto"/>
            </w:tcBorders>
            <w:shd w:val="clear" w:color="auto" w:fill="2AD2C9"/>
          </w:tcPr>
          <w:p>
            <w:pPr>
              <w:jc w:val="center"/>
              <w:ind w:right="233"/>
              <w:spacing w:after="0"/>
              <w:rPr>
                <w:sz w:val="20"/>
                <w:szCs w:val="20"/>
                <w:color w:val="auto"/>
              </w:rPr>
            </w:pPr>
            <w:r>
              <w:rPr>
                <w:rFonts w:ascii="Calibri" w:cs="Calibri" w:eastAsia="Calibri" w:hAnsi="Calibri"/>
                <w:sz w:val="13"/>
                <w:szCs w:val="13"/>
                <w:b w:val="1"/>
                <w:bCs w:val="1"/>
                <w:color w:val="FFFFFF"/>
                <w:w w:val="97"/>
              </w:rPr>
              <w:t>YoY</w:t>
            </w:r>
          </w:p>
        </w:tc>
        <w:tc>
          <w:tcPr>
            <w:tcW w:w="0" w:type="dxa"/>
            <w:vAlign w:val="bottom"/>
          </w:tcPr>
          <w:p>
            <w:pPr>
              <w:spacing w:after="0"/>
              <w:rPr>
                <w:sz w:val="1"/>
                <w:szCs w:val="1"/>
                <w:color w:val="auto"/>
              </w:rPr>
            </w:pPr>
          </w:p>
        </w:tc>
      </w:tr>
      <w:tr>
        <w:trPr>
          <w:trHeight w:val="153"/>
        </w:trPr>
        <w:tc>
          <w:tcPr>
            <w:tcW w:w="2380" w:type="dxa"/>
            <w:vAlign w:val="bottom"/>
            <w:tcBorders>
              <w:top w:val="single" w:sz="8" w:color="auto"/>
              <w:left w:val="single" w:sz="8" w:color="auto"/>
            </w:tcBorders>
          </w:tcPr>
          <w:p>
            <w:pPr>
              <w:ind w:left="20"/>
              <w:spacing w:after="0" w:line="153" w:lineRule="exact"/>
              <w:rPr>
                <w:sz w:val="20"/>
                <w:szCs w:val="20"/>
                <w:color w:val="auto"/>
              </w:rPr>
            </w:pPr>
            <w:r>
              <w:rPr>
                <w:rFonts w:ascii="Calibri" w:cs="Calibri" w:eastAsia="Calibri" w:hAnsi="Calibri"/>
                <w:sz w:val="13"/>
                <w:szCs w:val="13"/>
                <w:color w:val="auto"/>
              </w:rPr>
              <w:t>Market risk-weighted assets</w:t>
            </w:r>
          </w:p>
        </w:tc>
        <w:tc>
          <w:tcPr>
            <w:tcW w:w="212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680" w:type="dxa"/>
            <w:vAlign w:val="bottom"/>
            <w:tcBorders>
              <w:top w:val="single" w:sz="8" w:color="auto"/>
            </w:tcBorders>
          </w:tcPr>
          <w:p>
            <w:pPr>
              <w:jc w:val="center"/>
              <w:ind w:right="273"/>
              <w:spacing w:after="0" w:line="153" w:lineRule="exact"/>
              <w:rPr>
                <w:sz w:val="20"/>
                <w:szCs w:val="20"/>
                <w:color w:val="auto"/>
              </w:rPr>
            </w:pPr>
            <w:r>
              <w:rPr>
                <w:rFonts w:ascii="Calibri" w:cs="Calibri" w:eastAsia="Calibri" w:hAnsi="Calibri"/>
                <w:sz w:val="13"/>
                <w:szCs w:val="13"/>
                <w:color w:val="auto"/>
              </w:rPr>
              <w:t>163,853</w:t>
            </w:r>
          </w:p>
        </w:tc>
        <w:tc>
          <w:tcPr>
            <w:tcW w:w="800" w:type="dxa"/>
            <w:vAlign w:val="bottom"/>
            <w:tcBorders>
              <w:top w:val="single" w:sz="8" w:color="auto"/>
            </w:tcBorders>
          </w:tcPr>
          <w:p>
            <w:pPr>
              <w:jc w:val="center"/>
              <w:ind w:right="73"/>
              <w:spacing w:after="0" w:line="153" w:lineRule="exact"/>
              <w:rPr>
                <w:sz w:val="20"/>
                <w:szCs w:val="20"/>
                <w:color w:val="auto"/>
              </w:rPr>
            </w:pPr>
            <w:r>
              <w:rPr>
                <w:rFonts w:ascii="Calibri" w:cs="Calibri" w:eastAsia="Calibri" w:hAnsi="Calibri"/>
                <w:sz w:val="13"/>
                <w:szCs w:val="13"/>
                <w:color w:val="auto"/>
              </w:rPr>
              <w:t>249,120</w:t>
            </w:r>
          </w:p>
        </w:tc>
        <w:tc>
          <w:tcPr>
            <w:tcW w:w="1560" w:type="dxa"/>
            <w:vAlign w:val="bottom"/>
            <w:tcBorders>
              <w:top w:val="single" w:sz="8" w:color="auto"/>
              <w:right w:val="single" w:sz="8" w:color="auto"/>
            </w:tcBorders>
          </w:tcPr>
          <w:p>
            <w:pPr>
              <w:jc w:val="center"/>
              <w:ind w:left="92"/>
              <w:spacing w:after="0" w:line="153" w:lineRule="exact"/>
              <w:rPr>
                <w:sz w:val="20"/>
                <w:szCs w:val="20"/>
                <w:color w:val="auto"/>
              </w:rPr>
            </w:pPr>
            <w:r>
              <w:rPr>
                <w:rFonts w:ascii="Calibri" w:cs="Calibri" w:eastAsia="Calibri" w:hAnsi="Calibri"/>
                <w:sz w:val="13"/>
                <w:szCs w:val="13"/>
                <w:color w:val="auto"/>
              </w:rPr>
              <w:t>238,117</w:t>
            </w:r>
          </w:p>
        </w:tc>
        <w:tc>
          <w:tcPr>
            <w:tcW w:w="1420" w:type="dxa"/>
            <w:vAlign w:val="bottom"/>
            <w:tcBorders>
              <w:top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-4.4%</w:t>
            </w:r>
          </w:p>
        </w:tc>
        <w:tc>
          <w:tcPr>
            <w:tcW w:w="780" w:type="dxa"/>
            <w:vAlign w:val="bottom"/>
            <w:tcBorders>
              <w:top w:val="single" w:sz="8" w:color="auto"/>
              <w:right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45.3%</w:t>
            </w: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Credit risk-weighted assets</w:t>
            </w:r>
          </w:p>
        </w:tc>
        <w:tc>
          <w:tcPr>
            <w:tcW w:w="21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12,799,766</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11,811,650</w:t>
            </w:r>
          </w:p>
        </w:tc>
        <w:tc>
          <w:tcPr>
            <w:tcW w:w="1560" w:type="dxa"/>
            <w:vAlign w:val="bottom"/>
            <w:tcBorders>
              <w:right w:val="single" w:sz="8" w:color="auto"/>
            </w:tcBorders>
          </w:tcPr>
          <w:p>
            <w:pPr>
              <w:jc w:val="center"/>
              <w:ind w:left="112"/>
              <w:spacing w:after="0"/>
              <w:rPr>
                <w:sz w:val="20"/>
                <w:szCs w:val="20"/>
                <w:color w:val="auto"/>
              </w:rPr>
            </w:pPr>
            <w:r>
              <w:rPr>
                <w:rFonts w:ascii="Calibri" w:cs="Calibri" w:eastAsia="Calibri" w:hAnsi="Calibri"/>
                <w:sz w:val="13"/>
                <w:szCs w:val="13"/>
                <w:color w:val="auto"/>
              </w:rPr>
              <w:t>11,263,844</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-4.6%</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-12.0%</w:t>
            </w: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Operatonal risk-weighted assets</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1,522,681</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1,584,653</w:t>
            </w:r>
          </w:p>
        </w:tc>
        <w:tc>
          <w:tcPr>
            <w:tcW w:w="1560" w:type="dxa"/>
            <w:vAlign w:val="bottom"/>
            <w:tcBorders>
              <w:right w:val="single" w:sz="8" w:color="auto"/>
            </w:tcBorders>
          </w:tcPr>
          <w:p>
            <w:pPr>
              <w:jc w:val="center"/>
              <w:ind w:left="112"/>
              <w:spacing w:after="0"/>
              <w:rPr>
                <w:sz w:val="20"/>
                <w:szCs w:val="20"/>
                <w:color w:val="auto"/>
              </w:rPr>
            </w:pPr>
            <w:r>
              <w:rPr>
                <w:rFonts w:ascii="Calibri" w:cs="Calibri" w:eastAsia="Calibri" w:hAnsi="Calibri"/>
                <w:sz w:val="13"/>
                <w:szCs w:val="13"/>
                <w:color w:val="auto"/>
              </w:rPr>
              <w:t>1,594,338</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0.6%</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4.7%</w:t>
            </w:r>
          </w:p>
        </w:tc>
        <w:tc>
          <w:tcPr>
            <w:tcW w:w="0" w:type="dxa"/>
            <w:vAlign w:val="bottom"/>
          </w:tcPr>
          <w:p>
            <w:pPr>
              <w:spacing w:after="0"/>
              <w:rPr>
                <w:sz w:val="1"/>
                <w:szCs w:val="1"/>
                <w:color w:val="auto"/>
              </w:rPr>
            </w:pPr>
          </w:p>
        </w:tc>
      </w:tr>
      <w:tr>
        <w:trPr>
          <w:trHeight w:val="22"/>
        </w:trPr>
        <w:tc>
          <w:tcPr>
            <w:tcW w:w="2380" w:type="dxa"/>
            <w:vAlign w:val="bottom"/>
            <w:tcBorders>
              <w:left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w:t>
            </w:r>
          </w:p>
        </w:tc>
        <w:tc>
          <w:tcPr>
            <w:tcW w:w="21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3"/>
              <w:spacing w:after="0"/>
              <w:rPr>
                <w:sz w:val="20"/>
                <w:szCs w:val="20"/>
                <w:color w:val="auto"/>
              </w:rPr>
            </w:pPr>
            <w:r>
              <w:rPr>
                <w:rFonts w:ascii="Calibri" w:cs="Calibri" w:eastAsia="Calibri" w:hAnsi="Calibri"/>
                <w:sz w:val="13"/>
                <w:szCs w:val="13"/>
                <w:b w:val="1"/>
                <w:bCs w:val="1"/>
                <w:color w:val="auto"/>
              </w:rPr>
              <w:t>14,486,300</w:t>
            </w:r>
          </w:p>
        </w:tc>
        <w:tc>
          <w:tcPr>
            <w:tcW w:w="80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3"/>
                <w:szCs w:val="13"/>
                <w:b w:val="1"/>
                <w:bCs w:val="1"/>
                <w:color w:val="auto"/>
              </w:rPr>
              <w:t>13,645,422</w:t>
            </w:r>
          </w:p>
        </w:tc>
        <w:tc>
          <w:tcPr>
            <w:tcW w:w="1560" w:type="dxa"/>
            <w:vAlign w:val="bottom"/>
            <w:tcBorders>
              <w:bottom w:val="single" w:sz="8" w:color="auto"/>
              <w:right w:val="single" w:sz="8" w:color="auto"/>
            </w:tcBorders>
          </w:tcPr>
          <w:p>
            <w:pPr>
              <w:jc w:val="center"/>
              <w:ind w:left="112"/>
              <w:spacing w:after="0"/>
              <w:rPr>
                <w:sz w:val="20"/>
                <w:szCs w:val="20"/>
                <w:color w:val="auto"/>
              </w:rPr>
            </w:pPr>
            <w:r>
              <w:rPr>
                <w:rFonts w:ascii="Calibri" w:cs="Calibri" w:eastAsia="Calibri" w:hAnsi="Calibri"/>
                <w:sz w:val="13"/>
                <w:szCs w:val="13"/>
                <w:b w:val="1"/>
                <w:bCs w:val="1"/>
                <w:color w:val="auto"/>
              </w:rPr>
              <w:t>13,096,299</w:t>
            </w:r>
          </w:p>
        </w:tc>
        <w:tc>
          <w:tcPr>
            <w:tcW w:w="1420" w:type="dxa"/>
            <w:vAlign w:val="bottom"/>
            <w:tcBorders>
              <w:bottom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-4.0%</w:t>
            </w:r>
          </w:p>
        </w:tc>
        <w:tc>
          <w:tcPr>
            <w:tcW w:w="780" w:type="dxa"/>
            <w:vAlign w:val="bottom"/>
            <w:tcBorders>
              <w:bottom w:val="single" w:sz="8" w:color="auto"/>
              <w:right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-9.6%</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80" w:type="dxa"/>
            <w:vAlign w:val="bottom"/>
            <w:tcBorders>
              <w:left w:val="single" w:sz="8" w:color="auto"/>
            </w:tcBorders>
            <w:shd w:val="clear" w:color="auto" w:fill="2AD2C9"/>
          </w:tcPr>
          <w:p>
            <w:pPr>
              <w:ind w:left="20"/>
              <w:spacing w:after="0" w:line="153" w:lineRule="exact"/>
              <w:rPr>
                <w:sz w:val="20"/>
                <w:szCs w:val="20"/>
                <w:color w:val="auto"/>
              </w:rPr>
            </w:pPr>
            <w:r>
              <w:rPr>
                <w:rFonts w:ascii="Calibri" w:cs="Calibri" w:eastAsia="Calibri" w:hAnsi="Calibri"/>
                <w:sz w:val="13"/>
                <w:szCs w:val="13"/>
                <w:b w:val="1"/>
                <w:bCs w:val="1"/>
                <w:color w:val="FFFFFF"/>
              </w:rPr>
              <w:t>Capital requirement</w:t>
            </w:r>
          </w:p>
        </w:tc>
        <w:tc>
          <w:tcPr>
            <w:tcW w:w="2120" w:type="dxa"/>
            <w:vAlign w:val="bottom"/>
            <w:shd w:val="clear" w:color="auto" w:fill="2AD2C9"/>
          </w:tcPr>
          <w:p>
            <w:pPr>
              <w:spacing w:after="0"/>
              <w:rPr>
                <w:sz w:val="13"/>
                <w:szCs w:val="13"/>
                <w:color w:val="auto"/>
              </w:rPr>
            </w:pPr>
          </w:p>
        </w:tc>
        <w:tc>
          <w:tcPr>
            <w:tcW w:w="500" w:type="dxa"/>
            <w:vAlign w:val="bottom"/>
            <w:tcBorders>
              <w:right w:val="single" w:sz="8" w:color="auto"/>
            </w:tcBorders>
            <w:shd w:val="clear" w:color="auto" w:fill="2AD2C9"/>
          </w:tcPr>
          <w:p>
            <w:pPr>
              <w:spacing w:after="0"/>
              <w:rPr>
                <w:sz w:val="13"/>
                <w:szCs w:val="13"/>
                <w:color w:val="auto"/>
              </w:rPr>
            </w:pPr>
          </w:p>
        </w:tc>
        <w:tc>
          <w:tcPr>
            <w:tcW w:w="1680" w:type="dxa"/>
            <w:vAlign w:val="bottom"/>
            <w:shd w:val="clear" w:color="auto" w:fill="2AD2C9"/>
          </w:tcPr>
          <w:p>
            <w:pPr>
              <w:spacing w:after="0"/>
              <w:rPr>
                <w:sz w:val="13"/>
                <w:szCs w:val="13"/>
                <w:color w:val="auto"/>
              </w:rPr>
            </w:pPr>
          </w:p>
        </w:tc>
        <w:tc>
          <w:tcPr>
            <w:tcW w:w="800" w:type="dxa"/>
            <w:vAlign w:val="bottom"/>
            <w:shd w:val="clear" w:color="auto" w:fill="2AD2C9"/>
          </w:tcPr>
          <w:p>
            <w:pPr>
              <w:jc w:val="center"/>
              <w:ind w:right="93"/>
              <w:spacing w:after="0" w:line="153" w:lineRule="exact"/>
              <w:rPr>
                <w:sz w:val="20"/>
                <w:szCs w:val="20"/>
                <w:color w:val="auto"/>
              </w:rPr>
            </w:pPr>
            <w:r>
              <w:rPr>
                <w:rFonts w:ascii="Calibri" w:cs="Calibri" w:eastAsia="Calibri" w:hAnsi="Calibri"/>
                <w:sz w:val="13"/>
                <w:szCs w:val="13"/>
                <w:b w:val="1"/>
                <w:bCs w:val="1"/>
                <w:color w:val="FFFFFF"/>
              </w:rPr>
              <w:t>Quarter</w:t>
            </w:r>
          </w:p>
        </w:tc>
        <w:tc>
          <w:tcPr>
            <w:tcW w:w="1560" w:type="dxa"/>
            <w:vAlign w:val="bottom"/>
            <w:tcBorders>
              <w:right w:val="single" w:sz="8" w:color="auto"/>
            </w:tcBorders>
            <w:shd w:val="clear" w:color="auto" w:fill="2AD2C9"/>
          </w:tcPr>
          <w:p>
            <w:pPr>
              <w:spacing w:after="0"/>
              <w:rPr>
                <w:sz w:val="13"/>
                <w:szCs w:val="13"/>
                <w:color w:val="auto"/>
              </w:rPr>
            </w:pPr>
          </w:p>
        </w:tc>
        <w:tc>
          <w:tcPr>
            <w:tcW w:w="1420" w:type="dxa"/>
            <w:vAlign w:val="bottom"/>
            <w:shd w:val="clear" w:color="auto" w:fill="2AD2C9"/>
          </w:tcPr>
          <w:p>
            <w:pPr>
              <w:ind w:left="820"/>
              <w:spacing w:after="0" w:line="153" w:lineRule="exact"/>
              <w:rPr>
                <w:sz w:val="20"/>
                <w:szCs w:val="20"/>
                <w:color w:val="auto"/>
              </w:rPr>
            </w:pPr>
            <w:r>
              <w:rPr>
                <w:rFonts w:ascii="Calibri" w:cs="Calibri" w:eastAsia="Calibri" w:hAnsi="Calibri"/>
                <w:sz w:val="13"/>
                <w:szCs w:val="13"/>
                <w:b w:val="1"/>
                <w:bCs w:val="1"/>
                <w:color w:val="FFFFFF"/>
              </w:rPr>
              <w:t>% change</w:t>
            </w:r>
          </w:p>
        </w:tc>
        <w:tc>
          <w:tcPr>
            <w:tcW w:w="78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left w:val="single" w:sz="8" w:color="auto"/>
              <w:bottom w:val="single" w:sz="8" w:color="2AD2C9"/>
            </w:tcBorders>
            <w:shd w:val="clear" w:color="auto" w:fill="2AD2C9"/>
          </w:tcPr>
          <w:p>
            <w:pPr>
              <w:ind w:left="20"/>
              <w:spacing w:after="0"/>
              <w:rPr>
                <w:sz w:val="20"/>
                <w:szCs w:val="20"/>
                <w:color w:val="auto"/>
              </w:rPr>
            </w:pPr>
            <w:r>
              <w:rPr>
                <w:rFonts w:ascii="Calibri" w:cs="Calibri" w:eastAsia="Calibri" w:hAnsi="Calibri"/>
                <w:sz w:val="13"/>
                <w:szCs w:val="13"/>
                <w:color w:val="FFFFFF"/>
              </w:rPr>
              <w:t>(S/ thousand)</w:t>
            </w:r>
          </w:p>
        </w:tc>
        <w:tc>
          <w:tcPr>
            <w:tcW w:w="2120" w:type="dxa"/>
            <w:vAlign w:val="bottom"/>
            <w:tcBorders>
              <w:bottom w:val="single" w:sz="8" w:color="2AD2C9"/>
            </w:tcBorders>
            <w:shd w:val="clear" w:color="auto" w:fill="2AD2C9"/>
          </w:tcPr>
          <w:p>
            <w:pPr>
              <w:spacing w:after="0"/>
              <w:rPr>
                <w:sz w:val="17"/>
                <w:szCs w:val="17"/>
                <w:color w:val="auto"/>
              </w:rPr>
            </w:pPr>
          </w:p>
        </w:tc>
        <w:tc>
          <w:tcPr>
            <w:tcW w:w="500" w:type="dxa"/>
            <w:vAlign w:val="bottom"/>
            <w:tcBorders>
              <w:bottom w:val="single" w:sz="8" w:color="2AD2C9"/>
              <w:right w:val="single" w:sz="8" w:color="auto"/>
            </w:tcBorders>
            <w:shd w:val="clear" w:color="auto" w:fill="2AD2C9"/>
          </w:tcPr>
          <w:p>
            <w:pPr>
              <w:spacing w:after="0"/>
              <w:rPr>
                <w:sz w:val="17"/>
                <w:szCs w:val="17"/>
                <w:color w:val="auto"/>
              </w:rPr>
            </w:pPr>
          </w:p>
        </w:tc>
        <w:tc>
          <w:tcPr>
            <w:tcW w:w="1680" w:type="dxa"/>
            <w:vAlign w:val="bottom"/>
            <w:tcBorders>
              <w:bottom w:val="single" w:sz="8" w:color="2AD2C9"/>
            </w:tcBorders>
            <w:shd w:val="clear" w:color="auto" w:fill="2AD2C9"/>
          </w:tcPr>
          <w:p>
            <w:pPr>
              <w:ind w:left="480"/>
              <w:spacing w:after="0"/>
              <w:rPr>
                <w:sz w:val="20"/>
                <w:szCs w:val="20"/>
                <w:color w:val="auto"/>
              </w:rPr>
            </w:pPr>
            <w:r>
              <w:rPr>
                <w:rFonts w:ascii="Calibri" w:cs="Calibri" w:eastAsia="Calibri" w:hAnsi="Calibri"/>
                <w:sz w:val="13"/>
                <w:szCs w:val="13"/>
                <w:b w:val="1"/>
                <w:bCs w:val="1"/>
                <w:color w:val="FFFFFF"/>
              </w:rPr>
              <w:t>Sep 23</w:t>
            </w:r>
          </w:p>
        </w:tc>
        <w:tc>
          <w:tcPr>
            <w:tcW w:w="800" w:type="dxa"/>
            <w:vAlign w:val="bottom"/>
            <w:tcBorders>
              <w:bottom w:val="single" w:sz="8" w:color="2AD2C9"/>
            </w:tcBorders>
            <w:shd w:val="clear" w:color="auto" w:fill="2AD2C9"/>
          </w:tcPr>
          <w:p>
            <w:pPr>
              <w:jc w:val="center"/>
              <w:ind w:right="93"/>
              <w:spacing w:after="0"/>
              <w:rPr>
                <w:sz w:val="20"/>
                <w:szCs w:val="20"/>
                <w:color w:val="auto"/>
              </w:rPr>
            </w:pPr>
            <w:r>
              <w:rPr>
                <w:rFonts w:ascii="Calibri" w:cs="Calibri" w:eastAsia="Calibri" w:hAnsi="Calibri"/>
                <w:sz w:val="13"/>
                <w:szCs w:val="13"/>
                <w:b w:val="1"/>
                <w:bCs w:val="1"/>
                <w:color w:val="FFFFFF"/>
              </w:rPr>
              <w:t>Jun 24</w:t>
            </w:r>
          </w:p>
        </w:tc>
        <w:tc>
          <w:tcPr>
            <w:tcW w:w="1560" w:type="dxa"/>
            <w:vAlign w:val="bottom"/>
            <w:tcBorders>
              <w:bottom w:val="single" w:sz="8" w:color="2AD2C9"/>
              <w:right w:val="single" w:sz="8" w:color="auto"/>
            </w:tcBorders>
            <w:shd w:val="clear" w:color="auto" w:fill="2AD2C9"/>
          </w:tcPr>
          <w:p>
            <w:pPr>
              <w:ind w:left="680"/>
              <w:spacing w:after="0"/>
              <w:rPr>
                <w:sz w:val="20"/>
                <w:szCs w:val="20"/>
                <w:color w:val="auto"/>
              </w:rPr>
            </w:pPr>
            <w:r>
              <w:rPr>
                <w:rFonts w:ascii="Calibri" w:cs="Calibri" w:eastAsia="Calibri" w:hAnsi="Calibri"/>
                <w:sz w:val="13"/>
                <w:szCs w:val="13"/>
                <w:b w:val="1"/>
                <w:bCs w:val="1"/>
                <w:color w:val="FFFFFF"/>
              </w:rPr>
              <w:t>Sep 24</w:t>
            </w:r>
          </w:p>
        </w:tc>
        <w:tc>
          <w:tcPr>
            <w:tcW w:w="1420" w:type="dxa"/>
            <w:vAlign w:val="bottom"/>
            <w:tcBorders>
              <w:bottom w:val="single" w:sz="8" w:color="2AD2C9"/>
            </w:tcBorders>
            <w:shd w:val="clear" w:color="auto" w:fill="2AD2C9"/>
          </w:tcPr>
          <w:p>
            <w:pPr>
              <w:jc w:val="center"/>
              <w:ind w:right="213"/>
              <w:spacing w:after="0"/>
              <w:rPr>
                <w:sz w:val="20"/>
                <w:szCs w:val="20"/>
                <w:color w:val="auto"/>
              </w:rPr>
            </w:pPr>
            <w:r>
              <w:rPr>
                <w:rFonts w:ascii="Calibri" w:cs="Calibri" w:eastAsia="Calibri" w:hAnsi="Calibri"/>
                <w:sz w:val="13"/>
                <w:szCs w:val="13"/>
                <w:b w:val="1"/>
                <w:bCs w:val="1"/>
                <w:color w:val="FFFFFF"/>
              </w:rPr>
              <w:t>QoQ</w:t>
            </w:r>
          </w:p>
        </w:tc>
        <w:tc>
          <w:tcPr>
            <w:tcW w:w="780" w:type="dxa"/>
            <w:vAlign w:val="bottom"/>
            <w:tcBorders>
              <w:bottom w:val="single" w:sz="8" w:color="2AD2C9"/>
              <w:right w:val="single" w:sz="8" w:color="auto"/>
            </w:tcBorders>
            <w:shd w:val="clear" w:color="auto" w:fill="2AD2C9"/>
          </w:tcPr>
          <w:p>
            <w:pPr>
              <w:jc w:val="center"/>
              <w:ind w:right="233"/>
              <w:spacing w:after="0"/>
              <w:rPr>
                <w:sz w:val="20"/>
                <w:szCs w:val="20"/>
                <w:color w:val="auto"/>
              </w:rPr>
            </w:pPr>
            <w:r>
              <w:rPr>
                <w:rFonts w:ascii="Calibri" w:cs="Calibri" w:eastAsia="Calibri" w:hAnsi="Calibri"/>
                <w:sz w:val="13"/>
                <w:szCs w:val="13"/>
                <w:b w:val="1"/>
                <w:bCs w:val="1"/>
                <w:color w:val="FFFFFF"/>
                <w:w w:val="97"/>
              </w:rPr>
              <w:t>YoY</w:t>
            </w:r>
          </w:p>
        </w:tc>
        <w:tc>
          <w:tcPr>
            <w:tcW w:w="0" w:type="dxa"/>
            <w:vAlign w:val="bottom"/>
          </w:tcPr>
          <w:p>
            <w:pPr>
              <w:spacing w:after="0"/>
              <w:rPr>
                <w:sz w:val="1"/>
                <w:szCs w:val="1"/>
                <w:color w:val="auto"/>
              </w:rPr>
            </w:pPr>
          </w:p>
        </w:tc>
      </w:tr>
      <w:tr>
        <w:trPr>
          <w:trHeight w:val="153"/>
        </w:trPr>
        <w:tc>
          <w:tcPr>
            <w:tcW w:w="2380" w:type="dxa"/>
            <w:vAlign w:val="bottom"/>
            <w:tcBorders>
              <w:top w:val="single" w:sz="8" w:color="auto"/>
              <w:left w:val="single" w:sz="8" w:color="auto"/>
            </w:tcBorders>
          </w:tcPr>
          <w:p>
            <w:pPr>
              <w:ind w:left="20"/>
              <w:spacing w:after="0" w:line="153" w:lineRule="exact"/>
              <w:rPr>
                <w:sz w:val="20"/>
                <w:szCs w:val="20"/>
                <w:color w:val="auto"/>
              </w:rPr>
            </w:pPr>
            <w:r>
              <w:rPr>
                <w:rFonts w:ascii="Calibri" w:cs="Calibri" w:eastAsia="Calibri" w:hAnsi="Calibri"/>
                <w:sz w:val="13"/>
                <w:szCs w:val="13"/>
                <w:color w:val="auto"/>
              </w:rPr>
              <w:t>Market risk capital requirement (5)</w:t>
            </w:r>
          </w:p>
        </w:tc>
        <w:tc>
          <w:tcPr>
            <w:tcW w:w="212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680" w:type="dxa"/>
            <w:vAlign w:val="bottom"/>
            <w:tcBorders>
              <w:top w:val="single" w:sz="8" w:color="auto"/>
            </w:tcBorders>
          </w:tcPr>
          <w:p>
            <w:pPr>
              <w:jc w:val="center"/>
              <w:ind w:right="273"/>
              <w:spacing w:after="0" w:line="153" w:lineRule="exact"/>
              <w:rPr>
                <w:sz w:val="20"/>
                <w:szCs w:val="20"/>
                <w:color w:val="auto"/>
              </w:rPr>
            </w:pPr>
            <w:r>
              <w:rPr>
                <w:rFonts w:ascii="Calibri" w:cs="Calibri" w:eastAsia="Calibri" w:hAnsi="Calibri"/>
                <w:sz w:val="13"/>
                <w:szCs w:val="13"/>
                <w:color w:val="auto"/>
              </w:rPr>
              <w:t>16,385</w:t>
            </w:r>
          </w:p>
        </w:tc>
        <w:tc>
          <w:tcPr>
            <w:tcW w:w="800" w:type="dxa"/>
            <w:vAlign w:val="bottom"/>
            <w:tcBorders>
              <w:top w:val="single" w:sz="8" w:color="auto"/>
            </w:tcBorders>
          </w:tcPr>
          <w:p>
            <w:pPr>
              <w:jc w:val="center"/>
              <w:ind w:right="73"/>
              <w:spacing w:after="0" w:line="153" w:lineRule="exact"/>
              <w:rPr>
                <w:sz w:val="20"/>
                <w:szCs w:val="20"/>
                <w:color w:val="auto"/>
              </w:rPr>
            </w:pPr>
            <w:r>
              <w:rPr>
                <w:rFonts w:ascii="Calibri" w:cs="Calibri" w:eastAsia="Calibri" w:hAnsi="Calibri"/>
                <w:sz w:val="13"/>
                <w:szCs w:val="13"/>
                <w:color w:val="auto"/>
              </w:rPr>
              <w:t>24,912</w:t>
            </w:r>
          </w:p>
        </w:tc>
        <w:tc>
          <w:tcPr>
            <w:tcW w:w="1560" w:type="dxa"/>
            <w:vAlign w:val="bottom"/>
            <w:tcBorders>
              <w:top w:val="single" w:sz="8" w:color="auto"/>
              <w:right w:val="single" w:sz="8" w:color="auto"/>
            </w:tcBorders>
          </w:tcPr>
          <w:p>
            <w:pPr>
              <w:jc w:val="center"/>
              <w:ind w:left="112"/>
              <w:spacing w:after="0" w:line="153" w:lineRule="exact"/>
              <w:rPr>
                <w:sz w:val="20"/>
                <w:szCs w:val="20"/>
                <w:color w:val="auto"/>
              </w:rPr>
            </w:pPr>
            <w:r>
              <w:rPr>
                <w:rFonts w:ascii="Calibri" w:cs="Calibri" w:eastAsia="Calibri" w:hAnsi="Calibri"/>
                <w:sz w:val="13"/>
                <w:szCs w:val="13"/>
                <w:color w:val="auto"/>
              </w:rPr>
              <w:t>23,812</w:t>
            </w:r>
          </w:p>
        </w:tc>
        <w:tc>
          <w:tcPr>
            <w:tcW w:w="1420" w:type="dxa"/>
            <w:vAlign w:val="bottom"/>
            <w:tcBorders>
              <w:top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-4.4%</w:t>
            </w:r>
          </w:p>
        </w:tc>
        <w:tc>
          <w:tcPr>
            <w:tcW w:w="780" w:type="dxa"/>
            <w:vAlign w:val="bottom"/>
            <w:tcBorders>
              <w:top w:val="single" w:sz="8" w:color="auto"/>
              <w:right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45.3%</w:t>
            </w: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Credit risk capital requirement</w:t>
            </w:r>
          </w:p>
        </w:tc>
        <w:tc>
          <w:tcPr>
            <w:tcW w:w="21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1,215,978</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1,063,048</w:t>
            </w:r>
          </w:p>
        </w:tc>
        <w:tc>
          <w:tcPr>
            <w:tcW w:w="1560" w:type="dxa"/>
            <w:vAlign w:val="bottom"/>
            <w:tcBorders>
              <w:right w:val="single" w:sz="8" w:color="auto"/>
            </w:tcBorders>
          </w:tcPr>
          <w:p>
            <w:pPr>
              <w:jc w:val="center"/>
              <w:ind w:left="112"/>
              <w:spacing w:after="0"/>
              <w:rPr>
                <w:sz w:val="20"/>
                <w:szCs w:val="20"/>
                <w:color w:val="auto"/>
              </w:rPr>
            </w:pPr>
            <w:r>
              <w:rPr>
                <w:rFonts w:ascii="Calibri" w:cs="Calibri" w:eastAsia="Calibri" w:hAnsi="Calibri"/>
                <w:sz w:val="13"/>
                <w:szCs w:val="13"/>
                <w:color w:val="auto"/>
              </w:rPr>
              <w:t>1,070,065</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0.7%</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-12.0%</w:t>
            </w: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Operatonal risk capital requirement</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152,268</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158,465</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159,434</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0.6%</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4.7%</w:t>
            </w:r>
          </w:p>
        </w:tc>
        <w:tc>
          <w:tcPr>
            <w:tcW w:w="0" w:type="dxa"/>
            <w:vAlign w:val="bottom"/>
          </w:tcPr>
          <w:p>
            <w:pPr>
              <w:spacing w:after="0"/>
              <w:rPr>
                <w:sz w:val="1"/>
                <w:szCs w:val="1"/>
                <w:color w:val="auto"/>
              </w:rPr>
            </w:pPr>
          </w:p>
        </w:tc>
      </w:tr>
      <w:tr>
        <w:trPr>
          <w:trHeight w:val="175"/>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Additonal capital requirements</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399,691</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159,457</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160,510</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0.7%</w:t>
            </w:r>
          </w:p>
        </w:tc>
        <w:tc>
          <w:tcPr>
            <w:tcW w:w="780" w:type="dxa"/>
            <w:vAlign w:val="bottom"/>
            <w:tcBorders>
              <w:right w:val="single" w:sz="8" w:color="auto"/>
            </w:tcBorders>
          </w:tcPr>
          <w:p>
            <w:pPr>
              <w:jc w:val="center"/>
              <w:ind w:right="213"/>
              <w:spacing w:after="0"/>
              <w:rPr>
                <w:sz w:val="20"/>
                <w:szCs w:val="20"/>
                <w:color w:val="auto"/>
              </w:rPr>
            </w:pPr>
            <w:r>
              <w:rPr>
                <w:rFonts w:ascii="Calibri" w:cs="Calibri" w:eastAsia="Calibri" w:hAnsi="Calibri"/>
                <w:sz w:val="13"/>
                <w:szCs w:val="13"/>
                <w:color w:val="auto"/>
              </w:rPr>
              <w:t>-59.8%</w:t>
            </w:r>
          </w:p>
        </w:tc>
        <w:tc>
          <w:tcPr>
            <w:tcW w:w="0" w:type="dxa"/>
            <w:vAlign w:val="bottom"/>
          </w:tcPr>
          <w:p>
            <w:pPr>
              <w:spacing w:after="0"/>
              <w:rPr>
                <w:sz w:val="1"/>
                <w:szCs w:val="1"/>
                <w:color w:val="auto"/>
              </w:rPr>
            </w:pPr>
          </w:p>
        </w:tc>
      </w:tr>
      <w:tr>
        <w:trPr>
          <w:trHeight w:val="22"/>
        </w:trPr>
        <w:tc>
          <w:tcPr>
            <w:tcW w:w="2380" w:type="dxa"/>
            <w:vAlign w:val="bottom"/>
            <w:tcBorders>
              <w:left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w:t>
            </w:r>
          </w:p>
        </w:tc>
        <w:tc>
          <w:tcPr>
            <w:tcW w:w="21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3"/>
              <w:spacing w:after="0"/>
              <w:rPr>
                <w:sz w:val="20"/>
                <w:szCs w:val="20"/>
                <w:color w:val="auto"/>
              </w:rPr>
            </w:pPr>
            <w:r>
              <w:rPr>
                <w:rFonts w:ascii="Calibri" w:cs="Calibri" w:eastAsia="Calibri" w:hAnsi="Calibri"/>
                <w:sz w:val="13"/>
                <w:szCs w:val="13"/>
                <w:b w:val="1"/>
                <w:bCs w:val="1"/>
                <w:color w:val="auto"/>
              </w:rPr>
              <w:t>1,784,322</w:t>
            </w:r>
          </w:p>
        </w:tc>
        <w:tc>
          <w:tcPr>
            <w:tcW w:w="80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3"/>
                <w:szCs w:val="13"/>
                <w:b w:val="1"/>
                <w:bCs w:val="1"/>
                <w:color w:val="auto"/>
              </w:rPr>
              <w:t>1,405,883</w:t>
            </w:r>
          </w:p>
        </w:tc>
        <w:tc>
          <w:tcPr>
            <w:tcW w:w="1560" w:type="dxa"/>
            <w:vAlign w:val="bottom"/>
            <w:tcBorders>
              <w:bottom w:val="single" w:sz="8" w:color="auto"/>
              <w:right w:val="single" w:sz="8" w:color="auto"/>
            </w:tcBorders>
          </w:tcPr>
          <w:p>
            <w:pPr>
              <w:jc w:val="center"/>
              <w:ind w:left="112"/>
              <w:spacing w:after="0"/>
              <w:rPr>
                <w:sz w:val="20"/>
                <w:szCs w:val="20"/>
                <w:color w:val="auto"/>
              </w:rPr>
            </w:pPr>
            <w:r>
              <w:rPr>
                <w:rFonts w:ascii="Calibri" w:cs="Calibri" w:eastAsia="Calibri" w:hAnsi="Calibri"/>
                <w:sz w:val="13"/>
                <w:szCs w:val="13"/>
                <w:b w:val="1"/>
                <w:bCs w:val="1"/>
                <w:color w:val="auto"/>
              </w:rPr>
              <w:t>1,413,821</w:t>
            </w:r>
          </w:p>
        </w:tc>
        <w:tc>
          <w:tcPr>
            <w:tcW w:w="1420" w:type="dxa"/>
            <w:vAlign w:val="bottom"/>
            <w:tcBorders>
              <w:bottom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w w:val="99"/>
              </w:rPr>
              <w:t>0.6%</w:t>
            </w:r>
          </w:p>
        </w:tc>
        <w:tc>
          <w:tcPr>
            <w:tcW w:w="780" w:type="dxa"/>
            <w:vAlign w:val="bottom"/>
            <w:tcBorders>
              <w:bottom w:val="single" w:sz="8" w:color="auto"/>
              <w:right w:val="single" w:sz="8" w:color="auto"/>
            </w:tcBorders>
          </w:tcPr>
          <w:p>
            <w:pPr>
              <w:jc w:val="center"/>
              <w:ind w:right="213"/>
              <w:spacing w:after="0"/>
              <w:rPr>
                <w:sz w:val="20"/>
                <w:szCs w:val="20"/>
                <w:color w:val="auto"/>
              </w:rPr>
            </w:pPr>
            <w:r>
              <w:rPr>
                <w:rFonts w:ascii="Calibri" w:cs="Calibri" w:eastAsia="Calibri" w:hAnsi="Calibri"/>
                <w:sz w:val="13"/>
                <w:szCs w:val="13"/>
                <w:b w:val="1"/>
                <w:bCs w:val="1"/>
                <w:color w:val="auto"/>
              </w:rPr>
              <w:t>-20.8%</w:t>
            </w:r>
          </w:p>
        </w:tc>
        <w:tc>
          <w:tcPr>
            <w:tcW w:w="0" w:type="dxa"/>
            <w:vAlign w:val="bottom"/>
          </w:tcPr>
          <w:p>
            <w:pPr>
              <w:spacing w:after="0"/>
              <w:rPr>
                <w:sz w:val="1"/>
                <w:szCs w:val="1"/>
                <w:color w:val="auto"/>
              </w:rPr>
            </w:pPr>
          </w:p>
        </w:tc>
      </w:tr>
      <w:tr>
        <w:trPr>
          <w:trHeight w:val="329"/>
        </w:trPr>
        <w:tc>
          <w:tcPr>
            <w:tcW w:w="2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Calibri" w:cs="Calibri" w:eastAsia="Calibri" w:hAnsi="Calibri"/>
                <w:sz w:val="13"/>
                <w:szCs w:val="13"/>
                <w:b w:val="1"/>
                <w:bCs w:val="1"/>
                <w:color w:val="auto"/>
              </w:rPr>
              <w:t>Capital Ratos under Local Regulaton</w:t>
            </w: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80" w:type="dxa"/>
            <w:vAlign w:val="bottom"/>
            <w:tcBorders>
              <w:left w:val="single" w:sz="8" w:color="auto"/>
            </w:tcBorders>
            <w:shd w:val="clear" w:color="auto" w:fill="2AD2C9"/>
          </w:tcPr>
          <w:p>
            <w:pPr>
              <w:ind w:left="20"/>
              <w:spacing w:after="0" w:line="153" w:lineRule="exact"/>
              <w:rPr>
                <w:sz w:val="20"/>
                <w:szCs w:val="20"/>
                <w:color w:val="auto"/>
              </w:rPr>
            </w:pPr>
            <w:r>
              <w:rPr>
                <w:rFonts w:ascii="Calibri" w:cs="Calibri" w:eastAsia="Calibri" w:hAnsi="Calibri"/>
                <w:sz w:val="13"/>
                <w:szCs w:val="13"/>
                <w:b w:val="1"/>
                <w:bCs w:val="1"/>
                <w:color w:val="FFFFFF"/>
              </w:rPr>
              <w:t>Capital ratos under Local Regulaton</w:t>
            </w:r>
          </w:p>
        </w:tc>
        <w:tc>
          <w:tcPr>
            <w:tcW w:w="2120" w:type="dxa"/>
            <w:vAlign w:val="bottom"/>
            <w:shd w:val="clear" w:color="auto" w:fill="2AD2C9"/>
          </w:tcPr>
          <w:p>
            <w:pPr>
              <w:spacing w:after="0"/>
              <w:rPr>
                <w:sz w:val="13"/>
                <w:szCs w:val="13"/>
                <w:color w:val="auto"/>
              </w:rPr>
            </w:pPr>
          </w:p>
        </w:tc>
        <w:tc>
          <w:tcPr>
            <w:tcW w:w="500" w:type="dxa"/>
            <w:vAlign w:val="bottom"/>
            <w:tcBorders>
              <w:right w:val="single" w:sz="8" w:color="auto"/>
            </w:tcBorders>
            <w:shd w:val="clear" w:color="auto" w:fill="2AD2C9"/>
          </w:tcPr>
          <w:p>
            <w:pPr>
              <w:spacing w:after="0"/>
              <w:rPr>
                <w:sz w:val="13"/>
                <w:szCs w:val="13"/>
                <w:color w:val="auto"/>
              </w:rPr>
            </w:pPr>
          </w:p>
        </w:tc>
        <w:tc>
          <w:tcPr>
            <w:tcW w:w="1680" w:type="dxa"/>
            <w:vAlign w:val="bottom"/>
            <w:shd w:val="clear" w:color="auto" w:fill="2AD2C9"/>
          </w:tcPr>
          <w:p>
            <w:pPr>
              <w:spacing w:after="0"/>
              <w:rPr>
                <w:sz w:val="13"/>
                <w:szCs w:val="13"/>
                <w:color w:val="auto"/>
              </w:rPr>
            </w:pPr>
          </w:p>
        </w:tc>
        <w:tc>
          <w:tcPr>
            <w:tcW w:w="800" w:type="dxa"/>
            <w:vAlign w:val="bottom"/>
            <w:shd w:val="clear" w:color="auto" w:fill="2AD2C9"/>
          </w:tcPr>
          <w:p>
            <w:pPr>
              <w:jc w:val="center"/>
              <w:ind w:right="93"/>
              <w:spacing w:after="0" w:line="153" w:lineRule="exact"/>
              <w:rPr>
                <w:sz w:val="20"/>
                <w:szCs w:val="20"/>
                <w:color w:val="auto"/>
              </w:rPr>
            </w:pPr>
            <w:r>
              <w:rPr>
                <w:rFonts w:ascii="Calibri" w:cs="Calibri" w:eastAsia="Calibri" w:hAnsi="Calibri"/>
                <w:sz w:val="13"/>
                <w:szCs w:val="13"/>
                <w:b w:val="1"/>
                <w:bCs w:val="1"/>
                <w:color w:val="FFFFFF"/>
              </w:rPr>
              <w:t>Quarter</w:t>
            </w:r>
          </w:p>
        </w:tc>
        <w:tc>
          <w:tcPr>
            <w:tcW w:w="1560" w:type="dxa"/>
            <w:vAlign w:val="bottom"/>
            <w:tcBorders>
              <w:right w:val="single" w:sz="8" w:color="auto"/>
            </w:tcBorders>
            <w:shd w:val="clear" w:color="auto" w:fill="2AD2C9"/>
          </w:tcPr>
          <w:p>
            <w:pPr>
              <w:spacing w:after="0"/>
              <w:rPr>
                <w:sz w:val="13"/>
                <w:szCs w:val="13"/>
                <w:color w:val="auto"/>
              </w:rPr>
            </w:pPr>
          </w:p>
        </w:tc>
        <w:tc>
          <w:tcPr>
            <w:tcW w:w="1420" w:type="dxa"/>
            <w:vAlign w:val="bottom"/>
            <w:shd w:val="clear" w:color="auto" w:fill="2AD2C9"/>
          </w:tcPr>
          <w:p>
            <w:pPr>
              <w:ind w:left="820"/>
              <w:spacing w:after="0" w:line="153" w:lineRule="exact"/>
              <w:rPr>
                <w:sz w:val="20"/>
                <w:szCs w:val="20"/>
                <w:color w:val="auto"/>
              </w:rPr>
            </w:pPr>
            <w:r>
              <w:rPr>
                <w:rFonts w:ascii="Calibri" w:cs="Calibri" w:eastAsia="Calibri" w:hAnsi="Calibri"/>
                <w:sz w:val="13"/>
                <w:szCs w:val="13"/>
                <w:b w:val="1"/>
                <w:bCs w:val="1"/>
                <w:color w:val="FFFFFF"/>
              </w:rPr>
              <w:t>% change</w:t>
            </w:r>
          </w:p>
        </w:tc>
        <w:tc>
          <w:tcPr>
            <w:tcW w:w="78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380" w:type="dxa"/>
            <w:vAlign w:val="bottom"/>
            <w:tcBorders>
              <w:left w:val="single" w:sz="8" w:color="auto"/>
              <w:bottom w:val="single" w:sz="8" w:color="2AD2C9"/>
            </w:tcBorders>
            <w:shd w:val="clear" w:color="auto" w:fill="2AD2C9"/>
          </w:tcPr>
          <w:p>
            <w:pPr>
              <w:spacing w:after="0"/>
              <w:rPr>
                <w:sz w:val="16"/>
                <w:szCs w:val="16"/>
                <w:color w:val="auto"/>
              </w:rPr>
            </w:pPr>
          </w:p>
        </w:tc>
        <w:tc>
          <w:tcPr>
            <w:tcW w:w="2120" w:type="dxa"/>
            <w:vAlign w:val="bottom"/>
            <w:tcBorders>
              <w:bottom w:val="single" w:sz="8" w:color="2AD2C9"/>
            </w:tcBorders>
            <w:shd w:val="clear" w:color="auto" w:fill="2AD2C9"/>
          </w:tcPr>
          <w:p>
            <w:pPr>
              <w:spacing w:after="0"/>
              <w:rPr>
                <w:sz w:val="16"/>
                <w:szCs w:val="16"/>
                <w:color w:val="auto"/>
              </w:rPr>
            </w:pPr>
          </w:p>
        </w:tc>
        <w:tc>
          <w:tcPr>
            <w:tcW w:w="500" w:type="dxa"/>
            <w:vAlign w:val="bottom"/>
            <w:tcBorders>
              <w:bottom w:val="single" w:sz="8" w:color="2AD2C9"/>
              <w:right w:val="single" w:sz="8" w:color="auto"/>
            </w:tcBorders>
            <w:shd w:val="clear" w:color="auto" w:fill="2AD2C9"/>
          </w:tcPr>
          <w:p>
            <w:pPr>
              <w:spacing w:after="0"/>
              <w:rPr>
                <w:sz w:val="16"/>
                <w:szCs w:val="16"/>
                <w:color w:val="auto"/>
              </w:rPr>
            </w:pPr>
          </w:p>
        </w:tc>
        <w:tc>
          <w:tcPr>
            <w:tcW w:w="1680" w:type="dxa"/>
            <w:vAlign w:val="bottom"/>
            <w:tcBorders>
              <w:bottom w:val="single" w:sz="8" w:color="2AD2C9"/>
            </w:tcBorders>
            <w:shd w:val="clear" w:color="auto" w:fill="2AD2C9"/>
          </w:tcPr>
          <w:p>
            <w:pPr>
              <w:ind w:left="480"/>
              <w:spacing w:after="0"/>
              <w:rPr>
                <w:sz w:val="20"/>
                <w:szCs w:val="20"/>
                <w:color w:val="auto"/>
              </w:rPr>
            </w:pPr>
            <w:r>
              <w:rPr>
                <w:rFonts w:ascii="Calibri" w:cs="Calibri" w:eastAsia="Calibri" w:hAnsi="Calibri"/>
                <w:sz w:val="13"/>
                <w:szCs w:val="13"/>
                <w:b w:val="1"/>
                <w:bCs w:val="1"/>
                <w:color w:val="FFFFFF"/>
              </w:rPr>
              <w:t>Sep 23</w:t>
            </w:r>
          </w:p>
        </w:tc>
        <w:tc>
          <w:tcPr>
            <w:tcW w:w="800" w:type="dxa"/>
            <w:vAlign w:val="bottom"/>
            <w:tcBorders>
              <w:bottom w:val="single" w:sz="8" w:color="2AD2C9"/>
            </w:tcBorders>
            <w:shd w:val="clear" w:color="auto" w:fill="2AD2C9"/>
          </w:tcPr>
          <w:p>
            <w:pPr>
              <w:jc w:val="center"/>
              <w:ind w:right="93"/>
              <w:spacing w:after="0"/>
              <w:rPr>
                <w:sz w:val="20"/>
                <w:szCs w:val="20"/>
                <w:color w:val="auto"/>
              </w:rPr>
            </w:pPr>
            <w:r>
              <w:rPr>
                <w:rFonts w:ascii="Calibri" w:cs="Calibri" w:eastAsia="Calibri" w:hAnsi="Calibri"/>
                <w:sz w:val="13"/>
                <w:szCs w:val="13"/>
                <w:b w:val="1"/>
                <w:bCs w:val="1"/>
                <w:color w:val="FFFFFF"/>
              </w:rPr>
              <w:t>Jun 24</w:t>
            </w:r>
          </w:p>
        </w:tc>
        <w:tc>
          <w:tcPr>
            <w:tcW w:w="1560" w:type="dxa"/>
            <w:vAlign w:val="bottom"/>
            <w:tcBorders>
              <w:bottom w:val="single" w:sz="8" w:color="2AD2C9"/>
              <w:right w:val="single" w:sz="8" w:color="auto"/>
            </w:tcBorders>
            <w:shd w:val="clear" w:color="auto" w:fill="2AD2C9"/>
          </w:tcPr>
          <w:p>
            <w:pPr>
              <w:ind w:left="680"/>
              <w:spacing w:after="0"/>
              <w:rPr>
                <w:sz w:val="20"/>
                <w:szCs w:val="20"/>
                <w:color w:val="auto"/>
              </w:rPr>
            </w:pPr>
            <w:r>
              <w:rPr>
                <w:rFonts w:ascii="Calibri" w:cs="Calibri" w:eastAsia="Calibri" w:hAnsi="Calibri"/>
                <w:sz w:val="13"/>
                <w:szCs w:val="13"/>
                <w:b w:val="1"/>
                <w:bCs w:val="1"/>
                <w:color w:val="FFFFFF"/>
              </w:rPr>
              <w:t>Sep 24</w:t>
            </w:r>
          </w:p>
        </w:tc>
        <w:tc>
          <w:tcPr>
            <w:tcW w:w="1420" w:type="dxa"/>
            <w:vAlign w:val="bottom"/>
            <w:tcBorders>
              <w:bottom w:val="single" w:sz="8" w:color="2AD2C9"/>
            </w:tcBorders>
            <w:shd w:val="clear" w:color="auto" w:fill="2AD2C9"/>
          </w:tcPr>
          <w:p>
            <w:pPr>
              <w:jc w:val="center"/>
              <w:ind w:right="213"/>
              <w:spacing w:after="0"/>
              <w:rPr>
                <w:sz w:val="20"/>
                <w:szCs w:val="20"/>
                <w:color w:val="auto"/>
              </w:rPr>
            </w:pPr>
            <w:r>
              <w:rPr>
                <w:rFonts w:ascii="Calibri" w:cs="Calibri" w:eastAsia="Calibri" w:hAnsi="Calibri"/>
                <w:sz w:val="13"/>
                <w:szCs w:val="13"/>
                <w:b w:val="1"/>
                <w:bCs w:val="1"/>
                <w:color w:val="FFFFFF"/>
              </w:rPr>
              <w:t>QoQ</w:t>
            </w:r>
          </w:p>
        </w:tc>
        <w:tc>
          <w:tcPr>
            <w:tcW w:w="780" w:type="dxa"/>
            <w:vAlign w:val="bottom"/>
            <w:tcBorders>
              <w:bottom w:val="single" w:sz="8" w:color="2AD2C9"/>
              <w:right w:val="single" w:sz="8" w:color="auto"/>
            </w:tcBorders>
            <w:shd w:val="clear" w:color="auto" w:fill="2AD2C9"/>
          </w:tcPr>
          <w:p>
            <w:pPr>
              <w:jc w:val="center"/>
              <w:ind w:right="233"/>
              <w:spacing w:after="0"/>
              <w:rPr>
                <w:sz w:val="20"/>
                <w:szCs w:val="20"/>
                <w:color w:val="auto"/>
              </w:rPr>
            </w:pPr>
            <w:r>
              <w:rPr>
                <w:rFonts w:ascii="Calibri" w:cs="Calibri" w:eastAsia="Calibri" w:hAnsi="Calibri"/>
                <w:sz w:val="13"/>
                <w:szCs w:val="13"/>
                <w:b w:val="1"/>
                <w:bCs w:val="1"/>
                <w:color w:val="FFFFFF"/>
                <w:w w:val="97"/>
              </w:rPr>
              <w:t>YoY</w:t>
            </w:r>
          </w:p>
        </w:tc>
        <w:tc>
          <w:tcPr>
            <w:tcW w:w="0" w:type="dxa"/>
            <w:vAlign w:val="bottom"/>
          </w:tcPr>
          <w:p>
            <w:pPr>
              <w:spacing w:after="0"/>
              <w:rPr>
                <w:sz w:val="1"/>
                <w:szCs w:val="1"/>
                <w:color w:val="auto"/>
              </w:rPr>
            </w:pPr>
          </w:p>
        </w:tc>
      </w:tr>
      <w:tr>
        <w:trPr>
          <w:trHeight w:val="153"/>
        </w:trPr>
        <w:tc>
          <w:tcPr>
            <w:tcW w:w="2380" w:type="dxa"/>
            <w:vAlign w:val="bottom"/>
            <w:tcBorders>
              <w:top w:val="single" w:sz="8" w:color="auto"/>
              <w:left w:val="single" w:sz="8" w:color="auto"/>
            </w:tcBorders>
          </w:tcPr>
          <w:p>
            <w:pPr>
              <w:ind w:left="20"/>
              <w:spacing w:after="0" w:line="153" w:lineRule="exact"/>
              <w:rPr>
                <w:sz w:val="20"/>
                <w:szCs w:val="20"/>
                <w:color w:val="auto"/>
              </w:rPr>
            </w:pPr>
            <w:r>
              <w:rPr>
                <w:rFonts w:ascii="Calibri" w:cs="Calibri" w:eastAsia="Calibri" w:hAnsi="Calibri"/>
                <w:sz w:val="13"/>
                <w:szCs w:val="13"/>
                <w:b w:val="1"/>
                <w:bCs w:val="1"/>
                <w:color w:val="auto"/>
              </w:rPr>
              <w:t>Common Equity Tier 1 Rato</w:t>
            </w:r>
          </w:p>
        </w:tc>
        <w:tc>
          <w:tcPr>
            <w:tcW w:w="2120" w:type="dxa"/>
            <w:vAlign w:val="bottom"/>
            <w:tcBorders>
              <w:top w:val="single" w:sz="8" w:color="auto"/>
            </w:tcBorders>
          </w:tcPr>
          <w:p>
            <w:pPr>
              <w:spacing w:after="0"/>
              <w:rPr>
                <w:sz w:val="13"/>
                <w:szCs w:val="13"/>
                <w:color w:val="auto"/>
              </w:rPr>
            </w:pPr>
          </w:p>
        </w:tc>
        <w:tc>
          <w:tcPr>
            <w:tcW w:w="500" w:type="dxa"/>
            <w:vAlign w:val="bottom"/>
            <w:tcBorders>
              <w:top w:val="single" w:sz="8" w:color="auto"/>
              <w:right w:val="single" w:sz="8" w:color="auto"/>
            </w:tcBorders>
          </w:tcPr>
          <w:p>
            <w:pPr>
              <w:spacing w:after="0"/>
              <w:rPr>
                <w:sz w:val="13"/>
                <w:szCs w:val="13"/>
                <w:color w:val="auto"/>
              </w:rPr>
            </w:pPr>
          </w:p>
        </w:tc>
        <w:tc>
          <w:tcPr>
            <w:tcW w:w="1680" w:type="dxa"/>
            <w:vAlign w:val="bottom"/>
            <w:tcBorders>
              <w:top w:val="single" w:sz="8" w:color="auto"/>
            </w:tcBorders>
          </w:tcPr>
          <w:p>
            <w:pPr>
              <w:jc w:val="center"/>
              <w:ind w:right="273"/>
              <w:spacing w:after="0" w:line="153" w:lineRule="exact"/>
              <w:rPr>
                <w:sz w:val="20"/>
                <w:szCs w:val="20"/>
                <w:color w:val="auto"/>
              </w:rPr>
            </w:pPr>
            <w:r>
              <w:rPr>
                <w:rFonts w:ascii="Calibri" w:cs="Calibri" w:eastAsia="Calibri" w:hAnsi="Calibri"/>
                <w:sz w:val="13"/>
                <w:szCs w:val="13"/>
                <w:color w:val="auto"/>
              </w:rPr>
              <w:t>17.43%</w:t>
            </w:r>
          </w:p>
        </w:tc>
        <w:tc>
          <w:tcPr>
            <w:tcW w:w="800" w:type="dxa"/>
            <w:vAlign w:val="bottom"/>
            <w:tcBorders>
              <w:top w:val="single" w:sz="8" w:color="auto"/>
            </w:tcBorders>
          </w:tcPr>
          <w:p>
            <w:pPr>
              <w:jc w:val="center"/>
              <w:ind w:right="73"/>
              <w:spacing w:after="0" w:line="153" w:lineRule="exact"/>
              <w:rPr>
                <w:sz w:val="20"/>
                <w:szCs w:val="20"/>
                <w:color w:val="auto"/>
              </w:rPr>
            </w:pPr>
            <w:r>
              <w:rPr>
                <w:rFonts w:ascii="Calibri" w:cs="Calibri" w:eastAsia="Calibri" w:hAnsi="Calibri"/>
                <w:sz w:val="13"/>
                <w:szCs w:val="13"/>
                <w:color w:val="auto"/>
              </w:rPr>
              <w:t>16.62%</w:t>
            </w:r>
          </w:p>
        </w:tc>
        <w:tc>
          <w:tcPr>
            <w:tcW w:w="1560" w:type="dxa"/>
            <w:vAlign w:val="bottom"/>
            <w:tcBorders>
              <w:top w:val="single" w:sz="8" w:color="auto"/>
              <w:right w:val="single" w:sz="8" w:color="auto"/>
            </w:tcBorders>
          </w:tcPr>
          <w:p>
            <w:pPr>
              <w:jc w:val="center"/>
              <w:ind w:left="92"/>
              <w:spacing w:after="0" w:line="153" w:lineRule="exact"/>
              <w:rPr>
                <w:sz w:val="20"/>
                <w:szCs w:val="20"/>
                <w:color w:val="auto"/>
              </w:rPr>
            </w:pPr>
            <w:r>
              <w:rPr>
                <w:rFonts w:ascii="Calibri" w:cs="Calibri" w:eastAsia="Calibri" w:hAnsi="Calibri"/>
                <w:sz w:val="13"/>
                <w:szCs w:val="13"/>
                <w:color w:val="auto"/>
              </w:rPr>
              <w:t>17.85%</w:t>
            </w:r>
          </w:p>
        </w:tc>
        <w:tc>
          <w:tcPr>
            <w:tcW w:w="1420" w:type="dxa"/>
            <w:vAlign w:val="bottom"/>
            <w:tcBorders>
              <w:top w:val="single" w:sz="8" w:color="auto"/>
            </w:tcBorders>
          </w:tcPr>
          <w:p>
            <w:pPr>
              <w:jc w:val="center"/>
              <w:ind w:right="213"/>
              <w:spacing w:after="0" w:line="153" w:lineRule="exact"/>
              <w:rPr>
                <w:sz w:val="20"/>
                <w:szCs w:val="20"/>
                <w:color w:val="auto"/>
              </w:rPr>
            </w:pPr>
            <w:r>
              <w:rPr>
                <w:rFonts w:ascii="Calibri" w:cs="Calibri" w:eastAsia="Calibri" w:hAnsi="Calibri"/>
                <w:sz w:val="13"/>
                <w:szCs w:val="13"/>
                <w:color w:val="auto"/>
              </w:rPr>
              <w:t>123 bps</w:t>
            </w:r>
          </w:p>
        </w:tc>
        <w:tc>
          <w:tcPr>
            <w:tcW w:w="780" w:type="dxa"/>
            <w:vAlign w:val="bottom"/>
            <w:tcBorders>
              <w:top w:val="single" w:sz="8" w:color="auto"/>
              <w:right w:val="single" w:sz="8" w:color="auto"/>
            </w:tcBorders>
          </w:tcPr>
          <w:p>
            <w:pPr>
              <w:jc w:val="center"/>
              <w:ind w:right="233"/>
              <w:spacing w:after="0" w:line="153" w:lineRule="exact"/>
              <w:rPr>
                <w:sz w:val="20"/>
                <w:szCs w:val="20"/>
                <w:color w:val="auto"/>
              </w:rPr>
            </w:pPr>
            <w:r>
              <w:rPr>
                <w:rFonts w:ascii="Calibri" w:cs="Calibri" w:eastAsia="Calibri" w:hAnsi="Calibri"/>
                <w:sz w:val="13"/>
                <w:szCs w:val="13"/>
                <w:color w:val="auto"/>
              </w:rPr>
              <w:t>42 bps</w:t>
            </w: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Tier 1 Capital rato</w:t>
            </w:r>
          </w:p>
        </w:tc>
        <w:tc>
          <w:tcPr>
            <w:tcW w:w="21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17.43%</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16.62%</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17.85%</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123 bps</w:t>
            </w:r>
          </w:p>
        </w:tc>
        <w:tc>
          <w:tcPr>
            <w:tcW w:w="780" w:type="dxa"/>
            <w:vAlign w:val="bottom"/>
            <w:tcBorders>
              <w:right w:val="single" w:sz="8" w:color="auto"/>
            </w:tcBorders>
          </w:tcPr>
          <w:p>
            <w:pPr>
              <w:jc w:val="center"/>
              <w:ind w:right="233"/>
              <w:spacing w:after="0"/>
              <w:rPr>
                <w:sz w:val="20"/>
                <w:szCs w:val="20"/>
                <w:color w:val="auto"/>
              </w:rPr>
            </w:pPr>
            <w:r>
              <w:rPr>
                <w:rFonts w:ascii="Calibri" w:cs="Calibri" w:eastAsia="Calibri" w:hAnsi="Calibri"/>
                <w:sz w:val="13"/>
                <w:szCs w:val="13"/>
                <w:color w:val="auto"/>
              </w:rPr>
              <w:t>42 bps</w:t>
            </w:r>
          </w:p>
        </w:tc>
        <w:tc>
          <w:tcPr>
            <w:tcW w:w="0" w:type="dxa"/>
            <w:vAlign w:val="bottom"/>
          </w:tcPr>
          <w:p>
            <w:pPr>
              <w:spacing w:after="0"/>
              <w:rPr>
                <w:sz w:val="1"/>
                <w:szCs w:val="1"/>
                <w:color w:val="auto"/>
              </w:rPr>
            </w:pPr>
          </w:p>
        </w:tc>
      </w:tr>
      <w:tr>
        <w:trPr>
          <w:trHeight w:val="175"/>
        </w:trPr>
        <w:tc>
          <w:tcPr>
            <w:tcW w:w="23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Regulatory Global Capital Rato</w:t>
            </w:r>
          </w:p>
        </w:tc>
        <w:tc>
          <w:tcPr>
            <w:tcW w:w="2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680" w:type="dxa"/>
            <w:vAlign w:val="bottom"/>
          </w:tcPr>
          <w:p>
            <w:pPr>
              <w:jc w:val="center"/>
              <w:ind w:right="273"/>
              <w:spacing w:after="0"/>
              <w:rPr>
                <w:sz w:val="20"/>
                <w:szCs w:val="20"/>
                <w:color w:val="auto"/>
              </w:rPr>
            </w:pPr>
            <w:r>
              <w:rPr>
                <w:rFonts w:ascii="Calibri" w:cs="Calibri" w:eastAsia="Calibri" w:hAnsi="Calibri"/>
                <w:sz w:val="13"/>
                <w:szCs w:val="13"/>
                <w:color w:val="auto"/>
              </w:rPr>
              <w:t>19.75%</w:t>
            </w:r>
          </w:p>
        </w:tc>
        <w:tc>
          <w:tcPr>
            <w:tcW w:w="800" w:type="dxa"/>
            <w:vAlign w:val="bottom"/>
          </w:tcPr>
          <w:p>
            <w:pPr>
              <w:jc w:val="center"/>
              <w:ind w:right="73"/>
              <w:spacing w:after="0"/>
              <w:rPr>
                <w:sz w:val="20"/>
                <w:szCs w:val="20"/>
                <w:color w:val="auto"/>
              </w:rPr>
            </w:pPr>
            <w:r>
              <w:rPr>
                <w:rFonts w:ascii="Calibri" w:cs="Calibri" w:eastAsia="Calibri" w:hAnsi="Calibri"/>
                <w:sz w:val="13"/>
                <w:szCs w:val="13"/>
                <w:color w:val="auto"/>
              </w:rPr>
              <w:t>18.95%</w:t>
            </w:r>
          </w:p>
        </w:tc>
        <w:tc>
          <w:tcPr>
            <w:tcW w:w="15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20.22%</w:t>
            </w:r>
          </w:p>
        </w:tc>
        <w:tc>
          <w:tcPr>
            <w:tcW w:w="1420" w:type="dxa"/>
            <w:vAlign w:val="bottom"/>
          </w:tcPr>
          <w:p>
            <w:pPr>
              <w:jc w:val="center"/>
              <w:ind w:right="213"/>
              <w:spacing w:after="0"/>
              <w:rPr>
                <w:sz w:val="20"/>
                <w:szCs w:val="20"/>
                <w:color w:val="auto"/>
              </w:rPr>
            </w:pPr>
            <w:r>
              <w:rPr>
                <w:rFonts w:ascii="Calibri" w:cs="Calibri" w:eastAsia="Calibri" w:hAnsi="Calibri"/>
                <w:sz w:val="13"/>
                <w:szCs w:val="13"/>
                <w:color w:val="auto"/>
              </w:rPr>
              <w:t>127 bps</w:t>
            </w:r>
          </w:p>
        </w:tc>
        <w:tc>
          <w:tcPr>
            <w:tcW w:w="780" w:type="dxa"/>
            <w:vAlign w:val="bottom"/>
            <w:tcBorders>
              <w:right w:val="single" w:sz="8" w:color="auto"/>
            </w:tcBorders>
          </w:tcPr>
          <w:p>
            <w:pPr>
              <w:jc w:val="center"/>
              <w:ind w:right="233"/>
              <w:spacing w:after="0"/>
              <w:rPr>
                <w:sz w:val="20"/>
                <w:szCs w:val="20"/>
                <w:color w:val="auto"/>
              </w:rPr>
            </w:pPr>
            <w:r>
              <w:rPr>
                <w:rFonts w:ascii="Calibri" w:cs="Calibri" w:eastAsia="Calibri" w:hAnsi="Calibri"/>
                <w:sz w:val="13"/>
                <w:szCs w:val="13"/>
                <w:color w:val="auto"/>
              </w:rPr>
              <w:t>47 bps</w:t>
            </w:r>
          </w:p>
        </w:tc>
        <w:tc>
          <w:tcPr>
            <w:tcW w:w="0" w:type="dxa"/>
            <w:vAlign w:val="bottom"/>
          </w:tcPr>
          <w:p>
            <w:pPr>
              <w:spacing w:after="0"/>
              <w:rPr>
                <w:sz w:val="1"/>
                <w:szCs w:val="1"/>
                <w:color w:val="auto"/>
              </w:rPr>
            </w:pPr>
          </w:p>
        </w:tc>
      </w:tr>
      <w:tr>
        <w:trPr>
          <w:trHeight w:val="22"/>
        </w:trPr>
        <w:tc>
          <w:tcPr>
            <w:tcW w:w="2380" w:type="dxa"/>
            <w:vAlign w:val="bottom"/>
            <w:tcBorders>
              <w:left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-5571490</wp:posOffset>
            </wp:positionV>
            <wp:extent cx="108013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32" w:lineRule="exact"/>
        <w:rPr>
          <w:sz w:val="20"/>
          <w:szCs w:val="20"/>
          <w:color w:val="auto"/>
        </w:rPr>
      </w:pPr>
    </w:p>
    <w:p>
      <w:pPr>
        <w:ind w:left="1780" w:hanging="314"/>
        <w:spacing w:after="0"/>
        <w:tabs>
          <w:tab w:leader="none" w:pos="1780" w:val="left"/>
        </w:tabs>
        <w:numPr>
          <w:ilvl w:val="0"/>
          <w:numId w:val="58"/>
        </w:numPr>
        <w:rPr>
          <w:rFonts w:ascii="Calibri" w:cs="Calibri" w:eastAsia="Calibri" w:hAnsi="Calibri"/>
          <w:sz w:val="12"/>
          <w:szCs w:val="12"/>
          <w:color w:val="auto"/>
        </w:rPr>
      </w:pPr>
      <w:r>
        <w:rPr>
          <w:rFonts w:ascii="Calibri" w:cs="Calibri" w:eastAsia="Calibri" w:hAnsi="Calibri"/>
          <w:sz w:val="12"/>
          <w:szCs w:val="12"/>
          <w:color w:val="auto"/>
        </w:rPr>
        <w:t>Up to 1.25% of total risk-weighted assets.</w:t>
      </w:r>
    </w:p>
    <w:p>
      <w:pPr>
        <w:spacing w:after="0" w:line="64" w:lineRule="exact"/>
        <w:rPr>
          <w:rFonts w:ascii="Calibri" w:cs="Calibri" w:eastAsia="Calibri" w:hAnsi="Calibri"/>
          <w:sz w:val="12"/>
          <w:szCs w:val="12"/>
          <w:color w:val="auto"/>
        </w:rPr>
      </w:pPr>
    </w:p>
    <w:p>
      <w:pPr>
        <w:ind w:left="1760" w:right="320" w:hanging="294"/>
        <w:spacing w:after="0" w:line="223" w:lineRule="auto"/>
        <w:tabs>
          <w:tab w:leader="none" w:pos="1760" w:val="left"/>
        </w:tabs>
        <w:numPr>
          <w:ilvl w:val="0"/>
          <w:numId w:val="58"/>
        </w:numPr>
        <w:rPr>
          <w:rFonts w:ascii="Calibri" w:cs="Calibri" w:eastAsia="Calibri" w:hAnsi="Calibri"/>
          <w:sz w:val="12"/>
          <w:szCs w:val="12"/>
          <w:color w:val="auto"/>
        </w:rPr>
      </w:pPr>
      <w:r>
        <w:rPr>
          <w:rFonts w:ascii="Calibri" w:cs="Calibri" w:eastAsia="Calibri" w:hAnsi="Calibri"/>
          <w:sz w:val="12"/>
          <w:szCs w:val="12"/>
          <w:color w:val="auto"/>
        </w:rPr>
        <w:t>Common Equity Tier 1 = Capital Stock + Reserves + Accumulated earnings – Unrealized profts or losses - 100% deductons (investment in subsidiaries, goodwill, intangible assets and deferred tax assets based on future returns).</w:t>
      </w:r>
    </w:p>
    <w:p>
      <w:pPr>
        <w:ind w:left="1760" w:hanging="294"/>
        <w:spacing w:after="0" w:line="221" w:lineRule="auto"/>
        <w:tabs>
          <w:tab w:leader="none" w:pos="1760" w:val="left"/>
        </w:tabs>
        <w:numPr>
          <w:ilvl w:val="0"/>
          <w:numId w:val="58"/>
        </w:numPr>
        <w:rPr>
          <w:rFonts w:ascii="Calibri" w:cs="Calibri" w:eastAsia="Calibri" w:hAnsi="Calibri"/>
          <w:sz w:val="12"/>
          <w:szCs w:val="12"/>
          <w:color w:val="auto"/>
        </w:rPr>
      </w:pPr>
      <w:r>
        <w:rPr>
          <w:rFonts w:ascii="Calibri" w:cs="Calibri" w:eastAsia="Calibri" w:hAnsi="Calibri"/>
          <w:sz w:val="12"/>
          <w:szCs w:val="12"/>
          <w:color w:val="auto"/>
        </w:rPr>
        <w:t>Regulatory Tier 1 Capital = Common Equity Tier 1 + Tier 1 Subordinated Debt (Perpetual).</w:t>
      </w:r>
    </w:p>
    <w:p>
      <w:pPr>
        <w:spacing w:after="0" w:line="56" w:lineRule="exact"/>
        <w:rPr>
          <w:rFonts w:ascii="Calibri" w:cs="Calibri" w:eastAsia="Calibri" w:hAnsi="Calibri"/>
          <w:sz w:val="12"/>
          <w:szCs w:val="12"/>
          <w:color w:val="auto"/>
        </w:rPr>
      </w:pPr>
    </w:p>
    <w:p>
      <w:pPr>
        <w:ind w:left="1760" w:hanging="294"/>
        <w:spacing w:after="0"/>
        <w:tabs>
          <w:tab w:leader="none" w:pos="1760" w:val="left"/>
        </w:tabs>
        <w:numPr>
          <w:ilvl w:val="0"/>
          <w:numId w:val="58"/>
        </w:numPr>
        <w:rPr>
          <w:rFonts w:ascii="Calibri" w:cs="Calibri" w:eastAsia="Calibri" w:hAnsi="Calibri"/>
          <w:sz w:val="12"/>
          <w:szCs w:val="12"/>
          <w:color w:val="auto"/>
        </w:rPr>
      </w:pPr>
      <w:r>
        <w:rPr>
          <w:rFonts w:ascii="Calibri" w:cs="Calibri" w:eastAsia="Calibri" w:hAnsi="Calibri"/>
          <w:sz w:val="12"/>
          <w:szCs w:val="12"/>
          <w:color w:val="auto"/>
        </w:rPr>
        <w:t>Regulatory Tier 2 Capital = Subordinated Debt + Loan loss reserves.</w:t>
      </w:r>
    </w:p>
    <w:p>
      <w:pPr>
        <w:spacing w:after="0" w:line="200" w:lineRule="exact"/>
        <w:rPr>
          <w:sz w:val="20"/>
          <w:szCs w:val="20"/>
          <w:color w:val="auto"/>
        </w:rPr>
      </w:pPr>
    </w:p>
    <w:p>
      <w:pPr>
        <w:spacing w:after="0" w:line="23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453"/>
        </w:trPr>
        <w:tc>
          <w:tcPr>
            <w:tcW w:w="2860" w:type="dxa"/>
            <w:vAlign w:val="bottom"/>
            <w:tcBorders>
              <w:left w:val="single" w:sz="8" w:color="auto"/>
            </w:tcBorders>
            <w:shd w:val="clear" w:color="auto" w:fill="000000"/>
          </w:tcPr>
          <w:p>
            <w:pPr>
              <w:ind w:left="2700"/>
              <w:spacing w:after="0"/>
              <w:rPr>
                <w:sz w:val="20"/>
                <w:szCs w:val="20"/>
                <w:color w:val="auto"/>
              </w:rPr>
            </w:pPr>
            <w:r>
              <w:rPr>
                <w:rFonts w:ascii="Calibri" w:cs="Calibri" w:eastAsia="Calibri" w:hAnsi="Calibri"/>
                <w:sz w:val="20"/>
                <w:szCs w:val="20"/>
                <w:color w:val="A6A6A6"/>
              </w:rPr>
              <w:t>|</w:t>
            </w:r>
          </w:p>
        </w:tc>
        <w:tc>
          <w:tcPr>
            <w:tcW w:w="2420" w:type="dxa"/>
            <w:vAlign w:val="bottom"/>
            <w:gridSpan w:val="2"/>
            <w:shd w:val="clear" w:color="auto" w:fill="000000"/>
          </w:tcPr>
          <w:p>
            <w:pPr>
              <w:jc w:val="right"/>
              <w:ind w:right="613"/>
              <w:spacing w:after="0"/>
              <w:rPr>
                <w:sz w:val="20"/>
                <w:szCs w:val="20"/>
                <w:color w:val="auto"/>
              </w:rPr>
            </w:pPr>
            <w:r>
              <w:rPr>
                <w:rFonts w:ascii="Calibri" w:cs="Calibri" w:eastAsia="Calibri" w:hAnsi="Calibri"/>
                <w:sz w:val="16"/>
                <w:szCs w:val="16"/>
                <w:b w:val="1"/>
                <w:bCs w:val="1"/>
                <w:color w:val="BFBFBF"/>
              </w:rPr>
              <w:t>Earnings Release 3Q / 24</w:t>
            </w:r>
          </w:p>
        </w:tc>
        <w:tc>
          <w:tcPr>
            <w:tcW w:w="1640" w:type="dxa"/>
            <w:vAlign w:val="bottom"/>
            <w:shd w:val="clear" w:color="auto" w:fill="000000"/>
          </w:tcPr>
          <w:p>
            <w:pPr>
              <w:spacing w:after="0"/>
              <w:rPr>
                <w:sz w:val="24"/>
                <w:szCs w:val="24"/>
                <w:color w:val="auto"/>
              </w:rPr>
            </w:pPr>
          </w:p>
        </w:tc>
        <w:tc>
          <w:tcPr>
            <w:tcW w:w="3280" w:type="dxa"/>
            <w:vAlign w:val="bottom"/>
            <w:gridSpan w:val="5"/>
            <w:shd w:val="clear" w:color="auto" w:fill="000000"/>
          </w:tcPr>
          <w:p>
            <w:pPr>
              <w:jc w:val="center"/>
              <w:ind w:left="596"/>
              <w:spacing w:after="0"/>
              <w:rPr>
                <w:sz w:val="20"/>
                <w:szCs w:val="20"/>
                <w:color w:val="auto"/>
              </w:rPr>
            </w:pPr>
            <w:r>
              <w:rPr>
                <w:rFonts w:ascii="Calibri" w:cs="Calibri" w:eastAsia="Calibri" w:hAnsi="Calibri"/>
                <w:sz w:val="16"/>
                <w:szCs w:val="16"/>
                <w:color w:val="ED3FA8"/>
              </w:rPr>
              <w:t>Analysis of 3Q24 Consolidated Results</w:t>
            </w:r>
          </w:p>
        </w:tc>
        <w:tc>
          <w:tcPr>
            <w:tcW w:w="1040" w:type="dxa"/>
            <w:vAlign w:val="bottom"/>
            <w:tcBorders>
              <w:right w:val="single" w:sz="8" w:color="auto"/>
            </w:tcBorders>
            <w:shd w:val="clear" w:color="auto" w:fill="000000"/>
          </w:tcPr>
          <w:p>
            <w:pPr>
              <w:spacing w:after="0"/>
              <w:rPr>
                <w:sz w:val="24"/>
                <w:szCs w:val="24"/>
                <w:color w:val="auto"/>
              </w:rPr>
            </w:pPr>
          </w:p>
        </w:tc>
      </w:tr>
      <w:tr>
        <w:trPr>
          <w:trHeight w:val="330"/>
        </w:trPr>
        <w:tc>
          <w:tcPr>
            <w:tcW w:w="2860" w:type="dxa"/>
            <w:vAlign w:val="bottom"/>
            <w:tcBorders>
              <w:left w:val="single" w:sz="8" w:color="auto"/>
            </w:tcBorders>
            <w:shd w:val="clear" w:color="auto" w:fill="000000"/>
          </w:tcPr>
          <w:p>
            <w:pPr>
              <w:spacing w:after="0"/>
              <w:rPr>
                <w:sz w:val="24"/>
                <w:szCs w:val="24"/>
                <w:color w:val="auto"/>
              </w:rPr>
            </w:pPr>
          </w:p>
        </w:tc>
        <w:tc>
          <w:tcPr>
            <w:tcW w:w="880" w:type="dxa"/>
            <w:vAlign w:val="bottom"/>
            <w:tcBorders>
              <w:right w:val="single" w:sz="8" w:color="auto"/>
            </w:tcBorders>
            <w:shd w:val="clear" w:color="auto" w:fill="000000"/>
          </w:tcPr>
          <w:p>
            <w:pPr>
              <w:spacing w:after="0"/>
              <w:rPr>
                <w:sz w:val="24"/>
                <w:szCs w:val="24"/>
                <w:color w:val="auto"/>
              </w:rPr>
            </w:pPr>
          </w:p>
        </w:tc>
        <w:tc>
          <w:tcPr>
            <w:tcW w:w="1540" w:type="dxa"/>
            <w:vAlign w:val="bottom"/>
            <w:shd w:val="clear" w:color="auto" w:fill="000000"/>
          </w:tcPr>
          <w:p>
            <w:pPr>
              <w:spacing w:after="0"/>
              <w:rPr>
                <w:sz w:val="24"/>
                <w:szCs w:val="24"/>
                <w:color w:val="auto"/>
              </w:rPr>
            </w:pPr>
          </w:p>
        </w:tc>
        <w:tc>
          <w:tcPr>
            <w:tcW w:w="1640" w:type="dxa"/>
            <w:vAlign w:val="bottom"/>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400" w:type="dxa"/>
            <w:vAlign w:val="bottom"/>
            <w:tcBorders>
              <w:right w:val="single" w:sz="8" w:color="auto"/>
            </w:tcBorders>
            <w:shd w:val="clear" w:color="auto" w:fill="000000"/>
          </w:tcPr>
          <w:p>
            <w:pPr>
              <w:spacing w:after="0"/>
              <w:rPr>
                <w:sz w:val="24"/>
                <w:szCs w:val="24"/>
                <w:color w:val="auto"/>
              </w:rPr>
            </w:pPr>
          </w:p>
        </w:tc>
        <w:tc>
          <w:tcPr>
            <w:tcW w:w="200" w:type="dxa"/>
            <w:vAlign w:val="bottom"/>
            <w:tcBorders>
              <w:right w:val="single" w:sz="8" w:color="auto"/>
            </w:tcBorders>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980" w:type="dxa"/>
            <w:vAlign w:val="bottom"/>
            <w:shd w:val="clear" w:color="auto" w:fill="000000"/>
          </w:tcPr>
          <w:p>
            <w:pPr>
              <w:spacing w:after="0"/>
              <w:rPr>
                <w:sz w:val="24"/>
                <w:szCs w:val="24"/>
                <w:color w:val="auto"/>
              </w:rPr>
            </w:pPr>
          </w:p>
        </w:tc>
        <w:tc>
          <w:tcPr>
            <w:tcW w:w="1040" w:type="dxa"/>
            <w:vAlign w:val="bottom"/>
            <w:tcBorders>
              <w:right w:val="single" w:sz="8" w:color="auto"/>
            </w:tcBorders>
            <w:shd w:val="clear" w:color="auto" w:fill="000000"/>
          </w:tcPr>
          <w:p>
            <w:pPr>
              <w:spacing w:after="0"/>
              <w:rPr>
                <w:sz w:val="24"/>
                <w:szCs w:val="24"/>
                <w:color w:val="auto"/>
              </w:rPr>
            </w:pPr>
          </w:p>
        </w:tc>
      </w:tr>
      <w:tr>
        <w:trPr>
          <w:trHeight w:val="264"/>
        </w:trPr>
        <w:tc>
          <w:tcPr>
            <w:tcW w:w="286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880" w:type="dxa"/>
            <w:vAlign w:val="bottom"/>
            <w:tcBorders>
              <w:right w:val="single" w:sz="8" w:color="E93BAC"/>
            </w:tcBorders>
            <w:shd w:val="clear" w:color="auto" w:fill="E93BAC"/>
          </w:tcPr>
          <w:p>
            <w:pPr>
              <w:spacing w:after="0"/>
              <w:rPr>
                <w:sz w:val="22"/>
                <w:szCs w:val="22"/>
                <w:color w:val="auto"/>
              </w:rPr>
            </w:pPr>
          </w:p>
        </w:tc>
        <w:tc>
          <w:tcPr>
            <w:tcW w:w="1540" w:type="dxa"/>
            <w:vAlign w:val="bottom"/>
            <w:shd w:val="clear" w:color="auto" w:fill="E93BAC"/>
          </w:tcPr>
          <w:p>
            <w:pPr>
              <w:spacing w:after="0"/>
              <w:rPr>
                <w:sz w:val="22"/>
                <w:szCs w:val="22"/>
                <w:color w:val="auto"/>
              </w:rPr>
            </w:pPr>
          </w:p>
        </w:tc>
        <w:tc>
          <w:tcPr>
            <w:tcW w:w="1640" w:type="dxa"/>
            <w:vAlign w:val="bottom"/>
            <w:shd w:val="clear" w:color="auto" w:fill="E93BAC"/>
          </w:tcPr>
          <w:p>
            <w:pPr>
              <w:spacing w:after="0"/>
              <w:rPr>
                <w:sz w:val="22"/>
                <w:szCs w:val="22"/>
                <w:color w:val="auto"/>
              </w:rPr>
            </w:pPr>
          </w:p>
        </w:tc>
        <w:tc>
          <w:tcPr>
            <w:tcW w:w="800" w:type="dxa"/>
            <w:vAlign w:val="bottom"/>
            <w:shd w:val="clear" w:color="auto" w:fill="E93BAC"/>
          </w:tcPr>
          <w:p>
            <w:pPr>
              <w:spacing w:after="0"/>
              <w:rPr>
                <w:sz w:val="22"/>
                <w:szCs w:val="22"/>
                <w:color w:val="auto"/>
              </w:rPr>
            </w:pPr>
          </w:p>
        </w:tc>
        <w:tc>
          <w:tcPr>
            <w:tcW w:w="400" w:type="dxa"/>
            <w:vAlign w:val="bottom"/>
            <w:tcBorders>
              <w:right w:val="single" w:sz="8" w:color="E93BAC"/>
            </w:tcBorders>
            <w:shd w:val="clear" w:color="auto" w:fill="E93BAC"/>
          </w:tcPr>
          <w:p>
            <w:pPr>
              <w:spacing w:after="0"/>
              <w:rPr>
                <w:sz w:val="22"/>
                <w:szCs w:val="22"/>
                <w:color w:val="auto"/>
              </w:rPr>
            </w:pPr>
          </w:p>
        </w:tc>
        <w:tc>
          <w:tcPr>
            <w:tcW w:w="200" w:type="dxa"/>
            <w:vAlign w:val="bottom"/>
            <w:tcBorders>
              <w:right w:val="single" w:sz="8" w:color="E93BAC"/>
            </w:tcBorders>
            <w:shd w:val="clear" w:color="auto" w:fill="E93BAC"/>
          </w:tcPr>
          <w:p>
            <w:pPr>
              <w:spacing w:after="0"/>
              <w:rPr>
                <w:sz w:val="22"/>
                <w:szCs w:val="22"/>
                <w:color w:val="auto"/>
              </w:rPr>
            </w:pPr>
          </w:p>
        </w:tc>
        <w:tc>
          <w:tcPr>
            <w:tcW w:w="900" w:type="dxa"/>
            <w:vAlign w:val="bottom"/>
            <w:shd w:val="clear" w:color="auto" w:fill="E93BAC"/>
          </w:tcPr>
          <w:p>
            <w:pPr>
              <w:spacing w:after="0"/>
              <w:rPr>
                <w:sz w:val="22"/>
                <w:szCs w:val="22"/>
                <w:color w:val="auto"/>
              </w:rPr>
            </w:pPr>
          </w:p>
        </w:tc>
        <w:tc>
          <w:tcPr>
            <w:tcW w:w="980" w:type="dxa"/>
            <w:vAlign w:val="bottom"/>
            <w:shd w:val="clear" w:color="auto" w:fill="E93BAC"/>
          </w:tcPr>
          <w:p>
            <w:pPr>
              <w:spacing w:after="0"/>
              <w:rPr>
                <w:sz w:val="22"/>
                <w:szCs w:val="22"/>
                <w:color w:val="auto"/>
              </w:rPr>
            </w:pPr>
          </w:p>
        </w:tc>
        <w:tc>
          <w:tcPr>
            <w:tcW w:w="1040" w:type="dxa"/>
            <w:vAlign w:val="bottom"/>
            <w:tcBorders>
              <w:right w:val="single" w:sz="8" w:color="E93BAC"/>
            </w:tcBorders>
            <w:shd w:val="clear" w:color="auto" w:fill="E93BAC"/>
          </w:tcPr>
          <w:p>
            <w:pPr>
              <w:spacing w:after="0"/>
              <w:rPr>
                <w:sz w:val="22"/>
                <w:szCs w:val="22"/>
                <w:color w:val="auto"/>
              </w:rPr>
            </w:pPr>
          </w:p>
        </w:tc>
      </w:tr>
      <w:tr>
        <w:trPr>
          <w:trHeight w:val="87"/>
        </w:trPr>
        <w:tc>
          <w:tcPr>
            <w:tcW w:w="2860" w:type="dxa"/>
            <w:vAlign w:val="bottom"/>
            <w:tcBorders>
              <w:left w:val="single" w:sz="8" w:color="E93BAC"/>
            </w:tcBorders>
            <w:shd w:val="clear" w:color="auto" w:fill="E93BAC"/>
          </w:tcPr>
          <w:p>
            <w:pPr>
              <w:spacing w:after="0"/>
              <w:rPr>
                <w:sz w:val="7"/>
                <w:szCs w:val="7"/>
                <w:color w:val="auto"/>
              </w:rPr>
            </w:pPr>
          </w:p>
        </w:tc>
        <w:tc>
          <w:tcPr>
            <w:tcW w:w="880" w:type="dxa"/>
            <w:vAlign w:val="bottom"/>
            <w:tcBorders>
              <w:right w:val="single" w:sz="8" w:color="E93BAC"/>
            </w:tcBorders>
            <w:shd w:val="clear" w:color="auto" w:fill="E93BAC"/>
          </w:tcPr>
          <w:p>
            <w:pPr>
              <w:spacing w:after="0"/>
              <w:rPr>
                <w:sz w:val="7"/>
                <w:szCs w:val="7"/>
                <w:color w:val="auto"/>
              </w:rPr>
            </w:pPr>
          </w:p>
        </w:tc>
        <w:tc>
          <w:tcPr>
            <w:tcW w:w="3180" w:type="dxa"/>
            <w:vAlign w:val="bottom"/>
            <w:gridSpan w:val="2"/>
            <w:shd w:val="clear" w:color="auto" w:fill="E93BAC"/>
          </w:tcPr>
          <w:p>
            <w:pPr>
              <w:spacing w:after="0"/>
              <w:rPr>
                <w:sz w:val="7"/>
                <w:szCs w:val="7"/>
                <w:color w:val="auto"/>
              </w:rPr>
            </w:pPr>
          </w:p>
        </w:tc>
        <w:tc>
          <w:tcPr>
            <w:tcW w:w="800" w:type="dxa"/>
            <w:vAlign w:val="bottom"/>
            <w:shd w:val="clear" w:color="auto" w:fill="E93BAC"/>
          </w:tcPr>
          <w:p>
            <w:pPr>
              <w:spacing w:after="0"/>
              <w:rPr>
                <w:sz w:val="7"/>
                <w:szCs w:val="7"/>
                <w:color w:val="auto"/>
              </w:rPr>
            </w:pPr>
          </w:p>
        </w:tc>
        <w:tc>
          <w:tcPr>
            <w:tcW w:w="400" w:type="dxa"/>
            <w:vAlign w:val="bottom"/>
            <w:tcBorders>
              <w:right w:val="single" w:sz="8" w:color="E93BAC"/>
            </w:tcBorders>
            <w:shd w:val="clear" w:color="auto" w:fill="E93BAC"/>
          </w:tcPr>
          <w:p>
            <w:pPr>
              <w:spacing w:after="0"/>
              <w:rPr>
                <w:sz w:val="7"/>
                <w:szCs w:val="7"/>
                <w:color w:val="auto"/>
              </w:rPr>
            </w:pPr>
          </w:p>
        </w:tc>
        <w:tc>
          <w:tcPr>
            <w:tcW w:w="200" w:type="dxa"/>
            <w:vAlign w:val="bottom"/>
            <w:tcBorders>
              <w:right w:val="single" w:sz="8" w:color="E93BAC"/>
            </w:tcBorders>
            <w:shd w:val="clear" w:color="auto" w:fill="E93BAC"/>
          </w:tcPr>
          <w:p>
            <w:pPr>
              <w:spacing w:after="0"/>
              <w:rPr>
                <w:sz w:val="7"/>
                <w:szCs w:val="7"/>
                <w:color w:val="auto"/>
              </w:rPr>
            </w:pPr>
          </w:p>
        </w:tc>
        <w:tc>
          <w:tcPr>
            <w:tcW w:w="900" w:type="dxa"/>
            <w:vAlign w:val="bottom"/>
            <w:shd w:val="clear" w:color="auto" w:fill="E93BAC"/>
          </w:tcPr>
          <w:p>
            <w:pPr>
              <w:spacing w:after="0"/>
              <w:rPr>
                <w:sz w:val="7"/>
                <w:szCs w:val="7"/>
                <w:color w:val="auto"/>
              </w:rPr>
            </w:pPr>
          </w:p>
        </w:tc>
        <w:tc>
          <w:tcPr>
            <w:tcW w:w="980" w:type="dxa"/>
            <w:vAlign w:val="bottom"/>
            <w:shd w:val="clear" w:color="auto" w:fill="E93BAC"/>
          </w:tcPr>
          <w:p>
            <w:pPr>
              <w:spacing w:after="0"/>
              <w:rPr>
                <w:sz w:val="7"/>
                <w:szCs w:val="7"/>
                <w:color w:val="auto"/>
              </w:rPr>
            </w:pPr>
          </w:p>
        </w:tc>
        <w:tc>
          <w:tcPr>
            <w:tcW w:w="1040" w:type="dxa"/>
            <w:vAlign w:val="bottom"/>
            <w:tcBorders>
              <w:right w:val="single" w:sz="8" w:color="E93BAC"/>
            </w:tcBorders>
            <w:shd w:val="clear" w:color="auto" w:fill="E93BAC"/>
          </w:tcPr>
          <w:p>
            <w:pPr>
              <w:spacing w:after="0"/>
              <w:rPr>
                <w:sz w:val="7"/>
                <w:szCs w:val="7"/>
                <w:color w:val="auto"/>
              </w:rPr>
            </w:pPr>
          </w:p>
        </w:tc>
      </w:tr>
      <w:tr>
        <w:trPr>
          <w:trHeight w:val="355"/>
        </w:trPr>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80" w:type="dxa"/>
            <w:vAlign w:val="bottom"/>
            <w:gridSpan w:val="2"/>
          </w:tcPr>
          <w:p>
            <w:pPr>
              <w:jc w:val="center"/>
              <w:ind w:left="513"/>
              <w:spacing w:after="0"/>
              <w:rPr>
                <w:sz w:val="20"/>
                <w:szCs w:val="20"/>
                <w:color w:val="auto"/>
              </w:rPr>
            </w:pPr>
            <w:r>
              <w:rPr>
                <w:rFonts w:ascii="Calibri" w:cs="Calibri" w:eastAsia="Calibri" w:hAnsi="Calibri"/>
                <w:sz w:val="18"/>
                <w:szCs w:val="18"/>
                <w:b w:val="1"/>
                <w:bCs w:val="1"/>
                <w:color w:val="auto"/>
                <w:w w:val="97"/>
              </w:rPr>
              <w:t>Common Equity Tier 1 IFRS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80" w:type="dxa"/>
            <w:vAlign w:val="bottom"/>
            <w:gridSpan w:val="2"/>
          </w:tcPr>
          <w:p>
            <w:pPr>
              <w:jc w:val="center"/>
              <w:ind w:left="513"/>
              <w:spacing w:after="0"/>
              <w:rPr>
                <w:sz w:val="20"/>
                <w:szCs w:val="20"/>
                <w:color w:val="auto"/>
              </w:rPr>
            </w:pPr>
            <w:r>
              <w:rPr>
                <w:rFonts w:ascii="Calibri" w:cs="Calibri" w:eastAsia="Calibri" w:hAnsi="Calibri"/>
                <w:sz w:val="18"/>
                <w:szCs w:val="18"/>
                <w:b w:val="1"/>
                <w:bCs w:val="1"/>
                <w:color w:val="auto"/>
                <w:w w:val="97"/>
              </w:rPr>
              <w:t>BCP Stand-alone</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5"/>
        </w:trPr>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2860" w:type="dxa"/>
            <w:vAlign w:val="bottom"/>
            <w:tcBorders>
              <w:left w:val="single" w:sz="8" w:color="auto"/>
            </w:tcBorders>
            <w:shd w:val="clear" w:color="auto" w:fill="2AD2C9"/>
          </w:tcPr>
          <w:p>
            <w:pPr>
              <w:ind w:left="20"/>
              <w:spacing w:after="0" w:line="142" w:lineRule="exact"/>
              <w:rPr>
                <w:sz w:val="20"/>
                <w:szCs w:val="20"/>
                <w:color w:val="auto"/>
              </w:rPr>
            </w:pPr>
            <w:r>
              <w:rPr>
                <w:rFonts w:ascii="Calibri" w:cs="Calibri" w:eastAsia="Calibri" w:hAnsi="Calibri"/>
                <w:sz w:val="13"/>
                <w:szCs w:val="13"/>
                <w:b w:val="1"/>
                <w:bCs w:val="1"/>
                <w:color w:val="FFFFFF"/>
              </w:rPr>
              <w:t>Common Equity Tier 1 IFRS</w:t>
            </w:r>
          </w:p>
        </w:tc>
        <w:tc>
          <w:tcPr>
            <w:tcW w:w="880" w:type="dxa"/>
            <w:vAlign w:val="bottom"/>
            <w:tcBorders>
              <w:right w:val="single" w:sz="8" w:color="auto"/>
            </w:tcBorders>
            <w:shd w:val="clear" w:color="auto" w:fill="2AD2C9"/>
          </w:tcPr>
          <w:p>
            <w:pPr>
              <w:spacing w:after="0"/>
              <w:rPr>
                <w:sz w:val="12"/>
                <w:szCs w:val="12"/>
                <w:color w:val="auto"/>
              </w:rPr>
            </w:pPr>
          </w:p>
        </w:tc>
        <w:tc>
          <w:tcPr>
            <w:tcW w:w="1540" w:type="dxa"/>
            <w:vAlign w:val="bottom"/>
            <w:shd w:val="clear" w:color="auto" w:fill="2AD2C9"/>
          </w:tcPr>
          <w:p>
            <w:pPr>
              <w:spacing w:after="0"/>
              <w:rPr>
                <w:sz w:val="12"/>
                <w:szCs w:val="12"/>
                <w:color w:val="auto"/>
              </w:rPr>
            </w:pPr>
          </w:p>
        </w:tc>
        <w:tc>
          <w:tcPr>
            <w:tcW w:w="1640" w:type="dxa"/>
            <w:vAlign w:val="bottom"/>
            <w:shd w:val="clear" w:color="auto" w:fill="2AD2C9"/>
          </w:tcPr>
          <w:p>
            <w:pPr>
              <w:jc w:val="right"/>
              <w:ind w:right="755"/>
              <w:spacing w:after="0" w:line="142" w:lineRule="exact"/>
              <w:rPr>
                <w:sz w:val="20"/>
                <w:szCs w:val="20"/>
                <w:color w:val="auto"/>
              </w:rPr>
            </w:pPr>
            <w:r>
              <w:rPr>
                <w:rFonts w:ascii="Calibri" w:cs="Calibri" w:eastAsia="Calibri" w:hAnsi="Calibri"/>
                <w:sz w:val="13"/>
                <w:szCs w:val="13"/>
                <w:b w:val="1"/>
                <w:bCs w:val="1"/>
                <w:color w:val="FFFFFF"/>
              </w:rPr>
              <w:t>Quarter</w:t>
            </w:r>
          </w:p>
        </w:tc>
        <w:tc>
          <w:tcPr>
            <w:tcW w:w="800" w:type="dxa"/>
            <w:vAlign w:val="bottom"/>
            <w:shd w:val="clear" w:color="auto" w:fill="2AD2C9"/>
          </w:tcPr>
          <w:p>
            <w:pPr>
              <w:spacing w:after="0"/>
              <w:rPr>
                <w:sz w:val="12"/>
                <w:szCs w:val="12"/>
                <w:color w:val="auto"/>
              </w:rPr>
            </w:pPr>
          </w:p>
        </w:tc>
        <w:tc>
          <w:tcPr>
            <w:tcW w:w="400" w:type="dxa"/>
            <w:vAlign w:val="bottom"/>
            <w:tcBorders>
              <w:right w:val="single" w:sz="8" w:color="auto"/>
            </w:tcBorders>
            <w:shd w:val="clear" w:color="auto" w:fill="2AD2C9"/>
          </w:tcPr>
          <w:p>
            <w:pPr>
              <w:spacing w:after="0"/>
              <w:rPr>
                <w:sz w:val="12"/>
                <w:szCs w:val="12"/>
                <w:color w:val="auto"/>
              </w:rPr>
            </w:pPr>
          </w:p>
        </w:tc>
        <w:tc>
          <w:tcPr>
            <w:tcW w:w="200" w:type="dxa"/>
            <w:vAlign w:val="bottom"/>
            <w:tcBorders>
              <w:right w:val="single" w:sz="8" w:color="2AD2C9"/>
            </w:tcBorders>
            <w:shd w:val="clear" w:color="auto" w:fill="2AD2C9"/>
          </w:tcPr>
          <w:p>
            <w:pPr>
              <w:spacing w:after="0"/>
              <w:rPr>
                <w:sz w:val="12"/>
                <w:szCs w:val="12"/>
                <w:color w:val="auto"/>
              </w:rPr>
            </w:pPr>
          </w:p>
        </w:tc>
        <w:tc>
          <w:tcPr>
            <w:tcW w:w="900" w:type="dxa"/>
            <w:vAlign w:val="bottom"/>
            <w:shd w:val="clear" w:color="auto" w:fill="2AD2C9"/>
          </w:tcPr>
          <w:p>
            <w:pPr>
              <w:spacing w:after="0"/>
              <w:rPr>
                <w:sz w:val="12"/>
                <w:szCs w:val="12"/>
                <w:color w:val="auto"/>
              </w:rPr>
            </w:pPr>
          </w:p>
        </w:tc>
        <w:tc>
          <w:tcPr>
            <w:tcW w:w="980" w:type="dxa"/>
            <w:vAlign w:val="bottom"/>
            <w:shd w:val="clear" w:color="auto" w:fill="2AD2C9"/>
          </w:tcPr>
          <w:p>
            <w:pPr>
              <w:jc w:val="right"/>
              <w:ind w:right="216"/>
              <w:spacing w:after="0" w:line="142" w:lineRule="exact"/>
              <w:rPr>
                <w:sz w:val="20"/>
                <w:szCs w:val="20"/>
                <w:color w:val="auto"/>
              </w:rPr>
            </w:pPr>
            <w:r>
              <w:rPr>
                <w:rFonts w:ascii="Calibri" w:cs="Calibri" w:eastAsia="Calibri" w:hAnsi="Calibri"/>
                <w:sz w:val="13"/>
                <w:szCs w:val="13"/>
                <w:b w:val="1"/>
                <w:bCs w:val="1"/>
                <w:color w:val="FFFFFF"/>
              </w:rPr>
              <w:t>% Change</w:t>
            </w:r>
          </w:p>
        </w:tc>
        <w:tc>
          <w:tcPr>
            <w:tcW w:w="1040" w:type="dxa"/>
            <w:vAlign w:val="bottom"/>
            <w:tcBorders>
              <w:right w:val="single" w:sz="8" w:color="auto"/>
            </w:tcBorders>
            <w:shd w:val="clear" w:color="auto" w:fill="2AD2C9"/>
          </w:tcPr>
          <w:p>
            <w:pPr>
              <w:spacing w:after="0"/>
              <w:rPr>
                <w:sz w:val="12"/>
                <w:szCs w:val="12"/>
                <w:color w:val="auto"/>
              </w:rPr>
            </w:pPr>
          </w:p>
        </w:tc>
      </w:tr>
      <w:tr>
        <w:trPr>
          <w:trHeight w:val="149"/>
        </w:trPr>
        <w:tc>
          <w:tcPr>
            <w:tcW w:w="2860" w:type="dxa"/>
            <w:vAlign w:val="bottom"/>
            <w:tcBorders>
              <w:left w:val="single" w:sz="8" w:color="auto"/>
            </w:tcBorders>
            <w:shd w:val="clear" w:color="auto" w:fill="2AD2C9"/>
          </w:tcPr>
          <w:p>
            <w:pPr>
              <w:ind w:left="20"/>
              <w:spacing w:after="0" w:line="149" w:lineRule="exact"/>
              <w:rPr>
                <w:sz w:val="20"/>
                <w:szCs w:val="20"/>
                <w:color w:val="auto"/>
              </w:rPr>
            </w:pPr>
            <w:r>
              <w:rPr>
                <w:rFonts w:ascii="Calibri" w:cs="Calibri" w:eastAsia="Calibri" w:hAnsi="Calibri"/>
                <w:sz w:val="13"/>
                <w:szCs w:val="13"/>
                <w:color w:val="FFFFFF"/>
              </w:rPr>
              <w:t>(S/. thousand)</w:t>
            </w:r>
          </w:p>
        </w:tc>
        <w:tc>
          <w:tcPr>
            <w:tcW w:w="880" w:type="dxa"/>
            <w:vAlign w:val="bottom"/>
            <w:tcBorders>
              <w:right w:val="single" w:sz="8" w:color="auto"/>
            </w:tcBorders>
            <w:shd w:val="clear" w:color="auto" w:fill="2AD2C9"/>
          </w:tcPr>
          <w:p>
            <w:pPr>
              <w:spacing w:after="0"/>
              <w:rPr>
                <w:sz w:val="12"/>
                <w:szCs w:val="12"/>
                <w:color w:val="auto"/>
              </w:rPr>
            </w:pPr>
          </w:p>
        </w:tc>
        <w:tc>
          <w:tcPr>
            <w:tcW w:w="1540" w:type="dxa"/>
            <w:vAlign w:val="bottom"/>
            <w:shd w:val="clear" w:color="auto" w:fill="2AD2C9"/>
          </w:tcPr>
          <w:p>
            <w:pPr>
              <w:jc w:val="right"/>
              <w:ind w:right="673"/>
              <w:spacing w:after="0" w:line="149" w:lineRule="exact"/>
              <w:rPr>
                <w:sz w:val="20"/>
                <w:szCs w:val="20"/>
                <w:color w:val="auto"/>
              </w:rPr>
            </w:pPr>
            <w:r>
              <w:rPr>
                <w:rFonts w:ascii="Calibri" w:cs="Calibri" w:eastAsia="Calibri" w:hAnsi="Calibri"/>
                <w:sz w:val="13"/>
                <w:szCs w:val="13"/>
                <w:b w:val="1"/>
                <w:bCs w:val="1"/>
                <w:color w:val="FFFFFF"/>
              </w:rPr>
              <w:t>Sep 23</w:t>
            </w:r>
          </w:p>
        </w:tc>
        <w:tc>
          <w:tcPr>
            <w:tcW w:w="1640" w:type="dxa"/>
            <w:vAlign w:val="bottom"/>
            <w:shd w:val="clear" w:color="auto" w:fill="2AD2C9"/>
          </w:tcPr>
          <w:p>
            <w:pPr>
              <w:jc w:val="right"/>
              <w:ind w:right="875"/>
              <w:spacing w:after="0" w:line="149" w:lineRule="exact"/>
              <w:rPr>
                <w:sz w:val="20"/>
                <w:szCs w:val="20"/>
                <w:color w:val="auto"/>
              </w:rPr>
            </w:pPr>
            <w:r>
              <w:rPr>
                <w:rFonts w:ascii="Calibri" w:cs="Calibri" w:eastAsia="Calibri" w:hAnsi="Calibri"/>
                <w:sz w:val="13"/>
                <w:szCs w:val="13"/>
                <w:b w:val="1"/>
                <w:bCs w:val="1"/>
                <w:color w:val="FFFFFF"/>
              </w:rPr>
              <w:t>Jun 24</w:t>
            </w:r>
          </w:p>
        </w:tc>
        <w:tc>
          <w:tcPr>
            <w:tcW w:w="800" w:type="dxa"/>
            <w:vAlign w:val="bottom"/>
            <w:shd w:val="clear" w:color="auto" w:fill="2AD2C9"/>
          </w:tcPr>
          <w:p>
            <w:pPr>
              <w:jc w:val="right"/>
              <w:ind w:right="156"/>
              <w:spacing w:after="0" w:line="149" w:lineRule="exact"/>
              <w:rPr>
                <w:sz w:val="20"/>
                <w:szCs w:val="20"/>
                <w:color w:val="auto"/>
              </w:rPr>
            </w:pPr>
            <w:r>
              <w:rPr>
                <w:rFonts w:ascii="Calibri" w:cs="Calibri" w:eastAsia="Calibri" w:hAnsi="Calibri"/>
                <w:sz w:val="13"/>
                <w:szCs w:val="13"/>
                <w:b w:val="1"/>
                <w:bCs w:val="1"/>
                <w:color w:val="FFFFFF"/>
              </w:rPr>
              <w:t>Sep 24</w:t>
            </w:r>
          </w:p>
        </w:tc>
        <w:tc>
          <w:tcPr>
            <w:tcW w:w="400" w:type="dxa"/>
            <w:vAlign w:val="bottom"/>
            <w:tcBorders>
              <w:right w:val="single" w:sz="8" w:color="auto"/>
            </w:tcBorders>
            <w:shd w:val="clear" w:color="auto" w:fill="2AD2C9"/>
          </w:tcPr>
          <w:p>
            <w:pPr>
              <w:spacing w:after="0"/>
              <w:rPr>
                <w:sz w:val="12"/>
                <w:szCs w:val="12"/>
                <w:color w:val="auto"/>
              </w:rPr>
            </w:pPr>
          </w:p>
        </w:tc>
        <w:tc>
          <w:tcPr>
            <w:tcW w:w="200" w:type="dxa"/>
            <w:vAlign w:val="bottom"/>
            <w:tcBorders>
              <w:right w:val="single" w:sz="8" w:color="2AD2C9"/>
            </w:tcBorders>
            <w:shd w:val="clear" w:color="auto" w:fill="2AD2C9"/>
          </w:tcPr>
          <w:p>
            <w:pPr>
              <w:spacing w:after="0"/>
              <w:rPr>
                <w:sz w:val="12"/>
                <w:szCs w:val="12"/>
                <w:color w:val="auto"/>
              </w:rPr>
            </w:pPr>
          </w:p>
        </w:tc>
        <w:tc>
          <w:tcPr>
            <w:tcW w:w="900" w:type="dxa"/>
            <w:vAlign w:val="bottom"/>
            <w:shd w:val="clear" w:color="auto" w:fill="2AD2C9"/>
          </w:tcPr>
          <w:p>
            <w:pPr>
              <w:jc w:val="center"/>
              <w:ind w:left="197"/>
              <w:spacing w:after="0" w:line="149" w:lineRule="exact"/>
              <w:rPr>
                <w:sz w:val="20"/>
                <w:szCs w:val="20"/>
                <w:color w:val="auto"/>
              </w:rPr>
            </w:pPr>
            <w:r>
              <w:rPr>
                <w:rFonts w:ascii="Calibri" w:cs="Calibri" w:eastAsia="Calibri" w:hAnsi="Calibri"/>
                <w:sz w:val="13"/>
                <w:szCs w:val="13"/>
                <w:b w:val="1"/>
                <w:bCs w:val="1"/>
                <w:color w:val="FFFFFF"/>
                <w:w w:val="96"/>
              </w:rPr>
              <w:t>QoQ</w:t>
            </w:r>
          </w:p>
        </w:tc>
        <w:tc>
          <w:tcPr>
            <w:tcW w:w="980" w:type="dxa"/>
            <w:vAlign w:val="bottom"/>
            <w:shd w:val="clear" w:color="auto" w:fill="2AD2C9"/>
          </w:tcPr>
          <w:p>
            <w:pPr>
              <w:jc w:val="right"/>
              <w:ind w:right="256"/>
              <w:spacing w:after="0" w:line="149" w:lineRule="exact"/>
              <w:rPr>
                <w:sz w:val="20"/>
                <w:szCs w:val="20"/>
                <w:color w:val="auto"/>
              </w:rPr>
            </w:pPr>
            <w:r>
              <w:rPr>
                <w:rFonts w:ascii="Calibri" w:cs="Calibri" w:eastAsia="Calibri" w:hAnsi="Calibri"/>
                <w:sz w:val="13"/>
                <w:szCs w:val="13"/>
                <w:b w:val="1"/>
                <w:bCs w:val="1"/>
                <w:color w:val="FFFFFF"/>
              </w:rPr>
              <w:t>YoY</w:t>
            </w:r>
          </w:p>
        </w:tc>
        <w:tc>
          <w:tcPr>
            <w:tcW w:w="1040" w:type="dxa"/>
            <w:vAlign w:val="bottom"/>
            <w:tcBorders>
              <w:right w:val="single" w:sz="8" w:color="auto"/>
            </w:tcBorders>
            <w:shd w:val="clear" w:color="auto" w:fill="2AD2C9"/>
          </w:tcPr>
          <w:p>
            <w:pPr>
              <w:spacing w:after="0"/>
              <w:rPr>
                <w:sz w:val="12"/>
                <w:szCs w:val="12"/>
                <w:color w:val="auto"/>
              </w:rPr>
            </w:pPr>
          </w:p>
        </w:tc>
      </w:tr>
      <w:tr>
        <w:trPr>
          <w:trHeight w:val="138"/>
        </w:trPr>
        <w:tc>
          <w:tcPr>
            <w:tcW w:w="2860" w:type="dxa"/>
            <w:vAlign w:val="bottom"/>
            <w:tcBorders>
              <w:left w:val="single" w:sz="8" w:color="auto"/>
            </w:tcBorders>
          </w:tcPr>
          <w:p>
            <w:pPr>
              <w:ind w:left="20"/>
              <w:spacing w:after="0" w:line="138" w:lineRule="exact"/>
              <w:rPr>
                <w:sz w:val="20"/>
                <w:szCs w:val="20"/>
                <w:color w:val="auto"/>
              </w:rPr>
            </w:pPr>
            <w:r>
              <w:rPr>
                <w:rFonts w:ascii="Calibri" w:cs="Calibri" w:eastAsia="Calibri" w:hAnsi="Calibri"/>
                <w:sz w:val="13"/>
                <w:szCs w:val="13"/>
                <w:color w:val="auto"/>
              </w:rPr>
              <w:t>Capital and reserves</w:t>
            </w:r>
          </w:p>
        </w:tc>
        <w:tc>
          <w:tcPr>
            <w:tcW w:w="880" w:type="dxa"/>
            <w:vAlign w:val="bottom"/>
            <w:tcBorders>
              <w:right w:val="single" w:sz="8" w:color="auto"/>
            </w:tcBorders>
          </w:tcPr>
          <w:p>
            <w:pPr>
              <w:spacing w:after="0"/>
              <w:rPr>
                <w:sz w:val="12"/>
                <w:szCs w:val="12"/>
                <w:color w:val="auto"/>
              </w:rPr>
            </w:pPr>
          </w:p>
        </w:tc>
        <w:tc>
          <w:tcPr>
            <w:tcW w:w="1540" w:type="dxa"/>
            <w:vAlign w:val="bottom"/>
          </w:tcPr>
          <w:p>
            <w:pPr>
              <w:jc w:val="right"/>
              <w:ind w:right="473"/>
              <w:spacing w:after="0" w:line="138" w:lineRule="exact"/>
              <w:rPr>
                <w:sz w:val="20"/>
                <w:szCs w:val="20"/>
                <w:color w:val="auto"/>
              </w:rPr>
            </w:pPr>
            <w:r>
              <w:rPr>
                <w:rFonts w:ascii="Calibri" w:cs="Calibri" w:eastAsia="Calibri" w:hAnsi="Calibri"/>
                <w:sz w:val="13"/>
                <w:szCs w:val="13"/>
                <w:color w:val="auto"/>
              </w:rPr>
              <w:t>19,500,725</w:t>
            </w:r>
          </w:p>
        </w:tc>
        <w:tc>
          <w:tcPr>
            <w:tcW w:w="1640" w:type="dxa"/>
            <w:vAlign w:val="bottom"/>
          </w:tcPr>
          <w:p>
            <w:pPr>
              <w:jc w:val="right"/>
              <w:ind w:right="675"/>
              <w:spacing w:after="0" w:line="138" w:lineRule="exact"/>
              <w:rPr>
                <w:sz w:val="20"/>
                <w:szCs w:val="20"/>
                <w:color w:val="auto"/>
              </w:rPr>
            </w:pPr>
            <w:r>
              <w:rPr>
                <w:rFonts w:ascii="Calibri" w:cs="Calibri" w:eastAsia="Calibri" w:hAnsi="Calibri"/>
                <w:sz w:val="13"/>
                <w:szCs w:val="13"/>
                <w:color w:val="auto"/>
              </w:rPr>
              <w:t>19,052,262</w:t>
            </w:r>
          </w:p>
        </w:tc>
        <w:tc>
          <w:tcPr>
            <w:tcW w:w="800" w:type="dxa"/>
            <w:vAlign w:val="bottom"/>
          </w:tcPr>
          <w:p>
            <w:pPr>
              <w:jc w:val="right"/>
              <w:spacing w:after="0" w:line="138" w:lineRule="exact"/>
              <w:rPr>
                <w:sz w:val="20"/>
                <w:szCs w:val="20"/>
                <w:color w:val="auto"/>
              </w:rPr>
            </w:pPr>
            <w:r>
              <w:rPr>
                <w:rFonts w:ascii="Calibri" w:cs="Calibri" w:eastAsia="Calibri" w:hAnsi="Calibri"/>
                <w:sz w:val="13"/>
                <w:szCs w:val="13"/>
                <w:color w:val="auto"/>
              </w:rPr>
              <w:t>19,052,262</w:t>
            </w:r>
          </w:p>
        </w:tc>
        <w:tc>
          <w:tcPr>
            <w:tcW w:w="40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left="397"/>
              <w:spacing w:after="0" w:line="138" w:lineRule="exact"/>
              <w:rPr>
                <w:sz w:val="20"/>
                <w:szCs w:val="20"/>
                <w:color w:val="auto"/>
              </w:rPr>
            </w:pPr>
            <w:r>
              <w:rPr>
                <w:rFonts w:ascii="Calibri" w:cs="Calibri" w:eastAsia="Calibri" w:hAnsi="Calibri"/>
                <w:sz w:val="13"/>
                <w:szCs w:val="13"/>
                <w:color w:val="auto"/>
                <w:w w:val="93"/>
              </w:rPr>
              <w:t>0.0%</w:t>
            </w:r>
          </w:p>
        </w:tc>
        <w:tc>
          <w:tcPr>
            <w:tcW w:w="980" w:type="dxa"/>
            <w:vAlign w:val="bottom"/>
          </w:tcPr>
          <w:p>
            <w:pPr>
              <w:spacing w:after="0"/>
              <w:rPr>
                <w:sz w:val="12"/>
                <w:szCs w:val="12"/>
                <w:color w:val="auto"/>
              </w:rPr>
            </w:pPr>
          </w:p>
        </w:tc>
        <w:tc>
          <w:tcPr>
            <w:tcW w:w="1040" w:type="dxa"/>
            <w:vAlign w:val="bottom"/>
            <w:tcBorders>
              <w:right w:val="single" w:sz="8" w:color="auto"/>
            </w:tcBorders>
          </w:tcPr>
          <w:p>
            <w:pPr>
              <w:jc w:val="center"/>
              <w:ind w:right="456"/>
              <w:spacing w:after="0" w:line="138" w:lineRule="exact"/>
              <w:rPr>
                <w:sz w:val="20"/>
                <w:szCs w:val="20"/>
                <w:color w:val="auto"/>
              </w:rPr>
            </w:pPr>
            <w:r>
              <w:rPr>
                <w:rFonts w:ascii="Calibri" w:cs="Calibri" w:eastAsia="Calibri" w:hAnsi="Calibri"/>
                <w:sz w:val="13"/>
                <w:szCs w:val="13"/>
                <w:color w:val="auto"/>
                <w:w w:val="94"/>
              </w:rPr>
              <w:t>-2.3%</w:t>
            </w:r>
          </w:p>
        </w:tc>
      </w:tr>
      <w:tr>
        <w:trPr>
          <w:trHeight w:val="148"/>
        </w:trPr>
        <w:tc>
          <w:tcPr>
            <w:tcW w:w="286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Retained earnings</w:t>
            </w:r>
          </w:p>
        </w:tc>
        <w:tc>
          <w:tcPr>
            <w:tcW w:w="880" w:type="dxa"/>
            <w:vAlign w:val="bottom"/>
            <w:tcBorders>
              <w:right w:val="single" w:sz="8" w:color="auto"/>
            </w:tcBorders>
          </w:tcPr>
          <w:p>
            <w:pPr>
              <w:spacing w:after="0"/>
              <w:rPr>
                <w:sz w:val="12"/>
                <w:szCs w:val="12"/>
                <w:color w:val="auto"/>
              </w:rPr>
            </w:pPr>
          </w:p>
        </w:tc>
        <w:tc>
          <w:tcPr>
            <w:tcW w:w="1540" w:type="dxa"/>
            <w:vAlign w:val="bottom"/>
          </w:tcPr>
          <w:p>
            <w:pPr>
              <w:jc w:val="right"/>
              <w:ind w:right="473"/>
              <w:spacing w:after="0" w:line="149" w:lineRule="exact"/>
              <w:rPr>
                <w:sz w:val="20"/>
                <w:szCs w:val="20"/>
                <w:color w:val="auto"/>
              </w:rPr>
            </w:pPr>
            <w:r>
              <w:rPr>
                <w:rFonts w:ascii="Calibri" w:cs="Calibri" w:eastAsia="Calibri" w:hAnsi="Calibri"/>
                <w:sz w:val="13"/>
                <w:szCs w:val="13"/>
                <w:color w:val="auto"/>
              </w:rPr>
              <w:t>5,104,881</w:t>
            </w:r>
          </w:p>
        </w:tc>
        <w:tc>
          <w:tcPr>
            <w:tcW w:w="1640" w:type="dxa"/>
            <w:vAlign w:val="bottom"/>
          </w:tcPr>
          <w:p>
            <w:pPr>
              <w:jc w:val="right"/>
              <w:ind w:right="675"/>
              <w:spacing w:after="0" w:line="149" w:lineRule="exact"/>
              <w:rPr>
                <w:sz w:val="20"/>
                <w:szCs w:val="20"/>
                <w:color w:val="auto"/>
              </w:rPr>
            </w:pPr>
            <w:r>
              <w:rPr>
                <w:rFonts w:ascii="Calibri" w:cs="Calibri" w:eastAsia="Calibri" w:hAnsi="Calibri"/>
                <w:sz w:val="13"/>
                <w:szCs w:val="13"/>
                <w:color w:val="auto"/>
              </w:rPr>
              <w:t>4,674,213</w:t>
            </w: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6,076,551</w:t>
            </w:r>
          </w:p>
        </w:tc>
        <w:tc>
          <w:tcPr>
            <w:tcW w:w="40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left="397"/>
              <w:spacing w:after="0" w:line="149" w:lineRule="exact"/>
              <w:rPr>
                <w:sz w:val="20"/>
                <w:szCs w:val="20"/>
                <w:color w:val="auto"/>
              </w:rPr>
            </w:pPr>
            <w:r>
              <w:rPr>
                <w:rFonts w:ascii="Calibri" w:cs="Calibri" w:eastAsia="Calibri" w:hAnsi="Calibri"/>
                <w:sz w:val="13"/>
                <w:szCs w:val="13"/>
                <w:color w:val="auto"/>
                <w:w w:val="98"/>
              </w:rPr>
              <w:t>30.0%</w:t>
            </w:r>
          </w:p>
        </w:tc>
        <w:tc>
          <w:tcPr>
            <w:tcW w:w="980" w:type="dxa"/>
            <w:vAlign w:val="bottom"/>
          </w:tcPr>
          <w:p>
            <w:pPr>
              <w:spacing w:after="0"/>
              <w:rPr>
                <w:sz w:val="12"/>
                <w:szCs w:val="12"/>
                <w:color w:val="auto"/>
              </w:rPr>
            </w:pPr>
          </w:p>
        </w:tc>
        <w:tc>
          <w:tcPr>
            <w:tcW w:w="1040" w:type="dxa"/>
            <w:vAlign w:val="bottom"/>
            <w:tcBorders>
              <w:right w:val="single" w:sz="8" w:color="auto"/>
            </w:tcBorders>
          </w:tcPr>
          <w:p>
            <w:pPr>
              <w:jc w:val="center"/>
              <w:ind w:right="456"/>
              <w:spacing w:after="0" w:line="149" w:lineRule="exact"/>
              <w:rPr>
                <w:sz w:val="20"/>
                <w:szCs w:val="20"/>
                <w:color w:val="auto"/>
              </w:rPr>
            </w:pPr>
            <w:r>
              <w:rPr>
                <w:rFonts w:ascii="Calibri" w:cs="Calibri" w:eastAsia="Calibri" w:hAnsi="Calibri"/>
                <w:sz w:val="13"/>
                <w:szCs w:val="13"/>
                <w:color w:val="auto"/>
                <w:w w:val="98"/>
              </w:rPr>
              <w:t>19.0%</w:t>
            </w:r>
          </w:p>
        </w:tc>
      </w:tr>
      <w:tr>
        <w:trPr>
          <w:trHeight w:val="148"/>
        </w:trPr>
        <w:tc>
          <w:tcPr>
            <w:tcW w:w="286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Unrealized gains (losses)</w:t>
            </w:r>
          </w:p>
        </w:tc>
        <w:tc>
          <w:tcPr>
            <w:tcW w:w="880" w:type="dxa"/>
            <w:vAlign w:val="bottom"/>
            <w:tcBorders>
              <w:right w:val="single" w:sz="8" w:color="auto"/>
            </w:tcBorders>
          </w:tcPr>
          <w:p>
            <w:pPr>
              <w:spacing w:after="0"/>
              <w:rPr>
                <w:sz w:val="12"/>
                <w:szCs w:val="12"/>
                <w:color w:val="auto"/>
              </w:rPr>
            </w:pPr>
          </w:p>
        </w:tc>
        <w:tc>
          <w:tcPr>
            <w:tcW w:w="1540" w:type="dxa"/>
            <w:vAlign w:val="bottom"/>
          </w:tcPr>
          <w:p>
            <w:pPr>
              <w:jc w:val="right"/>
              <w:ind w:right="473"/>
              <w:spacing w:after="0" w:line="149" w:lineRule="exact"/>
              <w:rPr>
                <w:sz w:val="20"/>
                <w:szCs w:val="20"/>
                <w:color w:val="auto"/>
              </w:rPr>
            </w:pPr>
            <w:r>
              <w:rPr>
                <w:rFonts w:ascii="Calibri" w:cs="Calibri" w:eastAsia="Calibri" w:hAnsi="Calibri"/>
                <w:sz w:val="13"/>
                <w:szCs w:val="13"/>
                <w:color w:val="auto"/>
              </w:rPr>
              <w:t>(375,086)</w:t>
            </w:r>
          </w:p>
        </w:tc>
        <w:tc>
          <w:tcPr>
            <w:tcW w:w="1640" w:type="dxa"/>
            <w:vAlign w:val="bottom"/>
          </w:tcPr>
          <w:p>
            <w:pPr>
              <w:jc w:val="right"/>
              <w:ind w:right="675"/>
              <w:spacing w:after="0" w:line="149" w:lineRule="exact"/>
              <w:rPr>
                <w:sz w:val="20"/>
                <w:szCs w:val="20"/>
                <w:color w:val="auto"/>
              </w:rPr>
            </w:pPr>
            <w:r>
              <w:rPr>
                <w:rFonts w:ascii="Calibri" w:cs="Calibri" w:eastAsia="Calibri" w:hAnsi="Calibri"/>
                <w:sz w:val="13"/>
                <w:szCs w:val="13"/>
                <w:color w:val="auto"/>
              </w:rPr>
              <w:t>(97,152)</w:t>
            </w: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222,730</w:t>
            </w:r>
          </w:p>
        </w:tc>
        <w:tc>
          <w:tcPr>
            <w:tcW w:w="40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left="397"/>
              <w:spacing w:after="0" w:line="149" w:lineRule="exact"/>
              <w:rPr>
                <w:sz w:val="20"/>
                <w:szCs w:val="20"/>
                <w:color w:val="auto"/>
              </w:rPr>
            </w:pPr>
            <w:r>
              <w:rPr>
                <w:rFonts w:ascii="Calibri" w:cs="Calibri" w:eastAsia="Calibri" w:hAnsi="Calibri"/>
                <w:sz w:val="13"/>
                <w:szCs w:val="13"/>
                <w:color w:val="auto"/>
                <w:w w:val="93"/>
              </w:rPr>
              <w:t>-329.3%</w:t>
            </w:r>
          </w:p>
        </w:tc>
        <w:tc>
          <w:tcPr>
            <w:tcW w:w="980" w:type="dxa"/>
            <w:vAlign w:val="bottom"/>
          </w:tcPr>
          <w:p>
            <w:pPr>
              <w:spacing w:after="0"/>
              <w:rPr>
                <w:sz w:val="12"/>
                <w:szCs w:val="12"/>
                <w:color w:val="auto"/>
              </w:rPr>
            </w:pPr>
          </w:p>
        </w:tc>
        <w:tc>
          <w:tcPr>
            <w:tcW w:w="1040" w:type="dxa"/>
            <w:vAlign w:val="bottom"/>
            <w:tcBorders>
              <w:right w:val="single" w:sz="8" w:color="auto"/>
            </w:tcBorders>
          </w:tcPr>
          <w:p>
            <w:pPr>
              <w:jc w:val="center"/>
              <w:ind w:right="476"/>
              <w:spacing w:after="0" w:line="149" w:lineRule="exact"/>
              <w:rPr>
                <w:sz w:val="20"/>
                <w:szCs w:val="20"/>
                <w:color w:val="auto"/>
              </w:rPr>
            </w:pPr>
            <w:r>
              <w:rPr>
                <w:rFonts w:ascii="Calibri" w:cs="Calibri" w:eastAsia="Calibri" w:hAnsi="Calibri"/>
                <w:sz w:val="13"/>
                <w:szCs w:val="13"/>
                <w:color w:val="auto"/>
                <w:w w:val="97"/>
              </w:rPr>
              <w:t>-159.4%</w:t>
            </w:r>
          </w:p>
        </w:tc>
      </w:tr>
      <w:tr>
        <w:trPr>
          <w:trHeight w:val="148"/>
        </w:trPr>
        <w:tc>
          <w:tcPr>
            <w:tcW w:w="286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Goodwill and intangibles</w:t>
            </w:r>
          </w:p>
        </w:tc>
        <w:tc>
          <w:tcPr>
            <w:tcW w:w="880" w:type="dxa"/>
            <w:vAlign w:val="bottom"/>
            <w:tcBorders>
              <w:right w:val="single" w:sz="8" w:color="auto"/>
            </w:tcBorders>
          </w:tcPr>
          <w:p>
            <w:pPr>
              <w:spacing w:after="0"/>
              <w:rPr>
                <w:sz w:val="12"/>
                <w:szCs w:val="12"/>
                <w:color w:val="auto"/>
              </w:rPr>
            </w:pPr>
          </w:p>
        </w:tc>
        <w:tc>
          <w:tcPr>
            <w:tcW w:w="1540" w:type="dxa"/>
            <w:vAlign w:val="bottom"/>
          </w:tcPr>
          <w:p>
            <w:pPr>
              <w:jc w:val="right"/>
              <w:ind w:right="453"/>
              <w:spacing w:after="0" w:line="149" w:lineRule="exact"/>
              <w:rPr>
                <w:sz w:val="20"/>
                <w:szCs w:val="20"/>
                <w:color w:val="auto"/>
              </w:rPr>
            </w:pPr>
            <w:r>
              <w:rPr>
                <w:rFonts w:ascii="Calibri" w:cs="Calibri" w:eastAsia="Calibri" w:hAnsi="Calibri"/>
                <w:sz w:val="13"/>
                <w:szCs w:val="13"/>
                <w:color w:val="auto"/>
              </w:rPr>
              <w:t>(1,573,072)</w:t>
            </w:r>
          </w:p>
        </w:tc>
        <w:tc>
          <w:tcPr>
            <w:tcW w:w="1640" w:type="dxa"/>
            <w:vAlign w:val="bottom"/>
          </w:tcPr>
          <w:p>
            <w:pPr>
              <w:jc w:val="right"/>
              <w:ind w:right="675"/>
              <w:spacing w:after="0" w:line="149" w:lineRule="exact"/>
              <w:rPr>
                <w:sz w:val="20"/>
                <w:szCs w:val="20"/>
                <w:color w:val="auto"/>
              </w:rPr>
            </w:pPr>
            <w:r>
              <w:rPr>
                <w:rFonts w:ascii="Calibri" w:cs="Calibri" w:eastAsia="Calibri" w:hAnsi="Calibri"/>
                <w:sz w:val="13"/>
                <w:szCs w:val="13"/>
                <w:color w:val="auto"/>
              </w:rPr>
              <w:t>(1,694,308)</w:t>
            </w: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(1,599,568)</w:t>
            </w:r>
          </w:p>
        </w:tc>
        <w:tc>
          <w:tcPr>
            <w:tcW w:w="40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left="397"/>
              <w:spacing w:after="0" w:line="149" w:lineRule="exact"/>
              <w:rPr>
                <w:sz w:val="20"/>
                <w:szCs w:val="20"/>
                <w:color w:val="auto"/>
              </w:rPr>
            </w:pPr>
            <w:r>
              <w:rPr>
                <w:rFonts w:ascii="Calibri" w:cs="Calibri" w:eastAsia="Calibri" w:hAnsi="Calibri"/>
                <w:sz w:val="13"/>
                <w:szCs w:val="13"/>
                <w:color w:val="auto"/>
                <w:w w:val="94"/>
              </w:rPr>
              <w:t>-5.6%</w:t>
            </w:r>
          </w:p>
        </w:tc>
        <w:tc>
          <w:tcPr>
            <w:tcW w:w="980" w:type="dxa"/>
            <w:vAlign w:val="bottom"/>
          </w:tcPr>
          <w:p>
            <w:pPr>
              <w:spacing w:after="0"/>
              <w:rPr>
                <w:sz w:val="12"/>
                <w:szCs w:val="12"/>
                <w:color w:val="auto"/>
              </w:rPr>
            </w:pPr>
          </w:p>
        </w:tc>
        <w:tc>
          <w:tcPr>
            <w:tcW w:w="1040" w:type="dxa"/>
            <w:vAlign w:val="bottom"/>
            <w:tcBorders>
              <w:right w:val="single" w:sz="8" w:color="auto"/>
            </w:tcBorders>
          </w:tcPr>
          <w:p>
            <w:pPr>
              <w:jc w:val="center"/>
              <w:ind w:right="456"/>
              <w:spacing w:after="0" w:line="149" w:lineRule="exact"/>
              <w:rPr>
                <w:sz w:val="20"/>
                <w:szCs w:val="20"/>
                <w:color w:val="auto"/>
              </w:rPr>
            </w:pPr>
            <w:r>
              <w:rPr>
                <w:rFonts w:ascii="Calibri" w:cs="Calibri" w:eastAsia="Calibri" w:hAnsi="Calibri"/>
                <w:sz w:val="13"/>
                <w:szCs w:val="13"/>
                <w:color w:val="auto"/>
                <w:w w:val="93"/>
              </w:rPr>
              <w:t>1.7%</w:t>
            </w:r>
          </w:p>
        </w:tc>
      </w:tr>
      <w:tr>
        <w:trPr>
          <w:trHeight w:val="154"/>
        </w:trPr>
        <w:tc>
          <w:tcPr>
            <w:tcW w:w="2860" w:type="dxa"/>
            <w:vAlign w:val="bottom"/>
            <w:tcBorders>
              <w:left w:val="single" w:sz="8" w:color="auto"/>
              <w:bottom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Investments in subsidiaries</w:t>
            </w:r>
          </w:p>
        </w:tc>
        <w:tc>
          <w:tcPr>
            <w:tcW w:w="88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tcBorders>
          </w:tcPr>
          <w:p>
            <w:pPr>
              <w:jc w:val="right"/>
              <w:ind w:right="453"/>
              <w:spacing w:after="0" w:line="149" w:lineRule="exact"/>
              <w:rPr>
                <w:sz w:val="20"/>
                <w:szCs w:val="20"/>
                <w:color w:val="auto"/>
              </w:rPr>
            </w:pPr>
            <w:r>
              <w:rPr>
                <w:rFonts w:ascii="Calibri" w:cs="Calibri" w:eastAsia="Calibri" w:hAnsi="Calibri"/>
                <w:sz w:val="13"/>
                <w:szCs w:val="13"/>
                <w:color w:val="auto"/>
              </w:rPr>
              <w:t>(2,851,285)</w:t>
            </w:r>
          </w:p>
        </w:tc>
        <w:tc>
          <w:tcPr>
            <w:tcW w:w="1640" w:type="dxa"/>
            <w:vAlign w:val="bottom"/>
            <w:tcBorders>
              <w:bottom w:val="single" w:sz="8" w:color="auto"/>
            </w:tcBorders>
          </w:tcPr>
          <w:p>
            <w:pPr>
              <w:jc w:val="right"/>
              <w:ind w:right="675"/>
              <w:spacing w:after="0" w:line="149" w:lineRule="exact"/>
              <w:rPr>
                <w:sz w:val="20"/>
                <w:szCs w:val="20"/>
                <w:color w:val="auto"/>
              </w:rPr>
            </w:pPr>
            <w:r>
              <w:rPr>
                <w:rFonts w:ascii="Calibri" w:cs="Calibri" w:eastAsia="Calibri" w:hAnsi="Calibri"/>
                <w:sz w:val="13"/>
                <w:szCs w:val="13"/>
                <w:color w:val="auto"/>
              </w:rPr>
              <w:t>(2,602,553)</w:t>
            </w:r>
          </w:p>
        </w:tc>
        <w:tc>
          <w:tcPr>
            <w:tcW w:w="800" w:type="dxa"/>
            <w:vAlign w:val="bottom"/>
            <w:tcBorders>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(2,669,334)</w:t>
            </w:r>
          </w:p>
        </w:tc>
        <w:tc>
          <w:tcPr>
            <w:tcW w:w="4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left="397"/>
              <w:spacing w:after="0" w:line="149" w:lineRule="exact"/>
              <w:rPr>
                <w:sz w:val="20"/>
                <w:szCs w:val="20"/>
                <w:color w:val="auto"/>
              </w:rPr>
            </w:pPr>
            <w:r>
              <w:rPr>
                <w:rFonts w:ascii="Calibri" w:cs="Calibri" w:eastAsia="Calibri" w:hAnsi="Calibri"/>
                <w:sz w:val="13"/>
                <w:szCs w:val="13"/>
                <w:color w:val="auto"/>
                <w:w w:val="93"/>
              </w:rPr>
              <w:t>2.6%</w:t>
            </w: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ind w:right="456"/>
              <w:spacing w:after="0" w:line="149" w:lineRule="exact"/>
              <w:rPr>
                <w:sz w:val="20"/>
                <w:szCs w:val="20"/>
                <w:color w:val="auto"/>
              </w:rPr>
            </w:pPr>
            <w:r>
              <w:rPr>
                <w:rFonts w:ascii="Calibri" w:cs="Calibri" w:eastAsia="Calibri" w:hAnsi="Calibri"/>
                <w:sz w:val="13"/>
                <w:szCs w:val="13"/>
                <w:color w:val="auto"/>
                <w:w w:val="94"/>
              </w:rPr>
              <w:t>-6.4%</w:t>
            </w:r>
          </w:p>
        </w:tc>
      </w:tr>
      <w:tr>
        <w:trPr>
          <w:trHeight w:val="147"/>
        </w:trPr>
        <w:tc>
          <w:tcPr>
            <w:tcW w:w="2860" w:type="dxa"/>
            <w:vAlign w:val="bottom"/>
            <w:tcBorders>
              <w:left w:val="single" w:sz="8" w:color="auto"/>
              <w:bottom w:val="single" w:sz="8" w:color="auto"/>
            </w:tcBorders>
          </w:tcPr>
          <w:p>
            <w:pPr>
              <w:ind w:left="20"/>
              <w:spacing w:after="0" w:line="147" w:lineRule="exact"/>
              <w:rPr>
                <w:sz w:val="20"/>
                <w:szCs w:val="20"/>
                <w:color w:val="auto"/>
              </w:rPr>
            </w:pPr>
            <w:r>
              <w:rPr>
                <w:rFonts w:ascii="Calibri" w:cs="Calibri" w:eastAsia="Calibri" w:hAnsi="Calibri"/>
                <w:sz w:val="13"/>
                <w:szCs w:val="13"/>
                <w:b w:val="1"/>
                <w:bCs w:val="1"/>
                <w:color w:val="auto"/>
              </w:rPr>
              <w:t>Total</w:t>
            </w:r>
          </w:p>
        </w:tc>
        <w:tc>
          <w:tcPr>
            <w:tcW w:w="8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jc w:val="right"/>
              <w:ind w:right="473"/>
              <w:spacing w:after="0" w:line="147" w:lineRule="exact"/>
              <w:rPr>
                <w:sz w:val="20"/>
                <w:szCs w:val="20"/>
                <w:color w:val="auto"/>
              </w:rPr>
            </w:pPr>
            <w:r>
              <w:rPr>
                <w:rFonts w:ascii="Calibri" w:cs="Calibri" w:eastAsia="Calibri" w:hAnsi="Calibri"/>
                <w:sz w:val="13"/>
                <w:szCs w:val="13"/>
                <w:b w:val="1"/>
                <w:bCs w:val="1"/>
                <w:color w:val="auto"/>
              </w:rPr>
              <w:t>19,806,164</w:t>
            </w:r>
          </w:p>
        </w:tc>
        <w:tc>
          <w:tcPr>
            <w:tcW w:w="1640" w:type="dxa"/>
            <w:vAlign w:val="bottom"/>
            <w:tcBorders>
              <w:bottom w:val="single" w:sz="8" w:color="auto"/>
            </w:tcBorders>
          </w:tcPr>
          <w:p>
            <w:pPr>
              <w:jc w:val="right"/>
              <w:ind w:right="675"/>
              <w:spacing w:after="0" w:line="147" w:lineRule="exact"/>
              <w:rPr>
                <w:sz w:val="20"/>
                <w:szCs w:val="20"/>
                <w:color w:val="auto"/>
              </w:rPr>
            </w:pPr>
            <w:r>
              <w:rPr>
                <w:rFonts w:ascii="Calibri" w:cs="Calibri" w:eastAsia="Calibri" w:hAnsi="Calibri"/>
                <w:sz w:val="13"/>
                <w:szCs w:val="13"/>
                <w:b w:val="1"/>
                <w:bCs w:val="1"/>
                <w:color w:val="auto"/>
              </w:rPr>
              <w:t>19,332,463</w:t>
            </w:r>
          </w:p>
        </w:tc>
        <w:tc>
          <w:tcPr>
            <w:tcW w:w="800" w:type="dxa"/>
            <w:vAlign w:val="bottom"/>
            <w:tcBorders>
              <w:bottom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21,082,641</w:t>
            </w:r>
          </w:p>
        </w:tc>
        <w:tc>
          <w:tcPr>
            <w:tcW w:w="4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397"/>
              <w:spacing w:after="0" w:line="147" w:lineRule="exact"/>
              <w:rPr>
                <w:sz w:val="20"/>
                <w:szCs w:val="20"/>
                <w:color w:val="auto"/>
              </w:rPr>
            </w:pPr>
            <w:r>
              <w:rPr>
                <w:rFonts w:ascii="Calibri" w:cs="Calibri" w:eastAsia="Calibri" w:hAnsi="Calibri"/>
                <w:sz w:val="13"/>
                <w:szCs w:val="13"/>
                <w:b w:val="1"/>
                <w:bCs w:val="1"/>
                <w:color w:val="auto"/>
                <w:w w:val="91"/>
              </w:rPr>
              <w:t>9.1%</w:t>
            </w: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right="456"/>
              <w:spacing w:after="0" w:line="147" w:lineRule="exact"/>
              <w:rPr>
                <w:sz w:val="20"/>
                <w:szCs w:val="20"/>
                <w:color w:val="auto"/>
              </w:rPr>
            </w:pPr>
            <w:r>
              <w:rPr>
                <w:rFonts w:ascii="Calibri" w:cs="Calibri" w:eastAsia="Calibri" w:hAnsi="Calibri"/>
                <w:sz w:val="13"/>
                <w:szCs w:val="13"/>
                <w:b w:val="1"/>
                <w:bCs w:val="1"/>
                <w:color w:val="auto"/>
                <w:w w:val="91"/>
              </w:rPr>
              <w:t>6.4%</w:t>
            </w:r>
          </w:p>
        </w:tc>
      </w:tr>
      <w:tr>
        <w:trPr>
          <w:trHeight w:val="196"/>
        </w:trPr>
        <w:tc>
          <w:tcPr>
            <w:tcW w:w="28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42"/>
        </w:trPr>
        <w:tc>
          <w:tcPr>
            <w:tcW w:w="2860" w:type="dxa"/>
            <w:vAlign w:val="bottom"/>
            <w:tcBorders>
              <w:left w:val="single" w:sz="8" w:color="auto"/>
              <w:bottom w:val="single" w:sz="8" w:color="auto"/>
            </w:tcBorders>
          </w:tcPr>
          <w:p>
            <w:pPr>
              <w:ind w:left="20"/>
              <w:spacing w:after="0" w:line="142" w:lineRule="exact"/>
              <w:rPr>
                <w:sz w:val="20"/>
                <w:szCs w:val="20"/>
                <w:color w:val="auto"/>
              </w:rPr>
            </w:pPr>
            <w:r>
              <w:rPr>
                <w:rFonts w:ascii="Calibri" w:cs="Calibri" w:eastAsia="Calibri" w:hAnsi="Calibri"/>
                <w:sz w:val="13"/>
                <w:szCs w:val="13"/>
                <w:b w:val="1"/>
                <w:bCs w:val="1"/>
                <w:color w:val="auto"/>
              </w:rPr>
              <w:t>Adjusted RWAs IFRS</w:t>
            </w:r>
          </w:p>
        </w:tc>
        <w:tc>
          <w:tcPr>
            <w:tcW w:w="8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jc w:val="right"/>
              <w:ind w:right="453"/>
              <w:spacing w:after="0" w:line="142" w:lineRule="exact"/>
              <w:rPr>
                <w:sz w:val="20"/>
                <w:szCs w:val="20"/>
                <w:color w:val="auto"/>
              </w:rPr>
            </w:pPr>
            <w:r>
              <w:rPr>
                <w:rFonts w:ascii="Calibri" w:cs="Calibri" w:eastAsia="Calibri" w:hAnsi="Calibri"/>
                <w:sz w:val="13"/>
                <w:szCs w:val="13"/>
                <w:b w:val="1"/>
                <w:bCs w:val="1"/>
                <w:color w:val="auto"/>
              </w:rPr>
              <w:t>151,843,249</w:t>
            </w:r>
          </w:p>
        </w:tc>
        <w:tc>
          <w:tcPr>
            <w:tcW w:w="1640" w:type="dxa"/>
            <w:vAlign w:val="bottom"/>
            <w:tcBorders>
              <w:bottom w:val="single" w:sz="8" w:color="auto"/>
            </w:tcBorders>
          </w:tcPr>
          <w:p>
            <w:pPr>
              <w:jc w:val="right"/>
              <w:ind w:right="675"/>
              <w:spacing w:after="0" w:line="142" w:lineRule="exact"/>
              <w:rPr>
                <w:sz w:val="20"/>
                <w:szCs w:val="20"/>
                <w:color w:val="auto"/>
              </w:rPr>
            </w:pPr>
            <w:r>
              <w:rPr>
                <w:rFonts w:ascii="Calibri" w:cs="Calibri" w:eastAsia="Calibri" w:hAnsi="Calibri"/>
                <w:sz w:val="13"/>
                <w:szCs w:val="13"/>
                <w:b w:val="1"/>
                <w:bCs w:val="1"/>
                <w:color w:val="auto"/>
              </w:rPr>
              <w:t>160,418,064</w:t>
            </w:r>
          </w:p>
        </w:tc>
        <w:tc>
          <w:tcPr>
            <w:tcW w:w="800" w:type="dxa"/>
            <w:vAlign w:val="bottom"/>
            <w:tcBorders>
              <w:bottom w:val="single" w:sz="8" w:color="auto"/>
            </w:tcBorders>
          </w:tcPr>
          <w:p>
            <w:pPr>
              <w:jc w:val="right"/>
              <w:spacing w:after="0" w:line="142" w:lineRule="exact"/>
              <w:rPr>
                <w:sz w:val="20"/>
                <w:szCs w:val="20"/>
                <w:color w:val="auto"/>
              </w:rPr>
            </w:pPr>
            <w:r>
              <w:rPr>
                <w:rFonts w:ascii="Calibri" w:cs="Calibri" w:eastAsia="Calibri" w:hAnsi="Calibri"/>
                <w:sz w:val="13"/>
                <w:szCs w:val="13"/>
                <w:b w:val="1"/>
                <w:bCs w:val="1"/>
                <w:color w:val="auto"/>
              </w:rPr>
              <w:t>157,046,547</w:t>
            </w:r>
          </w:p>
        </w:tc>
        <w:tc>
          <w:tcPr>
            <w:tcW w:w="4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397"/>
              <w:spacing w:after="0" w:line="142" w:lineRule="exact"/>
              <w:rPr>
                <w:sz w:val="20"/>
                <w:szCs w:val="20"/>
                <w:color w:val="auto"/>
              </w:rPr>
            </w:pPr>
            <w:r>
              <w:rPr>
                <w:rFonts w:ascii="Calibri" w:cs="Calibri" w:eastAsia="Calibri" w:hAnsi="Calibri"/>
                <w:sz w:val="13"/>
                <w:szCs w:val="13"/>
                <w:b w:val="1"/>
                <w:bCs w:val="1"/>
                <w:color w:val="auto"/>
                <w:w w:val="92"/>
              </w:rPr>
              <w:t>-2.1%</w:t>
            </w: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right="456"/>
              <w:spacing w:after="0" w:line="142" w:lineRule="exact"/>
              <w:rPr>
                <w:sz w:val="20"/>
                <w:szCs w:val="20"/>
                <w:color w:val="auto"/>
              </w:rPr>
            </w:pPr>
            <w:r>
              <w:rPr>
                <w:rFonts w:ascii="Calibri" w:cs="Calibri" w:eastAsia="Calibri" w:hAnsi="Calibri"/>
                <w:sz w:val="13"/>
                <w:szCs w:val="13"/>
                <w:b w:val="1"/>
                <w:bCs w:val="1"/>
                <w:color w:val="auto"/>
                <w:w w:val="91"/>
              </w:rPr>
              <w:t>3.4%</w:t>
            </w:r>
          </w:p>
        </w:tc>
      </w:tr>
      <w:tr>
        <w:trPr>
          <w:trHeight w:val="132"/>
        </w:trPr>
        <w:tc>
          <w:tcPr>
            <w:tcW w:w="286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3"/>
                <w:szCs w:val="13"/>
                <w:color w:val="auto"/>
              </w:rPr>
              <w:t>Adjusted Credit RWAs IFRS</w:t>
            </w:r>
          </w:p>
        </w:tc>
        <w:tc>
          <w:tcPr>
            <w:tcW w:w="880" w:type="dxa"/>
            <w:vAlign w:val="bottom"/>
            <w:tcBorders>
              <w:right w:val="single" w:sz="8" w:color="auto"/>
            </w:tcBorders>
          </w:tcPr>
          <w:p>
            <w:pPr>
              <w:spacing w:after="0"/>
              <w:rPr>
                <w:sz w:val="11"/>
                <w:szCs w:val="11"/>
                <w:color w:val="auto"/>
              </w:rPr>
            </w:pPr>
          </w:p>
        </w:tc>
        <w:tc>
          <w:tcPr>
            <w:tcW w:w="1540" w:type="dxa"/>
            <w:vAlign w:val="bottom"/>
          </w:tcPr>
          <w:p>
            <w:pPr>
              <w:jc w:val="right"/>
              <w:ind w:right="453"/>
              <w:spacing w:after="0" w:line="131" w:lineRule="exact"/>
              <w:rPr>
                <w:sz w:val="20"/>
                <w:szCs w:val="20"/>
                <w:color w:val="auto"/>
              </w:rPr>
            </w:pPr>
            <w:r>
              <w:rPr>
                <w:rFonts w:ascii="Calibri" w:cs="Calibri" w:eastAsia="Calibri" w:hAnsi="Calibri"/>
                <w:sz w:val="13"/>
                <w:szCs w:val="13"/>
                <w:color w:val="auto"/>
              </w:rPr>
              <w:t>133,403,554</w:t>
            </w:r>
          </w:p>
        </w:tc>
        <w:tc>
          <w:tcPr>
            <w:tcW w:w="1640" w:type="dxa"/>
            <w:vAlign w:val="bottom"/>
          </w:tcPr>
          <w:p>
            <w:pPr>
              <w:jc w:val="right"/>
              <w:ind w:right="675"/>
              <w:spacing w:after="0" w:line="131" w:lineRule="exact"/>
              <w:rPr>
                <w:sz w:val="20"/>
                <w:szCs w:val="20"/>
                <w:color w:val="auto"/>
              </w:rPr>
            </w:pPr>
            <w:r>
              <w:rPr>
                <w:rFonts w:ascii="Calibri" w:cs="Calibri" w:eastAsia="Calibri" w:hAnsi="Calibri"/>
                <w:sz w:val="13"/>
                <w:szCs w:val="13"/>
                <w:color w:val="auto"/>
              </w:rPr>
              <w:t>139,781,938</w:t>
            </w:r>
          </w:p>
        </w:tc>
        <w:tc>
          <w:tcPr>
            <w:tcW w:w="800" w:type="dxa"/>
            <w:vAlign w:val="bottom"/>
          </w:tcPr>
          <w:p>
            <w:pPr>
              <w:jc w:val="right"/>
              <w:spacing w:after="0" w:line="131" w:lineRule="exact"/>
              <w:rPr>
                <w:sz w:val="20"/>
                <w:szCs w:val="20"/>
                <w:color w:val="auto"/>
              </w:rPr>
            </w:pPr>
            <w:r>
              <w:rPr>
                <w:rFonts w:ascii="Calibri" w:cs="Calibri" w:eastAsia="Calibri" w:hAnsi="Calibri"/>
                <w:sz w:val="13"/>
                <w:szCs w:val="13"/>
                <w:color w:val="auto"/>
              </w:rPr>
              <w:t>134,873,654</w:t>
            </w:r>
          </w:p>
        </w:tc>
        <w:tc>
          <w:tcPr>
            <w:tcW w:w="400" w:type="dxa"/>
            <w:vAlign w:val="bottom"/>
            <w:tcBorders>
              <w:right w:val="single" w:sz="8" w:color="auto"/>
            </w:tcBorders>
          </w:tcPr>
          <w:p>
            <w:pPr>
              <w:spacing w:after="0"/>
              <w:rPr>
                <w:sz w:val="11"/>
                <w:szCs w:val="11"/>
                <w:color w:val="auto"/>
              </w:rPr>
            </w:pPr>
          </w:p>
        </w:tc>
        <w:tc>
          <w:tcPr>
            <w:tcW w:w="1100" w:type="dxa"/>
            <w:vAlign w:val="bottom"/>
            <w:gridSpan w:val="2"/>
          </w:tcPr>
          <w:p>
            <w:pPr>
              <w:jc w:val="center"/>
              <w:ind w:left="397"/>
              <w:spacing w:after="0" w:line="131" w:lineRule="exact"/>
              <w:rPr>
                <w:sz w:val="20"/>
                <w:szCs w:val="20"/>
                <w:color w:val="auto"/>
              </w:rPr>
            </w:pPr>
            <w:r>
              <w:rPr>
                <w:rFonts w:ascii="Calibri" w:cs="Calibri" w:eastAsia="Calibri" w:hAnsi="Calibri"/>
                <w:sz w:val="13"/>
                <w:szCs w:val="13"/>
                <w:color w:val="auto"/>
                <w:w w:val="94"/>
              </w:rPr>
              <w:t>-3.5%</w:t>
            </w:r>
          </w:p>
        </w:tc>
        <w:tc>
          <w:tcPr>
            <w:tcW w:w="980" w:type="dxa"/>
            <w:vAlign w:val="bottom"/>
          </w:tcPr>
          <w:p>
            <w:pPr>
              <w:spacing w:after="0"/>
              <w:rPr>
                <w:sz w:val="11"/>
                <w:szCs w:val="11"/>
                <w:color w:val="auto"/>
              </w:rPr>
            </w:pPr>
          </w:p>
        </w:tc>
        <w:tc>
          <w:tcPr>
            <w:tcW w:w="1040" w:type="dxa"/>
            <w:vAlign w:val="bottom"/>
            <w:tcBorders>
              <w:right w:val="single" w:sz="8" w:color="auto"/>
            </w:tcBorders>
          </w:tcPr>
          <w:p>
            <w:pPr>
              <w:jc w:val="center"/>
              <w:ind w:right="456"/>
              <w:spacing w:after="0" w:line="131" w:lineRule="exact"/>
              <w:rPr>
                <w:sz w:val="20"/>
                <w:szCs w:val="20"/>
                <w:color w:val="auto"/>
              </w:rPr>
            </w:pPr>
            <w:r>
              <w:rPr>
                <w:rFonts w:ascii="Calibri" w:cs="Calibri" w:eastAsia="Calibri" w:hAnsi="Calibri"/>
                <w:sz w:val="13"/>
                <w:szCs w:val="13"/>
                <w:color w:val="auto"/>
                <w:w w:val="93"/>
              </w:rPr>
              <w:t>1.1%</w:t>
            </w:r>
          </w:p>
        </w:tc>
      </w:tr>
      <w:tr>
        <w:trPr>
          <w:trHeight w:val="154"/>
        </w:trPr>
        <w:tc>
          <w:tcPr>
            <w:tcW w:w="2860" w:type="dxa"/>
            <w:vAlign w:val="bottom"/>
            <w:tcBorders>
              <w:left w:val="single" w:sz="8" w:color="auto"/>
              <w:bottom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Others</w:t>
            </w:r>
          </w:p>
        </w:tc>
        <w:tc>
          <w:tcPr>
            <w:tcW w:w="88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tcBorders>
          </w:tcPr>
          <w:p>
            <w:pPr>
              <w:jc w:val="right"/>
              <w:ind w:right="473"/>
              <w:spacing w:after="0" w:line="149" w:lineRule="exact"/>
              <w:rPr>
                <w:sz w:val="20"/>
                <w:szCs w:val="20"/>
                <w:color w:val="auto"/>
              </w:rPr>
            </w:pPr>
            <w:r>
              <w:rPr>
                <w:rFonts w:ascii="Calibri" w:cs="Calibri" w:eastAsia="Calibri" w:hAnsi="Calibri"/>
                <w:sz w:val="13"/>
                <w:szCs w:val="13"/>
                <w:color w:val="auto"/>
              </w:rPr>
              <w:t>18,439,695</w:t>
            </w:r>
          </w:p>
        </w:tc>
        <w:tc>
          <w:tcPr>
            <w:tcW w:w="1640" w:type="dxa"/>
            <w:vAlign w:val="bottom"/>
            <w:tcBorders>
              <w:bottom w:val="single" w:sz="8" w:color="auto"/>
            </w:tcBorders>
          </w:tcPr>
          <w:p>
            <w:pPr>
              <w:jc w:val="right"/>
              <w:ind w:right="675"/>
              <w:spacing w:after="0" w:line="149" w:lineRule="exact"/>
              <w:rPr>
                <w:sz w:val="20"/>
                <w:szCs w:val="20"/>
                <w:color w:val="auto"/>
              </w:rPr>
            </w:pPr>
            <w:r>
              <w:rPr>
                <w:rFonts w:ascii="Calibri" w:cs="Calibri" w:eastAsia="Calibri" w:hAnsi="Calibri"/>
                <w:sz w:val="13"/>
                <w:szCs w:val="13"/>
                <w:color w:val="auto"/>
              </w:rPr>
              <w:t>20,636,126</w:t>
            </w:r>
          </w:p>
        </w:tc>
        <w:tc>
          <w:tcPr>
            <w:tcW w:w="800" w:type="dxa"/>
            <w:vAlign w:val="bottom"/>
            <w:tcBorders>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22,172,893</w:t>
            </w:r>
          </w:p>
        </w:tc>
        <w:tc>
          <w:tcPr>
            <w:tcW w:w="4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left="397"/>
              <w:spacing w:after="0" w:line="149" w:lineRule="exact"/>
              <w:rPr>
                <w:sz w:val="20"/>
                <w:szCs w:val="20"/>
                <w:color w:val="auto"/>
              </w:rPr>
            </w:pPr>
            <w:r>
              <w:rPr>
                <w:rFonts w:ascii="Calibri" w:cs="Calibri" w:eastAsia="Calibri" w:hAnsi="Calibri"/>
                <w:sz w:val="13"/>
                <w:szCs w:val="13"/>
                <w:color w:val="auto"/>
                <w:w w:val="93"/>
              </w:rPr>
              <w:t>7.4%</w:t>
            </w: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ind w:right="456"/>
              <w:spacing w:after="0" w:line="149" w:lineRule="exact"/>
              <w:rPr>
                <w:sz w:val="20"/>
                <w:szCs w:val="20"/>
                <w:color w:val="auto"/>
              </w:rPr>
            </w:pPr>
            <w:r>
              <w:rPr>
                <w:rFonts w:ascii="Calibri" w:cs="Calibri" w:eastAsia="Calibri" w:hAnsi="Calibri"/>
                <w:sz w:val="13"/>
                <w:szCs w:val="13"/>
                <w:color w:val="auto"/>
                <w:w w:val="98"/>
              </w:rPr>
              <w:t>20.2%</w:t>
            </w:r>
          </w:p>
        </w:tc>
      </w:tr>
      <w:tr>
        <w:trPr>
          <w:trHeight w:val="147"/>
        </w:trPr>
        <w:tc>
          <w:tcPr>
            <w:tcW w:w="2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42"/>
        </w:trPr>
        <w:tc>
          <w:tcPr>
            <w:tcW w:w="2860" w:type="dxa"/>
            <w:vAlign w:val="bottom"/>
            <w:tcBorders>
              <w:bottom w:val="single" w:sz="8" w:color="auto"/>
            </w:tcBorders>
          </w:tcPr>
          <w:p>
            <w:pPr>
              <w:ind w:left="20"/>
              <w:spacing w:after="0" w:line="142" w:lineRule="exact"/>
              <w:rPr>
                <w:sz w:val="20"/>
                <w:szCs w:val="20"/>
                <w:color w:val="auto"/>
              </w:rPr>
            </w:pPr>
            <w:r>
              <w:rPr>
                <w:rFonts w:ascii="Calibri" w:cs="Calibri" w:eastAsia="Calibri" w:hAnsi="Calibri"/>
                <w:sz w:val="13"/>
                <w:szCs w:val="13"/>
                <w:b w:val="1"/>
                <w:bCs w:val="1"/>
                <w:color w:val="auto"/>
              </w:rPr>
              <w:t>CET1 rato IFRS</w:t>
            </w:r>
          </w:p>
        </w:tc>
        <w:tc>
          <w:tcPr>
            <w:tcW w:w="8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tcBorders>
          </w:tcPr>
          <w:p>
            <w:pPr>
              <w:jc w:val="right"/>
              <w:ind w:right="653"/>
              <w:spacing w:after="0" w:line="142" w:lineRule="exact"/>
              <w:rPr>
                <w:sz w:val="20"/>
                <w:szCs w:val="20"/>
                <w:color w:val="auto"/>
              </w:rPr>
            </w:pPr>
            <w:r>
              <w:rPr>
                <w:rFonts w:ascii="Calibri" w:cs="Calibri" w:eastAsia="Calibri" w:hAnsi="Calibri"/>
                <w:sz w:val="13"/>
                <w:szCs w:val="13"/>
                <w:b w:val="1"/>
                <w:bCs w:val="1"/>
                <w:color w:val="auto"/>
              </w:rPr>
              <w:t>13.04%</w:t>
            </w:r>
          </w:p>
        </w:tc>
        <w:tc>
          <w:tcPr>
            <w:tcW w:w="1640" w:type="dxa"/>
            <w:vAlign w:val="bottom"/>
            <w:tcBorders>
              <w:bottom w:val="single" w:sz="8" w:color="auto"/>
            </w:tcBorders>
          </w:tcPr>
          <w:p>
            <w:pPr>
              <w:jc w:val="right"/>
              <w:ind w:right="855"/>
              <w:spacing w:after="0" w:line="142" w:lineRule="exact"/>
              <w:rPr>
                <w:sz w:val="20"/>
                <w:szCs w:val="20"/>
                <w:color w:val="auto"/>
              </w:rPr>
            </w:pPr>
            <w:r>
              <w:rPr>
                <w:rFonts w:ascii="Calibri" w:cs="Calibri" w:eastAsia="Calibri" w:hAnsi="Calibri"/>
                <w:sz w:val="13"/>
                <w:szCs w:val="13"/>
                <w:b w:val="1"/>
                <w:bCs w:val="1"/>
                <w:color w:val="auto"/>
              </w:rPr>
              <w:t>12.05%</w:t>
            </w:r>
          </w:p>
        </w:tc>
        <w:tc>
          <w:tcPr>
            <w:tcW w:w="800" w:type="dxa"/>
            <w:vAlign w:val="bottom"/>
            <w:tcBorders>
              <w:bottom w:val="single" w:sz="8" w:color="auto"/>
            </w:tcBorders>
          </w:tcPr>
          <w:p>
            <w:pPr>
              <w:jc w:val="right"/>
              <w:ind w:right="136"/>
              <w:spacing w:after="0" w:line="142" w:lineRule="exact"/>
              <w:rPr>
                <w:sz w:val="20"/>
                <w:szCs w:val="20"/>
                <w:color w:val="auto"/>
              </w:rPr>
            </w:pPr>
            <w:r>
              <w:rPr>
                <w:rFonts w:ascii="Calibri" w:cs="Calibri" w:eastAsia="Calibri" w:hAnsi="Calibri"/>
                <w:sz w:val="13"/>
                <w:szCs w:val="13"/>
                <w:b w:val="1"/>
                <w:bCs w:val="1"/>
                <w:color w:val="auto"/>
              </w:rPr>
              <w:t>13.42%</w:t>
            </w:r>
          </w:p>
        </w:tc>
        <w:tc>
          <w:tcPr>
            <w:tcW w:w="40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left="197"/>
              <w:spacing w:after="0" w:line="142" w:lineRule="exact"/>
              <w:rPr>
                <w:sz w:val="20"/>
                <w:szCs w:val="20"/>
                <w:color w:val="auto"/>
              </w:rPr>
            </w:pPr>
            <w:r>
              <w:rPr>
                <w:rFonts w:ascii="Calibri" w:cs="Calibri" w:eastAsia="Calibri" w:hAnsi="Calibri"/>
                <w:sz w:val="13"/>
                <w:szCs w:val="13"/>
                <w:b w:val="1"/>
                <w:bCs w:val="1"/>
                <w:color w:val="auto"/>
                <w:w w:val="95"/>
              </w:rPr>
              <w:t>137 bps</w:t>
            </w: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556"/>
              <w:spacing w:after="0" w:line="142" w:lineRule="exact"/>
              <w:rPr>
                <w:sz w:val="20"/>
                <w:szCs w:val="20"/>
                <w:color w:val="auto"/>
              </w:rPr>
            </w:pPr>
            <w:r>
              <w:rPr>
                <w:rFonts w:ascii="Calibri" w:cs="Calibri" w:eastAsia="Calibri" w:hAnsi="Calibri"/>
                <w:sz w:val="13"/>
                <w:szCs w:val="13"/>
                <w:b w:val="1"/>
                <w:bCs w:val="1"/>
                <w:color w:val="auto"/>
              </w:rPr>
              <w:t>38 bps</w:t>
            </w:r>
          </w:p>
        </w:tc>
      </w:tr>
      <w:tr>
        <w:trPr>
          <w:trHeight w:val="402"/>
        </w:trPr>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jc w:val="center"/>
              <w:ind w:right="895"/>
              <w:spacing w:after="0"/>
              <w:rPr>
                <w:sz w:val="20"/>
                <w:szCs w:val="20"/>
                <w:color w:val="auto"/>
              </w:rPr>
            </w:pPr>
            <w:r>
              <w:rPr>
                <w:rFonts w:ascii="Calibri" w:cs="Calibri" w:eastAsia="Calibri" w:hAnsi="Calibri"/>
                <w:sz w:val="18"/>
                <w:szCs w:val="18"/>
                <w:b w:val="1"/>
                <w:bCs w:val="1"/>
                <w:color w:val="auto"/>
                <w:w w:val="97"/>
              </w:rPr>
              <w:t>Mibanco</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6"/>
        </w:trPr>
        <w:tc>
          <w:tcPr>
            <w:tcW w:w="28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63"/>
        </w:trPr>
        <w:tc>
          <w:tcPr>
            <w:tcW w:w="2860" w:type="dxa"/>
            <w:vAlign w:val="bottom"/>
            <w:tcBorders>
              <w:left w:val="single" w:sz="8" w:color="auto"/>
            </w:tcBorders>
            <w:shd w:val="clear" w:color="auto" w:fill="33CCCC"/>
          </w:tcPr>
          <w:p>
            <w:pPr>
              <w:ind w:left="20"/>
              <w:spacing w:after="0" w:line="164" w:lineRule="exact"/>
              <w:rPr>
                <w:sz w:val="20"/>
                <w:szCs w:val="20"/>
                <w:color w:val="auto"/>
              </w:rPr>
            </w:pPr>
            <w:r>
              <w:rPr>
                <w:rFonts w:ascii="Calibri" w:cs="Calibri" w:eastAsia="Calibri" w:hAnsi="Calibri"/>
                <w:sz w:val="14"/>
                <w:szCs w:val="14"/>
                <w:color w:val="FFFFFF"/>
              </w:rPr>
              <w:t>Common Equity Tier 1 IFRS</w:t>
            </w:r>
          </w:p>
        </w:tc>
        <w:tc>
          <w:tcPr>
            <w:tcW w:w="880" w:type="dxa"/>
            <w:vAlign w:val="bottom"/>
            <w:tcBorders>
              <w:right w:val="single" w:sz="8" w:color="33CCCC"/>
            </w:tcBorders>
            <w:shd w:val="clear" w:color="auto" w:fill="33CCCC"/>
          </w:tcPr>
          <w:p>
            <w:pPr>
              <w:spacing w:after="0"/>
              <w:rPr>
                <w:sz w:val="14"/>
                <w:szCs w:val="14"/>
                <w:color w:val="auto"/>
              </w:rPr>
            </w:pPr>
          </w:p>
        </w:tc>
        <w:tc>
          <w:tcPr>
            <w:tcW w:w="1540" w:type="dxa"/>
            <w:vAlign w:val="bottom"/>
            <w:shd w:val="clear" w:color="auto" w:fill="33CCCC"/>
          </w:tcPr>
          <w:p>
            <w:pPr>
              <w:spacing w:after="0"/>
              <w:rPr>
                <w:sz w:val="14"/>
                <w:szCs w:val="14"/>
                <w:color w:val="auto"/>
              </w:rPr>
            </w:pPr>
          </w:p>
        </w:tc>
        <w:tc>
          <w:tcPr>
            <w:tcW w:w="1640" w:type="dxa"/>
            <w:vAlign w:val="bottom"/>
            <w:shd w:val="clear" w:color="auto" w:fill="33CCCC"/>
          </w:tcPr>
          <w:p>
            <w:pPr>
              <w:jc w:val="right"/>
              <w:ind w:right="635"/>
              <w:spacing w:after="0" w:line="164" w:lineRule="exact"/>
              <w:rPr>
                <w:sz w:val="20"/>
                <w:szCs w:val="20"/>
                <w:color w:val="auto"/>
              </w:rPr>
            </w:pPr>
            <w:r>
              <w:rPr>
                <w:rFonts w:ascii="Calibri" w:cs="Calibri" w:eastAsia="Calibri" w:hAnsi="Calibri"/>
                <w:sz w:val="14"/>
                <w:szCs w:val="14"/>
                <w:color w:val="FFFFFF"/>
              </w:rPr>
              <w:t>Quarter</w:t>
            </w:r>
          </w:p>
        </w:tc>
        <w:tc>
          <w:tcPr>
            <w:tcW w:w="800" w:type="dxa"/>
            <w:vAlign w:val="bottom"/>
            <w:shd w:val="clear" w:color="auto" w:fill="33CCCC"/>
          </w:tcPr>
          <w:p>
            <w:pPr>
              <w:spacing w:after="0"/>
              <w:rPr>
                <w:sz w:val="14"/>
                <w:szCs w:val="14"/>
                <w:color w:val="auto"/>
              </w:rPr>
            </w:pPr>
          </w:p>
        </w:tc>
        <w:tc>
          <w:tcPr>
            <w:tcW w:w="400" w:type="dxa"/>
            <w:vAlign w:val="bottom"/>
            <w:tcBorders>
              <w:right w:val="single" w:sz="8" w:color="33CCCC"/>
            </w:tcBorders>
            <w:shd w:val="clear" w:color="auto" w:fill="33CCCC"/>
          </w:tcPr>
          <w:p>
            <w:pPr>
              <w:spacing w:after="0"/>
              <w:rPr>
                <w:sz w:val="14"/>
                <w:szCs w:val="14"/>
                <w:color w:val="auto"/>
              </w:rPr>
            </w:pPr>
          </w:p>
        </w:tc>
        <w:tc>
          <w:tcPr>
            <w:tcW w:w="200" w:type="dxa"/>
            <w:vAlign w:val="bottom"/>
            <w:tcBorders>
              <w:right w:val="single" w:sz="8" w:color="auto"/>
            </w:tcBorders>
            <w:shd w:val="clear" w:color="auto" w:fill="33CCCC"/>
          </w:tcPr>
          <w:p>
            <w:pPr>
              <w:spacing w:after="0"/>
              <w:rPr>
                <w:sz w:val="14"/>
                <w:szCs w:val="14"/>
                <w:color w:val="auto"/>
              </w:rPr>
            </w:pPr>
          </w:p>
        </w:tc>
        <w:tc>
          <w:tcPr>
            <w:tcW w:w="900" w:type="dxa"/>
            <w:vAlign w:val="bottom"/>
            <w:shd w:val="clear" w:color="auto" w:fill="33CCCC"/>
          </w:tcPr>
          <w:p>
            <w:pPr>
              <w:spacing w:after="0"/>
              <w:rPr>
                <w:sz w:val="14"/>
                <w:szCs w:val="14"/>
                <w:color w:val="auto"/>
              </w:rPr>
            </w:pPr>
          </w:p>
        </w:tc>
        <w:tc>
          <w:tcPr>
            <w:tcW w:w="980" w:type="dxa"/>
            <w:vAlign w:val="bottom"/>
            <w:shd w:val="clear" w:color="auto" w:fill="33CCCC"/>
          </w:tcPr>
          <w:p>
            <w:pPr>
              <w:jc w:val="right"/>
              <w:ind w:right="76"/>
              <w:spacing w:after="0" w:line="164" w:lineRule="exact"/>
              <w:rPr>
                <w:sz w:val="20"/>
                <w:szCs w:val="20"/>
                <w:color w:val="auto"/>
              </w:rPr>
            </w:pPr>
            <w:r>
              <w:rPr>
                <w:rFonts w:ascii="Calibri" w:cs="Calibri" w:eastAsia="Calibri" w:hAnsi="Calibri"/>
                <w:sz w:val="14"/>
                <w:szCs w:val="14"/>
                <w:color w:val="FFFFFF"/>
              </w:rPr>
              <w:t>% Change</w:t>
            </w:r>
          </w:p>
        </w:tc>
        <w:tc>
          <w:tcPr>
            <w:tcW w:w="1040" w:type="dxa"/>
            <w:vAlign w:val="bottom"/>
            <w:tcBorders>
              <w:right w:val="single" w:sz="8" w:color="auto"/>
            </w:tcBorders>
            <w:shd w:val="clear" w:color="auto" w:fill="33CCCC"/>
          </w:tcPr>
          <w:p>
            <w:pPr>
              <w:spacing w:after="0"/>
              <w:rPr>
                <w:sz w:val="14"/>
                <w:szCs w:val="14"/>
                <w:color w:val="auto"/>
              </w:rPr>
            </w:pPr>
          </w:p>
        </w:tc>
      </w:tr>
      <w:tr>
        <w:trPr>
          <w:trHeight w:val="181"/>
        </w:trPr>
        <w:tc>
          <w:tcPr>
            <w:tcW w:w="2860" w:type="dxa"/>
            <w:vAlign w:val="bottom"/>
            <w:tcBorders>
              <w:left w:val="single" w:sz="8" w:color="auto"/>
            </w:tcBorders>
            <w:shd w:val="clear" w:color="auto" w:fill="33CCCC"/>
          </w:tcPr>
          <w:p>
            <w:pPr>
              <w:ind w:left="20"/>
              <w:spacing w:after="0"/>
              <w:rPr>
                <w:sz w:val="20"/>
                <w:szCs w:val="20"/>
                <w:color w:val="auto"/>
              </w:rPr>
            </w:pPr>
            <w:r>
              <w:rPr>
                <w:rFonts w:ascii="Calibri" w:cs="Calibri" w:eastAsia="Calibri" w:hAnsi="Calibri"/>
                <w:sz w:val="14"/>
                <w:szCs w:val="14"/>
                <w:color w:val="FFFFFF"/>
              </w:rPr>
              <w:t>(S/. thousand)</w:t>
            </w:r>
          </w:p>
        </w:tc>
        <w:tc>
          <w:tcPr>
            <w:tcW w:w="880" w:type="dxa"/>
            <w:vAlign w:val="bottom"/>
            <w:tcBorders>
              <w:right w:val="single" w:sz="8" w:color="33CCCC"/>
            </w:tcBorders>
            <w:shd w:val="clear" w:color="auto" w:fill="33CCCC"/>
          </w:tcPr>
          <w:p>
            <w:pPr>
              <w:spacing w:after="0"/>
              <w:rPr>
                <w:sz w:val="15"/>
                <w:szCs w:val="15"/>
                <w:color w:val="auto"/>
              </w:rPr>
            </w:pPr>
          </w:p>
        </w:tc>
        <w:tc>
          <w:tcPr>
            <w:tcW w:w="1540" w:type="dxa"/>
            <w:vAlign w:val="bottom"/>
            <w:shd w:val="clear" w:color="auto" w:fill="33CCCC"/>
          </w:tcPr>
          <w:p>
            <w:pPr>
              <w:jc w:val="right"/>
              <w:spacing w:after="0"/>
              <w:rPr>
                <w:sz w:val="20"/>
                <w:szCs w:val="20"/>
                <w:color w:val="auto"/>
              </w:rPr>
            </w:pPr>
            <w:r>
              <w:rPr>
                <w:rFonts w:ascii="Calibri" w:cs="Calibri" w:eastAsia="Calibri" w:hAnsi="Calibri"/>
                <w:sz w:val="14"/>
                <w:szCs w:val="14"/>
                <w:color w:val="FFFFFF"/>
              </w:rPr>
              <w:t>Sep 23</w:t>
            </w:r>
          </w:p>
        </w:tc>
        <w:tc>
          <w:tcPr>
            <w:tcW w:w="1640" w:type="dxa"/>
            <w:vAlign w:val="bottom"/>
            <w:shd w:val="clear" w:color="auto" w:fill="33CCCC"/>
          </w:tcPr>
          <w:p>
            <w:pPr>
              <w:jc w:val="right"/>
              <w:ind w:right="75"/>
              <w:spacing w:after="0"/>
              <w:rPr>
                <w:sz w:val="20"/>
                <w:szCs w:val="20"/>
                <w:color w:val="auto"/>
              </w:rPr>
            </w:pPr>
            <w:r>
              <w:rPr>
                <w:rFonts w:ascii="Calibri" w:cs="Calibri" w:eastAsia="Calibri" w:hAnsi="Calibri"/>
                <w:sz w:val="14"/>
                <w:szCs w:val="14"/>
                <w:color w:val="FFFFFF"/>
              </w:rPr>
              <w:t>Jun 24</w:t>
            </w:r>
          </w:p>
        </w:tc>
        <w:tc>
          <w:tcPr>
            <w:tcW w:w="800" w:type="dxa"/>
            <w:vAlign w:val="bottom"/>
            <w:shd w:val="clear" w:color="auto" w:fill="33CCCC"/>
          </w:tcPr>
          <w:p>
            <w:pPr>
              <w:spacing w:after="0"/>
              <w:rPr>
                <w:sz w:val="15"/>
                <w:szCs w:val="15"/>
                <w:color w:val="auto"/>
              </w:rPr>
            </w:pPr>
          </w:p>
        </w:tc>
        <w:tc>
          <w:tcPr>
            <w:tcW w:w="600" w:type="dxa"/>
            <w:vAlign w:val="bottom"/>
            <w:tcBorders>
              <w:right w:val="single" w:sz="8" w:color="auto"/>
            </w:tcBorders>
            <w:gridSpan w:val="2"/>
            <w:shd w:val="clear" w:color="auto" w:fill="33CCCC"/>
          </w:tcPr>
          <w:p>
            <w:pPr>
              <w:jc w:val="right"/>
              <w:spacing w:after="0"/>
              <w:rPr>
                <w:sz w:val="20"/>
                <w:szCs w:val="20"/>
                <w:color w:val="auto"/>
              </w:rPr>
            </w:pPr>
            <w:r>
              <w:rPr>
                <w:rFonts w:ascii="Calibri" w:cs="Calibri" w:eastAsia="Calibri" w:hAnsi="Calibri"/>
                <w:sz w:val="14"/>
                <w:szCs w:val="14"/>
                <w:color w:val="FFFFFF"/>
              </w:rPr>
              <w:t>Sep 24</w:t>
            </w:r>
          </w:p>
        </w:tc>
        <w:tc>
          <w:tcPr>
            <w:tcW w:w="900" w:type="dxa"/>
            <w:vAlign w:val="bottom"/>
            <w:shd w:val="clear" w:color="auto" w:fill="33CCCC"/>
          </w:tcPr>
          <w:p>
            <w:pPr>
              <w:spacing w:after="0"/>
              <w:rPr>
                <w:sz w:val="15"/>
                <w:szCs w:val="15"/>
                <w:color w:val="auto"/>
              </w:rPr>
            </w:pPr>
          </w:p>
        </w:tc>
        <w:tc>
          <w:tcPr>
            <w:tcW w:w="980" w:type="dxa"/>
            <w:vAlign w:val="bottom"/>
            <w:shd w:val="clear" w:color="auto" w:fill="33CCCC"/>
          </w:tcPr>
          <w:p>
            <w:pPr>
              <w:jc w:val="right"/>
              <w:ind w:right="376"/>
              <w:spacing w:after="0"/>
              <w:rPr>
                <w:sz w:val="20"/>
                <w:szCs w:val="20"/>
                <w:color w:val="auto"/>
              </w:rPr>
            </w:pPr>
            <w:r>
              <w:rPr>
                <w:rFonts w:ascii="Calibri" w:cs="Calibri" w:eastAsia="Calibri" w:hAnsi="Calibri"/>
                <w:sz w:val="14"/>
                <w:szCs w:val="14"/>
                <w:color w:val="FFFFFF"/>
              </w:rPr>
              <w:t>QoQ</w:t>
            </w:r>
          </w:p>
        </w:tc>
        <w:tc>
          <w:tcPr>
            <w:tcW w:w="1040" w:type="dxa"/>
            <w:vAlign w:val="bottom"/>
            <w:tcBorders>
              <w:right w:val="single" w:sz="8" w:color="auto"/>
            </w:tcBorders>
            <w:shd w:val="clear" w:color="auto" w:fill="33CCCC"/>
          </w:tcPr>
          <w:p>
            <w:pPr>
              <w:jc w:val="right"/>
              <w:spacing w:after="0"/>
              <w:rPr>
                <w:sz w:val="20"/>
                <w:szCs w:val="20"/>
                <w:color w:val="auto"/>
              </w:rPr>
            </w:pPr>
            <w:r>
              <w:rPr>
                <w:rFonts w:ascii="Calibri" w:cs="Calibri" w:eastAsia="Calibri" w:hAnsi="Calibri"/>
                <w:sz w:val="14"/>
                <w:szCs w:val="14"/>
                <w:color w:val="FFFFFF"/>
              </w:rPr>
              <w:t>YoY</w:t>
            </w:r>
          </w:p>
        </w:tc>
      </w:tr>
      <w:tr>
        <w:trPr>
          <w:trHeight w:val="138"/>
        </w:trPr>
        <w:tc>
          <w:tcPr>
            <w:tcW w:w="2860" w:type="dxa"/>
            <w:vAlign w:val="bottom"/>
            <w:tcBorders>
              <w:left w:val="single" w:sz="8" w:color="auto"/>
            </w:tcBorders>
          </w:tcPr>
          <w:p>
            <w:pPr>
              <w:ind w:left="20"/>
              <w:spacing w:after="0" w:line="138" w:lineRule="exact"/>
              <w:rPr>
                <w:sz w:val="20"/>
                <w:szCs w:val="20"/>
                <w:color w:val="auto"/>
              </w:rPr>
            </w:pPr>
            <w:r>
              <w:rPr>
                <w:rFonts w:ascii="Calibri" w:cs="Calibri" w:eastAsia="Calibri" w:hAnsi="Calibri"/>
                <w:sz w:val="13"/>
                <w:szCs w:val="13"/>
                <w:color w:val="auto"/>
              </w:rPr>
              <w:t>Capital and reserves</w:t>
            </w:r>
          </w:p>
        </w:tc>
        <w:tc>
          <w:tcPr>
            <w:tcW w:w="2420" w:type="dxa"/>
            <w:vAlign w:val="bottom"/>
            <w:gridSpan w:val="2"/>
          </w:tcPr>
          <w:p>
            <w:pPr>
              <w:jc w:val="right"/>
              <w:spacing w:after="0" w:line="138" w:lineRule="exact"/>
              <w:rPr>
                <w:sz w:val="20"/>
                <w:szCs w:val="20"/>
                <w:color w:val="auto"/>
              </w:rPr>
            </w:pPr>
            <w:r>
              <w:rPr>
                <w:rFonts w:ascii="Calibri" w:cs="Calibri" w:eastAsia="Calibri" w:hAnsi="Calibri"/>
                <w:sz w:val="13"/>
                <w:szCs w:val="13"/>
                <w:color w:val="auto"/>
              </w:rPr>
              <w:t>2,676,791</w:t>
            </w:r>
          </w:p>
        </w:tc>
        <w:tc>
          <w:tcPr>
            <w:tcW w:w="1640" w:type="dxa"/>
            <w:vAlign w:val="bottom"/>
          </w:tcPr>
          <w:p>
            <w:pPr>
              <w:jc w:val="right"/>
              <w:ind w:right="75"/>
              <w:spacing w:after="0" w:line="138" w:lineRule="exact"/>
              <w:rPr>
                <w:sz w:val="20"/>
                <w:szCs w:val="20"/>
                <w:color w:val="auto"/>
              </w:rPr>
            </w:pPr>
            <w:r>
              <w:rPr>
                <w:rFonts w:ascii="Calibri" w:cs="Calibri" w:eastAsia="Calibri" w:hAnsi="Calibri"/>
                <w:sz w:val="13"/>
                <w:szCs w:val="13"/>
                <w:color w:val="auto"/>
              </w:rPr>
              <w:t>2,703,385</w:t>
            </w:r>
          </w:p>
        </w:tc>
        <w:tc>
          <w:tcPr>
            <w:tcW w:w="800" w:type="dxa"/>
            <w:vAlign w:val="bottom"/>
          </w:tcPr>
          <w:p>
            <w:pPr>
              <w:spacing w:after="0"/>
              <w:rPr>
                <w:sz w:val="12"/>
                <w:szCs w:val="12"/>
                <w:color w:val="auto"/>
              </w:rPr>
            </w:pPr>
          </w:p>
        </w:tc>
        <w:tc>
          <w:tcPr>
            <w:tcW w:w="600" w:type="dxa"/>
            <w:vAlign w:val="bottom"/>
            <w:tcBorders>
              <w:right w:val="single" w:sz="8" w:color="auto"/>
            </w:tcBorders>
            <w:gridSpan w:val="2"/>
          </w:tcPr>
          <w:p>
            <w:pPr>
              <w:jc w:val="right"/>
              <w:spacing w:after="0" w:line="138" w:lineRule="exact"/>
              <w:rPr>
                <w:sz w:val="20"/>
                <w:szCs w:val="20"/>
                <w:color w:val="auto"/>
              </w:rPr>
            </w:pPr>
            <w:r>
              <w:rPr>
                <w:rFonts w:ascii="Calibri" w:cs="Calibri" w:eastAsia="Calibri" w:hAnsi="Calibri"/>
                <w:sz w:val="13"/>
                <w:szCs w:val="13"/>
                <w:color w:val="auto"/>
              </w:rPr>
              <w:t>2,703,385</w:t>
            </w:r>
          </w:p>
        </w:tc>
        <w:tc>
          <w:tcPr>
            <w:tcW w:w="900" w:type="dxa"/>
            <w:vAlign w:val="bottom"/>
          </w:tcPr>
          <w:p>
            <w:pPr>
              <w:spacing w:after="0"/>
              <w:rPr>
                <w:sz w:val="12"/>
                <w:szCs w:val="12"/>
                <w:color w:val="auto"/>
              </w:rPr>
            </w:pPr>
          </w:p>
        </w:tc>
        <w:tc>
          <w:tcPr>
            <w:tcW w:w="980" w:type="dxa"/>
            <w:vAlign w:val="bottom"/>
          </w:tcPr>
          <w:p>
            <w:pPr>
              <w:jc w:val="right"/>
              <w:ind w:right="376"/>
              <w:spacing w:after="0" w:line="138" w:lineRule="exact"/>
              <w:rPr>
                <w:sz w:val="20"/>
                <w:szCs w:val="20"/>
                <w:color w:val="auto"/>
              </w:rPr>
            </w:pPr>
            <w:r>
              <w:rPr>
                <w:rFonts w:ascii="Calibri" w:cs="Calibri" w:eastAsia="Calibri" w:hAnsi="Calibri"/>
                <w:sz w:val="13"/>
                <w:szCs w:val="13"/>
                <w:color w:val="auto"/>
              </w:rPr>
              <w:t>0.0%</w:t>
            </w:r>
          </w:p>
        </w:tc>
        <w:tc>
          <w:tcPr>
            <w:tcW w:w="1040" w:type="dxa"/>
            <w:vAlign w:val="bottom"/>
            <w:tcBorders>
              <w:right w:val="single" w:sz="8" w:color="auto"/>
            </w:tcBorders>
          </w:tcPr>
          <w:p>
            <w:pPr>
              <w:jc w:val="right"/>
              <w:spacing w:after="0" w:line="138" w:lineRule="exact"/>
              <w:rPr>
                <w:sz w:val="20"/>
                <w:szCs w:val="20"/>
                <w:color w:val="auto"/>
              </w:rPr>
            </w:pPr>
            <w:r>
              <w:rPr>
                <w:rFonts w:ascii="Calibri" w:cs="Calibri" w:eastAsia="Calibri" w:hAnsi="Calibri"/>
                <w:sz w:val="13"/>
                <w:szCs w:val="13"/>
                <w:color w:val="auto"/>
              </w:rPr>
              <w:t>1.0%</w:t>
            </w:r>
          </w:p>
        </w:tc>
      </w:tr>
      <w:tr>
        <w:trPr>
          <w:trHeight w:val="148"/>
        </w:trPr>
        <w:tc>
          <w:tcPr>
            <w:tcW w:w="286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Retained earnings</w:t>
            </w:r>
          </w:p>
        </w:tc>
        <w:tc>
          <w:tcPr>
            <w:tcW w:w="242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267,299</w:t>
            </w:r>
          </w:p>
        </w:tc>
        <w:tc>
          <w:tcPr>
            <w:tcW w:w="1640" w:type="dxa"/>
            <w:vAlign w:val="bottom"/>
          </w:tcPr>
          <w:p>
            <w:pPr>
              <w:jc w:val="right"/>
              <w:ind w:right="75"/>
              <w:spacing w:after="0" w:line="149" w:lineRule="exact"/>
              <w:rPr>
                <w:sz w:val="20"/>
                <w:szCs w:val="20"/>
                <w:color w:val="auto"/>
              </w:rPr>
            </w:pPr>
            <w:r>
              <w:rPr>
                <w:rFonts w:ascii="Calibri" w:cs="Calibri" w:eastAsia="Calibri" w:hAnsi="Calibri"/>
                <w:sz w:val="13"/>
                <w:szCs w:val="13"/>
                <w:color w:val="auto"/>
              </w:rPr>
              <w:t>(26,918)</w:t>
            </w:r>
          </w:p>
        </w:tc>
        <w:tc>
          <w:tcPr>
            <w:tcW w:w="800" w:type="dxa"/>
            <w:vAlign w:val="bottom"/>
          </w:tcPr>
          <w:p>
            <w:pPr>
              <w:spacing w:after="0"/>
              <w:rPr>
                <w:sz w:val="12"/>
                <w:szCs w:val="12"/>
                <w:color w:val="auto"/>
              </w:rPr>
            </w:pPr>
          </w:p>
        </w:tc>
        <w:tc>
          <w:tcPr>
            <w:tcW w:w="6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36,907</w:t>
            </w:r>
          </w:p>
        </w:tc>
        <w:tc>
          <w:tcPr>
            <w:tcW w:w="900" w:type="dxa"/>
            <w:vAlign w:val="bottom"/>
          </w:tcPr>
          <w:p>
            <w:pPr>
              <w:spacing w:after="0"/>
              <w:rPr>
                <w:sz w:val="12"/>
                <w:szCs w:val="12"/>
                <w:color w:val="auto"/>
              </w:rPr>
            </w:pPr>
          </w:p>
        </w:tc>
        <w:tc>
          <w:tcPr>
            <w:tcW w:w="980" w:type="dxa"/>
            <w:vAlign w:val="bottom"/>
          </w:tcPr>
          <w:p>
            <w:pPr>
              <w:jc w:val="right"/>
              <w:ind w:right="376"/>
              <w:spacing w:after="0" w:line="149" w:lineRule="exact"/>
              <w:rPr>
                <w:sz w:val="20"/>
                <w:szCs w:val="20"/>
                <w:color w:val="auto"/>
              </w:rPr>
            </w:pPr>
            <w:r>
              <w:rPr>
                <w:rFonts w:ascii="Calibri" w:cs="Calibri" w:eastAsia="Calibri" w:hAnsi="Calibri"/>
                <w:sz w:val="13"/>
                <w:szCs w:val="13"/>
                <w:color w:val="auto"/>
              </w:rPr>
              <w:t>-237.1%</w:t>
            </w:r>
          </w:p>
        </w:tc>
        <w:tc>
          <w:tcPr>
            <w:tcW w:w="104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-86.2%</w:t>
            </w:r>
          </w:p>
        </w:tc>
      </w:tr>
      <w:tr>
        <w:trPr>
          <w:trHeight w:val="148"/>
        </w:trPr>
        <w:tc>
          <w:tcPr>
            <w:tcW w:w="286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Unrealized gains (losses)</w:t>
            </w:r>
          </w:p>
        </w:tc>
        <w:tc>
          <w:tcPr>
            <w:tcW w:w="242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(13,268)</w:t>
            </w:r>
          </w:p>
        </w:tc>
        <w:tc>
          <w:tcPr>
            <w:tcW w:w="1640" w:type="dxa"/>
            <w:vAlign w:val="bottom"/>
          </w:tcPr>
          <w:p>
            <w:pPr>
              <w:jc w:val="right"/>
              <w:ind w:right="75"/>
              <w:spacing w:after="0" w:line="149" w:lineRule="exact"/>
              <w:rPr>
                <w:sz w:val="20"/>
                <w:szCs w:val="20"/>
                <w:color w:val="auto"/>
              </w:rPr>
            </w:pPr>
            <w:r>
              <w:rPr>
                <w:rFonts w:ascii="Calibri" w:cs="Calibri" w:eastAsia="Calibri" w:hAnsi="Calibri"/>
                <w:sz w:val="13"/>
                <w:szCs w:val="13"/>
                <w:color w:val="auto"/>
              </w:rPr>
              <w:t>(3,821)</w:t>
            </w:r>
          </w:p>
        </w:tc>
        <w:tc>
          <w:tcPr>
            <w:tcW w:w="800" w:type="dxa"/>
            <w:vAlign w:val="bottom"/>
          </w:tcPr>
          <w:p>
            <w:pPr>
              <w:spacing w:after="0"/>
              <w:rPr>
                <w:sz w:val="12"/>
                <w:szCs w:val="12"/>
                <w:color w:val="auto"/>
              </w:rPr>
            </w:pPr>
          </w:p>
        </w:tc>
        <w:tc>
          <w:tcPr>
            <w:tcW w:w="6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3,081</w:t>
            </w:r>
          </w:p>
        </w:tc>
        <w:tc>
          <w:tcPr>
            <w:tcW w:w="900" w:type="dxa"/>
            <w:vAlign w:val="bottom"/>
          </w:tcPr>
          <w:p>
            <w:pPr>
              <w:spacing w:after="0"/>
              <w:rPr>
                <w:sz w:val="12"/>
                <w:szCs w:val="12"/>
                <w:color w:val="auto"/>
              </w:rPr>
            </w:pPr>
          </w:p>
        </w:tc>
        <w:tc>
          <w:tcPr>
            <w:tcW w:w="980" w:type="dxa"/>
            <w:vAlign w:val="bottom"/>
          </w:tcPr>
          <w:p>
            <w:pPr>
              <w:jc w:val="right"/>
              <w:ind w:right="376"/>
              <w:spacing w:after="0" w:line="149" w:lineRule="exact"/>
              <w:rPr>
                <w:sz w:val="20"/>
                <w:szCs w:val="20"/>
                <w:color w:val="auto"/>
              </w:rPr>
            </w:pPr>
            <w:r>
              <w:rPr>
                <w:rFonts w:ascii="Calibri" w:cs="Calibri" w:eastAsia="Calibri" w:hAnsi="Calibri"/>
                <w:sz w:val="13"/>
                <w:szCs w:val="13"/>
                <w:color w:val="auto"/>
              </w:rPr>
              <w:t>-180.6%</w:t>
            </w:r>
          </w:p>
        </w:tc>
        <w:tc>
          <w:tcPr>
            <w:tcW w:w="104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-123.2%</w:t>
            </w:r>
          </w:p>
        </w:tc>
      </w:tr>
      <w:tr>
        <w:trPr>
          <w:trHeight w:val="148"/>
        </w:trPr>
        <w:tc>
          <w:tcPr>
            <w:tcW w:w="286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Goodwill and intangibles</w:t>
            </w:r>
          </w:p>
        </w:tc>
        <w:tc>
          <w:tcPr>
            <w:tcW w:w="242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(345,258)</w:t>
            </w:r>
          </w:p>
        </w:tc>
        <w:tc>
          <w:tcPr>
            <w:tcW w:w="1640" w:type="dxa"/>
            <w:vAlign w:val="bottom"/>
          </w:tcPr>
          <w:p>
            <w:pPr>
              <w:jc w:val="right"/>
              <w:ind w:right="75"/>
              <w:spacing w:after="0" w:line="149" w:lineRule="exact"/>
              <w:rPr>
                <w:sz w:val="20"/>
                <w:szCs w:val="20"/>
                <w:color w:val="auto"/>
              </w:rPr>
            </w:pPr>
            <w:r>
              <w:rPr>
                <w:rFonts w:ascii="Calibri" w:cs="Calibri" w:eastAsia="Calibri" w:hAnsi="Calibri"/>
                <w:sz w:val="13"/>
                <w:szCs w:val="13"/>
                <w:color w:val="auto"/>
              </w:rPr>
              <w:t>(356,518)</w:t>
            </w:r>
          </w:p>
        </w:tc>
        <w:tc>
          <w:tcPr>
            <w:tcW w:w="800" w:type="dxa"/>
            <w:vAlign w:val="bottom"/>
          </w:tcPr>
          <w:p>
            <w:pPr>
              <w:spacing w:after="0"/>
              <w:rPr>
                <w:sz w:val="12"/>
                <w:szCs w:val="12"/>
                <w:color w:val="auto"/>
              </w:rPr>
            </w:pPr>
          </w:p>
        </w:tc>
        <w:tc>
          <w:tcPr>
            <w:tcW w:w="600" w:type="dxa"/>
            <w:vAlign w:val="bottom"/>
            <w:tcBorders>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(358,589)</w:t>
            </w:r>
          </w:p>
        </w:tc>
        <w:tc>
          <w:tcPr>
            <w:tcW w:w="900" w:type="dxa"/>
            <w:vAlign w:val="bottom"/>
          </w:tcPr>
          <w:p>
            <w:pPr>
              <w:spacing w:after="0"/>
              <w:rPr>
                <w:sz w:val="12"/>
                <w:szCs w:val="12"/>
                <w:color w:val="auto"/>
              </w:rPr>
            </w:pPr>
          </w:p>
        </w:tc>
        <w:tc>
          <w:tcPr>
            <w:tcW w:w="980" w:type="dxa"/>
            <w:vAlign w:val="bottom"/>
          </w:tcPr>
          <w:p>
            <w:pPr>
              <w:jc w:val="right"/>
              <w:ind w:right="376"/>
              <w:spacing w:after="0" w:line="149" w:lineRule="exact"/>
              <w:rPr>
                <w:sz w:val="20"/>
                <w:szCs w:val="20"/>
                <w:color w:val="auto"/>
              </w:rPr>
            </w:pPr>
            <w:r>
              <w:rPr>
                <w:rFonts w:ascii="Calibri" w:cs="Calibri" w:eastAsia="Calibri" w:hAnsi="Calibri"/>
                <w:sz w:val="13"/>
                <w:szCs w:val="13"/>
                <w:color w:val="auto"/>
              </w:rPr>
              <w:t>0.6%</w:t>
            </w:r>
          </w:p>
        </w:tc>
        <w:tc>
          <w:tcPr>
            <w:tcW w:w="104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3.9%</w:t>
            </w:r>
          </w:p>
        </w:tc>
      </w:tr>
      <w:tr>
        <w:trPr>
          <w:trHeight w:val="154"/>
        </w:trPr>
        <w:tc>
          <w:tcPr>
            <w:tcW w:w="2860" w:type="dxa"/>
            <w:vAlign w:val="bottom"/>
            <w:tcBorders>
              <w:left w:val="single" w:sz="8" w:color="auto"/>
              <w:bottom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Investments in subsidiaries</w:t>
            </w:r>
          </w:p>
        </w:tc>
        <w:tc>
          <w:tcPr>
            <w:tcW w:w="2420" w:type="dxa"/>
            <w:vAlign w:val="bottom"/>
            <w:tcBorders>
              <w:bottom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(276)</w:t>
            </w:r>
          </w:p>
        </w:tc>
        <w:tc>
          <w:tcPr>
            <w:tcW w:w="1640" w:type="dxa"/>
            <w:vAlign w:val="bottom"/>
            <w:tcBorders>
              <w:bottom w:val="single" w:sz="8" w:color="auto"/>
            </w:tcBorders>
          </w:tcPr>
          <w:p>
            <w:pPr>
              <w:jc w:val="right"/>
              <w:ind w:right="75"/>
              <w:spacing w:after="0" w:line="149" w:lineRule="exact"/>
              <w:rPr>
                <w:sz w:val="20"/>
                <w:szCs w:val="20"/>
                <w:color w:val="auto"/>
              </w:rPr>
            </w:pPr>
            <w:r>
              <w:rPr>
                <w:rFonts w:ascii="Calibri" w:cs="Calibri" w:eastAsia="Calibri" w:hAnsi="Calibri"/>
                <w:sz w:val="13"/>
                <w:szCs w:val="13"/>
                <w:color w:val="auto"/>
              </w:rPr>
              <w:t>(281)</w:t>
            </w: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(296)</w:t>
            </w:r>
          </w:p>
        </w:tc>
        <w:tc>
          <w:tcPr>
            <w:tcW w:w="9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6"/>
              <w:spacing w:after="0" w:line="149" w:lineRule="exact"/>
              <w:rPr>
                <w:sz w:val="20"/>
                <w:szCs w:val="20"/>
                <w:color w:val="auto"/>
              </w:rPr>
            </w:pPr>
            <w:r>
              <w:rPr>
                <w:rFonts w:ascii="Calibri" w:cs="Calibri" w:eastAsia="Calibri" w:hAnsi="Calibri"/>
                <w:sz w:val="13"/>
                <w:szCs w:val="13"/>
                <w:color w:val="auto"/>
              </w:rPr>
              <w:t>5.5%</w:t>
            </w:r>
          </w:p>
        </w:tc>
        <w:tc>
          <w:tcPr>
            <w:tcW w:w="104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7.2%</w:t>
            </w:r>
          </w:p>
        </w:tc>
      </w:tr>
      <w:tr>
        <w:trPr>
          <w:trHeight w:val="147"/>
        </w:trPr>
        <w:tc>
          <w:tcPr>
            <w:tcW w:w="2860" w:type="dxa"/>
            <w:vAlign w:val="bottom"/>
            <w:tcBorders>
              <w:left w:val="single" w:sz="8" w:color="auto"/>
              <w:bottom w:val="single" w:sz="8" w:color="auto"/>
            </w:tcBorders>
          </w:tcPr>
          <w:p>
            <w:pPr>
              <w:ind w:left="20"/>
              <w:spacing w:after="0" w:line="147" w:lineRule="exact"/>
              <w:rPr>
                <w:sz w:val="20"/>
                <w:szCs w:val="20"/>
                <w:color w:val="auto"/>
              </w:rPr>
            </w:pPr>
            <w:r>
              <w:rPr>
                <w:rFonts w:ascii="Calibri" w:cs="Calibri" w:eastAsia="Calibri" w:hAnsi="Calibri"/>
                <w:sz w:val="13"/>
                <w:szCs w:val="13"/>
                <w:b w:val="1"/>
                <w:bCs w:val="1"/>
                <w:color w:val="auto"/>
              </w:rPr>
              <w:t>Total</w:t>
            </w:r>
          </w:p>
        </w:tc>
        <w:tc>
          <w:tcPr>
            <w:tcW w:w="2420" w:type="dxa"/>
            <w:vAlign w:val="bottom"/>
            <w:tcBorders>
              <w:bottom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2,585,288</w:t>
            </w:r>
          </w:p>
        </w:tc>
        <w:tc>
          <w:tcPr>
            <w:tcW w:w="1640" w:type="dxa"/>
            <w:vAlign w:val="bottom"/>
            <w:tcBorders>
              <w:bottom w:val="single" w:sz="8" w:color="auto"/>
            </w:tcBorders>
          </w:tcPr>
          <w:p>
            <w:pPr>
              <w:jc w:val="right"/>
              <w:ind w:right="75"/>
              <w:spacing w:after="0" w:line="147" w:lineRule="exact"/>
              <w:rPr>
                <w:sz w:val="20"/>
                <w:szCs w:val="20"/>
                <w:color w:val="auto"/>
              </w:rPr>
            </w:pPr>
            <w:r>
              <w:rPr>
                <w:rFonts w:ascii="Calibri" w:cs="Calibri" w:eastAsia="Calibri" w:hAnsi="Calibri"/>
                <w:sz w:val="13"/>
                <w:szCs w:val="13"/>
                <w:b w:val="1"/>
                <w:bCs w:val="1"/>
                <w:color w:val="auto"/>
              </w:rPr>
              <w:t>2,315,848</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2,384,488</w:t>
            </w: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6"/>
              <w:spacing w:after="0" w:line="147" w:lineRule="exact"/>
              <w:rPr>
                <w:sz w:val="20"/>
                <w:szCs w:val="20"/>
                <w:color w:val="auto"/>
              </w:rPr>
            </w:pPr>
            <w:r>
              <w:rPr>
                <w:rFonts w:ascii="Calibri" w:cs="Calibri" w:eastAsia="Calibri" w:hAnsi="Calibri"/>
                <w:sz w:val="13"/>
                <w:szCs w:val="13"/>
                <w:b w:val="1"/>
                <w:bCs w:val="1"/>
                <w:color w:val="auto"/>
              </w:rPr>
              <w:t>3.0%</w:t>
            </w:r>
          </w:p>
        </w:tc>
        <w:tc>
          <w:tcPr>
            <w:tcW w:w="1040" w:type="dxa"/>
            <w:vAlign w:val="bottom"/>
            <w:tcBorders>
              <w:bottom w:val="single" w:sz="8" w:color="auto"/>
              <w:right w:val="single" w:sz="8" w:color="auto"/>
            </w:tcBorders>
          </w:tcPr>
          <w:p>
            <w:pPr>
              <w:jc w:val="right"/>
              <w:spacing w:after="0" w:line="147" w:lineRule="exact"/>
              <w:rPr>
                <w:sz w:val="20"/>
                <w:szCs w:val="20"/>
                <w:color w:val="auto"/>
              </w:rPr>
            </w:pPr>
            <w:r>
              <w:rPr>
                <w:rFonts w:ascii="Calibri" w:cs="Calibri" w:eastAsia="Calibri" w:hAnsi="Calibri"/>
                <w:sz w:val="13"/>
                <w:szCs w:val="13"/>
                <w:b w:val="1"/>
                <w:bCs w:val="1"/>
                <w:color w:val="auto"/>
              </w:rPr>
              <w:t>-7.8%</w:t>
            </w:r>
          </w:p>
        </w:tc>
      </w:tr>
      <w:tr>
        <w:trPr>
          <w:trHeight w:val="142"/>
        </w:trPr>
        <w:tc>
          <w:tcPr>
            <w:tcW w:w="2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42"/>
        </w:trPr>
        <w:tc>
          <w:tcPr>
            <w:tcW w:w="2860" w:type="dxa"/>
            <w:vAlign w:val="bottom"/>
            <w:tcBorders>
              <w:left w:val="single" w:sz="8" w:color="auto"/>
              <w:bottom w:val="single" w:sz="8" w:color="auto"/>
            </w:tcBorders>
          </w:tcPr>
          <w:p>
            <w:pPr>
              <w:ind w:left="20"/>
              <w:spacing w:after="0" w:line="142" w:lineRule="exact"/>
              <w:rPr>
                <w:sz w:val="20"/>
                <w:szCs w:val="20"/>
                <w:color w:val="auto"/>
              </w:rPr>
            </w:pPr>
            <w:r>
              <w:rPr>
                <w:rFonts w:ascii="Calibri" w:cs="Calibri" w:eastAsia="Calibri" w:hAnsi="Calibri"/>
                <w:sz w:val="13"/>
                <w:szCs w:val="13"/>
                <w:b w:val="1"/>
                <w:bCs w:val="1"/>
                <w:color w:val="auto"/>
              </w:rPr>
              <w:t>Adjusted RWAs IFRS</w:t>
            </w:r>
          </w:p>
        </w:tc>
        <w:tc>
          <w:tcPr>
            <w:tcW w:w="2420" w:type="dxa"/>
            <w:vAlign w:val="bottom"/>
            <w:tcBorders>
              <w:bottom w:val="single" w:sz="8" w:color="auto"/>
            </w:tcBorders>
            <w:gridSpan w:val="2"/>
          </w:tcPr>
          <w:p>
            <w:pPr>
              <w:jc w:val="right"/>
              <w:spacing w:after="0" w:line="142" w:lineRule="exact"/>
              <w:rPr>
                <w:sz w:val="20"/>
                <w:szCs w:val="20"/>
                <w:color w:val="auto"/>
              </w:rPr>
            </w:pPr>
            <w:r>
              <w:rPr>
                <w:rFonts w:ascii="Calibri" w:cs="Calibri" w:eastAsia="Calibri" w:hAnsi="Calibri"/>
                <w:sz w:val="13"/>
                <w:szCs w:val="13"/>
                <w:b w:val="1"/>
                <w:bCs w:val="1"/>
                <w:color w:val="auto"/>
              </w:rPr>
              <w:t>14,719,637</w:t>
            </w:r>
          </w:p>
        </w:tc>
        <w:tc>
          <w:tcPr>
            <w:tcW w:w="1640" w:type="dxa"/>
            <w:vAlign w:val="bottom"/>
            <w:tcBorders>
              <w:bottom w:val="single" w:sz="8" w:color="auto"/>
            </w:tcBorders>
          </w:tcPr>
          <w:p>
            <w:pPr>
              <w:jc w:val="right"/>
              <w:ind w:right="75"/>
              <w:spacing w:after="0" w:line="142" w:lineRule="exact"/>
              <w:rPr>
                <w:sz w:val="20"/>
                <w:szCs w:val="20"/>
                <w:color w:val="auto"/>
              </w:rPr>
            </w:pPr>
            <w:r>
              <w:rPr>
                <w:rFonts w:ascii="Calibri" w:cs="Calibri" w:eastAsia="Calibri" w:hAnsi="Calibri"/>
                <w:sz w:val="13"/>
                <w:szCs w:val="13"/>
                <w:b w:val="1"/>
                <w:bCs w:val="1"/>
                <w:color w:val="auto"/>
              </w:rPr>
              <w:t>13,852,449</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Calibri" w:cs="Calibri" w:eastAsia="Calibri" w:hAnsi="Calibri"/>
                <w:sz w:val="13"/>
                <w:szCs w:val="13"/>
                <w:b w:val="1"/>
                <w:bCs w:val="1"/>
                <w:color w:val="auto"/>
                <w:w w:val="94"/>
              </w:rPr>
              <w:t>13,291,063</w:t>
            </w: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6"/>
              <w:spacing w:after="0" w:line="142" w:lineRule="exact"/>
              <w:rPr>
                <w:sz w:val="20"/>
                <w:szCs w:val="20"/>
                <w:color w:val="auto"/>
              </w:rPr>
            </w:pPr>
            <w:r>
              <w:rPr>
                <w:rFonts w:ascii="Calibri" w:cs="Calibri" w:eastAsia="Calibri" w:hAnsi="Calibri"/>
                <w:sz w:val="13"/>
                <w:szCs w:val="13"/>
                <w:b w:val="1"/>
                <w:bCs w:val="1"/>
                <w:color w:val="auto"/>
              </w:rPr>
              <w:t>-4.1%</w:t>
            </w:r>
          </w:p>
        </w:tc>
        <w:tc>
          <w:tcPr>
            <w:tcW w:w="104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b w:val="1"/>
                <w:bCs w:val="1"/>
                <w:color w:val="auto"/>
              </w:rPr>
              <w:t>-9.7%</w:t>
            </w:r>
          </w:p>
        </w:tc>
      </w:tr>
      <w:tr>
        <w:trPr>
          <w:trHeight w:val="132"/>
        </w:trPr>
        <w:tc>
          <w:tcPr>
            <w:tcW w:w="286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3"/>
                <w:szCs w:val="13"/>
                <w:color w:val="auto"/>
              </w:rPr>
              <w:t>Adjusted Credit RWAs IFRS</w:t>
            </w:r>
          </w:p>
        </w:tc>
        <w:tc>
          <w:tcPr>
            <w:tcW w:w="2420" w:type="dxa"/>
            <w:vAlign w:val="bottom"/>
            <w:gridSpan w:val="2"/>
          </w:tcPr>
          <w:p>
            <w:pPr>
              <w:jc w:val="right"/>
              <w:spacing w:after="0" w:line="131" w:lineRule="exact"/>
              <w:rPr>
                <w:sz w:val="20"/>
                <w:szCs w:val="20"/>
                <w:color w:val="auto"/>
              </w:rPr>
            </w:pPr>
            <w:r>
              <w:rPr>
                <w:rFonts w:ascii="Calibri" w:cs="Calibri" w:eastAsia="Calibri" w:hAnsi="Calibri"/>
                <w:sz w:val="13"/>
                <w:szCs w:val="13"/>
                <w:color w:val="auto"/>
              </w:rPr>
              <w:t>13,028,635</w:t>
            </w:r>
          </w:p>
        </w:tc>
        <w:tc>
          <w:tcPr>
            <w:tcW w:w="1640" w:type="dxa"/>
            <w:vAlign w:val="bottom"/>
          </w:tcPr>
          <w:p>
            <w:pPr>
              <w:jc w:val="right"/>
              <w:ind w:right="75"/>
              <w:spacing w:after="0" w:line="131" w:lineRule="exact"/>
              <w:rPr>
                <w:sz w:val="20"/>
                <w:szCs w:val="20"/>
                <w:color w:val="auto"/>
              </w:rPr>
            </w:pPr>
            <w:r>
              <w:rPr>
                <w:rFonts w:ascii="Calibri" w:cs="Calibri" w:eastAsia="Calibri" w:hAnsi="Calibri"/>
                <w:sz w:val="13"/>
                <w:szCs w:val="13"/>
                <w:color w:val="auto"/>
              </w:rPr>
              <w:t>12,013,076</w:t>
            </w:r>
          </w:p>
        </w:tc>
        <w:tc>
          <w:tcPr>
            <w:tcW w:w="800" w:type="dxa"/>
            <w:vAlign w:val="bottom"/>
          </w:tcPr>
          <w:p>
            <w:pPr>
              <w:spacing w:after="0"/>
              <w:rPr>
                <w:sz w:val="11"/>
                <w:szCs w:val="11"/>
                <w:color w:val="auto"/>
              </w:rPr>
            </w:pPr>
          </w:p>
        </w:tc>
        <w:tc>
          <w:tcPr>
            <w:tcW w:w="600" w:type="dxa"/>
            <w:vAlign w:val="bottom"/>
            <w:tcBorders>
              <w:right w:val="single" w:sz="8" w:color="auto"/>
            </w:tcBorders>
            <w:gridSpan w:val="2"/>
          </w:tcPr>
          <w:p>
            <w:pPr>
              <w:jc w:val="right"/>
              <w:spacing w:after="0" w:line="131" w:lineRule="exact"/>
              <w:rPr>
                <w:sz w:val="20"/>
                <w:szCs w:val="20"/>
                <w:color w:val="auto"/>
              </w:rPr>
            </w:pPr>
            <w:r>
              <w:rPr>
                <w:rFonts w:ascii="Calibri" w:cs="Calibri" w:eastAsia="Calibri" w:hAnsi="Calibri"/>
                <w:sz w:val="13"/>
                <w:szCs w:val="13"/>
                <w:color w:val="auto"/>
                <w:w w:val="94"/>
              </w:rPr>
              <w:t>11,455,585</w:t>
            </w:r>
          </w:p>
        </w:tc>
        <w:tc>
          <w:tcPr>
            <w:tcW w:w="900" w:type="dxa"/>
            <w:vAlign w:val="bottom"/>
          </w:tcPr>
          <w:p>
            <w:pPr>
              <w:spacing w:after="0"/>
              <w:rPr>
                <w:sz w:val="11"/>
                <w:szCs w:val="11"/>
                <w:color w:val="auto"/>
              </w:rPr>
            </w:pPr>
          </w:p>
        </w:tc>
        <w:tc>
          <w:tcPr>
            <w:tcW w:w="980" w:type="dxa"/>
            <w:vAlign w:val="bottom"/>
          </w:tcPr>
          <w:p>
            <w:pPr>
              <w:jc w:val="right"/>
              <w:ind w:right="376"/>
              <w:spacing w:after="0" w:line="131" w:lineRule="exact"/>
              <w:rPr>
                <w:sz w:val="20"/>
                <w:szCs w:val="20"/>
                <w:color w:val="auto"/>
              </w:rPr>
            </w:pPr>
            <w:r>
              <w:rPr>
                <w:rFonts w:ascii="Calibri" w:cs="Calibri" w:eastAsia="Calibri" w:hAnsi="Calibri"/>
                <w:sz w:val="13"/>
                <w:szCs w:val="13"/>
                <w:color w:val="auto"/>
              </w:rPr>
              <w:t>-4.6%</w:t>
            </w:r>
          </w:p>
        </w:tc>
        <w:tc>
          <w:tcPr>
            <w:tcW w:w="104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color w:val="auto"/>
              </w:rPr>
              <w:t>-12.1%</w:t>
            </w:r>
          </w:p>
        </w:tc>
      </w:tr>
      <w:tr>
        <w:trPr>
          <w:trHeight w:val="154"/>
        </w:trPr>
        <w:tc>
          <w:tcPr>
            <w:tcW w:w="2860" w:type="dxa"/>
            <w:vAlign w:val="bottom"/>
            <w:tcBorders>
              <w:left w:val="single" w:sz="8" w:color="auto"/>
              <w:bottom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Others</w:t>
            </w:r>
          </w:p>
        </w:tc>
        <w:tc>
          <w:tcPr>
            <w:tcW w:w="2420" w:type="dxa"/>
            <w:vAlign w:val="bottom"/>
            <w:tcBorders>
              <w:bottom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1,691,001</w:t>
            </w:r>
          </w:p>
        </w:tc>
        <w:tc>
          <w:tcPr>
            <w:tcW w:w="1640" w:type="dxa"/>
            <w:vAlign w:val="bottom"/>
            <w:tcBorders>
              <w:bottom w:val="single" w:sz="8" w:color="auto"/>
            </w:tcBorders>
          </w:tcPr>
          <w:p>
            <w:pPr>
              <w:jc w:val="right"/>
              <w:ind w:right="75"/>
              <w:spacing w:after="0" w:line="149" w:lineRule="exact"/>
              <w:rPr>
                <w:sz w:val="20"/>
                <w:szCs w:val="20"/>
                <w:color w:val="auto"/>
              </w:rPr>
            </w:pPr>
            <w:r>
              <w:rPr>
                <w:rFonts w:ascii="Calibri" w:cs="Calibri" w:eastAsia="Calibri" w:hAnsi="Calibri"/>
                <w:sz w:val="13"/>
                <w:szCs w:val="13"/>
                <w:color w:val="auto"/>
              </w:rPr>
              <w:t>1,839,373</w:t>
            </w: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1,835,478</w:t>
            </w:r>
          </w:p>
        </w:tc>
        <w:tc>
          <w:tcPr>
            <w:tcW w:w="9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6"/>
              <w:spacing w:after="0" w:line="149" w:lineRule="exact"/>
              <w:rPr>
                <w:sz w:val="20"/>
                <w:szCs w:val="20"/>
                <w:color w:val="auto"/>
              </w:rPr>
            </w:pPr>
            <w:r>
              <w:rPr>
                <w:rFonts w:ascii="Calibri" w:cs="Calibri" w:eastAsia="Calibri" w:hAnsi="Calibri"/>
                <w:sz w:val="13"/>
                <w:szCs w:val="13"/>
                <w:color w:val="auto"/>
              </w:rPr>
              <w:t>-0.2%</w:t>
            </w:r>
          </w:p>
        </w:tc>
        <w:tc>
          <w:tcPr>
            <w:tcW w:w="104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8.5%</w:t>
            </w:r>
          </w:p>
        </w:tc>
      </w:tr>
      <w:tr>
        <w:trPr>
          <w:trHeight w:val="147"/>
        </w:trPr>
        <w:tc>
          <w:tcPr>
            <w:tcW w:w="2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42"/>
        </w:trPr>
        <w:tc>
          <w:tcPr>
            <w:tcW w:w="2860" w:type="dxa"/>
            <w:vAlign w:val="bottom"/>
            <w:tcBorders>
              <w:bottom w:val="single" w:sz="8" w:color="auto"/>
            </w:tcBorders>
          </w:tcPr>
          <w:p>
            <w:pPr>
              <w:ind w:left="20"/>
              <w:spacing w:after="0" w:line="142" w:lineRule="exact"/>
              <w:rPr>
                <w:sz w:val="20"/>
                <w:szCs w:val="20"/>
                <w:color w:val="auto"/>
              </w:rPr>
            </w:pPr>
            <w:r>
              <w:rPr>
                <w:rFonts w:ascii="Calibri" w:cs="Calibri" w:eastAsia="Calibri" w:hAnsi="Calibri"/>
                <w:sz w:val="13"/>
                <w:szCs w:val="13"/>
                <w:b w:val="1"/>
                <w:bCs w:val="1"/>
                <w:color w:val="auto"/>
              </w:rPr>
              <w:t>CET1 rato IFRS</w:t>
            </w:r>
          </w:p>
        </w:tc>
        <w:tc>
          <w:tcPr>
            <w:tcW w:w="2420" w:type="dxa"/>
            <w:vAlign w:val="bottom"/>
            <w:tcBorders>
              <w:bottom w:val="single" w:sz="8" w:color="auto"/>
            </w:tcBorders>
            <w:gridSpan w:val="2"/>
          </w:tcPr>
          <w:p>
            <w:pPr>
              <w:jc w:val="right"/>
              <w:spacing w:after="0" w:line="142" w:lineRule="exact"/>
              <w:rPr>
                <w:sz w:val="20"/>
                <w:szCs w:val="20"/>
                <w:color w:val="auto"/>
              </w:rPr>
            </w:pPr>
            <w:r>
              <w:rPr>
                <w:rFonts w:ascii="Calibri" w:cs="Calibri" w:eastAsia="Calibri" w:hAnsi="Calibri"/>
                <w:sz w:val="13"/>
                <w:szCs w:val="13"/>
                <w:b w:val="1"/>
                <w:bCs w:val="1"/>
                <w:color w:val="auto"/>
              </w:rPr>
              <w:t>17.56%</w:t>
            </w:r>
          </w:p>
        </w:tc>
        <w:tc>
          <w:tcPr>
            <w:tcW w:w="1640" w:type="dxa"/>
            <w:vAlign w:val="bottom"/>
            <w:tcBorders>
              <w:bottom w:val="single" w:sz="8" w:color="auto"/>
            </w:tcBorders>
          </w:tcPr>
          <w:p>
            <w:pPr>
              <w:jc w:val="right"/>
              <w:ind w:right="75"/>
              <w:spacing w:after="0" w:line="142" w:lineRule="exact"/>
              <w:rPr>
                <w:sz w:val="20"/>
                <w:szCs w:val="20"/>
                <w:color w:val="auto"/>
              </w:rPr>
            </w:pPr>
            <w:r>
              <w:rPr>
                <w:rFonts w:ascii="Calibri" w:cs="Calibri" w:eastAsia="Calibri" w:hAnsi="Calibri"/>
                <w:sz w:val="13"/>
                <w:szCs w:val="13"/>
                <w:b w:val="1"/>
                <w:bCs w:val="1"/>
                <w:color w:val="auto"/>
              </w:rPr>
              <w:t>16.72%</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Calibri" w:cs="Calibri" w:eastAsia="Calibri" w:hAnsi="Calibri"/>
                <w:sz w:val="13"/>
                <w:szCs w:val="13"/>
                <w:b w:val="1"/>
                <w:bCs w:val="1"/>
                <w:color w:val="auto"/>
              </w:rPr>
              <w:t>17.94%</w:t>
            </w: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6"/>
              <w:spacing w:after="0" w:line="142" w:lineRule="exact"/>
              <w:rPr>
                <w:sz w:val="20"/>
                <w:szCs w:val="20"/>
                <w:color w:val="auto"/>
              </w:rPr>
            </w:pPr>
            <w:r>
              <w:rPr>
                <w:rFonts w:ascii="Calibri" w:cs="Calibri" w:eastAsia="Calibri" w:hAnsi="Calibri"/>
                <w:sz w:val="13"/>
                <w:szCs w:val="13"/>
                <w:b w:val="1"/>
                <w:bCs w:val="1"/>
                <w:color w:val="auto"/>
              </w:rPr>
              <w:t>122 bps</w:t>
            </w:r>
          </w:p>
        </w:tc>
        <w:tc>
          <w:tcPr>
            <w:tcW w:w="1040" w:type="dxa"/>
            <w:vAlign w:val="bottom"/>
            <w:tcBorders>
              <w:bottom w:val="single" w:sz="8" w:color="auto"/>
              <w:right w:val="single" w:sz="8" w:color="auto"/>
            </w:tcBorders>
          </w:tcPr>
          <w:p>
            <w:pPr>
              <w:jc w:val="right"/>
              <w:spacing w:after="0" w:line="142" w:lineRule="exact"/>
              <w:rPr>
                <w:sz w:val="20"/>
                <w:szCs w:val="20"/>
                <w:color w:val="auto"/>
              </w:rPr>
            </w:pPr>
            <w:r>
              <w:rPr>
                <w:rFonts w:ascii="Calibri" w:cs="Calibri" w:eastAsia="Calibri" w:hAnsi="Calibri"/>
                <w:sz w:val="13"/>
                <w:szCs w:val="13"/>
                <w:b w:val="1"/>
                <w:bCs w:val="1"/>
                <w:color w:val="auto"/>
              </w:rPr>
              <w:t>38 bps</w:t>
            </w:r>
          </w:p>
        </w:tc>
      </w:tr>
      <w:tr>
        <w:trPr>
          <w:trHeight w:val="539"/>
        </w:trPr>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2"/>
        </w:trPr>
        <w:tc>
          <w:tcPr>
            <w:tcW w:w="2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-4919980</wp:posOffset>
            </wp:positionV>
            <wp:extent cx="10801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22"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b w:val="1"/>
          <w:bCs w:val="1"/>
          <w:color w:val="auto"/>
        </w:rPr>
        <w:t>12.6.</w:t>
      </w:r>
      <w:r>
        <w:rPr>
          <w:sz w:val="20"/>
          <w:szCs w:val="20"/>
          <w:color w:val="auto"/>
        </w:rPr>
        <w:tab/>
      </w:r>
      <w:r>
        <w:rPr>
          <w:rFonts w:ascii="Calibri" w:cs="Calibri" w:eastAsia="Calibri" w:hAnsi="Calibri"/>
          <w:sz w:val="17"/>
          <w:szCs w:val="17"/>
          <w:b w:val="1"/>
          <w:bCs w:val="1"/>
          <w:color w:val="auto"/>
        </w:rPr>
        <w:t>Financial Statements and Ratos by Business</w:t>
      </w:r>
    </w:p>
    <w:p>
      <w:pPr>
        <w:spacing w:after="0" w:line="235" w:lineRule="auto"/>
        <w:rPr>
          <w:sz w:val="20"/>
          <w:szCs w:val="20"/>
          <w:color w:val="auto"/>
        </w:rPr>
      </w:pPr>
      <w:r>
        <w:rPr>
          <w:rFonts w:ascii="Calibri" w:cs="Calibri" w:eastAsia="Calibri" w:hAnsi="Calibri"/>
          <w:sz w:val="18"/>
          <w:szCs w:val="18"/>
          <w:b w:val="1"/>
          <w:bCs w:val="1"/>
          <w:color w:val="auto"/>
        </w:rPr>
        <w:t>12.6.1. Credicorp Consolidated</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 of Financial Positon</w:t>
      </w:r>
    </w:p>
    <w:p>
      <w:pPr>
        <w:spacing w:after="0" w:line="7"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b w:val="1"/>
          <w:bCs w:val="1"/>
          <w:color w:val="auto"/>
        </w:rPr>
        <w:t>(S/ Thousands, IFRS)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08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1120" w:type="dxa"/>
            <w:vAlign w:val="bottom"/>
            <w:tcBorders>
              <w:top w:val="single" w:sz="8" w:color="auto"/>
            </w:tcBorders>
            <w:shd w:val="clear" w:color="auto" w:fill="33CCCC"/>
          </w:tcPr>
          <w:p>
            <w:pPr>
              <w:spacing w:after="0"/>
              <w:rPr>
                <w:sz w:val="15"/>
                <w:szCs w:val="15"/>
                <w:color w:val="auto"/>
              </w:rPr>
            </w:pPr>
          </w:p>
        </w:tc>
        <w:tc>
          <w:tcPr>
            <w:tcW w:w="1160" w:type="dxa"/>
            <w:vAlign w:val="bottom"/>
            <w:tcBorders>
              <w:top w:val="single" w:sz="8" w:color="auto"/>
            </w:tcBorders>
            <w:shd w:val="clear" w:color="auto" w:fill="33CCCC"/>
          </w:tcPr>
          <w:p>
            <w:pPr>
              <w:ind w:left="460"/>
              <w:spacing w:after="0"/>
              <w:rPr>
                <w:sz w:val="20"/>
                <w:szCs w:val="20"/>
                <w:color w:val="auto"/>
              </w:rPr>
            </w:pPr>
            <w:r>
              <w:rPr>
                <w:rFonts w:ascii="Calibri" w:cs="Calibri" w:eastAsia="Calibri" w:hAnsi="Calibri"/>
                <w:sz w:val="14"/>
                <w:szCs w:val="14"/>
                <w:color w:val="FFFFFF"/>
              </w:rPr>
              <w:t>As of</w:t>
            </w:r>
          </w:p>
        </w:tc>
        <w:tc>
          <w:tcPr>
            <w:tcW w:w="1180" w:type="dxa"/>
            <w:vAlign w:val="bottom"/>
            <w:tcBorders>
              <w:top w:val="single" w:sz="8" w:color="auto"/>
              <w:right w:val="single" w:sz="8" w:color="auto"/>
            </w:tcBorders>
            <w:shd w:val="clear" w:color="auto" w:fill="33CCCC"/>
          </w:tcPr>
          <w:p>
            <w:pPr>
              <w:spacing w:after="0"/>
              <w:rPr>
                <w:sz w:val="15"/>
                <w:szCs w:val="15"/>
                <w:color w:val="auto"/>
              </w:rPr>
            </w:pPr>
          </w:p>
        </w:tc>
        <w:tc>
          <w:tcPr>
            <w:tcW w:w="1700" w:type="dxa"/>
            <w:vAlign w:val="bottom"/>
            <w:tcBorders>
              <w:top w:val="single" w:sz="8" w:color="auto"/>
              <w:right w:val="single" w:sz="8" w:color="auto"/>
            </w:tcBorders>
            <w:gridSpan w:val="2"/>
            <w:shd w:val="clear" w:color="auto" w:fill="33CCCC"/>
          </w:tcPr>
          <w:p>
            <w:pPr>
              <w:ind w:left="560"/>
              <w:spacing w:after="0"/>
              <w:rPr>
                <w:sz w:val="20"/>
                <w:szCs w:val="20"/>
                <w:color w:val="auto"/>
              </w:rPr>
            </w:pPr>
            <w:r>
              <w:rPr>
                <w:rFonts w:ascii="Calibri" w:cs="Calibri" w:eastAsia="Calibri" w:hAnsi="Calibri"/>
                <w:sz w:val="14"/>
                <w:szCs w:val="14"/>
                <w:color w:val="FFFFFF"/>
              </w:rPr>
              <w:t>% change</w:t>
            </w:r>
          </w:p>
        </w:tc>
        <w:tc>
          <w:tcPr>
            <w:tcW w:w="0" w:type="dxa"/>
            <w:vAlign w:val="bottom"/>
          </w:tcPr>
          <w:p>
            <w:pPr>
              <w:spacing w:after="0"/>
              <w:rPr>
                <w:sz w:val="1"/>
                <w:szCs w:val="1"/>
                <w:color w:val="auto"/>
              </w:rPr>
            </w:pPr>
          </w:p>
        </w:tc>
      </w:tr>
      <w:tr>
        <w:trPr>
          <w:trHeight w:val="176"/>
        </w:trPr>
        <w:tc>
          <w:tcPr>
            <w:tcW w:w="6080" w:type="dxa"/>
            <w:vAlign w:val="bottom"/>
            <w:tcBorders>
              <w:left w:val="single" w:sz="8" w:color="auto"/>
              <w:bottom w:val="single" w:sz="8" w:color="auto"/>
              <w:right w:val="single" w:sz="8" w:color="auto"/>
            </w:tcBorders>
            <w:shd w:val="clear" w:color="auto" w:fill="33CCCC"/>
          </w:tcPr>
          <w:p>
            <w:pPr>
              <w:spacing w:after="0"/>
              <w:rPr>
                <w:sz w:val="15"/>
                <w:szCs w:val="15"/>
                <w:color w:val="auto"/>
              </w:rPr>
            </w:pPr>
          </w:p>
        </w:tc>
        <w:tc>
          <w:tcPr>
            <w:tcW w:w="1120" w:type="dxa"/>
            <w:vAlign w:val="bottom"/>
            <w:tcBorders>
              <w:bottom w:val="single" w:sz="8" w:color="auto"/>
            </w:tcBorders>
            <w:shd w:val="clear" w:color="auto" w:fill="33CCCC"/>
          </w:tcPr>
          <w:p>
            <w:pPr>
              <w:ind w:left="360"/>
              <w:spacing w:after="0"/>
              <w:rPr>
                <w:sz w:val="20"/>
                <w:szCs w:val="20"/>
                <w:color w:val="auto"/>
              </w:rPr>
            </w:pPr>
            <w:r>
              <w:rPr>
                <w:rFonts w:ascii="Calibri" w:cs="Calibri" w:eastAsia="Calibri" w:hAnsi="Calibri"/>
                <w:sz w:val="14"/>
                <w:szCs w:val="14"/>
                <w:color w:val="FFFFFF"/>
              </w:rPr>
              <w:t>Sep 23</w:t>
            </w:r>
          </w:p>
        </w:tc>
        <w:tc>
          <w:tcPr>
            <w:tcW w:w="1160" w:type="dxa"/>
            <w:vAlign w:val="bottom"/>
            <w:tcBorders>
              <w:bottom w:val="single" w:sz="8" w:color="auto"/>
            </w:tcBorders>
            <w:shd w:val="clear" w:color="auto" w:fill="33CCCC"/>
          </w:tcPr>
          <w:p>
            <w:pPr>
              <w:ind w:left="380"/>
              <w:spacing w:after="0"/>
              <w:rPr>
                <w:sz w:val="20"/>
                <w:szCs w:val="20"/>
                <w:color w:val="auto"/>
              </w:rPr>
            </w:pPr>
            <w:r>
              <w:rPr>
                <w:rFonts w:ascii="Calibri" w:cs="Calibri" w:eastAsia="Calibri" w:hAnsi="Calibri"/>
                <w:sz w:val="14"/>
                <w:szCs w:val="14"/>
                <w:color w:val="FFFFFF"/>
              </w:rPr>
              <w:t>Jun 24</w:t>
            </w:r>
          </w:p>
        </w:tc>
        <w:tc>
          <w:tcPr>
            <w:tcW w:w="118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Calibri" w:cs="Calibri" w:eastAsia="Calibri" w:hAnsi="Calibri"/>
                <w:sz w:val="14"/>
                <w:szCs w:val="14"/>
                <w:color w:val="FFFFFF"/>
              </w:rPr>
              <w:t>Sep 24</w:t>
            </w:r>
          </w:p>
        </w:tc>
        <w:tc>
          <w:tcPr>
            <w:tcW w:w="820" w:type="dxa"/>
            <w:vAlign w:val="bottom"/>
            <w:tcBorders>
              <w:bottom w:val="single" w:sz="8" w:color="auto"/>
            </w:tcBorders>
            <w:shd w:val="clear" w:color="auto" w:fill="33CCCC"/>
          </w:tcPr>
          <w:p>
            <w:pPr>
              <w:ind w:left="300"/>
              <w:spacing w:after="0"/>
              <w:rPr>
                <w:sz w:val="20"/>
                <w:szCs w:val="20"/>
                <w:color w:val="auto"/>
              </w:rPr>
            </w:pPr>
            <w:r>
              <w:rPr>
                <w:rFonts w:ascii="Calibri" w:cs="Calibri" w:eastAsia="Calibri" w:hAnsi="Calibri"/>
                <w:sz w:val="14"/>
                <w:szCs w:val="14"/>
                <w:color w:val="FFFFFF"/>
              </w:rPr>
              <w:t>QoQ</w:t>
            </w:r>
          </w:p>
        </w:tc>
        <w:tc>
          <w:tcPr>
            <w:tcW w:w="88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Calibri" w:cs="Calibri" w:eastAsia="Calibri" w:hAnsi="Calibri"/>
                <w:sz w:val="14"/>
                <w:szCs w:val="14"/>
                <w:color w:val="FFFFFF"/>
              </w:rPr>
              <w:t>YoY</w:t>
            </w:r>
          </w:p>
        </w:tc>
        <w:tc>
          <w:tcPr>
            <w:tcW w:w="0" w:type="dxa"/>
            <w:vAlign w:val="bottom"/>
          </w:tcPr>
          <w:p>
            <w:pPr>
              <w:spacing w:after="0"/>
              <w:rPr>
                <w:sz w:val="1"/>
                <w:szCs w:val="1"/>
                <w:color w:val="auto"/>
              </w:rPr>
            </w:pPr>
          </w:p>
        </w:tc>
      </w:tr>
      <w:tr>
        <w:trPr>
          <w:trHeight w:val="137"/>
        </w:trPr>
        <w:tc>
          <w:tcPr>
            <w:tcW w:w="608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3"/>
                <w:szCs w:val="13"/>
                <w:b w:val="1"/>
                <w:bCs w:val="1"/>
                <w:color w:val="auto"/>
              </w:rPr>
              <w:t>ASSETS</w:t>
            </w: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Cash and due from banks</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Non-interest bearing</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8,047,624</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7,705,769</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7,222,945</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-6.3%</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-10.2%</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Interest bearing</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24,907,836</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27,157,901</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37,007,966</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36.3%</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48.6%</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b w:val="1"/>
                <w:bCs w:val="1"/>
                <w:color w:val="auto"/>
              </w:rPr>
              <w:t>Total cash and due from banks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32,955,460</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34,863,670</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7"/>
              </w:rPr>
              <w:t>44,230,911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26.9%</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7"/>
              </w:rPr>
              <w:t>34.2%</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Cash collateral, reverse repurchase agreements and securites borrowing</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4"/>
              </w:rPr>
              <w:t>1,513,622</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1,777,491</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1,419,305</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8"/>
              </w:rPr>
              <w:t>-20.2%</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-6.2%</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Fair value through proft or loss investments</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4"/>
              </w:rPr>
              <w:t>5,558,973</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4,282,606</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4,642,905</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3"/>
              </w:rPr>
              <w:t>8.4%</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-16.5%</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Fair value through other comprehensive income investments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35,475,821</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39,156,806</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39,832,274</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1.7%</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12.3%</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Amortzed cost investments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10,082,119</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8,986,734</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8,853,694</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-1.5%</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-12.2%</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Loans</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4"/>
              </w:rPr>
              <w:t>145,129,260</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7"/>
              </w:rPr>
              <w:t>146,946,546</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142,568,785</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4"/>
              </w:rPr>
              <w:t>-3.0%</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-1.8%</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Current</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138,722,915</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140,715,785</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136,542,444</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-3.0%</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-1.6%</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Internal overdue loans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6,406,345</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6,230,761</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6,026,341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-3.3%</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-5.9%</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Less - allowance for loan losses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5"/>
              </w:rPr>
              <w:t>(8,056,216)</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(8,350,024)</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5"/>
              </w:rPr>
              <w:t>(8,250,023)</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-1.2%</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2.4%</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Loans, net</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137,073,044</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138,596,522</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134,318,762</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-3.1%</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-2.0%</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Financial assets designated at fair value through proft or loss</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8"/>
              </w:rPr>
              <w:t>797,545</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3"/>
              </w:rPr>
              <w:t>891,335</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900,107</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3"/>
              </w:rPr>
              <w:t>1.0%</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12.9%</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Property, plant and equipment, net</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1,752,950</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1,792,615</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1,836,732</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2.5%</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4.8%</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Due from customers on acceptances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325,771</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473,382</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466,957</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-1.4%</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43.3%</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Investments in associates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707,457</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712,728</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729,770</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2.4%</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3.2%</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Intangible assets and goodwill, net</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3,118,496</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3,295,236</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3,167,296</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-3.9%</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1.6%</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Reinsurance contract assets</w:t>
            </w:r>
          </w:p>
        </w:tc>
        <w:tc>
          <w:tcPr>
            <w:tcW w:w="1120" w:type="dxa"/>
            <w:vAlign w:val="bottom"/>
            <w:vMerge w:val="restart"/>
          </w:tcPr>
          <w:p>
            <w:pPr>
              <w:jc w:val="center"/>
              <w:spacing w:after="0"/>
              <w:rPr>
                <w:sz w:val="20"/>
                <w:szCs w:val="20"/>
                <w:color w:val="auto"/>
              </w:rPr>
            </w:pPr>
            <w:r>
              <w:rPr>
                <w:rFonts w:ascii="Calibri" w:cs="Calibri" w:eastAsia="Calibri" w:hAnsi="Calibri"/>
                <w:sz w:val="13"/>
                <w:szCs w:val="13"/>
                <w:color w:val="auto"/>
                <w:w w:val="98"/>
              </w:rPr>
              <w:t>803,868</w:t>
            </w:r>
          </w:p>
        </w:tc>
        <w:tc>
          <w:tcPr>
            <w:tcW w:w="1160" w:type="dxa"/>
            <w:vAlign w:val="bottom"/>
            <w:vMerge w:val="restart"/>
          </w:tcPr>
          <w:p>
            <w:pPr>
              <w:jc w:val="center"/>
              <w:spacing w:after="0"/>
              <w:rPr>
                <w:sz w:val="20"/>
                <w:szCs w:val="20"/>
                <w:color w:val="auto"/>
              </w:rPr>
            </w:pPr>
            <w:r>
              <w:rPr>
                <w:rFonts w:ascii="Calibri" w:cs="Calibri" w:eastAsia="Calibri" w:hAnsi="Calibri"/>
                <w:sz w:val="13"/>
                <w:szCs w:val="13"/>
                <w:color w:val="auto"/>
                <w:w w:val="93"/>
              </w:rPr>
              <w:t>959,661</w:t>
            </w:r>
          </w:p>
        </w:tc>
        <w:tc>
          <w:tcPr>
            <w:tcW w:w="11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880,563</w:t>
            </w:r>
          </w:p>
        </w:tc>
        <w:tc>
          <w:tcPr>
            <w:tcW w:w="820" w:type="dxa"/>
            <w:vAlign w:val="bottom"/>
            <w:vMerge w:val="restart"/>
          </w:tcPr>
          <w:p>
            <w:pPr>
              <w:jc w:val="center"/>
              <w:spacing w:after="0"/>
              <w:rPr>
                <w:sz w:val="20"/>
                <w:szCs w:val="20"/>
                <w:color w:val="auto"/>
              </w:rPr>
            </w:pPr>
            <w:r>
              <w:rPr>
                <w:rFonts w:ascii="Calibri" w:cs="Calibri" w:eastAsia="Calibri" w:hAnsi="Calibri"/>
                <w:sz w:val="13"/>
                <w:szCs w:val="13"/>
                <w:color w:val="auto"/>
                <w:w w:val="94"/>
              </w:rPr>
              <w:t>-8.2%</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3"/>
              </w:rPr>
              <w:t>9.5%</w:t>
            </w:r>
          </w:p>
        </w:tc>
        <w:tc>
          <w:tcPr>
            <w:tcW w:w="0" w:type="dxa"/>
            <w:vAlign w:val="bottom"/>
          </w:tcPr>
          <w:p>
            <w:pPr>
              <w:spacing w:after="0"/>
              <w:rPr>
                <w:sz w:val="1"/>
                <w:szCs w:val="1"/>
                <w:color w:val="auto"/>
              </w:rPr>
            </w:pPr>
          </w:p>
        </w:tc>
      </w:tr>
      <w:tr>
        <w:trPr>
          <w:trHeight w:val="68"/>
        </w:trPr>
        <w:tc>
          <w:tcPr>
            <w:tcW w:w="6080" w:type="dxa"/>
            <w:vAlign w:val="bottom"/>
            <w:tcBorders>
              <w:left w:val="single" w:sz="8" w:color="auto"/>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180" w:type="dxa"/>
            <w:vAlign w:val="bottom"/>
            <w:tcBorders>
              <w:right w:val="single" w:sz="8" w:color="auto"/>
            </w:tcBorders>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 xml:space="preserve">Other assets </w:t>
            </w:r>
            <w:r>
              <w:rPr>
                <w:rFonts w:ascii="Calibri" w:cs="Calibri" w:eastAsia="Calibri" w:hAnsi="Calibri"/>
                <w:sz w:val="20"/>
                <w:szCs w:val="20"/>
                <w:color w:val="auto"/>
                <w:vertAlign w:val="superscript"/>
              </w:rPr>
              <w:t>(1)</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4"/>
              </w:rPr>
              <w:t>8,293,532</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4"/>
              </w:rPr>
              <w:t>12,278,373</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8,480,514</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8"/>
              </w:rPr>
              <w:t>-30.9%</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3"/>
              </w:rPr>
              <w:t>2.3%</w:t>
            </w:r>
          </w:p>
        </w:tc>
        <w:tc>
          <w:tcPr>
            <w:tcW w:w="0" w:type="dxa"/>
            <w:vAlign w:val="bottom"/>
          </w:tcPr>
          <w:p>
            <w:pPr>
              <w:spacing w:after="0"/>
              <w:rPr>
                <w:sz w:val="1"/>
                <w:szCs w:val="1"/>
                <w:color w:val="auto"/>
              </w:rPr>
            </w:pPr>
          </w:p>
        </w:tc>
      </w:tr>
      <w:tr>
        <w:trPr>
          <w:trHeight w:val="210"/>
        </w:trPr>
        <w:tc>
          <w:tcPr>
            <w:tcW w:w="60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2"/>
              </w:rPr>
              <w:t>Total Assets</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238,458,658</w:t>
            </w:r>
          </w:p>
        </w:tc>
        <w:tc>
          <w:tcPr>
            <w:tcW w:w="116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248,067,159</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6"/>
              </w:rPr>
              <w:t>249,759,790</w:t>
            </w:r>
          </w:p>
        </w:tc>
        <w:tc>
          <w:tcPr>
            <w:tcW w:w="820" w:type="dxa"/>
            <w:vAlign w:val="bottom"/>
          </w:tcPr>
          <w:p>
            <w:pPr>
              <w:jc w:val="center"/>
              <w:spacing w:after="0"/>
              <w:rPr>
                <w:sz w:val="20"/>
                <w:szCs w:val="20"/>
                <w:color w:val="auto"/>
              </w:rPr>
            </w:pPr>
            <w:r>
              <w:rPr>
                <w:rFonts w:ascii="Calibri" w:cs="Calibri" w:eastAsia="Calibri" w:hAnsi="Calibri"/>
                <w:sz w:val="13"/>
                <w:szCs w:val="13"/>
                <w:b w:val="1"/>
                <w:bCs w:val="1"/>
                <w:color w:val="auto"/>
                <w:w w:val="91"/>
              </w:rPr>
              <w:t>0.7%</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1"/>
              </w:rPr>
              <w:t>4.7%</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LIABILITIES AND EQUITY</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Deposits and obligatons</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Non-interest bearing</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40,363,636</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43,190,989</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47,436,563</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9.8%</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17.5%</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Interest bearing</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108,107,899</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108,780,995</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106,998,888</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-1.6%</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-1.0%</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Total deposits and obligatons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148,471,535</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151,971,984</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154,435,451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1.6%</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4.0%</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Payables from repurchase agreements and securites lending</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7"/>
              </w:rPr>
              <w:t>11,738,020</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8"/>
              </w:rPr>
              <w:t>7,689,689</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7,383,104</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4"/>
              </w:rPr>
              <w:t>-4.0%</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-37.1%</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BCRP instruments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9,616,150</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5,542,892</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4,788,939</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-13.6%</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-50.2%</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Repurchase agreements with third partes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2,018,861</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2,077,638</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2,517,833</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21.2%</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24.7%</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Repurchase agreements with customers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103,009</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69,159</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76,332</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10.4%</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-25.9%</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Due to banks and correspondents</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7"/>
              </w:rPr>
              <w:t>10,493,411</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4"/>
              </w:rPr>
              <w:t>12,620,346</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7"/>
              </w:rPr>
              <w:t>12,704,234</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3"/>
              </w:rPr>
              <w:t>0.7%</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21.1%</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Bonds and notes issued</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14,914,632</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17,953,508</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16,952,011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-5.6%</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13.7%</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Banker’s acceptances outstanding</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325,771</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473,382</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466,957</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-1.4%</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43.3%</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Insurance contract liability</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11,653,015</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12,814,831</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13,289,394</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3.7%</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14.0%</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Financial liabilites at fair value through proft or loss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455,350</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811,015</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698,747</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-13.8%</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53.5%</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liabilites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8,499,868</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10,707,332</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9,752,701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-8.9%</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14.7%</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6"/>
              </w:rPr>
              <w:t>Total Liabilites</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206,551,602</w:t>
            </w:r>
          </w:p>
        </w:tc>
        <w:tc>
          <w:tcPr>
            <w:tcW w:w="116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215,042,087</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6"/>
              </w:rPr>
              <w:t>215,682,599</w:t>
            </w:r>
          </w:p>
        </w:tc>
        <w:tc>
          <w:tcPr>
            <w:tcW w:w="820" w:type="dxa"/>
            <w:vAlign w:val="bottom"/>
          </w:tcPr>
          <w:p>
            <w:pPr>
              <w:jc w:val="center"/>
              <w:spacing w:after="0"/>
              <w:rPr>
                <w:sz w:val="20"/>
                <w:szCs w:val="20"/>
                <w:color w:val="auto"/>
              </w:rPr>
            </w:pPr>
            <w:r>
              <w:rPr>
                <w:rFonts w:ascii="Calibri" w:cs="Calibri" w:eastAsia="Calibri" w:hAnsi="Calibri"/>
                <w:sz w:val="13"/>
                <w:szCs w:val="13"/>
                <w:b w:val="1"/>
                <w:bCs w:val="1"/>
                <w:color w:val="auto"/>
                <w:w w:val="91"/>
              </w:rPr>
              <w:t>0.3%</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1"/>
              </w:rPr>
              <w:t>4.4%</w:t>
            </w:r>
          </w:p>
        </w:tc>
        <w:tc>
          <w:tcPr>
            <w:tcW w:w="0" w:type="dxa"/>
            <w:vAlign w:val="bottom"/>
          </w:tcPr>
          <w:p>
            <w:pPr>
              <w:spacing w:after="0"/>
              <w:rPr>
                <w:sz w:val="1"/>
                <w:szCs w:val="1"/>
                <w:color w:val="auto"/>
              </w:rPr>
            </w:pPr>
          </w:p>
        </w:tc>
      </w:tr>
      <w:tr>
        <w:trPr>
          <w:trHeight w:val="445"/>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equity</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31,267,592</w:t>
            </w:r>
          </w:p>
        </w:tc>
        <w:tc>
          <w:tcPr>
            <w:tcW w:w="116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32,413,767</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7"/>
              </w:rPr>
              <w:t>33,462,591</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3"/>
              </w:rPr>
              <w:t>3.2%</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3"/>
              </w:rPr>
              <w:t>7.0%</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Capital stock</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1,318,993</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1,318,993</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1,318,993</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0.0%</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0.0%</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Treasury stock</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(208,033)</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(208,918)</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(208,901)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0.0%</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0.4%</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Capital surplus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225,338</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172,303</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179,027</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3.9%</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-20.6%</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Reserves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26,239,162</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28,008,038</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27,187,346</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-2.9%</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3.6%</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reserves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5"/>
              </w:rPr>
              <w:t>(29,526)</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267,987</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470,550</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75.6%</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6"/>
              </w:rPr>
              <w:t>-1693.7%</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Retained earnings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3,721,658</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2,855,364</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4,515,576</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58.1%</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21.3%</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Non-controlling interest</w:t>
            </w:r>
          </w:p>
        </w:tc>
        <w:tc>
          <w:tcPr>
            <w:tcW w:w="1120" w:type="dxa"/>
            <w:vAlign w:val="bottom"/>
          </w:tcPr>
          <w:p>
            <w:pPr>
              <w:jc w:val="center"/>
              <w:spacing w:after="0"/>
              <w:rPr>
                <w:sz w:val="20"/>
                <w:szCs w:val="20"/>
                <w:color w:val="auto"/>
              </w:rPr>
            </w:pPr>
            <w:r>
              <w:rPr>
                <w:rFonts w:ascii="Calibri" w:cs="Calibri" w:eastAsia="Calibri" w:hAnsi="Calibri"/>
                <w:sz w:val="13"/>
                <w:szCs w:val="13"/>
                <w:color w:val="auto"/>
                <w:w w:val="98"/>
              </w:rPr>
              <w:t>639,464</w:t>
            </w:r>
          </w:p>
        </w:tc>
        <w:tc>
          <w:tcPr>
            <w:tcW w:w="1160" w:type="dxa"/>
            <w:vAlign w:val="bottom"/>
          </w:tcPr>
          <w:p>
            <w:pPr>
              <w:jc w:val="center"/>
              <w:spacing w:after="0"/>
              <w:rPr>
                <w:sz w:val="20"/>
                <w:szCs w:val="20"/>
                <w:color w:val="auto"/>
              </w:rPr>
            </w:pPr>
            <w:r>
              <w:rPr>
                <w:rFonts w:ascii="Calibri" w:cs="Calibri" w:eastAsia="Calibri" w:hAnsi="Calibri"/>
                <w:sz w:val="13"/>
                <w:szCs w:val="13"/>
                <w:color w:val="auto"/>
                <w:w w:val="93"/>
              </w:rPr>
              <w:t>611,305</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614,600</w:t>
            </w:r>
          </w:p>
        </w:tc>
        <w:tc>
          <w:tcPr>
            <w:tcW w:w="820" w:type="dxa"/>
            <w:vAlign w:val="bottom"/>
          </w:tcPr>
          <w:p>
            <w:pPr>
              <w:jc w:val="center"/>
              <w:spacing w:after="0"/>
              <w:rPr>
                <w:sz w:val="20"/>
                <w:szCs w:val="20"/>
                <w:color w:val="auto"/>
              </w:rPr>
            </w:pPr>
            <w:r>
              <w:rPr>
                <w:rFonts w:ascii="Calibri" w:cs="Calibri" w:eastAsia="Calibri" w:hAnsi="Calibri"/>
                <w:sz w:val="13"/>
                <w:szCs w:val="13"/>
                <w:color w:val="auto"/>
                <w:w w:val="93"/>
              </w:rPr>
              <w:t>0.5%</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-3.9%</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6"/>
              </w:rPr>
              <w:t>Total Net Equity</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30,638,653</w:t>
            </w:r>
          </w:p>
        </w:tc>
        <w:tc>
          <w:tcPr>
            <w:tcW w:w="116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34,436,210</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7"/>
              </w:rPr>
              <w:t>33,025,072</w:t>
            </w:r>
          </w:p>
        </w:tc>
        <w:tc>
          <w:tcPr>
            <w:tcW w:w="820" w:type="dxa"/>
            <w:vAlign w:val="bottom"/>
          </w:tcPr>
          <w:p>
            <w:pPr>
              <w:jc w:val="center"/>
              <w:spacing w:after="0"/>
              <w:rPr>
                <w:sz w:val="20"/>
                <w:szCs w:val="20"/>
                <w:color w:val="auto"/>
              </w:rPr>
            </w:pPr>
            <w:r>
              <w:rPr>
                <w:rFonts w:ascii="Calibri" w:cs="Calibri" w:eastAsia="Calibri" w:hAnsi="Calibri"/>
                <w:sz w:val="13"/>
                <w:szCs w:val="13"/>
                <w:b w:val="1"/>
                <w:bCs w:val="1"/>
                <w:color w:val="auto"/>
                <w:w w:val="92"/>
              </w:rPr>
              <w:t>-4.1%</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1"/>
              </w:rPr>
              <w:t>7.8%</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liabilites and equity</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238,458,658</w:t>
            </w:r>
          </w:p>
        </w:tc>
        <w:tc>
          <w:tcPr>
            <w:tcW w:w="116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248,067,159</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6"/>
              </w:rPr>
              <w:t>249,759,790</w:t>
            </w:r>
          </w:p>
        </w:tc>
        <w:tc>
          <w:tcPr>
            <w:tcW w:w="820" w:type="dxa"/>
            <w:vAlign w:val="bottom"/>
          </w:tcPr>
          <w:p>
            <w:pPr>
              <w:jc w:val="center"/>
              <w:spacing w:after="0"/>
              <w:rPr>
                <w:sz w:val="20"/>
                <w:szCs w:val="20"/>
                <w:color w:val="auto"/>
              </w:rPr>
            </w:pPr>
            <w:r>
              <w:rPr>
                <w:rFonts w:ascii="Calibri" w:cs="Calibri" w:eastAsia="Calibri" w:hAnsi="Calibri"/>
                <w:sz w:val="13"/>
                <w:szCs w:val="13"/>
                <w:b w:val="1"/>
                <w:bCs w:val="1"/>
                <w:color w:val="auto"/>
                <w:w w:val="91"/>
              </w:rPr>
              <w:t>0.7%</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1"/>
              </w:rPr>
              <w:t>4.7%</w:t>
            </w:r>
          </w:p>
        </w:tc>
        <w:tc>
          <w:tcPr>
            <w:tcW w:w="0" w:type="dxa"/>
            <w:vAlign w:val="bottom"/>
          </w:tcPr>
          <w:p>
            <w:pPr>
              <w:spacing w:after="0"/>
              <w:rPr>
                <w:sz w:val="1"/>
                <w:szCs w:val="1"/>
                <w:color w:val="auto"/>
              </w:rPr>
            </w:pPr>
          </w:p>
        </w:tc>
      </w:tr>
      <w:tr>
        <w:trPr>
          <w:trHeight w:val="297"/>
        </w:trPr>
        <w:tc>
          <w:tcPr>
            <w:tcW w:w="6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Of-balance sheet</w:t>
            </w:r>
          </w:p>
        </w:tc>
        <w:tc>
          <w:tcPr>
            <w:tcW w:w="112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151,484,019</w:t>
            </w:r>
          </w:p>
        </w:tc>
        <w:tc>
          <w:tcPr>
            <w:tcW w:w="116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164,970,468</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6"/>
              </w:rPr>
              <w:t>155,876,986</w:t>
            </w:r>
          </w:p>
        </w:tc>
        <w:tc>
          <w:tcPr>
            <w:tcW w:w="820" w:type="dxa"/>
            <w:vAlign w:val="bottom"/>
          </w:tcPr>
          <w:p>
            <w:pPr>
              <w:jc w:val="center"/>
              <w:spacing w:after="0"/>
              <w:rPr>
                <w:sz w:val="20"/>
                <w:szCs w:val="20"/>
                <w:color w:val="auto"/>
              </w:rPr>
            </w:pPr>
            <w:r>
              <w:rPr>
                <w:rFonts w:ascii="Calibri" w:cs="Calibri" w:eastAsia="Calibri" w:hAnsi="Calibri"/>
                <w:sz w:val="13"/>
                <w:szCs w:val="13"/>
                <w:b w:val="1"/>
                <w:bCs w:val="1"/>
                <w:color w:val="auto"/>
                <w:w w:val="92"/>
              </w:rPr>
              <w:t>-5.5%</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1"/>
              </w:rPr>
              <w:t>2.9%</w:t>
            </w:r>
          </w:p>
        </w:tc>
        <w:tc>
          <w:tcPr>
            <w:tcW w:w="0" w:type="dxa"/>
            <w:vAlign w:val="bottom"/>
          </w:tcPr>
          <w:p>
            <w:pPr>
              <w:spacing w:after="0"/>
              <w:rPr>
                <w:sz w:val="1"/>
                <w:szCs w:val="1"/>
                <w:color w:val="auto"/>
              </w:rPr>
            </w:pPr>
          </w:p>
        </w:tc>
      </w:tr>
      <w:tr>
        <w:trPr>
          <w:trHeight w:val="149"/>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Total performance bonds, stand-by and L/Cs.</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18,945,883</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20,671,941</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20,206,333</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-2.3%</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6.7%</w:t>
            </w:r>
          </w:p>
        </w:tc>
        <w:tc>
          <w:tcPr>
            <w:tcW w:w="0" w:type="dxa"/>
            <w:vAlign w:val="bottom"/>
          </w:tcPr>
          <w:p>
            <w:pPr>
              <w:spacing w:after="0"/>
              <w:rPr>
                <w:sz w:val="1"/>
                <w:szCs w:val="1"/>
                <w:color w:val="auto"/>
              </w:rPr>
            </w:pPr>
          </w:p>
        </w:tc>
      </w:tr>
      <w:tr>
        <w:trPr>
          <w:trHeight w:val="148"/>
        </w:trPr>
        <w:tc>
          <w:tcPr>
            <w:tcW w:w="608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Undrawn credit lines, advised but not commited</w:t>
            </w:r>
          </w:p>
        </w:tc>
        <w:tc>
          <w:tcPr>
            <w:tcW w:w="112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88,183,227</w:t>
            </w:r>
          </w:p>
        </w:tc>
        <w:tc>
          <w:tcPr>
            <w:tcW w:w="116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90,965,846</w:t>
            </w:r>
          </w:p>
        </w:tc>
        <w:tc>
          <w:tcPr>
            <w:tcW w:w="11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88,226,431</w:t>
            </w:r>
          </w:p>
        </w:tc>
        <w:tc>
          <w:tcPr>
            <w:tcW w:w="8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-3.0%</w:t>
            </w:r>
          </w:p>
        </w:tc>
        <w:tc>
          <w:tcPr>
            <w:tcW w:w="8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0.0%</w:t>
            </w:r>
          </w:p>
        </w:tc>
        <w:tc>
          <w:tcPr>
            <w:tcW w:w="0" w:type="dxa"/>
            <w:vAlign w:val="bottom"/>
          </w:tcPr>
          <w:p>
            <w:pPr>
              <w:spacing w:after="0"/>
              <w:rPr>
                <w:sz w:val="1"/>
                <w:szCs w:val="1"/>
                <w:color w:val="auto"/>
              </w:rPr>
            </w:pPr>
          </w:p>
        </w:tc>
      </w:tr>
      <w:tr>
        <w:trPr>
          <w:trHeight w:val="154"/>
        </w:trPr>
        <w:tc>
          <w:tcPr>
            <w:tcW w:w="6080" w:type="dxa"/>
            <w:vAlign w:val="bottom"/>
            <w:tcBorders>
              <w:left w:val="single" w:sz="8" w:color="auto"/>
              <w:bottom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Total derivatves (notonal) and others</w:t>
            </w:r>
          </w:p>
        </w:tc>
        <w:tc>
          <w:tcPr>
            <w:tcW w:w="112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44,354,909</w:t>
            </w:r>
          </w:p>
        </w:tc>
        <w:tc>
          <w:tcPr>
            <w:tcW w:w="116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53,332,681</w:t>
            </w:r>
          </w:p>
        </w:tc>
        <w:tc>
          <w:tcPr>
            <w:tcW w:w="118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47,444,222</w:t>
            </w:r>
          </w:p>
        </w:tc>
        <w:tc>
          <w:tcPr>
            <w:tcW w:w="820" w:type="dxa"/>
            <w:vAlign w:val="bottom"/>
            <w:tcBorders>
              <w:bottom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-11.0%</w:t>
            </w:r>
          </w:p>
        </w:tc>
        <w:tc>
          <w:tcPr>
            <w:tcW w:w="880" w:type="dxa"/>
            <w:vAlign w:val="bottom"/>
            <w:tcBorders>
              <w:bottom w:val="single" w:sz="8" w:color="auto"/>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3"/>
              </w:rPr>
              <w:t>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Calibri" w:cs="Calibri" w:eastAsia="Calibri" w:hAnsi="Calibri"/>
          <w:sz w:val="14"/>
          <w:szCs w:val="14"/>
          <w:color w:val="auto"/>
        </w:rPr>
        <w:t>(1)Includes mainly accounts receivables from brokerage and others.</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 Due to reclassifcatons, the Balance Sheet may difer from those reported in previous quarters.</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453"/>
        </w:trPr>
        <w:tc>
          <w:tcPr>
            <w:tcW w:w="5320" w:type="dxa"/>
            <w:vAlign w:val="bottom"/>
            <w:tcBorders>
              <w:left w:val="single" w:sz="8" w:color="auto"/>
            </w:tcBorders>
            <w:gridSpan w:val="3"/>
            <w:shd w:val="clear" w:color="auto" w:fill="000000"/>
          </w:tcPr>
          <w:p>
            <w:pPr>
              <w:ind w:left="270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86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3400" w:type="dxa"/>
            <w:vAlign w:val="bottom"/>
            <w:tcBorders>
              <w:right w:val="single" w:sz="8" w:color="auto"/>
            </w:tcBorders>
            <w:gridSpan w:val="4"/>
            <w:shd w:val="clear" w:color="auto" w:fill="000000"/>
          </w:tcPr>
          <w:p>
            <w:pPr>
              <w:jc w:val="right"/>
              <w:ind w:right="25"/>
              <w:spacing w:after="0"/>
              <w:rPr>
                <w:sz w:val="20"/>
                <w:szCs w:val="20"/>
                <w:color w:val="auto"/>
              </w:rPr>
            </w:pPr>
            <w:r>
              <w:rPr>
                <w:rFonts w:ascii="Calibri" w:cs="Calibri" w:eastAsia="Calibri" w:hAnsi="Calibri"/>
                <w:sz w:val="16"/>
                <w:szCs w:val="16"/>
                <w:color w:val="ED3FA8"/>
              </w:rPr>
              <w:t>Analysis of 3Q24 Consolidated Results</w:t>
            </w:r>
          </w:p>
        </w:tc>
        <w:tc>
          <w:tcPr>
            <w:tcW w:w="1020" w:type="dxa"/>
            <w:vAlign w:val="bottom"/>
            <w:tcBorders>
              <w:right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180" w:type="dxa"/>
            <w:vAlign w:val="bottom"/>
            <w:tcBorders>
              <w:left w:val="single" w:sz="8" w:color="auto"/>
              <w:right w:val="single" w:sz="8" w:color="auto"/>
            </w:tcBorders>
            <w:shd w:val="clear" w:color="auto" w:fill="000000"/>
          </w:tcPr>
          <w:p>
            <w:pPr>
              <w:spacing w:after="0"/>
              <w:rPr>
                <w:sz w:val="24"/>
                <w:szCs w:val="24"/>
                <w:color w:val="auto"/>
              </w:rPr>
            </w:pPr>
          </w:p>
        </w:tc>
        <w:tc>
          <w:tcPr>
            <w:tcW w:w="1120" w:type="dxa"/>
            <w:vAlign w:val="bottom"/>
            <w:shd w:val="clear" w:color="auto" w:fill="000000"/>
          </w:tcPr>
          <w:p>
            <w:pPr>
              <w:spacing w:after="0"/>
              <w:rPr>
                <w:sz w:val="24"/>
                <w:szCs w:val="24"/>
                <w:color w:val="auto"/>
              </w:rPr>
            </w:pPr>
          </w:p>
        </w:tc>
        <w:tc>
          <w:tcPr>
            <w:tcW w:w="1020" w:type="dxa"/>
            <w:vAlign w:val="bottom"/>
            <w:shd w:val="clear" w:color="auto" w:fill="000000"/>
          </w:tcPr>
          <w:p>
            <w:pPr>
              <w:spacing w:after="0"/>
              <w:rPr>
                <w:sz w:val="24"/>
                <w:szCs w:val="24"/>
                <w:color w:val="auto"/>
              </w:rPr>
            </w:pPr>
          </w:p>
        </w:tc>
        <w:tc>
          <w:tcPr>
            <w:tcW w:w="86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380" w:type="dxa"/>
            <w:vAlign w:val="bottom"/>
            <w:tcBorders>
              <w:right w:val="single" w:sz="8" w:color="auto"/>
            </w:tcBorders>
            <w:shd w:val="clear" w:color="auto" w:fill="000000"/>
          </w:tcPr>
          <w:p>
            <w:pPr>
              <w:spacing w:after="0"/>
              <w:rPr>
                <w:sz w:val="24"/>
                <w:szCs w:val="24"/>
                <w:color w:val="auto"/>
              </w:rPr>
            </w:pPr>
          </w:p>
        </w:tc>
        <w:tc>
          <w:tcPr>
            <w:tcW w:w="1220" w:type="dxa"/>
            <w:vAlign w:val="bottom"/>
            <w:shd w:val="clear" w:color="auto" w:fill="000000"/>
          </w:tcPr>
          <w:p>
            <w:pPr>
              <w:spacing w:after="0"/>
              <w:rPr>
                <w:sz w:val="24"/>
                <w:szCs w:val="24"/>
                <w:color w:val="auto"/>
              </w:rPr>
            </w:pPr>
          </w:p>
        </w:tc>
        <w:tc>
          <w:tcPr>
            <w:tcW w:w="800" w:type="dxa"/>
            <w:vAlign w:val="bottom"/>
            <w:tcBorders>
              <w:right w:val="single" w:sz="8" w:color="auto"/>
            </w:tcBorders>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tcBorders>
              <w:left w:val="single" w:sz="8" w:color="E93BAC"/>
              <w:righ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1120" w:type="dxa"/>
            <w:vAlign w:val="bottom"/>
            <w:shd w:val="clear" w:color="auto" w:fill="E93BAC"/>
          </w:tcPr>
          <w:p>
            <w:pPr>
              <w:spacing w:after="0"/>
              <w:rPr>
                <w:sz w:val="22"/>
                <w:szCs w:val="22"/>
                <w:color w:val="auto"/>
              </w:rPr>
            </w:pPr>
          </w:p>
        </w:tc>
        <w:tc>
          <w:tcPr>
            <w:tcW w:w="1020" w:type="dxa"/>
            <w:vAlign w:val="bottom"/>
            <w:shd w:val="clear" w:color="auto" w:fill="E93BAC"/>
          </w:tcPr>
          <w:p>
            <w:pPr>
              <w:spacing w:after="0"/>
              <w:rPr>
                <w:sz w:val="22"/>
                <w:szCs w:val="22"/>
                <w:color w:val="auto"/>
              </w:rPr>
            </w:pPr>
          </w:p>
        </w:tc>
        <w:tc>
          <w:tcPr>
            <w:tcW w:w="860" w:type="dxa"/>
            <w:vAlign w:val="bottom"/>
            <w:tcBorders>
              <w:right w:val="single" w:sz="8" w:color="E93BAC"/>
            </w:tcBorders>
            <w:shd w:val="clear" w:color="auto" w:fill="E93BAC"/>
          </w:tcPr>
          <w:p>
            <w:pPr>
              <w:spacing w:after="0"/>
              <w:rPr>
                <w:sz w:val="22"/>
                <w:szCs w:val="22"/>
                <w:color w:val="auto"/>
              </w:rPr>
            </w:pPr>
          </w:p>
        </w:tc>
        <w:tc>
          <w:tcPr>
            <w:tcW w:w="240" w:type="dxa"/>
            <w:vAlign w:val="bottom"/>
            <w:shd w:val="clear" w:color="auto" w:fill="E93BAC"/>
          </w:tcPr>
          <w:p>
            <w:pPr>
              <w:spacing w:after="0"/>
              <w:rPr>
                <w:sz w:val="22"/>
                <w:szCs w:val="22"/>
                <w:color w:val="auto"/>
              </w:rPr>
            </w:pPr>
          </w:p>
        </w:tc>
        <w:tc>
          <w:tcPr>
            <w:tcW w:w="400" w:type="dxa"/>
            <w:vAlign w:val="bottom"/>
            <w:shd w:val="clear" w:color="auto" w:fill="E93BAC"/>
          </w:tcPr>
          <w:p>
            <w:pPr>
              <w:spacing w:after="0"/>
              <w:rPr>
                <w:sz w:val="22"/>
                <w:szCs w:val="22"/>
                <w:color w:val="auto"/>
              </w:rPr>
            </w:pPr>
          </w:p>
        </w:tc>
        <w:tc>
          <w:tcPr>
            <w:tcW w:w="1000" w:type="dxa"/>
            <w:vAlign w:val="bottom"/>
            <w:shd w:val="clear" w:color="auto" w:fill="E93BAC"/>
          </w:tcPr>
          <w:p>
            <w:pPr>
              <w:spacing w:after="0"/>
              <w:rPr>
                <w:sz w:val="22"/>
                <w:szCs w:val="22"/>
                <w:color w:val="auto"/>
              </w:rPr>
            </w:pPr>
          </w:p>
        </w:tc>
        <w:tc>
          <w:tcPr>
            <w:tcW w:w="380" w:type="dxa"/>
            <w:vAlign w:val="bottom"/>
            <w:tcBorders>
              <w:right w:val="single" w:sz="8" w:color="E93BAC"/>
            </w:tcBorders>
            <w:shd w:val="clear" w:color="auto" w:fill="E93BAC"/>
          </w:tcPr>
          <w:p>
            <w:pPr>
              <w:spacing w:after="0"/>
              <w:rPr>
                <w:sz w:val="22"/>
                <w:szCs w:val="22"/>
                <w:color w:val="auto"/>
              </w:rPr>
            </w:pPr>
          </w:p>
        </w:tc>
        <w:tc>
          <w:tcPr>
            <w:tcW w:w="1220" w:type="dxa"/>
            <w:vAlign w:val="bottom"/>
            <w:shd w:val="clear" w:color="auto" w:fill="E93BAC"/>
          </w:tcPr>
          <w:p>
            <w:pPr>
              <w:spacing w:after="0"/>
              <w:rPr>
                <w:sz w:val="22"/>
                <w:szCs w:val="22"/>
                <w:color w:val="auto"/>
              </w:rPr>
            </w:pPr>
          </w:p>
        </w:tc>
        <w:tc>
          <w:tcPr>
            <w:tcW w:w="800" w:type="dxa"/>
            <w:vAlign w:val="bottom"/>
            <w:tcBorders>
              <w:right w:val="single" w:sz="8" w:color="E93BAC"/>
            </w:tcBorders>
            <w:shd w:val="clear" w:color="auto" w:fill="E93BAC"/>
          </w:tcPr>
          <w:p>
            <w:pPr>
              <w:spacing w:after="0"/>
              <w:rPr>
                <w:sz w:val="22"/>
                <w:szCs w:val="22"/>
                <w:color w:val="auto"/>
              </w:rPr>
            </w:pPr>
          </w:p>
        </w:tc>
        <w:tc>
          <w:tcPr>
            <w:tcW w:w="1020" w:type="dxa"/>
            <w:vAlign w:val="bottom"/>
            <w:tcBorders>
              <w:right w:val="single" w:sz="8" w:color="E93BAC"/>
            </w:tcBorders>
            <w:shd w:val="clear" w:color="auto" w:fill="E93BA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180" w:type="dxa"/>
            <w:vAlign w:val="bottom"/>
            <w:tcBorders>
              <w:left w:val="single" w:sz="8" w:color="E93BAC"/>
              <w:right w:val="single" w:sz="8" w:color="E93BAC"/>
            </w:tcBorders>
            <w:shd w:val="clear" w:color="auto" w:fill="E93BAC"/>
          </w:tcPr>
          <w:p>
            <w:pPr>
              <w:spacing w:after="0"/>
              <w:rPr>
                <w:sz w:val="7"/>
                <w:szCs w:val="7"/>
                <w:color w:val="auto"/>
              </w:rPr>
            </w:pPr>
          </w:p>
        </w:tc>
        <w:tc>
          <w:tcPr>
            <w:tcW w:w="1120" w:type="dxa"/>
            <w:vAlign w:val="bottom"/>
            <w:shd w:val="clear" w:color="auto" w:fill="E93BAC"/>
          </w:tcPr>
          <w:p>
            <w:pPr>
              <w:spacing w:after="0"/>
              <w:rPr>
                <w:sz w:val="7"/>
                <w:szCs w:val="7"/>
                <w:color w:val="auto"/>
              </w:rPr>
            </w:pPr>
          </w:p>
        </w:tc>
        <w:tc>
          <w:tcPr>
            <w:tcW w:w="1880" w:type="dxa"/>
            <w:vAlign w:val="bottom"/>
            <w:tcBorders>
              <w:right w:val="single" w:sz="8" w:color="E93BAC"/>
            </w:tcBorders>
            <w:gridSpan w:val="2"/>
            <w:shd w:val="clear" w:color="auto" w:fill="E93BAC"/>
          </w:tcPr>
          <w:p>
            <w:pPr>
              <w:spacing w:after="0"/>
              <w:rPr>
                <w:sz w:val="7"/>
                <w:szCs w:val="7"/>
                <w:color w:val="auto"/>
              </w:rPr>
            </w:pPr>
          </w:p>
        </w:tc>
        <w:tc>
          <w:tcPr>
            <w:tcW w:w="640" w:type="dxa"/>
            <w:vAlign w:val="bottom"/>
            <w:gridSpan w:val="2"/>
            <w:shd w:val="clear" w:color="auto" w:fill="E93BAC"/>
          </w:tcPr>
          <w:p>
            <w:pPr>
              <w:spacing w:after="0"/>
              <w:rPr>
                <w:sz w:val="7"/>
                <w:szCs w:val="7"/>
                <w:color w:val="auto"/>
              </w:rPr>
            </w:pPr>
          </w:p>
        </w:tc>
        <w:tc>
          <w:tcPr>
            <w:tcW w:w="1000" w:type="dxa"/>
            <w:vAlign w:val="bottom"/>
            <w:shd w:val="clear" w:color="auto" w:fill="E93BAC"/>
          </w:tcPr>
          <w:p>
            <w:pPr>
              <w:spacing w:after="0"/>
              <w:rPr>
                <w:sz w:val="7"/>
                <w:szCs w:val="7"/>
                <w:color w:val="auto"/>
              </w:rPr>
            </w:pPr>
          </w:p>
        </w:tc>
        <w:tc>
          <w:tcPr>
            <w:tcW w:w="380" w:type="dxa"/>
            <w:vAlign w:val="bottom"/>
            <w:tcBorders>
              <w:right w:val="single" w:sz="8" w:color="E93BAC"/>
            </w:tcBorders>
            <w:shd w:val="clear" w:color="auto" w:fill="E93BAC"/>
          </w:tcPr>
          <w:p>
            <w:pPr>
              <w:spacing w:after="0"/>
              <w:rPr>
                <w:sz w:val="7"/>
                <w:szCs w:val="7"/>
                <w:color w:val="auto"/>
              </w:rPr>
            </w:pPr>
          </w:p>
        </w:tc>
        <w:tc>
          <w:tcPr>
            <w:tcW w:w="1220" w:type="dxa"/>
            <w:vAlign w:val="bottom"/>
            <w:shd w:val="clear" w:color="auto" w:fill="E93BAC"/>
          </w:tcPr>
          <w:p>
            <w:pPr>
              <w:spacing w:after="0"/>
              <w:rPr>
                <w:sz w:val="7"/>
                <w:szCs w:val="7"/>
                <w:color w:val="auto"/>
              </w:rPr>
            </w:pPr>
          </w:p>
        </w:tc>
        <w:tc>
          <w:tcPr>
            <w:tcW w:w="800" w:type="dxa"/>
            <w:vAlign w:val="bottom"/>
            <w:tcBorders>
              <w:right w:val="single" w:sz="8" w:color="E93BAC"/>
            </w:tcBorders>
            <w:shd w:val="clear" w:color="auto" w:fill="E93BAC"/>
          </w:tcPr>
          <w:p>
            <w:pPr>
              <w:spacing w:after="0"/>
              <w:rPr>
                <w:sz w:val="7"/>
                <w:szCs w:val="7"/>
                <w:color w:val="auto"/>
              </w:rPr>
            </w:pPr>
          </w:p>
        </w:tc>
        <w:tc>
          <w:tcPr>
            <w:tcW w:w="1020" w:type="dxa"/>
            <w:vAlign w:val="bottom"/>
            <w:tcBorders>
              <w:right w:val="single" w:sz="8" w:color="E93BAC"/>
            </w:tcBorders>
            <w:shd w:val="clear" w:color="auto" w:fill="E93BA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3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20" w:type="dxa"/>
            <w:vAlign w:val="bottom"/>
            <w:gridSpan w:val="4"/>
          </w:tcPr>
          <w:p>
            <w:pPr>
              <w:jc w:val="center"/>
              <w:ind w:left="63"/>
              <w:spacing w:after="0"/>
              <w:rPr>
                <w:sz w:val="20"/>
                <w:szCs w:val="20"/>
                <w:color w:val="auto"/>
              </w:rPr>
            </w:pPr>
            <w:r>
              <w:rPr>
                <w:rFonts w:ascii="Calibri" w:cs="Calibri" w:eastAsia="Calibri" w:hAnsi="Calibri"/>
                <w:sz w:val="16"/>
                <w:szCs w:val="16"/>
                <w:b w:val="1"/>
                <w:bCs w:val="1"/>
                <w:color w:val="auto"/>
              </w:rPr>
              <w:t>Consolidated Statement of Income</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20" w:type="dxa"/>
            <w:vAlign w:val="bottom"/>
            <w:gridSpan w:val="3"/>
          </w:tcPr>
          <w:p>
            <w:pPr>
              <w:jc w:val="center"/>
              <w:ind w:left="463"/>
              <w:spacing w:after="0"/>
              <w:rPr>
                <w:sz w:val="20"/>
                <w:szCs w:val="20"/>
                <w:color w:val="auto"/>
              </w:rPr>
            </w:pPr>
            <w:r>
              <w:rPr>
                <w:rFonts w:ascii="Calibri" w:cs="Calibri" w:eastAsia="Calibri" w:hAnsi="Calibri"/>
                <w:sz w:val="16"/>
                <w:szCs w:val="16"/>
                <w:b w:val="1"/>
                <w:bCs w:val="1"/>
                <w:color w:val="auto"/>
              </w:rPr>
              <w:t>(S/ Thousands, IFRS)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80" w:type="dxa"/>
            <w:vAlign w:val="bottom"/>
            <w:tcBorders>
              <w:left w:val="single" w:sz="8" w:color="auto"/>
              <w:right w:val="single" w:sz="8" w:color="auto"/>
            </w:tcBorders>
            <w:shd w:val="clear" w:color="auto" w:fill="33CCCC"/>
          </w:tcPr>
          <w:p>
            <w:pPr>
              <w:spacing w:after="0"/>
              <w:rPr>
                <w:sz w:val="13"/>
                <w:szCs w:val="13"/>
                <w:color w:val="auto"/>
              </w:rPr>
            </w:pPr>
          </w:p>
        </w:tc>
        <w:tc>
          <w:tcPr>
            <w:tcW w:w="1120" w:type="dxa"/>
            <w:vAlign w:val="bottom"/>
            <w:shd w:val="clear" w:color="auto" w:fill="33CCCC"/>
          </w:tcPr>
          <w:p>
            <w:pPr>
              <w:spacing w:after="0"/>
              <w:rPr>
                <w:sz w:val="13"/>
                <w:szCs w:val="13"/>
                <w:color w:val="auto"/>
              </w:rPr>
            </w:pPr>
          </w:p>
        </w:tc>
        <w:tc>
          <w:tcPr>
            <w:tcW w:w="1020" w:type="dxa"/>
            <w:vAlign w:val="bottom"/>
            <w:shd w:val="clear" w:color="auto" w:fill="33CCCC"/>
          </w:tcPr>
          <w:p>
            <w:pPr>
              <w:jc w:val="right"/>
              <w:ind w:right="383"/>
              <w:spacing w:after="0" w:line="155" w:lineRule="exact"/>
              <w:rPr>
                <w:sz w:val="20"/>
                <w:szCs w:val="20"/>
                <w:color w:val="auto"/>
              </w:rPr>
            </w:pPr>
            <w:r>
              <w:rPr>
                <w:rFonts w:ascii="Calibri" w:cs="Calibri" w:eastAsia="Calibri" w:hAnsi="Calibri"/>
                <w:sz w:val="14"/>
                <w:szCs w:val="14"/>
                <w:color w:val="FFFFFF"/>
              </w:rPr>
              <w:t>Quarter</w:t>
            </w:r>
          </w:p>
        </w:tc>
        <w:tc>
          <w:tcPr>
            <w:tcW w:w="860" w:type="dxa"/>
            <w:vAlign w:val="bottom"/>
            <w:tcBorders>
              <w:right w:val="single" w:sz="8" w:color="auto"/>
            </w:tcBorders>
            <w:shd w:val="clear" w:color="auto" w:fill="33CCCC"/>
          </w:tcPr>
          <w:p>
            <w:pPr>
              <w:spacing w:after="0"/>
              <w:rPr>
                <w:sz w:val="13"/>
                <w:szCs w:val="13"/>
                <w:color w:val="auto"/>
              </w:rPr>
            </w:pPr>
          </w:p>
        </w:tc>
        <w:tc>
          <w:tcPr>
            <w:tcW w:w="240" w:type="dxa"/>
            <w:vAlign w:val="bottom"/>
            <w:shd w:val="clear" w:color="auto" w:fill="33CCCC"/>
          </w:tcPr>
          <w:p>
            <w:pPr>
              <w:spacing w:after="0"/>
              <w:rPr>
                <w:sz w:val="13"/>
                <w:szCs w:val="13"/>
                <w:color w:val="auto"/>
              </w:rPr>
            </w:pPr>
          </w:p>
        </w:tc>
        <w:tc>
          <w:tcPr>
            <w:tcW w:w="400" w:type="dxa"/>
            <w:vAlign w:val="bottom"/>
            <w:shd w:val="clear" w:color="auto" w:fill="33CCCC"/>
          </w:tcPr>
          <w:p>
            <w:pPr>
              <w:spacing w:after="0"/>
              <w:rPr>
                <w:sz w:val="13"/>
                <w:szCs w:val="13"/>
                <w:color w:val="auto"/>
              </w:rPr>
            </w:pPr>
          </w:p>
        </w:tc>
        <w:tc>
          <w:tcPr>
            <w:tcW w:w="1000" w:type="dxa"/>
            <w:vAlign w:val="bottom"/>
            <w:shd w:val="clear" w:color="auto" w:fill="33CCCC"/>
          </w:tcPr>
          <w:p>
            <w:pPr>
              <w:jc w:val="right"/>
              <w:ind w:right="324"/>
              <w:spacing w:after="0" w:line="155" w:lineRule="exact"/>
              <w:rPr>
                <w:sz w:val="20"/>
                <w:szCs w:val="20"/>
                <w:color w:val="auto"/>
              </w:rPr>
            </w:pPr>
            <w:r>
              <w:rPr>
                <w:rFonts w:ascii="Calibri" w:cs="Calibri" w:eastAsia="Calibri" w:hAnsi="Calibri"/>
                <w:sz w:val="14"/>
                <w:szCs w:val="14"/>
                <w:color w:val="FFFFFF"/>
              </w:rPr>
              <w:t>% change</w:t>
            </w:r>
          </w:p>
        </w:tc>
        <w:tc>
          <w:tcPr>
            <w:tcW w:w="380" w:type="dxa"/>
            <w:vAlign w:val="bottom"/>
            <w:tcBorders>
              <w:right w:val="single" w:sz="8" w:color="auto"/>
            </w:tcBorders>
            <w:shd w:val="clear" w:color="auto" w:fill="33CCCC"/>
          </w:tcPr>
          <w:p>
            <w:pPr>
              <w:spacing w:after="0"/>
              <w:rPr>
                <w:sz w:val="13"/>
                <w:szCs w:val="13"/>
                <w:color w:val="auto"/>
              </w:rPr>
            </w:pPr>
          </w:p>
        </w:tc>
        <w:tc>
          <w:tcPr>
            <w:tcW w:w="1220" w:type="dxa"/>
            <w:vAlign w:val="bottom"/>
            <w:shd w:val="clear" w:color="auto" w:fill="33CCCC"/>
          </w:tcPr>
          <w:p>
            <w:pPr>
              <w:jc w:val="right"/>
              <w:ind w:right="25"/>
              <w:spacing w:after="0" w:line="155" w:lineRule="exact"/>
              <w:rPr>
                <w:sz w:val="20"/>
                <w:szCs w:val="20"/>
                <w:color w:val="auto"/>
              </w:rPr>
            </w:pPr>
            <w:r>
              <w:rPr>
                <w:rFonts w:ascii="Calibri" w:cs="Calibri" w:eastAsia="Calibri" w:hAnsi="Calibri"/>
                <w:sz w:val="14"/>
                <w:szCs w:val="14"/>
                <w:color w:val="FFFFFF"/>
              </w:rPr>
              <w:t>As of</w:t>
            </w:r>
          </w:p>
        </w:tc>
        <w:tc>
          <w:tcPr>
            <w:tcW w:w="800" w:type="dxa"/>
            <w:vAlign w:val="bottom"/>
            <w:tcBorders>
              <w:right w:val="single" w:sz="8" w:color="auto"/>
            </w:tcBorders>
            <w:shd w:val="clear" w:color="auto" w:fill="33CCCC"/>
          </w:tcPr>
          <w:p>
            <w:pPr>
              <w:spacing w:after="0"/>
              <w:rPr>
                <w:sz w:val="13"/>
                <w:szCs w:val="13"/>
                <w:color w:val="auto"/>
              </w:rPr>
            </w:pPr>
          </w:p>
        </w:tc>
        <w:tc>
          <w:tcPr>
            <w:tcW w:w="1020" w:type="dxa"/>
            <w:vAlign w:val="bottom"/>
            <w:tcBorders>
              <w:right w:val="single" w:sz="8" w:color="auto"/>
            </w:tcBorders>
            <w:shd w:val="clear" w:color="auto" w:fill="33CCCC"/>
          </w:tcPr>
          <w:p>
            <w:pPr>
              <w:jc w:val="center"/>
              <w:spacing w:after="0" w:line="155" w:lineRule="exact"/>
              <w:rPr>
                <w:sz w:val="20"/>
                <w:szCs w:val="20"/>
                <w:color w:val="auto"/>
              </w:rPr>
            </w:pPr>
            <w:r>
              <w:rPr>
                <w:rFonts w:ascii="Calibri" w:cs="Calibri" w:eastAsia="Calibri" w:hAnsi="Calibri"/>
                <w:sz w:val="14"/>
                <w:szCs w:val="14"/>
                <w:color w:val="FFFFFF"/>
              </w:rPr>
              <w:t>% change</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80" w:type="dxa"/>
            <w:vAlign w:val="bottom"/>
            <w:tcBorders>
              <w:left w:val="single" w:sz="8" w:color="auto"/>
              <w:bottom w:val="single" w:sz="8" w:color="auto"/>
              <w:right w:val="single" w:sz="8" w:color="auto"/>
            </w:tcBorders>
            <w:shd w:val="clear" w:color="auto" w:fill="33CCCC"/>
          </w:tcPr>
          <w:p>
            <w:pPr>
              <w:spacing w:after="0"/>
              <w:rPr>
                <w:sz w:val="15"/>
                <w:szCs w:val="15"/>
                <w:color w:val="auto"/>
              </w:rPr>
            </w:pPr>
          </w:p>
        </w:tc>
        <w:tc>
          <w:tcPr>
            <w:tcW w:w="1120" w:type="dxa"/>
            <w:vAlign w:val="bottom"/>
            <w:tcBorders>
              <w:bottom w:val="single" w:sz="8" w:color="auto"/>
            </w:tcBorders>
            <w:shd w:val="clear" w:color="auto" w:fill="33CCCC"/>
          </w:tcPr>
          <w:p>
            <w:pPr>
              <w:jc w:val="right"/>
              <w:ind w:right="425"/>
              <w:spacing w:after="0"/>
              <w:rPr>
                <w:sz w:val="20"/>
                <w:szCs w:val="20"/>
                <w:color w:val="auto"/>
              </w:rPr>
            </w:pPr>
            <w:r>
              <w:rPr>
                <w:rFonts w:ascii="Calibri" w:cs="Calibri" w:eastAsia="Calibri" w:hAnsi="Calibri"/>
                <w:sz w:val="14"/>
                <w:szCs w:val="14"/>
                <w:color w:val="FFFFFF"/>
              </w:rPr>
              <w:t>3Q23</w:t>
            </w:r>
          </w:p>
        </w:tc>
        <w:tc>
          <w:tcPr>
            <w:tcW w:w="1020" w:type="dxa"/>
            <w:vAlign w:val="bottom"/>
            <w:tcBorders>
              <w:bottom w:val="single" w:sz="8" w:color="auto"/>
            </w:tcBorders>
            <w:shd w:val="clear" w:color="auto" w:fill="33CCCC"/>
          </w:tcPr>
          <w:p>
            <w:pPr>
              <w:jc w:val="right"/>
              <w:ind w:right="463"/>
              <w:spacing w:after="0"/>
              <w:rPr>
                <w:sz w:val="20"/>
                <w:szCs w:val="20"/>
                <w:color w:val="auto"/>
              </w:rPr>
            </w:pPr>
            <w:r>
              <w:rPr>
                <w:rFonts w:ascii="Calibri" w:cs="Calibri" w:eastAsia="Calibri" w:hAnsi="Calibri"/>
                <w:sz w:val="14"/>
                <w:szCs w:val="14"/>
                <w:color w:val="FFFFFF"/>
              </w:rPr>
              <w:t>2Q24</w:t>
            </w:r>
          </w:p>
        </w:tc>
        <w:tc>
          <w:tcPr>
            <w:tcW w:w="860" w:type="dxa"/>
            <w:vAlign w:val="bottom"/>
            <w:tcBorders>
              <w:bottom w:val="single" w:sz="8" w:color="auto"/>
              <w:right w:val="single" w:sz="8" w:color="auto"/>
            </w:tcBorders>
            <w:shd w:val="clear" w:color="auto" w:fill="33CCCC"/>
          </w:tcPr>
          <w:p>
            <w:pPr>
              <w:jc w:val="right"/>
              <w:ind w:right="325"/>
              <w:spacing w:after="0"/>
              <w:rPr>
                <w:sz w:val="20"/>
                <w:szCs w:val="20"/>
                <w:color w:val="auto"/>
              </w:rPr>
            </w:pPr>
            <w:r>
              <w:rPr>
                <w:rFonts w:ascii="Calibri" w:cs="Calibri" w:eastAsia="Calibri" w:hAnsi="Calibri"/>
                <w:sz w:val="14"/>
                <w:szCs w:val="14"/>
                <w:color w:val="FFFFFF"/>
              </w:rPr>
              <w:t>3Q24</w:t>
            </w:r>
          </w:p>
        </w:tc>
        <w:tc>
          <w:tcPr>
            <w:tcW w:w="240" w:type="dxa"/>
            <w:vAlign w:val="bottom"/>
            <w:tcBorders>
              <w:bottom w:val="single" w:sz="8" w:color="auto"/>
            </w:tcBorders>
            <w:shd w:val="clear" w:color="auto" w:fill="33CCCC"/>
          </w:tcPr>
          <w:p>
            <w:pPr>
              <w:spacing w:after="0"/>
              <w:rPr>
                <w:sz w:val="15"/>
                <w:szCs w:val="15"/>
                <w:color w:val="auto"/>
              </w:rPr>
            </w:pPr>
          </w:p>
        </w:tc>
        <w:tc>
          <w:tcPr>
            <w:tcW w:w="400" w:type="dxa"/>
            <w:vAlign w:val="bottom"/>
            <w:tcBorders>
              <w:bottom w:val="single" w:sz="8" w:color="auto"/>
            </w:tcBorders>
            <w:shd w:val="clear" w:color="auto" w:fill="33CCCC"/>
          </w:tcPr>
          <w:p>
            <w:pPr>
              <w:ind w:left="100"/>
              <w:spacing w:after="0"/>
              <w:rPr>
                <w:sz w:val="20"/>
                <w:szCs w:val="20"/>
                <w:color w:val="auto"/>
              </w:rPr>
            </w:pPr>
            <w:r>
              <w:rPr>
                <w:rFonts w:ascii="Calibri" w:cs="Calibri" w:eastAsia="Calibri" w:hAnsi="Calibri"/>
                <w:sz w:val="14"/>
                <w:szCs w:val="14"/>
                <w:color w:val="FFFFFF"/>
              </w:rPr>
              <w:t>QoQ</w:t>
            </w:r>
          </w:p>
        </w:tc>
        <w:tc>
          <w:tcPr>
            <w:tcW w:w="1000" w:type="dxa"/>
            <w:vAlign w:val="bottom"/>
            <w:tcBorders>
              <w:bottom w:val="single" w:sz="8" w:color="auto"/>
            </w:tcBorders>
            <w:shd w:val="clear" w:color="auto" w:fill="33CCCC"/>
          </w:tcPr>
          <w:p>
            <w:pPr>
              <w:jc w:val="right"/>
              <w:spacing w:after="0"/>
              <w:rPr>
                <w:sz w:val="20"/>
                <w:szCs w:val="20"/>
                <w:color w:val="auto"/>
              </w:rPr>
            </w:pPr>
            <w:r>
              <w:rPr>
                <w:rFonts w:ascii="Calibri" w:cs="Calibri" w:eastAsia="Calibri" w:hAnsi="Calibri"/>
                <w:sz w:val="14"/>
                <w:szCs w:val="14"/>
                <w:color w:val="FFFFFF"/>
              </w:rPr>
              <w:t>YoY</w:t>
            </w:r>
          </w:p>
        </w:tc>
        <w:tc>
          <w:tcPr>
            <w:tcW w:w="380" w:type="dxa"/>
            <w:vAlign w:val="bottom"/>
            <w:tcBorders>
              <w:bottom w:val="single" w:sz="8" w:color="auto"/>
              <w:right w:val="single" w:sz="8" w:color="auto"/>
            </w:tcBorders>
            <w:shd w:val="clear" w:color="auto" w:fill="33CCCC"/>
          </w:tcPr>
          <w:p>
            <w:pPr>
              <w:spacing w:after="0"/>
              <w:rPr>
                <w:sz w:val="15"/>
                <w:szCs w:val="15"/>
                <w:color w:val="auto"/>
              </w:rPr>
            </w:pPr>
          </w:p>
        </w:tc>
        <w:tc>
          <w:tcPr>
            <w:tcW w:w="1220" w:type="dxa"/>
            <w:vAlign w:val="bottom"/>
            <w:tcBorders>
              <w:bottom w:val="single" w:sz="8" w:color="auto"/>
            </w:tcBorders>
            <w:shd w:val="clear" w:color="auto" w:fill="33CCCC"/>
          </w:tcPr>
          <w:p>
            <w:pPr>
              <w:jc w:val="right"/>
              <w:ind w:right="485"/>
              <w:spacing w:after="0"/>
              <w:rPr>
                <w:sz w:val="20"/>
                <w:szCs w:val="20"/>
                <w:color w:val="auto"/>
              </w:rPr>
            </w:pPr>
            <w:r>
              <w:rPr>
                <w:rFonts w:ascii="Calibri" w:cs="Calibri" w:eastAsia="Calibri" w:hAnsi="Calibri"/>
                <w:sz w:val="14"/>
                <w:szCs w:val="14"/>
                <w:color w:val="FFFFFF"/>
              </w:rPr>
              <w:t>Sep 23</w:t>
            </w:r>
          </w:p>
        </w:tc>
        <w:tc>
          <w:tcPr>
            <w:tcW w:w="800" w:type="dxa"/>
            <w:vAlign w:val="bottom"/>
            <w:tcBorders>
              <w:bottom w:val="single" w:sz="8" w:color="auto"/>
              <w:right w:val="single" w:sz="8" w:color="auto"/>
            </w:tcBorders>
            <w:shd w:val="clear" w:color="auto" w:fill="33CCCC"/>
          </w:tcPr>
          <w:p>
            <w:pPr>
              <w:jc w:val="right"/>
              <w:ind w:right="265"/>
              <w:spacing w:after="0"/>
              <w:rPr>
                <w:sz w:val="20"/>
                <w:szCs w:val="20"/>
                <w:color w:val="auto"/>
              </w:rPr>
            </w:pPr>
            <w:r>
              <w:rPr>
                <w:rFonts w:ascii="Calibri" w:cs="Calibri" w:eastAsia="Calibri" w:hAnsi="Calibri"/>
                <w:sz w:val="14"/>
                <w:szCs w:val="14"/>
                <w:color w:val="FFFFFF"/>
              </w:rPr>
              <w:t>Sep 24</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color w:val="FFFFFF"/>
              </w:rPr>
              <w:t>Sep 24 / Sep 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18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b w:val="1"/>
                <w:bCs w:val="1"/>
                <w:color w:val="auto"/>
              </w:rPr>
              <w:t>Interest income and expense</w:t>
            </w: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tcBorders>
              <w:left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b w:val="1"/>
                <w:bCs w:val="1"/>
                <w:color w:val="auto"/>
              </w:rPr>
              <w:t>Interest and similar income</w:t>
            </w:r>
          </w:p>
        </w:tc>
        <w:tc>
          <w:tcPr>
            <w:tcW w:w="1120" w:type="dxa"/>
            <w:vAlign w:val="bottom"/>
          </w:tcPr>
          <w:p>
            <w:pPr>
              <w:jc w:val="right"/>
              <w:ind w:right="85"/>
              <w:spacing w:after="0" w:line="129" w:lineRule="exact"/>
              <w:rPr>
                <w:sz w:val="20"/>
                <w:szCs w:val="20"/>
                <w:color w:val="auto"/>
              </w:rPr>
            </w:pPr>
            <w:r>
              <w:rPr>
                <w:rFonts w:ascii="Calibri" w:cs="Calibri" w:eastAsia="Calibri" w:hAnsi="Calibri"/>
                <w:sz w:val="11"/>
                <w:szCs w:val="11"/>
                <w:color w:val="auto"/>
              </w:rPr>
              <w:t>4,819,101</w:t>
            </w:r>
          </w:p>
        </w:tc>
        <w:tc>
          <w:tcPr>
            <w:tcW w:w="1020" w:type="dxa"/>
            <w:vAlign w:val="bottom"/>
          </w:tcPr>
          <w:p>
            <w:pPr>
              <w:jc w:val="right"/>
              <w:ind w:right="103"/>
              <w:spacing w:after="0" w:line="129" w:lineRule="exact"/>
              <w:rPr>
                <w:sz w:val="20"/>
                <w:szCs w:val="20"/>
                <w:color w:val="auto"/>
              </w:rPr>
            </w:pPr>
            <w:r>
              <w:rPr>
                <w:rFonts w:ascii="Calibri" w:cs="Calibri" w:eastAsia="Calibri" w:hAnsi="Calibri"/>
                <w:sz w:val="11"/>
                <w:szCs w:val="11"/>
                <w:color w:val="auto"/>
              </w:rPr>
              <w:t>4,935,238</w:t>
            </w:r>
          </w:p>
        </w:tc>
        <w:tc>
          <w:tcPr>
            <w:tcW w:w="860" w:type="dxa"/>
            <w:vAlign w:val="bottom"/>
            <w:tcBorders>
              <w:right w:val="single" w:sz="8" w:color="auto"/>
            </w:tcBorders>
          </w:tcPr>
          <w:p>
            <w:pPr>
              <w:jc w:val="right"/>
              <w:spacing w:after="0" w:line="129" w:lineRule="exact"/>
              <w:rPr>
                <w:sz w:val="20"/>
                <w:szCs w:val="20"/>
                <w:color w:val="auto"/>
              </w:rPr>
            </w:pPr>
            <w:r>
              <w:rPr>
                <w:rFonts w:ascii="Calibri" w:cs="Calibri" w:eastAsia="Calibri" w:hAnsi="Calibri"/>
                <w:sz w:val="11"/>
                <w:szCs w:val="11"/>
                <w:color w:val="auto"/>
              </w:rPr>
              <w:t>4,995,971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line="129" w:lineRule="exact"/>
              <w:rPr>
                <w:sz w:val="20"/>
                <w:szCs w:val="20"/>
                <w:color w:val="auto"/>
              </w:rPr>
            </w:pPr>
            <w:r>
              <w:rPr>
                <w:rFonts w:ascii="Calibri" w:cs="Calibri" w:eastAsia="Calibri" w:hAnsi="Calibri"/>
                <w:sz w:val="11"/>
                <w:szCs w:val="11"/>
                <w:color w:val="auto"/>
              </w:rPr>
              <w:t>1.2%</w:t>
            </w:r>
          </w:p>
        </w:tc>
        <w:tc>
          <w:tcPr>
            <w:tcW w:w="380" w:type="dxa"/>
            <w:vAlign w:val="bottom"/>
            <w:tcBorders>
              <w:right w:val="single" w:sz="8" w:color="auto"/>
            </w:tcBorders>
          </w:tcPr>
          <w:p>
            <w:pPr>
              <w:jc w:val="right"/>
              <w:spacing w:after="0" w:line="129" w:lineRule="exact"/>
              <w:rPr>
                <w:sz w:val="20"/>
                <w:szCs w:val="20"/>
                <w:color w:val="auto"/>
              </w:rPr>
            </w:pPr>
            <w:r>
              <w:rPr>
                <w:rFonts w:ascii="Calibri" w:cs="Calibri" w:eastAsia="Calibri" w:hAnsi="Calibri"/>
                <w:sz w:val="11"/>
                <w:szCs w:val="11"/>
                <w:color w:val="auto"/>
              </w:rPr>
              <w:t>3.7%</w:t>
            </w:r>
          </w:p>
        </w:tc>
        <w:tc>
          <w:tcPr>
            <w:tcW w:w="1220" w:type="dxa"/>
            <w:vAlign w:val="bottom"/>
          </w:tcPr>
          <w:p>
            <w:pPr>
              <w:jc w:val="right"/>
              <w:ind w:right="185"/>
              <w:spacing w:after="0" w:line="129" w:lineRule="exact"/>
              <w:rPr>
                <w:sz w:val="20"/>
                <w:szCs w:val="20"/>
                <w:color w:val="auto"/>
              </w:rPr>
            </w:pPr>
            <w:r>
              <w:rPr>
                <w:rFonts w:ascii="Calibri" w:cs="Calibri" w:eastAsia="Calibri" w:hAnsi="Calibri"/>
                <w:sz w:val="11"/>
                <w:szCs w:val="11"/>
                <w:color w:val="auto"/>
              </w:rPr>
              <w:t>13,928,453</w:t>
            </w:r>
          </w:p>
        </w:tc>
        <w:tc>
          <w:tcPr>
            <w:tcW w:w="800" w:type="dxa"/>
            <w:vAlign w:val="bottom"/>
            <w:tcBorders>
              <w:right w:val="single" w:sz="8" w:color="auto"/>
            </w:tcBorders>
          </w:tcPr>
          <w:p>
            <w:pPr>
              <w:jc w:val="right"/>
              <w:spacing w:after="0" w:line="129" w:lineRule="exact"/>
              <w:rPr>
                <w:sz w:val="20"/>
                <w:szCs w:val="20"/>
                <w:color w:val="auto"/>
              </w:rPr>
            </w:pPr>
            <w:r>
              <w:rPr>
                <w:rFonts w:ascii="Calibri" w:cs="Calibri" w:eastAsia="Calibri" w:hAnsi="Calibri"/>
                <w:sz w:val="11"/>
                <w:szCs w:val="11"/>
                <w:color w:val="auto"/>
              </w:rPr>
              <w:t>14,857,135</w:t>
            </w:r>
          </w:p>
        </w:tc>
        <w:tc>
          <w:tcPr>
            <w:tcW w:w="102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1"/>
              </w:rPr>
              <w:t>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Interest and similar expenses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(1,565,058)</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(1,466,774)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(1,405,221)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-4.2%</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-10.2%</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(4,338,165)</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(4,371,798)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interest, similar income and expenses</w:t>
            </w:r>
          </w:p>
        </w:tc>
        <w:tc>
          <w:tcPr>
            <w:tcW w:w="1120" w:type="dxa"/>
            <w:vAlign w:val="bottom"/>
          </w:tcPr>
          <w:p>
            <w:pPr>
              <w:jc w:val="right"/>
              <w:ind w:right="85"/>
              <w:spacing w:after="0"/>
              <w:rPr>
                <w:sz w:val="20"/>
                <w:szCs w:val="20"/>
                <w:color w:val="auto"/>
              </w:rPr>
            </w:pPr>
            <w:r>
              <w:rPr>
                <w:rFonts w:ascii="Calibri" w:cs="Calibri" w:eastAsia="Calibri" w:hAnsi="Calibri"/>
                <w:sz w:val="11"/>
                <w:szCs w:val="11"/>
                <w:b w:val="1"/>
                <w:bCs w:val="1"/>
                <w:color w:val="auto"/>
              </w:rPr>
              <w:t>3,254,043</w:t>
            </w:r>
          </w:p>
        </w:tc>
        <w:tc>
          <w:tcPr>
            <w:tcW w:w="102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3,468,464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3,590,750</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b w:val="1"/>
                <w:bCs w:val="1"/>
                <w:color w:val="auto"/>
              </w:rPr>
              <w:t>3.5%</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10.3%</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9,590,288</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10,485,337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0"/>
              </w:rPr>
              <w:t>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Gross provision for credit losses on loan portolio</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(1,008,750)</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(1,193,548)</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(981,870)</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-17.7%</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-2.7%</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(2,696,980)</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(3,085,607)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Recoveries of writen-of loans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91,108</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100,177</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113,789</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13.6%</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24.9%</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248,089</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309,456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24.7%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Provision for credit losses on loan portolio, net of recoveries</w:t>
            </w:r>
          </w:p>
        </w:tc>
        <w:tc>
          <w:tcPr>
            <w:tcW w:w="1120" w:type="dxa"/>
            <w:vAlign w:val="bottom"/>
          </w:tcPr>
          <w:p>
            <w:pPr>
              <w:jc w:val="right"/>
              <w:ind w:right="85"/>
              <w:spacing w:after="0"/>
              <w:rPr>
                <w:sz w:val="20"/>
                <w:szCs w:val="20"/>
                <w:color w:val="auto"/>
              </w:rPr>
            </w:pPr>
            <w:r>
              <w:rPr>
                <w:rFonts w:ascii="Calibri" w:cs="Calibri" w:eastAsia="Calibri" w:hAnsi="Calibri"/>
                <w:sz w:val="11"/>
                <w:szCs w:val="11"/>
                <w:b w:val="1"/>
                <w:bCs w:val="1"/>
                <w:color w:val="auto"/>
              </w:rPr>
              <w:t>(917,642)</w:t>
            </w:r>
          </w:p>
        </w:tc>
        <w:tc>
          <w:tcPr>
            <w:tcW w:w="102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(1,093,371)</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(868,081)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b w:val="1"/>
                <w:bCs w:val="1"/>
                <w:color w:val="auto"/>
              </w:rPr>
              <w:t>-20.6%</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-5.4%</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(2,448,891)</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(2,776,151)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interest, similar income and expenses, afer provision for credit</w:t>
            </w:r>
          </w:p>
        </w:tc>
        <w:tc>
          <w:tcPr>
            <w:tcW w:w="1120" w:type="dxa"/>
            <w:vAlign w:val="bottom"/>
            <w:vMerge w:val="restart"/>
          </w:tcPr>
          <w:p>
            <w:pPr>
              <w:jc w:val="right"/>
              <w:ind w:right="85"/>
              <w:spacing w:after="0"/>
              <w:rPr>
                <w:sz w:val="20"/>
                <w:szCs w:val="20"/>
                <w:color w:val="auto"/>
              </w:rPr>
            </w:pPr>
            <w:r>
              <w:rPr>
                <w:rFonts w:ascii="Calibri" w:cs="Calibri" w:eastAsia="Calibri" w:hAnsi="Calibri"/>
                <w:sz w:val="11"/>
                <w:szCs w:val="11"/>
                <w:b w:val="1"/>
                <w:bCs w:val="1"/>
                <w:color w:val="auto"/>
              </w:rPr>
              <w:t>2,336,401</w:t>
            </w:r>
          </w:p>
        </w:tc>
        <w:tc>
          <w:tcPr>
            <w:tcW w:w="1020" w:type="dxa"/>
            <w:vAlign w:val="bottom"/>
            <w:vMerge w:val="restart"/>
          </w:tcPr>
          <w:p>
            <w:pPr>
              <w:jc w:val="right"/>
              <w:ind w:right="103"/>
              <w:spacing w:after="0"/>
              <w:rPr>
                <w:sz w:val="20"/>
                <w:szCs w:val="20"/>
                <w:color w:val="auto"/>
              </w:rPr>
            </w:pPr>
            <w:r>
              <w:rPr>
                <w:rFonts w:ascii="Calibri" w:cs="Calibri" w:eastAsia="Calibri" w:hAnsi="Calibri"/>
                <w:sz w:val="11"/>
                <w:szCs w:val="11"/>
                <w:b w:val="1"/>
                <w:bCs w:val="1"/>
                <w:color w:val="auto"/>
              </w:rPr>
              <w:t>2,375,093</w:t>
            </w:r>
          </w:p>
        </w:tc>
        <w:tc>
          <w:tcPr>
            <w:tcW w:w="86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2,722,669</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vMerge w:val="restart"/>
          </w:tcPr>
          <w:p>
            <w:pPr>
              <w:jc w:val="right"/>
              <w:ind w:right="604"/>
              <w:spacing w:after="0"/>
              <w:rPr>
                <w:sz w:val="20"/>
                <w:szCs w:val="20"/>
                <w:color w:val="auto"/>
              </w:rPr>
            </w:pPr>
            <w:r>
              <w:rPr>
                <w:rFonts w:ascii="Calibri" w:cs="Calibri" w:eastAsia="Calibri" w:hAnsi="Calibri"/>
                <w:sz w:val="11"/>
                <w:szCs w:val="11"/>
                <w:b w:val="1"/>
                <w:bCs w:val="1"/>
                <w:color w:val="auto"/>
              </w:rPr>
              <w:t>14.6%</w:t>
            </w:r>
          </w:p>
        </w:tc>
        <w:tc>
          <w:tcPr>
            <w:tcW w:w="3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16.5%</w:t>
            </w:r>
          </w:p>
        </w:tc>
        <w:tc>
          <w:tcPr>
            <w:tcW w:w="1220" w:type="dxa"/>
            <w:vAlign w:val="bottom"/>
            <w:vMerge w:val="restart"/>
          </w:tcPr>
          <w:p>
            <w:pPr>
              <w:jc w:val="right"/>
              <w:ind w:right="185"/>
              <w:spacing w:after="0"/>
              <w:rPr>
                <w:sz w:val="20"/>
                <w:szCs w:val="20"/>
                <w:color w:val="auto"/>
              </w:rPr>
            </w:pPr>
            <w:r>
              <w:rPr>
                <w:rFonts w:ascii="Calibri" w:cs="Calibri" w:eastAsia="Calibri" w:hAnsi="Calibri"/>
                <w:sz w:val="11"/>
                <w:szCs w:val="11"/>
                <w:b w:val="1"/>
                <w:bCs w:val="1"/>
                <w:color w:val="auto"/>
              </w:rPr>
              <w:t>7,141,397</w:t>
            </w:r>
          </w:p>
        </w:tc>
        <w:tc>
          <w:tcPr>
            <w:tcW w:w="8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7,709,186</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0"/>
              </w:rPr>
              <w:t>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Calibri" w:cs="Calibri" w:eastAsia="Calibri" w:hAnsi="Calibri"/>
                <w:sz w:val="11"/>
                <w:szCs w:val="11"/>
                <w:b w:val="1"/>
                <w:bCs w:val="1"/>
                <w:color w:val="auto"/>
              </w:rPr>
              <w:t>losses on loan portolio</w:t>
            </w:r>
          </w:p>
        </w:tc>
        <w:tc>
          <w:tcPr>
            <w:tcW w:w="1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80" w:type="dxa"/>
            <w:vAlign w:val="bottom"/>
            <w:tcBorders>
              <w:right w:val="single" w:sz="8" w:color="auto"/>
            </w:tcBorders>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Other income</w:t>
            </w: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Fee income</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975,955</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1,148,830</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1,108,314</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-3.5%</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13.6%</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2,818,286</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3,319,645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on foreign exchange transactons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208,620</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217,896</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172,998</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-20.6%</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-17.1%</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668,079</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557,163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loss on securites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53,591</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92,711</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120,033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29.5%</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124.0%</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192,230</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274,489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from associates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32,056</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28,728</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35,600</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23.9%</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11.1%</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82,957</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96,623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(loss) on derivatves held for trading</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38,545</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41,748</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93,801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w w:val="96"/>
              </w:rPr>
              <w:t>124.7%</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143.4%</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48,646</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175,533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6"/>
              </w:rPr>
              <w:t>260.8%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(loss) from exchange diferences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38,545</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41,748</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93,801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w w:val="96"/>
              </w:rPr>
              <w:t>124.7%</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143.4%</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48,646</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175,533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6"/>
              </w:rPr>
              <w:t>260.8%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Others</w:t>
            </w:r>
          </w:p>
        </w:tc>
        <w:tc>
          <w:tcPr>
            <w:tcW w:w="1120" w:type="dxa"/>
            <w:vAlign w:val="bottom"/>
            <w:vMerge w:val="restart"/>
          </w:tcPr>
          <w:p>
            <w:pPr>
              <w:jc w:val="right"/>
              <w:ind w:right="85"/>
              <w:spacing w:after="0"/>
              <w:rPr>
                <w:sz w:val="20"/>
                <w:szCs w:val="20"/>
                <w:color w:val="auto"/>
              </w:rPr>
            </w:pPr>
            <w:r>
              <w:rPr>
                <w:rFonts w:ascii="Calibri" w:cs="Calibri" w:eastAsia="Calibri" w:hAnsi="Calibri"/>
                <w:sz w:val="11"/>
                <w:szCs w:val="11"/>
                <w:color w:val="auto"/>
              </w:rPr>
              <w:t>89,272</w:t>
            </w:r>
          </w:p>
        </w:tc>
        <w:tc>
          <w:tcPr>
            <w:tcW w:w="1020" w:type="dxa"/>
            <w:vAlign w:val="bottom"/>
            <w:vMerge w:val="restart"/>
          </w:tcPr>
          <w:p>
            <w:pPr>
              <w:jc w:val="right"/>
              <w:ind w:right="103"/>
              <w:spacing w:after="0"/>
              <w:rPr>
                <w:sz w:val="20"/>
                <w:szCs w:val="20"/>
                <w:color w:val="auto"/>
              </w:rPr>
            </w:pPr>
            <w:r>
              <w:rPr>
                <w:rFonts w:ascii="Calibri" w:cs="Calibri" w:eastAsia="Calibri" w:hAnsi="Calibri"/>
                <w:sz w:val="11"/>
                <w:szCs w:val="11"/>
                <w:color w:val="auto"/>
              </w:rPr>
              <w:t>139,499</w:t>
            </w:r>
          </w:p>
        </w:tc>
        <w:tc>
          <w:tcPr>
            <w:tcW w:w="86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color w:val="auto"/>
              </w:rPr>
              <w:t>96,675</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vMerge w:val="restart"/>
          </w:tcPr>
          <w:p>
            <w:pPr>
              <w:jc w:val="right"/>
              <w:ind w:right="604"/>
              <w:spacing w:after="0"/>
              <w:rPr>
                <w:sz w:val="20"/>
                <w:szCs w:val="20"/>
                <w:color w:val="auto"/>
              </w:rPr>
            </w:pPr>
            <w:r>
              <w:rPr>
                <w:rFonts w:ascii="Calibri" w:cs="Calibri" w:eastAsia="Calibri" w:hAnsi="Calibri"/>
                <w:sz w:val="11"/>
                <w:szCs w:val="11"/>
                <w:color w:val="auto"/>
              </w:rPr>
              <w:t>-30.7%</w:t>
            </w:r>
          </w:p>
        </w:tc>
        <w:tc>
          <w:tcPr>
            <w:tcW w:w="3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color w:val="auto"/>
              </w:rPr>
              <w:t>8.3%</w:t>
            </w:r>
          </w:p>
        </w:tc>
        <w:tc>
          <w:tcPr>
            <w:tcW w:w="1220" w:type="dxa"/>
            <w:vAlign w:val="bottom"/>
            <w:vMerge w:val="restart"/>
          </w:tcPr>
          <w:p>
            <w:pPr>
              <w:jc w:val="right"/>
              <w:ind w:right="185"/>
              <w:spacing w:after="0"/>
              <w:rPr>
                <w:sz w:val="20"/>
                <w:szCs w:val="20"/>
                <w:color w:val="auto"/>
              </w:rPr>
            </w:pPr>
            <w:r>
              <w:rPr>
                <w:rFonts w:ascii="Calibri" w:cs="Calibri" w:eastAsia="Calibri" w:hAnsi="Calibri"/>
                <w:sz w:val="11"/>
                <w:szCs w:val="11"/>
                <w:color w:val="auto"/>
              </w:rPr>
              <w:t>328,281</w:t>
            </w:r>
          </w:p>
        </w:tc>
        <w:tc>
          <w:tcPr>
            <w:tcW w:w="8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color w:val="auto"/>
              </w:rPr>
              <w:t>338,395</w:t>
            </w:r>
          </w:p>
        </w:tc>
        <w:tc>
          <w:tcPr>
            <w:tcW w:w="10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1"/>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80" w:type="dxa"/>
            <w:vAlign w:val="bottom"/>
            <w:tcBorders>
              <w:right w:val="single" w:sz="8" w:color="auto"/>
            </w:tcBorders>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other income</w:t>
            </w:r>
          </w:p>
        </w:tc>
        <w:tc>
          <w:tcPr>
            <w:tcW w:w="1120" w:type="dxa"/>
            <w:vAlign w:val="bottom"/>
          </w:tcPr>
          <w:p>
            <w:pPr>
              <w:jc w:val="right"/>
              <w:ind w:right="85"/>
              <w:spacing w:after="0"/>
              <w:rPr>
                <w:sz w:val="20"/>
                <w:szCs w:val="20"/>
                <w:color w:val="auto"/>
              </w:rPr>
            </w:pPr>
            <w:r>
              <w:rPr>
                <w:rFonts w:ascii="Calibri" w:cs="Calibri" w:eastAsia="Calibri" w:hAnsi="Calibri"/>
                <w:sz w:val="11"/>
                <w:szCs w:val="11"/>
                <w:b w:val="1"/>
                <w:bCs w:val="1"/>
                <w:color w:val="auto"/>
              </w:rPr>
              <w:t>1,402,603</w:t>
            </w:r>
          </w:p>
        </w:tc>
        <w:tc>
          <w:tcPr>
            <w:tcW w:w="102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1,661,479</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1,621,282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b w:val="1"/>
                <w:bCs w:val="1"/>
                <w:color w:val="auto"/>
              </w:rPr>
              <w:t>-2.4%</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15.6%</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4,169,002</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4,742,155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Insurance underwritng result</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417,014</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407,666</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419,805</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3.0%</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0.7%</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1,217,378</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1,286,468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Insurance Service Result</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(86,114)</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(92,166)</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(128,030)</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38.9%</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48.7%</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(293,573)</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(400,130)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Reinsurance Result</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330,900</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315,500</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291,775</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-7.5%</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-11.8%</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923,805</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886,338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insurance underwritng result</w:t>
            </w: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Expenses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(1,061,402)</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(1,141,823)</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(1,155,966)</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1.2%</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8.9%</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(3,145,695)</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(3,404,858)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Salaries and employee benefts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(1,007,894)</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(1,017,707)</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(1,047,386)</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2.9%</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3.9%</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(2,714,000)</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(2,953,677)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Administratve, general and tax expenses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(159,761)</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(172,204)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(179,495)</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4.2%</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12.4%</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(481,389)</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(526,845)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Depreciaton and amortzaton</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(23,046)</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n.a</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n.a</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(23,046)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86"/>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Associaton in partcipaton</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(14,634)</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(9,200)</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(6,414)</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-30.3%</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-56.2%</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(43,988)</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(24,461)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 expenses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(106,778)</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(124,420)</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(111,859)</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-10.1%</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4.8%</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(287,609)</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(335,951)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expenses</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(2,350,469)</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(2,465,354)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(2,524,166)</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2.4%</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7.4%</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(6,672,681)</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(7,268,838)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Proft before income tax</w:t>
            </w:r>
          </w:p>
        </w:tc>
        <w:tc>
          <w:tcPr>
            <w:tcW w:w="1120" w:type="dxa"/>
            <w:vAlign w:val="bottom"/>
          </w:tcPr>
          <w:p>
            <w:pPr>
              <w:jc w:val="right"/>
              <w:ind w:right="85"/>
              <w:spacing w:after="0"/>
              <w:rPr>
                <w:sz w:val="20"/>
                <w:szCs w:val="20"/>
                <w:color w:val="auto"/>
              </w:rPr>
            </w:pPr>
            <w:r>
              <w:rPr>
                <w:rFonts w:ascii="Calibri" w:cs="Calibri" w:eastAsia="Calibri" w:hAnsi="Calibri"/>
                <w:sz w:val="11"/>
                <w:szCs w:val="11"/>
                <w:b w:val="1"/>
                <w:bCs w:val="1"/>
                <w:color w:val="auto"/>
              </w:rPr>
              <w:t>1,719,435</w:t>
            </w:r>
          </w:p>
        </w:tc>
        <w:tc>
          <w:tcPr>
            <w:tcW w:w="102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1,886,718</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2,111,560</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b w:val="1"/>
                <w:bCs w:val="1"/>
                <w:color w:val="auto"/>
              </w:rPr>
              <w:t>11.9%</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22.8%</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5,561,523</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5,182,503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4"/>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Income tax</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(455,865)</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(519,344)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(555,117)</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6.9%</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21.8%</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(1,453,803)</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(1,602,927)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proft</w:t>
            </w:r>
          </w:p>
        </w:tc>
        <w:tc>
          <w:tcPr>
            <w:tcW w:w="1120" w:type="dxa"/>
            <w:vAlign w:val="bottom"/>
          </w:tcPr>
          <w:p>
            <w:pPr>
              <w:jc w:val="right"/>
              <w:ind w:right="85"/>
              <w:spacing w:after="0"/>
              <w:rPr>
                <w:sz w:val="20"/>
                <w:szCs w:val="20"/>
                <w:color w:val="auto"/>
              </w:rPr>
            </w:pPr>
            <w:r>
              <w:rPr>
                <w:rFonts w:ascii="Calibri" w:cs="Calibri" w:eastAsia="Calibri" w:hAnsi="Calibri"/>
                <w:sz w:val="11"/>
                <w:szCs w:val="11"/>
                <w:b w:val="1"/>
                <w:bCs w:val="1"/>
                <w:color w:val="auto"/>
              </w:rPr>
              <w:t>1,263,570</w:t>
            </w:r>
          </w:p>
        </w:tc>
        <w:tc>
          <w:tcPr>
            <w:tcW w:w="102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1,367,374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1,556,443</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b w:val="1"/>
                <w:bCs w:val="1"/>
                <w:color w:val="auto"/>
              </w:rPr>
              <w:t>13.8%</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23.2%</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4,107,720</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4,465,914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0"/>
              </w:rPr>
              <w:t>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Non-controlling interest</w:t>
            </w:r>
          </w:p>
        </w:tc>
        <w:tc>
          <w:tcPr>
            <w:tcW w:w="1120" w:type="dxa"/>
            <w:vAlign w:val="bottom"/>
          </w:tcPr>
          <w:p>
            <w:pPr>
              <w:jc w:val="right"/>
              <w:ind w:right="85"/>
              <w:spacing w:after="0"/>
              <w:rPr>
                <w:sz w:val="20"/>
                <w:szCs w:val="20"/>
                <w:color w:val="auto"/>
              </w:rPr>
            </w:pPr>
            <w:r>
              <w:rPr>
                <w:rFonts w:ascii="Calibri" w:cs="Calibri" w:eastAsia="Calibri" w:hAnsi="Calibri"/>
                <w:sz w:val="11"/>
                <w:szCs w:val="11"/>
                <w:color w:val="auto"/>
              </w:rPr>
              <w:t>25,397</w:t>
            </w:r>
          </w:p>
        </w:tc>
        <w:tc>
          <w:tcPr>
            <w:tcW w:w="1020" w:type="dxa"/>
            <w:vAlign w:val="bottom"/>
          </w:tcPr>
          <w:p>
            <w:pPr>
              <w:jc w:val="right"/>
              <w:ind w:right="103"/>
              <w:spacing w:after="0"/>
              <w:rPr>
                <w:sz w:val="20"/>
                <w:szCs w:val="20"/>
                <w:color w:val="auto"/>
              </w:rPr>
            </w:pPr>
            <w:r>
              <w:rPr>
                <w:rFonts w:ascii="Calibri" w:cs="Calibri" w:eastAsia="Calibri" w:hAnsi="Calibri"/>
                <w:sz w:val="11"/>
                <w:szCs w:val="11"/>
                <w:color w:val="auto"/>
              </w:rPr>
              <w:t>28,278</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32,655</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04"/>
              <w:spacing w:after="0"/>
              <w:rPr>
                <w:sz w:val="20"/>
                <w:szCs w:val="20"/>
                <w:color w:val="auto"/>
              </w:rPr>
            </w:pPr>
            <w:r>
              <w:rPr>
                <w:rFonts w:ascii="Calibri" w:cs="Calibri" w:eastAsia="Calibri" w:hAnsi="Calibri"/>
                <w:sz w:val="11"/>
                <w:szCs w:val="11"/>
                <w:color w:val="auto"/>
              </w:rPr>
              <w:t>15.5%</w:t>
            </w:r>
          </w:p>
        </w:tc>
        <w:tc>
          <w:tcPr>
            <w:tcW w:w="3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28.6%</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84,007</w:t>
            </w:r>
          </w:p>
        </w:tc>
        <w:tc>
          <w:tcPr>
            <w:tcW w:w="80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91,373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proft atributable to Credicorp</w:t>
            </w:r>
          </w:p>
        </w:tc>
        <w:tc>
          <w:tcPr>
            <w:tcW w:w="1120" w:type="dxa"/>
            <w:vAlign w:val="bottom"/>
            <w:tcBorders>
              <w:bottom w:val="single" w:sz="8" w:color="auto"/>
            </w:tcBorders>
          </w:tcPr>
          <w:p>
            <w:pPr>
              <w:jc w:val="right"/>
              <w:ind w:right="85"/>
              <w:spacing w:after="0"/>
              <w:rPr>
                <w:sz w:val="20"/>
                <w:szCs w:val="20"/>
                <w:color w:val="auto"/>
              </w:rPr>
            </w:pPr>
            <w:r>
              <w:rPr>
                <w:rFonts w:ascii="Calibri" w:cs="Calibri" w:eastAsia="Calibri" w:hAnsi="Calibri"/>
                <w:sz w:val="11"/>
                <w:szCs w:val="11"/>
                <w:b w:val="1"/>
                <w:bCs w:val="1"/>
                <w:color w:val="auto"/>
              </w:rPr>
              <w:t>1,238,173</w:t>
            </w:r>
          </w:p>
        </w:tc>
        <w:tc>
          <w:tcPr>
            <w:tcW w:w="102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1"/>
                <w:szCs w:val="11"/>
                <w:b w:val="1"/>
                <w:bCs w:val="1"/>
                <w:color w:val="auto"/>
              </w:rPr>
              <w:t>1,339,096</w:t>
            </w:r>
          </w:p>
        </w:tc>
        <w:tc>
          <w:tcPr>
            <w:tcW w:w="8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1,523,788</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04"/>
              <w:spacing w:after="0"/>
              <w:rPr>
                <w:sz w:val="20"/>
                <w:szCs w:val="20"/>
                <w:color w:val="auto"/>
              </w:rPr>
            </w:pPr>
            <w:r>
              <w:rPr>
                <w:rFonts w:ascii="Calibri" w:cs="Calibri" w:eastAsia="Calibri" w:hAnsi="Calibri"/>
                <w:sz w:val="11"/>
                <w:szCs w:val="11"/>
                <w:b w:val="1"/>
                <w:bCs w:val="1"/>
                <w:color w:val="auto"/>
              </w:rPr>
              <w:t>13.8%</w:t>
            </w:r>
          </w:p>
        </w:tc>
        <w:tc>
          <w:tcPr>
            <w:tcW w:w="3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23.1%</w:t>
            </w:r>
          </w:p>
        </w:tc>
        <w:tc>
          <w:tcPr>
            <w:tcW w:w="1220" w:type="dxa"/>
            <w:vAlign w:val="bottom"/>
            <w:tcBorders>
              <w:bottom w:val="single" w:sz="8" w:color="auto"/>
            </w:tcBorders>
          </w:tcPr>
          <w:p>
            <w:pPr>
              <w:jc w:val="right"/>
              <w:ind w:right="185"/>
              <w:spacing w:after="0"/>
              <w:rPr>
                <w:sz w:val="20"/>
                <w:szCs w:val="20"/>
                <w:color w:val="auto"/>
              </w:rPr>
            </w:pPr>
            <w:r>
              <w:rPr>
                <w:rFonts w:ascii="Calibri" w:cs="Calibri" w:eastAsia="Calibri" w:hAnsi="Calibri"/>
                <w:sz w:val="11"/>
                <w:szCs w:val="11"/>
                <w:b w:val="1"/>
                <w:bCs w:val="1"/>
                <w:color w:val="auto"/>
              </w:rPr>
              <w:t>4,023,713</w:t>
            </w:r>
          </w:p>
        </w:tc>
        <w:tc>
          <w:tcPr>
            <w:tcW w:w="80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4,374,541</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0"/>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5"/>
        </w:trPr>
        <w:tc>
          <w:tcPr>
            <w:tcW w:w="3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42"/>
        </w:trPr>
        <w:tc>
          <w:tcPr>
            <w:tcW w:w="3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-5511800</wp:posOffset>
            </wp:positionV>
            <wp:extent cx="108013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453"/>
        </w:trPr>
        <w:tc>
          <w:tcPr>
            <w:tcW w:w="5400" w:type="dxa"/>
            <w:vAlign w:val="bottom"/>
            <w:tcBorders>
              <w:left w:val="single" w:sz="8" w:color="auto"/>
              <w:right w:val="single" w:sz="8" w:color="auto"/>
            </w:tcBorders>
            <w:gridSpan w:val="4"/>
            <w:shd w:val="clear" w:color="auto" w:fill="000000"/>
          </w:tcPr>
          <w:p>
            <w:pPr>
              <w:ind w:left="270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380" w:type="dxa"/>
            <w:vAlign w:val="bottom"/>
            <w:shd w:val="clear" w:color="auto" w:fill="000000"/>
          </w:tcPr>
          <w:p>
            <w:pPr>
              <w:spacing w:after="0"/>
              <w:rPr>
                <w:sz w:val="24"/>
                <w:szCs w:val="24"/>
                <w:color w:val="auto"/>
              </w:rPr>
            </w:pPr>
          </w:p>
        </w:tc>
        <w:tc>
          <w:tcPr>
            <w:tcW w:w="400" w:type="dxa"/>
            <w:vAlign w:val="bottom"/>
            <w:tcBorders>
              <w:right w:val="single" w:sz="8" w:color="auto"/>
            </w:tcBorders>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3000" w:type="dxa"/>
            <w:vAlign w:val="bottom"/>
            <w:tcBorders>
              <w:right w:val="single" w:sz="8" w:color="auto"/>
            </w:tcBorders>
            <w:gridSpan w:val="3"/>
            <w:shd w:val="clear" w:color="auto" w:fill="000000"/>
          </w:tcPr>
          <w:p>
            <w:pPr>
              <w:jc w:val="right"/>
              <w:ind w:right="18"/>
              <w:spacing w:after="0"/>
              <w:rPr>
                <w:sz w:val="20"/>
                <w:szCs w:val="20"/>
                <w:color w:val="auto"/>
              </w:rPr>
            </w:pPr>
            <w:r>
              <w:rPr>
                <w:rFonts w:ascii="Calibri" w:cs="Calibri" w:eastAsia="Calibri" w:hAnsi="Calibri"/>
                <w:sz w:val="16"/>
                <w:szCs w:val="16"/>
                <w:color w:val="ED3FA8"/>
              </w:rPr>
              <w:t>Analysis of 3Q24 Consolidated Results</w:t>
            </w:r>
          </w:p>
        </w:tc>
        <w:tc>
          <w:tcPr>
            <w:tcW w:w="1020" w:type="dxa"/>
            <w:vAlign w:val="bottom"/>
            <w:tcBorders>
              <w:right w:val="single" w:sz="8" w:color="auto"/>
            </w:tcBorders>
            <w:shd w:val="clear" w:color="auto" w:fill="000000"/>
          </w:tcPr>
          <w:p>
            <w:pPr>
              <w:spacing w:after="0"/>
              <w:rPr>
                <w:sz w:val="24"/>
                <w:szCs w:val="24"/>
                <w:color w:val="auto"/>
              </w:rPr>
            </w:pPr>
          </w:p>
        </w:tc>
      </w:tr>
      <w:tr>
        <w:trPr>
          <w:trHeight w:val="330"/>
        </w:trPr>
        <w:tc>
          <w:tcPr>
            <w:tcW w:w="3180" w:type="dxa"/>
            <w:vAlign w:val="bottom"/>
            <w:tcBorders>
              <w:left w:val="single" w:sz="8" w:color="auto"/>
              <w:right w:val="single" w:sz="8" w:color="auto"/>
            </w:tcBorders>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960" w:type="dxa"/>
            <w:vAlign w:val="bottom"/>
            <w:shd w:val="clear" w:color="auto" w:fill="000000"/>
          </w:tcPr>
          <w:p>
            <w:pPr>
              <w:spacing w:after="0"/>
              <w:rPr>
                <w:sz w:val="24"/>
                <w:szCs w:val="24"/>
                <w:color w:val="auto"/>
              </w:rPr>
            </w:pPr>
          </w:p>
        </w:tc>
        <w:tc>
          <w:tcPr>
            <w:tcW w:w="1080" w:type="dxa"/>
            <w:vAlign w:val="bottom"/>
            <w:tcBorders>
              <w:right w:val="single" w:sz="8" w:color="auto"/>
            </w:tcBorders>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400" w:type="dxa"/>
            <w:vAlign w:val="bottom"/>
            <w:tcBorders>
              <w:right w:val="single" w:sz="8" w:color="auto"/>
            </w:tcBorders>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980" w:type="dxa"/>
            <w:vAlign w:val="bottom"/>
            <w:tcBorders>
              <w:right w:val="single" w:sz="8" w:color="auto"/>
            </w:tcBorders>
            <w:shd w:val="clear" w:color="auto" w:fill="000000"/>
          </w:tcPr>
          <w:p>
            <w:pPr>
              <w:spacing w:after="0"/>
              <w:rPr>
                <w:sz w:val="24"/>
                <w:szCs w:val="24"/>
                <w:color w:val="auto"/>
              </w:rPr>
            </w:pPr>
          </w:p>
        </w:tc>
        <w:tc>
          <w:tcPr>
            <w:tcW w:w="1340" w:type="dxa"/>
            <w:vAlign w:val="bottom"/>
            <w:tcBorders>
              <w:right w:val="single" w:sz="8" w:color="auto"/>
            </w:tcBorders>
            <w:shd w:val="clear" w:color="auto" w:fill="000000"/>
          </w:tcPr>
          <w:p>
            <w:pPr>
              <w:spacing w:after="0"/>
              <w:rPr>
                <w:sz w:val="24"/>
                <w:szCs w:val="24"/>
                <w:color w:val="auto"/>
              </w:rPr>
            </w:pPr>
          </w:p>
        </w:tc>
        <w:tc>
          <w:tcPr>
            <w:tcW w:w="680" w:type="dxa"/>
            <w:vAlign w:val="bottom"/>
            <w:tcBorders>
              <w:right w:val="single" w:sz="8" w:color="auto"/>
            </w:tcBorders>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r>
      <w:tr>
        <w:trPr>
          <w:trHeight w:val="264"/>
        </w:trPr>
        <w:tc>
          <w:tcPr>
            <w:tcW w:w="3360" w:type="dxa"/>
            <w:vAlign w:val="bottom"/>
            <w:tcBorders>
              <w:left w:val="single" w:sz="8" w:color="E93BAC"/>
            </w:tcBorders>
            <w:gridSpan w:val="2"/>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960" w:type="dxa"/>
            <w:vAlign w:val="bottom"/>
            <w:shd w:val="clear" w:color="auto" w:fill="E93BAC"/>
          </w:tcPr>
          <w:p>
            <w:pPr>
              <w:spacing w:after="0"/>
              <w:rPr>
                <w:sz w:val="22"/>
                <w:szCs w:val="22"/>
                <w:color w:val="auto"/>
              </w:rPr>
            </w:pPr>
          </w:p>
        </w:tc>
        <w:tc>
          <w:tcPr>
            <w:tcW w:w="1080" w:type="dxa"/>
            <w:vAlign w:val="bottom"/>
            <w:tcBorders>
              <w:right w:val="single" w:sz="8" w:color="E93BAC"/>
            </w:tcBorders>
            <w:shd w:val="clear" w:color="auto" w:fill="E93BAC"/>
          </w:tcPr>
          <w:p>
            <w:pPr>
              <w:spacing w:after="0"/>
              <w:rPr>
                <w:sz w:val="22"/>
                <w:szCs w:val="22"/>
                <w:color w:val="auto"/>
              </w:rPr>
            </w:pPr>
          </w:p>
        </w:tc>
        <w:tc>
          <w:tcPr>
            <w:tcW w:w="380" w:type="dxa"/>
            <w:vAlign w:val="bottom"/>
            <w:shd w:val="clear" w:color="auto" w:fill="E93BAC"/>
          </w:tcPr>
          <w:p>
            <w:pPr>
              <w:spacing w:after="0"/>
              <w:rPr>
                <w:sz w:val="22"/>
                <w:szCs w:val="22"/>
                <w:color w:val="auto"/>
              </w:rPr>
            </w:pPr>
          </w:p>
        </w:tc>
        <w:tc>
          <w:tcPr>
            <w:tcW w:w="400" w:type="dxa"/>
            <w:vAlign w:val="bottom"/>
            <w:tcBorders>
              <w:right w:val="single" w:sz="8" w:color="E93BAC"/>
            </w:tcBorders>
            <w:shd w:val="clear" w:color="auto" w:fill="E93BAC"/>
          </w:tcPr>
          <w:p>
            <w:pPr>
              <w:spacing w:after="0"/>
              <w:rPr>
                <w:sz w:val="22"/>
                <w:szCs w:val="22"/>
                <w:color w:val="auto"/>
              </w:rPr>
            </w:pPr>
          </w:p>
        </w:tc>
        <w:tc>
          <w:tcPr>
            <w:tcW w:w="660" w:type="dxa"/>
            <w:vAlign w:val="bottom"/>
            <w:shd w:val="clear" w:color="auto" w:fill="E93BAC"/>
          </w:tcPr>
          <w:p>
            <w:pPr>
              <w:spacing w:after="0"/>
              <w:rPr>
                <w:sz w:val="22"/>
                <w:szCs w:val="22"/>
                <w:color w:val="auto"/>
              </w:rPr>
            </w:pPr>
          </w:p>
        </w:tc>
        <w:tc>
          <w:tcPr>
            <w:tcW w:w="380" w:type="dxa"/>
            <w:vAlign w:val="bottom"/>
            <w:shd w:val="clear" w:color="auto" w:fill="E93BAC"/>
          </w:tcPr>
          <w:p>
            <w:pPr>
              <w:spacing w:after="0"/>
              <w:rPr>
                <w:sz w:val="22"/>
                <w:szCs w:val="22"/>
                <w:color w:val="auto"/>
              </w:rPr>
            </w:pPr>
          </w:p>
        </w:tc>
        <w:tc>
          <w:tcPr>
            <w:tcW w:w="980" w:type="dxa"/>
            <w:vAlign w:val="bottom"/>
            <w:tcBorders>
              <w:right w:val="single" w:sz="8" w:color="E93BAC"/>
            </w:tcBorders>
            <w:shd w:val="clear" w:color="auto" w:fill="E93BAC"/>
          </w:tcPr>
          <w:p>
            <w:pPr>
              <w:spacing w:after="0"/>
              <w:rPr>
                <w:sz w:val="22"/>
                <w:szCs w:val="22"/>
                <w:color w:val="auto"/>
              </w:rPr>
            </w:pPr>
          </w:p>
        </w:tc>
        <w:tc>
          <w:tcPr>
            <w:tcW w:w="1340" w:type="dxa"/>
            <w:vAlign w:val="bottom"/>
            <w:tcBorders>
              <w:right w:val="single" w:sz="8" w:color="E93BAC"/>
            </w:tcBorders>
            <w:shd w:val="clear" w:color="auto" w:fill="E93BAC"/>
          </w:tcPr>
          <w:p>
            <w:pPr>
              <w:spacing w:after="0"/>
              <w:rPr>
                <w:sz w:val="22"/>
                <w:szCs w:val="22"/>
                <w:color w:val="auto"/>
              </w:rPr>
            </w:pPr>
          </w:p>
        </w:tc>
        <w:tc>
          <w:tcPr>
            <w:tcW w:w="680" w:type="dxa"/>
            <w:vAlign w:val="bottom"/>
            <w:tcBorders>
              <w:right w:val="single" w:sz="8" w:color="E93BAC"/>
            </w:tcBorders>
            <w:shd w:val="clear" w:color="auto" w:fill="E93BAC"/>
          </w:tcPr>
          <w:p>
            <w:pPr>
              <w:spacing w:after="0"/>
              <w:rPr>
                <w:sz w:val="22"/>
                <w:szCs w:val="22"/>
                <w:color w:val="auto"/>
              </w:rPr>
            </w:pPr>
          </w:p>
        </w:tc>
        <w:tc>
          <w:tcPr>
            <w:tcW w:w="1020" w:type="dxa"/>
            <w:vAlign w:val="bottom"/>
            <w:tcBorders>
              <w:right w:val="single" w:sz="8" w:color="E93BAC"/>
            </w:tcBorders>
            <w:shd w:val="clear" w:color="auto" w:fill="E93BAC"/>
          </w:tcPr>
          <w:p>
            <w:pPr>
              <w:spacing w:after="0"/>
              <w:rPr>
                <w:sz w:val="22"/>
                <w:szCs w:val="22"/>
                <w:color w:val="auto"/>
              </w:rPr>
            </w:pPr>
          </w:p>
        </w:tc>
      </w:tr>
      <w:tr>
        <w:trPr>
          <w:trHeight w:val="87"/>
        </w:trPr>
        <w:tc>
          <w:tcPr>
            <w:tcW w:w="3180" w:type="dxa"/>
            <w:vAlign w:val="bottom"/>
            <w:tcBorders>
              <w:left w:val="single" w:sz="8" w:color="E93BAC"/>
              <w:right w:val="single" w:sz="8" w:color="E93BAC"/>
            </w:tcBorders>
            <w:shd w:val="clear" w:color="auto" w:fill="E93BAC"/>
          </w:tcPr>
          <w:p>
            <w:pPr>
              <w:spacing w:after="0"/>
              <w:rPr>
                <w:sz w:val="7"/>
                <w:szCs w:val="7"/>
                <w:color w:val="auto"/>
              </w:rPr>
            </w:pPr>
          </w:p>
        </w:tc>
        <w:tc>
          <w:tcPr>
            <w:tcW w:w="180" w:type="dxa"/>
            <w:vAlign w:val="bottom"/>
            <w:shd w:val="clear" w:color="auto" w:fill="E93BAC"/>
          </w:tcPr>
          <w:p>
            <w:pPr>
              <w:spacing w:after="0"/>
              <w:rPr>
                <w:sz w:val="7"/>
                <w:szCs w:val="7"/>
                <w:color w:val="auto"/>
              </w:rPr>
            </w:pPr>
          </w:p>
        </w:tc>
        <w:tc>
          <w:tcPr>
            <w:tcW w:w="960" w:type="dxa"/>
            <w:vAlign w:val="bottom"/>
            <w:shd w:val="clear" w:color="auto" w:fill="E93BAC"/>
          </w:tcPr>
          <w:p>
            <w:pPr>
              <w:spacing w:after="0"/>
              <w:rPr>
                <w:sz w:val="7"/>
                <w:szCs w:val="7"/>
                <w:color w:val="auto"/>
              </w:rPr>
            </w:pPr>
          </w:p>
        </w:tc>
        <w:tc>
          <w:tcPr>
            <w:tcW w:w="1080" w:type="dxa"/>
            <w:vAlign w:val="bottom"/>
            <w:tcBorders>
              <w:right w:val="single" w:sz="8" w:color="E93BAC"/>
            </w:tcBorders>
            <w:shd w:val="clear" w:color="auto" w:fill="E93BAC"/>
          </w:tcPr>
          <w:p>
            <w:pPr>
              <w:spacing w:after="0"/>
              <w:rPr>
                <w:sz w:val="7"/>
                <w:szCs w:val="7"/>
                <w:color w:val="auto"/>
              </w:rPr>
            </w:pPr>
          </w:p>
        </w:tc>
        <w:tc>
          <w:tcPr>
            <w:tcW w:w="380" w:type="dxa"/>
            <w:vAlign w:val="bottom"/>
            <w:shd w:val="clear" w:color="auto" w:fill="E93BAC"/>
          </w:tcPr>
          <w:p>
            <w:pPr>
              <w:spacing w:after="0"/>
              <w:rPr>
                <w:sz w:val="7"/>
                <w:szCs w:val="7"/>
                <w:color w:val="auto"/>
              </w:rPr>
            </w:pPr>
          </w:p>
        </w:tc>
        <w:tc>
          <w:tcPr>
            <w:tcW w:w="400" w:type="dxa"/>
            <w:vAlign w:val="bottom"/>
            <w:tcBorders>
              <w:right w:val="single" w:sz="8" w:color="E93BAC"/>
            </w:tcBorders>
            <w:shd w:val="clear" w:color="auto" w:fill="E93BAC"/>
          </w:tcPr>
          <w:p>
            <w:pPr>
              <w:spacing w:after="0"/>
              <w:rPr>
                <w:sz w:val="7"/>
                <w:szCs w:val="7"/>
                <w:color w:val="auto"/>
              </w:rPr>
            </w:pPr>
          </w:p>
        </w:tc>
        <w:tc>
          <w:tcPr>
            <w:tcW w:w="660" w:type="dxa"/>
            <w:vAlign w:val="bottom"/>
            <w:shd w:val="clear" w:color="auto" w:fill="E93BAC"/>
          </w:tcPr>
          <w:p>
            <w:pPr>
              <w:spacing w:after="0"/>
              <w:rPr>
                <w:sz w:val="7"/>
                <w:szCs w:val="7"/>
                <w:color w:val="auto"/>
              </w:rPr>
            </w:pPr>
          </w:p>
        </w:tc>
        <w:tc>
          <w:tcPr>
            <w:tcW w:w="380" w:type="dxa"/>
            <w:vAlign w:val="bottom"/>
            <w:shd w:val="clear" w:color="auto" w:fill="E93BAC"/>
          </w:tcPr>
          <w:p>
            <w:pPr>
              <w:spacing w:after="0"/>
              <w:rPr>
                <w:sz w:val="7"/>
                <w:szCs w:val="7"/>
                <w:color w:val="auto"/>
              </w:rPr>
            </w:pPr>
          </w:p>
        </w:tc>
        <w:tc>
          <w:tcPr>
            <w:tcW w:w="980" w:type="dxa"/>
            <w:vAlign w:val="bottom"/>
            <w:tcBorders>
              <w:right w:val="single" w:sz="8" w:color="E93BAC"/>
            </w:tcBorders>
            <w:shd w:val="clear" w:color="auto" w:fill="E93BAC"/>
          </w:tcPr>
          <w:p>
            <w:pPr>
              <w:spacing w:after="0"/>
              <w:rPr>
                <w:sz w:val="7"/>
                <w:szCs w:val="7"/>
                <w:color w:val="auto"/>
              </w:rPr>
            </w:pPr>
          </w:p>
        </w:tc>
        <w:tc>
          <w:tcPr>
            <w:tcW w:w="1340" w:type="dxa"/>
            <w:vAlign w:val="bottom"/>
            <w:tcBorders>
              <w:right w:val="single" w:sz="8" w:color="E93BAC"/>
            </w:tcBorders>
            <w:shd w:val="clear" w:color="auto" w:fill="E93BAC"/>
          </w:tcPr>
          <w:p>
            <w:pPr>
              <w:spacing w:after="0"/>
              <w:rPr>
                <w:sz w:val="7"/>
                <w:szCs w:val="7"/>
                <w:color w:val="auto"/>
              </w:rPr>
            </w:pPr>
          </w:p>
        </w:tc>
        <w:tc>
          <w:tcPr>
            <w:tcW w:w="680" w:type="dxa"/>
            <w:vAlign w:val="bottom"/>
            <w:tcBorders>
              <w:right w:val="single" w:sz="8" w:color="E93BAC"/>
            </w:tcBorders>
            <w:shd w:val="clear" w:color="auto" w:fill="E93BAC"/>
          </w:tcPr>
          <w:p>
            <w:pPr>
              <w:spacing w:after="0"/>
              <w:rPr>
                <w:sz w:val="7"/>
                <w:szCs w:val="7"/>
                <w:color w:val="auto"/>
              </w:rPr>
            </w:pPr>
          </w:p>
        </w:tc>
        <w:tc>
          <w:tcPr>
            <w:tcW w:w="1020" w:type="dxa"/>
            <w:vAlign w:val="bottom"/>
            <w:tcBorders>
              <w:right w:val="single" w:sz="8" w:color="E93BAC"/>
            </w:tcBorders>
            <w:shd w:val="clear" w:color="auto" w:fill="E93BAC"/>
          </w:tcPr>
          <w:p>
            <w:pPr>
              <w:spacing w:after="0"/>
              <w:rPr>
                <w:sz w:val="7"/>
                <w:szCs w:val="7"/>
                <w:color w:val="auto"/>
              </w:rPr>
            </w:pPr>
          </w:p>
        </w:tc>
      </w:tr>
      <w:tr>
        <w:trPr>
          <w:trHeight w:val="354"/>
        </w:trPr>
        <w:tc>
          <w:tcPr>
            <w:tcW w:w="3360" w:type="dxa"/>
            <w:vAlign w:val="bottom"/>
            <w:gridSpan w:val="2"/>
          </w:tcPr>
          <w:p>
            <w:pPr>
              <w:spacing w:after="0"/>
              <w:rPr>
                <w:sz w:val="20"/>
                <w:szCs w:val="20"/>
                <w:color w:val="auto"/>
              </w:rPr>
            </w:pPr>
            <w:r>
              <w:rPr>
                <w:rFonts w:ascii="Calibri" w:cs="Calibri" w:eastAsia="Calibri" w:hAnsi="Calibri"/>
                <w:sz w:val="18"/>
                <w:szCs w:val="18"/>
                <w:b w:val="1"/>
                <w:bCs w:val="1"/>
                <w:color w:val="auto"/>
              </w:rPr>
              <w:t>12.6.2. Credicorp Stand-alone</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center"/>
              <w:ind w:left="24"/>
              <w:spacing w:after="0"/>
              <w:rPr>
                <w:sz w:val="20"/>
                <w:szCs w:val="20"/>
                <w:color w:val="auto"/>
              </w:rPr>
            </w:pPr>
            <w:r>
              <w:rPr>
                <w:rFonts w:ascii="Calibri" w:cs="Calibri" w:eastAsia="Calibri" w:hAnsi="Calibri"/>
                <w:sz w:val="16"/>
                <w:szCs w:val="16"/>
                <w:b w:val="1"/>
                <w:bCs w:val="1"/>
                <w:color w:val="auto"/>
              </w:rPr>
              <w:t>Statement of Financial Positon</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center"/>
              <w:ind w:left="24"/>
              <w:spacing w:after="0"/>
              <w:rPr>
                <w:sz w:val="20"/>
                <w:szCs w:val="20"/>
                <w:color w:val="auto"/>
              </w:rPr>
            </w:pPr>
            <w:r>
              <w:rPr>
                <w:rFonts w:ascii="Calibri" w:cs="Calibri" w:eastAsia="Calibri" w:hAnsi="Calibri"/>
                <w:sz w:val="16"/>
                <w:szCs w:val="16"/>
                <w:b w:val="1"/>
                <w:bCs w:val="1"/>
                <w:color w:val="auto"/>
              </w:rPr>
              <w:t>(S/ Thousands, IFRS)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63"/>
        </w:trPr>
        <w:tc>
          <w:tcPr>
            <w:tcW w:w="3180" w:type="dxa"/>
            <w:vAlign w:val="bottom"/>
            <w:tcBorders>
              <w:left w:val="single" w:sz="8" w:color="auto"/>
              <w:right w:val="single" w:sz="8" w:color="33CCCC"/>
            </w:tcBorders>
            <w:shd w:val="clear" w:color="auto" w:fill="33CCCC"/>
          </w:tcPr>
          <w:p>
            <w:pPr>
              <w:spacing w:after="0"/>
              <w:rPr>
                <w:sz w:val="14"/>
                <w:szCs w:val="14"/>
                <w:color w:val="auto"/>
              </w:rPr>
            </w:pPr>
          </w:p>
        </w:tc>
        <w:tc>
          <w:tcPr>
            <w:tcW w:w="180" w:type="dxa"/>
            <w:vAlign w:val="bottom"/>
            <w:shd w:val="clear" w:color="auto" w:fill="33CCCC"/>
          </w:tcPr>
          <w:p>
            <w:pPr>
              <w:spacing w:after="0"/>
              <w:rPr>
                <w:sz w:val="14"/>
                <w:szCs w:val="14"/>
                <w:color w:val="auto"/>
              </w:rPr>
            </w:pPr>
          </w:p>
        </w:tc>
        <w:tc>
          <w:tcPr>
            <w:tcW w:w="960" w:type="dxa"/>
            <w:vAlign w:val="bottom"/>
            <w:shd w:val="clear" w:color="auto" w:fill="33CCCC"/>
          </w:tcPr>
          <w:p>
            <w:pPr>
              <w:spacing w:after="0"/>
              <w:rPr>
                <w:sz w:val="14"/>
                <w:szCs w:val="14"/>
                <w:color w:val="auto"/>
              </w:rPr>
            </w:pPr>
          </w:p>
        </w:tc>
        <w:tc>
          <w:tcPr>
            <w:tcW w:w="1080" w:type="dxa"/>
            <w:vAlign w:val="bottom"/>
            <w:tcBorders>
              <w:right w:val="single" w:sz="8" w:color="auto"/>
            </w:tcBorders>
            <w:shd w:val="clear" w:color="auto" w:fill="33CCCC"/>
          </w:tcPr>
          <w:p>
            <w:pPr>
              <w:spacing w:after="0"/>
              <w:rPr>
                <w:sz w:val="14"/>
                <w:szCs w:val="14"/>
                <w:color w:val="auto"/>
              </w:rPr>
            </w:pPr>
          </w:p>
        </w:tc>
        <w:tc>
          <w:tcPr>
            <w:tcW w:w="380" w:type="dxa"/>
            <w:vAlign w:val="bottom"/>
            <w:shd w:val="clear" w:color="auto" w:fill="33CCCC"/>
          </w:tcPr>
          <w:p>
            <w:pPr>
              <w:spacing w:after="0"/>
              <w:rPr>
                <w:sz w:val="14"/>
                <w:szCs w:val="14"/>
                <w:color w:val="auto"/>
              </w:rPr>
            </w:pPr>
          </w:p>
        </w:tc>
        <w:tc>
          <w:tcPr>
            <w:tcW w:w="400" w:type="dxa"/>
            <w:vAlign w:val="bottom"/>
            <w:tcBorders>
              <w:right w:val="single" w:sz="8" w:color="33CCCC"/>
            </w:tcBorders>
            <w:shd w:val="clear" w:color="auto" w:fill="33CCCC"/>
          </w:tcPr>
          <w:p>
            <w:pPr>
              <w:spacing w:after="0"/>
              <w:rPr>
                <w:sz w:val="14"/>
                <w:szCs w:val="14"/>
                <w:color w:val="auto"/>
              </w:rPr>
            </w:pPr>
          </w:p>
        </w:tc>
        <w:tc>
          <w:tcPr>
            <w:tcW w:w="660" w:type="dxa"/>
            <w:vAlign w:val="bottom"/>
            <w:shd w:val="clear" w:color="auto" w:fill="33CCCC"/>
          </w:tcPr>
          <w:p>
            <w:pPr>
              <w:spacing w:after="0"/>
              <w:rPr>
                <w:sz w:val="14"/>
                <w:szCs w:val="14"/>
                <w:color w:val="auto"/>
              </w:rPr>
            </w:pPr>
          </w:p>
        </w:tc>
        <w:tc>
          <w:tcPr>
            <w:tcW w:w="380" w:type="dxa"/>
            <w:vAlign w:val="bottom"/>
            <w:shd w:val="clear" w:color="auto" w:fill="33CCCC"/>
          </w:tcPr>
          <w:p>
            <w:pPr>
              <w:spacing w:after="0"/>
              <w:rPr>
                <w:sz w:val="14"/>
                <w:szCs w:val="14"/>
                <w:color w:val="auto"/>
              </w:rPr>
            </w:pPr>
          </w:p>
        </w:tc>
        <w:tc>
          <w:tcPr>
            <w:tcW w:w="980" w:type="dxa"/>
            <w:vAlign w:val="bottom"/>
            <w:tcBorders>
              <w:right w:val="single" w:sz="8" w:color="33CCCC"/>
            </w:tcBorders>
            <w:shd w:val="clear" w:color="auto" w:fill="33CCCC"/>
          </w:tcPr>
          <w:p>
            <w:pPr>
              <w:jc w:val="right"/>
              <w:ind w:right="537"/>
              <w:spacing w:after="0" w:line="164" w:lineRule="exact"/>
              <w:rPr>
                <w:sz w:val="20"/>
                <w:szCs w:val="20"/>
                <w:color w:val="auto"/>
              </w:rPr>
            </w:pPr>
            <w:r>
              <w:rPr>
                <w:rFonts w:ascii="Calibri" w:cs="Calibri" w:eastAsia="Calibri" w:hAnsi="Calibri"/>
                <w:sz w:val="14"/>
                <w:szCs w:val="14"/>
                <w:color w:val="FFFFFF"/>
              </w:rPr>
              <w:t>As of</w:t>
            </w:r>
          </w:p>
        </w:tc>
        <w:tc>
          <w:tcPr>
            <w:tcW w:w="1340" w:type="dxa"/>
            <w:vAlign w:val="bottom"/>
            <w:tcBorders>
              <w:right w:val="single" w:sz="8" w:color="auto"/>
            </w:tcBorders>
            <w:shd w:val="clear" w:color="auto" w:fill="33CCCC"/>
          </w:tcPr>
          <w:p>
            <w:pPr>
              <w:spacing w:after="0"/>
              <w:rPr>
                <w:sz w:val="14"/>
                <w:szCs w:val="14"/>
                <w:color w:val="auto"/>
              </w:rPr>
            </w:pPr>
          </w:p>
        </w:tc>
        <w:tc>
          <w:tcPr>
            <w:tcW w:w="1700" w:type="dxa"/>
            <w:vAlign w:val="bottom"/>
            <w:tcBorders>
              <w:right w:val="single" w:sz="8" w:color="auto"/>
            </w:tcBorders>
            <w:gridSpan w:val="2"/>
            <w:shd w:val="clear" w:color="auto" w:fill="33CCCC"/>
          </w:tcPr>
          <w:p>
            <w:pPr>
              <w:jc w:val="right"/>
              <w:ind w:right="519"/>
              <w:spacing w:after="0" w:line="164" w:lineRule="exact"/>
              <w:rPr>
                <w:sz w:val="20"/>
                <w:szCs w:val="20"/>
                <w:color w:val="auto"/>
              </w:rPr>
            </w:pPr>
            <w:r>
              <w:rPr>
                <w:rFonts w:ascii="Calibri" w:cs="Calibri" w:eastAsia="Calibri" w:hAnsi="Calibri"/>
                <w:sz w:val="14"/>
                <w:szCs w:val="14"/>
                <w:color w:val="FFFFFF"/>
              </w:rPr>
              <w:t>% change</w:t>
            </w:r>
          </w:p>
        </w:tc>
      </w:tr>
      <w:tr>
        <w:trPr>
          <w:trHeight w:val="176"/>
        </w:trPr>
        <w:tc>
          <w:tcPr>
            <w:tcW w:w="3180" w:type="dxa"/>
            <w:vAlign w:val="bottom"/>
            <w:tcBorders>
              <w:left w:val="single" w:sz="8" w:color="auto"/>
              <w:bottom w:val="single" w:sz="8" w:color="auto"/>
              <w:right w:val="single" w:sz="8" w:color="33CCCC"/>
            </w:tcBorders>
            <w:shd w:val="clear" w:color="auto" w:fill="33CCCC"/>
          </w:tcPr>
          <w:p>
            <w:pPr>
              <w:spacing w:after="0"/>
              <w:rPr>
                <w:sz w:val="15"/>
                <w:szCs w:val="15"/>
                <w:color w:val="auto"/>
              </w:rPr>
            </w:pPr>
          </w:p>
        </w:tc>
        <w:tc>
          <w:tcPr>
            <w:tcW w:w="180" w:type="dxa"/>
            <w:vAlign w:val="bottom"/>
            <w:tcBorders>
              <w:bottom w:val="single" w:sz="8" w:color="auto"/>
            </w:tcBorders>
            <w:shd w:val="clear" w:color="auto" w:fill="33CCCC"/>
          </w:tcPr>
          <w:p>
            <w:pPr>
              <w:spacing w:after="0"/>
              <w:rPr>
                <w:sz w:val="15"/>
                <w:szCs w:val="15"/>
                <w:color w:val="auto"/>
              </w:rPr>
            </w:pPr>
          </w:p>
        </w:tc>
        <w:tc>
          <w:tcPr>
            <w:tcW w:w="960" w:type="dxa"/>
            <w:vAlign w:val="bottom"/>
            <w:tcBorders>
              <w:bottom w:val="single" w:sz="8" w:color="auto"/>
            </w:tcBorders>
            <w:shd w:val="clear" w:color="auto" w:fill="33CCCC"/>
          </w:tcPr>
          <w:p>
            <w:pPr>
              <w:spacing w:after="0"/>
              <w:rPr>
                <w:sz w:val="15"/>
                <w:szCs w:val="15"/>
                <w:color w:val="auto"/>
              </w:rPr>
            </w:pPr>
          </w:p>
        </w:tc>
        <w:tc>
          <w:tcPr>
            <w:tcW w:w="1080" w:type="dxa"/>
            <w:vAlign w:val="bottom"/>
            <w:tcBorders>
              <w:bottom w:val="single" w:sz="8" w:color="auto"/>
              <w:right w:val="single" w:sz="8" w:color="auto"/>
            </w:tcBorders>
            <w:shd w:val="clear" w:color="auto" w:fill="33CCCC"/>
          </w:tcPr>
          <w:p>
            <w:pPr>
              <w:spacing w:after="0"/>
              <w:rPr>
                <w:sz w:val="15"/>
                <w:szCs w:val="15"/>
                <w:color w:val="auto"/>
              </w:rPr>
            </w:pPr>
          </w:p>
        </w:tc>
        <w:tc>
          <w:tcPr>
            <w:tcW w:w="380" w:type="dxa"/>
            <w:vAlign w:val="bottom"/>
            <w:tcBorders>
              <w:bottom w:val="single" w:sz="8" w:color="auto"/>
            </w:tcBorders>
            <w:shd w:val="clear" w:color="auto" w:fill="33CCCC"/>
          </w:tcPr>
          <w:p>
            <w:pPr>
              <w:spacing w:after="0"/>
              <w:rPr>
                <w:sz w:val="15"/>
                <w:szCs w:val="15"/>
                <w:color w:val="auto"/>
              </w:rPr>
            </w:pPr>
          </w:p>
        </w:tc>
        <w:tc>
          <w:tcPr>
            <w:tcW w:w="1060" w:type="dxa"/>
            <w:vAlign w:val="bottom"/>
            <w:tcBorders>
              <w:bottom w:val="single" w:sz="8" w:color="auto"/>
            </w:tcBorders>
            <w:gridSpan w:val="2"/>
            <w:shd w:val="clear" w:color="auto" w:fill="33CCCC"/>
          </w:tcPr>
          <w:p>
            <w:pPr>
              <w:jc w:val="right"/>
              <w:ind w:right="491"/>
              <w:spacing w:after="0"/>
              <w:rPr>
                <w:sz w:val="20"/>
                <w:szCs w:val="20"/>
                <w:color w:val="auto"/>
              </w:rPr>
            </w:pPr>
            <w:r>
              <w:rPr>
                <w:rFonts w:ascii="Calibri" w:cs="Calibri" w:eastAsia="Calibri" w:hAnsi="Calibri"/>
                <w:sz w:val="14"/>
                <w:szCs w:val="14"/>
                <w:color w:val="FFFFFF"/>
              </w:rPr>
              <w:t>Sep 23</w:t>
            </w:r>
          </w:p>
        </w:tc>
        <w:tc>
          <w:tcPr>
            <w:tcW w:w="380" w:type="dxa"/>
            <w:vAlign w:val="bottom"/>
            <w:tcBorders>
              <w:bottom w:val="single" w:sz="8" w:color="auto"/>
            </w:tcBorders>
            <w:shd w:val="clear" w:color="auto" w:fill="33CCCC"/>
          </w:tcPr>
          <w:p>
            <w:pPr>
              <w:spacing w:after="0"/>
              <w:rPr>
                <w:sz w:val="15"/>
                <w:szCs w:val="15"/>
                <w:color w:val="auto"/>
              </w:rPr>
            </w:pPr>
          </w:p>
        </w:tc>
        <w:tc>
          <w:tcPr>
            <w:tcW w:w="980" w:type="dxa"/>
            <w:vAlign w:val="bottom"/>
            <w:tcBorders>
              <w:bottom w:val="single" w:sz="8" w:color="auto"/>
              <w:right w:val="single" w:sz="8" w:color="33CCCC"/>
            </w:tcBorders>
            <w:shd w:val="clear" w:color="auto" w:fill="33CCCC"/>
          </w:tcPr>
          <w:p>
            <w:pPr>
              <w:jc w:val="right"/>
              <w:ind w:right="477"/>
              <w:spacing w:after="0"/>
              <w:rPr>
                <w:sz w:val="20"/>
                <w:szCs w:val="20"/>
                <w:color w:val="auto"/>
              </w:rPr>
            </w:pPr>
            <w:r>
              <w:rPr>
                <w:rFonts w:ascii="Calibri" w:cs="Calibri" w:eastAsia="Calibri" w:hAnsi="Calibri"/>
                <w:sz w:val="14"/>
                <w:szCs w:val="14"/>
                <w:color w:val="FFFFFF"/>
              </w:rPr>
              <w:t>Jun 24</w:t>
            </w:r>
          </w:p>
        </w:tc>
        <w:tc>
          <w:tcPr>
            <w:tcW w:w="1340" w:type="dxa"/>
            <w:vAlign w:val="bottom"/>
            <w:tcBorders>
              <w:bottom w:val="single" w:sz="8" w:color="auto"/>
              <w:right w:val="single" w:sz="8" w:color="auto"/>
            </w:tcBorders>
            <w:shd w:val="clear" w:color="auto" w:fill="33CCCC"/>
          </w:tcPr>
          <w:p>
            <w:pPr>
              <w:jc w:val="right"/>
              <w:ind w:right="439"/>
              <w:spacing w:after="0"/>
              <w:rPr>
                <w:sz w:val="20"/>
                <w:szCs w:val="20"/>
                <w:color w:val="auto"/>
              </w:rPr>
            </w:pPr>
            <w:r>
              <w:rPr>
                <w:rFonts w:ascii="Calibri" w:cs="Calibri" w:eastAsia="Calibri" w:hAnsi="Calibri"/>
                <w:sz w:val="14"/>
                <w:szCs w:val="14"/>
                <w:color w:val="FFFFFF"/>
              </w:rPr>
              <w:t>Sep 24</w:t>
            </w:r>
          </w:p>
        </w:tc>
        <w:tc>
          <w:tcPr>
            <w:tcW w:w="680" w:type="dxa"/>
            <w:vAlign w:val="bottom"/>
            <w:tcBorders>
              <w:bottom w:val="single" w:sz="8" w:color="auto"/>
              <w:right w:val="single" w:sz="8" w:color="33CCCC"/>
            </w:tcBorders>
            <w:shd w:val="clear" w:color="auto" w:fill="33CCCC"/>
          </w:tcPr>
          <w:p>
            <w:pPr>
              <w:jc w:val="right"/>
              <w:ind w:right="78"/>
              <w:spacing w:after="0"/>
              <w:rPr>
                <w:sz w:val="20"/>
                <w:szCs w:val="20"/>
                <w:color w:val="auto"/>
              </w:rPr>
            </w:pPr>
            <w:r>
              <w:rPr>
                <w:rFonts w:ascii="Calibri" w:cs="Calibri" w:eastAsia="Calibri" w:hAnsi="Calibri"/>
                <w:sz w:val="14"/>
                <w:szCs w:val="14"/>
                <w:color w:val="FFFFFF"/>
              </w:rPr>
              <w:t>QoQ</w:t>
            </w:r>
          </w:p>
        </w:tc>
        <w:tc>
          <w:tcPr>
            <w:tcW w:w="1020" w:type="dxa"/>
            <w:vAlign w:val="bottom"/>
            <w:tcBorders>
              <w:bottom w:val="single" w:sz="8" w:color="auto"/>
              <w:right w:val="single" w:sz="8" w:color="auto"/>
            </w:tcBorders>
            <w:shd w:val="clear" w:color="auto" w:fill="33CCCC"/>
          </w:tcPr>
          <w:p>
            <w:pPr>
              <w:jc w:val="right"/>
              <w:ind w:right="279"/>
              <w:spacing w:after="0"/>
              <w:rPr>
                <w:sz w:val="20"/>
                <w:szCs w:val="20"/>
                <w:color w:val="auto"/>
              </w:rPr>
            </w:pPr>
            <w:r>
              <w:rPr>
                <w:rFonts w:ascii="Calibri" w:cs="Calibri" w:eastAsia="Calibri" w:hAnsi="Calibri"/>
                <w:sz w:val="14"/>
                <w:szCs w:val="14"/>
                <w:color w:val="FFFFFF"/>
              </w:rPr>
              <w:t>YoY</w:t>
            </w:r>
          </w:p>
        </w:tc>
      </w:tr>
      <w:tr>
        <w:trPr>
          <w:trHeight w:val="160"/>
        </w:trPr>
        <w:tc>
          <w:tcPr>
            <w:tcW w:w="3360" w:type="dxa"/>
            <w:vAlign w:val="bottom"/>
            <w:tcBorders>
              <w:left w:val="single" w:sz="8" w:color="auto"/>
            </w:tcBorders>
            <w:gridSpan w:val="2"/>
          </w:tcPr>
          <w:p>
            <w:pPr>
              <w:ind w:left="20"/>
              <w:spacing w:after="0" w:line="160" w:lineRule="exact"/>
              <w:rPr>
                <w:sz w:val="20"/>
                <w:szCs w:val="20"/>
                <w:color w:val="auto"/>
              </w:rPr>
            </w:pPr>
            <w:r>
              <w:rPr>
                <w:rFonts w:ascii="Calibri" w:cs="Calibri" w:eastAsia="Calibri" w:hAnsi="Calibri"/>
                <w:sz w:val="14"/>
                <w:szCs w:val="14"/>
                <w:b w:val="1"/>
                <w:bCs w:val="1"/>
                <w:color w:val="auto"/>
              </w:rPr>
              <w:t>ASSETS</w:t>
            </w:r>
          </w:p>
        </w:tc>
        <w:tc>
          <w:tcPr>
            <w:tcW w:w="9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70"/>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Cash and cash equivalents</w:t>
            </w:r>
          </w:p>
        </w:tc>
        <w:tc>
          <w:tcPr>
            <w:tcW w:w="9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79,883</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265,981</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594,754</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123.6%</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644.5%</w:t>
            </w: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At fair value through proft or loss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937,279</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ind w:right="118"/>
              <w:spacing w:after="0"/>
              <w:rPr>
                <w:sz w:val="20"/>
                <w:szCs w:val="20"/>
                <w:color w:val="auto"/>
              </w:rPr>
            </w:pPr>
            <w:r>
              <w:rPr>
                <w:rFonts w:ascii="Calibri" w:cs="Calibri" w:eastAsia="Calibri" w:hAnsi="Calibri"/>
                <w:sz w:val="14"/>
                <w:szCs w:val="14"/>
                <w:color w:val="auto"/>
              </w:rPr>
              <w:t>n.a.</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w w:val="99"/>
              </w:rPr>
              <w:t>-100.0%</w:t>
            </w:r>
          </w:p>
        </w:tc>
      </w:tr>
      <w:tr>
        <w:trPr>
          <w:trHeight w:val="175"/>
        </w:trPr>
        <w:tc>
          <w:tcPr>
            <w:tcW w:w="4320" w:type="dxa"/>
            <w:vAlign w:val="bottom"/>
            <w:tcBorders>
              <w:left w:val="single" w:sz="8" w:color="auto"/>
            </w:tcBorders>
            <w:gridSpan w:val="3"/>
          </w:tcPr>
          <w:p>
            <w:pPr>
              <w:ind w:left="20"/>
              <w:spacing w:after="0"/>
              <w:rPr>
                <w:sz w:val="20"/>
                <w:szCs w:val="20"/>
                <w:color w:val="auto"/>
              </w:rPr>
            </w:pPr>
            <w:r>
              <w:rPr>
                <w:rFonts w:ascii="Calibri" w:cs="Calibri" w:eastAsia="Calibri" w:hAnsi="Calibri"/>
                <w:sz w:val="14"/>
                <w:szCs w:val="14"/>
                <w:color w:val="auto"/>
              </w:rPr>
              <w:t>Fair value through other comprehensive income investments</w:t>
            </w: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303,303</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1,455,030</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1,279,564</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-12.1%</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321.9%</w:t>
            </w: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In subsidiaries and associates investments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36,167,571</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36,415,839</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37,481,263</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2.9%</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3.6%</w:t>
            </w:r>
          </w:p>
        </w:tc>
      </w:tr>
      <w:tr>
        <w:trPr>
          <w:trHeight w:val="175"/>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Investments at amortzed cost</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668,698</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629,491</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w w:val="99"/>
              </w:rPr>
              <w:t>-5.9%</w:t>
            </w:r>
          </w:p>
        </w:tc>
        <w:tc>
          <w:tcPr>
            <w:tcW w:w="1020" w:type="dxa"/>
            <w:vAlign w:val="bottom"/>
            <w:tcBorders>
              <w:right w:val="single" w:sz="8" w:color="auto"/>
            </w:tcBorders>
          </w:tcPr>
          <w:p>
            <w:pPr>
              <w:jc w:val="right"/>
              <w:ind w:right="279"/>
              <w:spacing w:after="0"/>
              <w:rPr>
                <w:sz w:val="20"/>
                <w:szCs w:val="20"/>
                <w:color w:val="auto"/>
              </w:rPr>
            </w:pPr>
            <w:r>
              <w:rPr>
                <w:rFonts w:ascii="Calibri" w:cs="Calibri" w:eastAsia="Calibri" w:hAnsi="Calibri"/>
                <w:sz w:val="14"/>
                <w:szCs w:val="14"/>
                <w:color w:val="auto"/>
              </w:rPr>
              <w:t>n.a.</w:t>
            </w: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Other assets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324</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1,560</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856,336</w:t>
            </w:r>
          </w:p>
        </w:tc>
        <w:tc>
          <w:tcPr>
            <w:tcW w:w="680" w:type="dxa"/>
            <w:vAlign w:val="bottom"/>
          </w:tcPr>
          <w:p>
            <w:pPr>
              <w:jc w:val="right"/>
              <w:ind w:right="118"/>
              <w:spacing w:after="0"/>
              <w:rPr>
                <w:sz w:val="20"/>
                <w:szCs w:val="20"/>
                <w:color w:val="auto"/>
              </w:rPr>
            </w:pPr>
            <w:r>
              <w:rPr>
                <w:rFonts w:ascii="Calibri" w:cs="Calibri" w:eastAsia="Calibri" w:hAnsi="Calibri"/>
                <w:sz w:val="14"/>
                <w:szCs w:val="14"/>
                <w:color w:val="auto"/>
              </w:rPr>
              <w:t>n.a.</w:t>
            </w:r>
          </w:p>
        </w:tc>
        <w:tc>
          <w:tcPr>
            <w:tcW w:w="1020" w:type="dxa"/>
            <w:vAlign w:val="bottom"/>
            <w:tcBorders>
              <w:right w:val="single" w:sz="8" w:color="auto"/>
            </w:tcBorders>
          </w:tcPr>
          <w:p>
            <w:pPr>
              <w:jc w:val="right"/>
              <w:ind w:right="279"/>
              <w:spacing w:after="0"/>
              <w:rPr>
                <w:sz w:val="20"/>
                <w:szCs w:val="20"/>
                <w:color w:val="auto"/>
              </w:rPr>
            </w:pPr>
            <w:r>
              <w:rPr>
                <w:rFonts w:ascii="Calibri" w:cs="Calibri" w:eastAsia="Calibri" w:hAnsi="Calibri"/>
                <w:sz w:val="14"/>
                <w:szCs w:val="14"/>
                <w:color w:val="auto"/>
              </w:rPr>
              <w:t>n.a.</w:t>
            </w:r>
          </w:p>
        </w:tc>
      </w:tr>
      <w:tr>
        <w:trPr>
          <w:trHeight w:val="351"/>
        </w:trPr>
        <w:tc>
          <w:tcPr>
            <w:tcW w:w="3360" w:type="dxa"/>
            <w:vAlign w:val="bottom"/>
            <w:tcBorders>
              <w:left w:val="single" w:sz="8" w:color="auto"/>
            </w:tcBorders>
            <w:gridSpan w:val="2"/>
          </w:tcPr>
          <w:p>
            <w:pPr>
              <w:jc w:val="center"/>
              <w:ind w:left="1975"/>
              <w:spacing w:after="0"/>
              <w:rPr>
                <w:sz w:val="20"/>
                <w:szCs w:val="20"/>
                <w:color w:val="auto"/>
              </w:rPr>
            </w:pPr>
            <w:r>
              <w:rPr>
                <w:rFonts w:ascii="Calibri" w:cs="Calibri" w:eastAsia="Calibri" w:hAnsi="Calibri"/>
                <w:sz w:val="14"/>
                <w:szCs w:val="14"/>
                <w:b w:val="1"/>
                <w:bCs w:val="1"/>
                <w:color w:val="auto"/>
              </w:rPr>
              <w:t>Total Assets</w:t>
            </w:r>
          </w:p>
        </w:tc>
        <w:tc>
          <w:tcPr>
            <w:tcW w:w="9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37,488,360</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38,807,108</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40,841,408</w:t>
            </w:r>
          </w:p>
        </w:tc>
        <w:tc>
          <w:tcPr>
            <w:tcW w:w="680" w:type="dxa"/>
            <w:vAlign w:val="bottom"/>
          </w:tcPr>
          <w:p>
            <w:pPr>
              <w:jc w:val="center"/>
              <w:ind w:left="58"/>
              <w:spacing w:after="0"/>
              <w:rPr>
                <w:sz w:val="20"/>
                <w:szCs w:val="20"/>
                <w:color w:val="auto"/>
              </w:rPr>
            </w:pPr>
            <w:r>
              <w:rPr>
                <w:rFonts w:ascii="Calibri" w:cs="Calibri" w:eastAsia="Calibri" w:hAnsi="Calibri"/>
                <w:sz w:val="14"/>
                <w:szCs w:val="14"/>
                <w:b w:val="1"/>
                <w:bCs w:val="1"/>
                <w:color w:val="auto"/>
                <w:w w:val="99"/>
              </w:rPr>
              <w:t>5.2%</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b w:val="1"/>
                <w:bCs w:val="1"/>
                <w:color w:val="auto"/>
              </w:rPr>
              <w:t>8.9%</w:t>
            </w:r>
          </w:p>
        </w:tc>
      </w:tr>
      <w:tr>
        <w:trPr>
          <w:trHeight w:val="351"/>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LIABILITIES AND NET SHAREHOLDERS' EQUITY</w:t>
            </w:r>
          </w:p>
        </w:tc>
        <w:tc>
          <w:tcPr>
            <w:tcW w:w="9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351"/>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Bonds and notes issued</w:t>
            </w:r>
          </w:p>
        </w:tc>
        <w:tc>
          <w:tcPr>
            <w:tcW w:w="9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1,851,185</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1,859,959</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1,814,219</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w w:val="99"/>
              </w:rPr>
              <w:t>-2.5%</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-2.0%</w:t>
            </w: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Other liabilites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206,963</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214,061</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1,294,018</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504.5%</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525.2%</w:t>
            </w:r>
          </w:p>
        </w:tc>
      </w:tr>
      <w:tr>
        <w:trPr>
          <w:trHeight w:val="351"/>
        </w:trPr>
        <w:tc>
          <w:tcPr>
            <w:tcW w:w="3360" w:type="dxa"/>
            <w:vAlign w:val="bottom"/>
            <w:tcBorders>
              <w:left w:val="single" w:sz="8" w:color="auto"/>
            </w:tcBorders>
            <w:gridSpan w:val="2"/>
          </w:tcPr>
          <w:p>
            <w:pPr>
              <w:jc w:val="center"/>
              <w:ind w:left="1975"/>
              <w:spacing w:after="0"/>
              <w:rPr>
                <w:sz w:val="20"/>
                <w:szCs w:val="20"/>
                <w:color w:val="auto"/>
              </w:rPr>
            </w:pPr>
            <w:r>
              <w:rPr>
                <w:rFonts w:ascii="Calibri" w:cs="Calibri" w:eastAsia="Calibri" w:hAnsi="Calibri"/>
                <w:sz w:val="14"/>
                <w:szCs w:val="14"/>
                <w:b w:val="1"/>
                <w:bCs w:val="1"/>
                <w:color w:val="auto"/>
              </w:rPr>
              <w:t>Total Liabilites</w:t>
            </w:r>
          </w:p>
        </w:tc>
        <w:tc>
          <w:tcPr>
            <w:tcW w:w="9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2,088,313</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2,074,020</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3,108,237</w:t>
            </w:r>
          </w:p>
        </w:tc>
        <w:tc>
          <w:tcPr>
            <w:tcW w:w="680" w:type="dxa"/>
            <w:vAlign w:val="bottom"/>
          </w:tcPr>
          <w:p>
            <w:pPr>
              <w:jc w:val="center"/>
              <w:ind w:left="58"/>
              <w:spacing w:after="0"/>
              <w:rPr>
                <w:sz w:val="20"/>
                <w:szCs w:val="20"/>
                <w:color w:val="auto"/>
              </w:rPr>
            </w:pPr>
            <w:r>
              <w:rPr>
                <w:rFonts w:ascii="Calibri" w:cs="Calibri" w:eastAsia="Calibri" w:hAnsi="Calibri"/>
                <w:sz w:val="14"/>
                <w:szCs w:val="14"/>
                <w:b w:val="1"/>
                <w:bCs w:val="1"/>
                <w:color w:val="auto"/>
              </w:rPr>
              <w:t>49.9%</w:t>
            </w:r>
          </w:p>
        </w:tc>
        <w:tc>
          <w:tcPr>
            <w:tcW w:w="102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4"/>
                <w:szCs w:val="14"/>
                <w:b w:val="1"/>
                <w:bCs w:val="1"/>
                <w:color w:val="auto"/>
              </w:rPr>
              <w:t>48.8%</w:t>
            </w:r>
          </w:p>
        </w:tc>
      </w:tr>
      <w:tr>
        <w:trPr>
          <w:trHeight w:val="351"/>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NET EQUITY</w:t>
            </w:r>
          </w:p>
        </w:tc>
        <w:tc>
          <w:tcPr>
            <w:tcW w:w="9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Capital stock</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1,318,993</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1,318,993</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1,318,993</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0.0%</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0.0%</w:t>
            </w:r>
          </w:p>
        </w:tc>
      </w:tr>
      <w:tr>
        <w:trPr>
          <w:trHeight w:val="175"/>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Capital Surplus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384,542</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384,542</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384,542</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0.0%</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0.0%</w:t>
            </w: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Reserve</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25,905,576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27,689,804</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26,651,433</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w w:val="99"/>
              </w:rPr>
              <w:t>-3.8%</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rPr>
              <w:t>2.9%</w:t>
            </w:r>
          </w:p>
        </w:tc>
      </w:tr>
      <w:tr>
        <w:trPr>
          <w:trHeight w:val="176"/>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Unrealized results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(215,370)</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40,503</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292,640</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622.5%</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color w:val="auto"/>
                <w:w w:val="99"/>
              </w:rPr>
              <w:t>-235.9%</w:t>
            </w:r>
          </w:p>
        </w:tc>
      </w:tr>
      <w:tr>
        <w:trPr>
          <w:trHeight w:val="175"/>
        </w:trPr>
        <w:tc>
          <w:tcPr>
            <w:tcW w:w="336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4"/>
                <w:szCs w:val="14"/>
                <w:color w:val="auto"/>
              </w:rPr>
              <w:t>Retained earnings</w:t>
            </w:r>
          </w:p>
        </w:tc>
        <w:tc>
          <w:tcPr>
            <w:tcW w:w="9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color w:val="auto"/>
              </w:rPr>
              <w:t>8,006,306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7,299,246</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9,085,563</w:t>
            </w:r>
          </w:p>
        </w:tc>
        <w:tc>
          <w:tcPr>
            <w:tcW w:w="680" w:type="dxa"/>
            <w:vAlign w:val="bottom"/>
          </w:tcPr>
          <w:p>
            <w:pPr>
              <w:jc w:val="center"/>
              <w:ind w:left="58"/>
              <w:spacing w:after="0"/>
              <w:rPr>
                <w:sz w:val="20"/>
                <w:szCs w:val="20"/>
                <w:color w:val="auto"/>
              </w:rPr>
            </w:pPr>
            <w:r>
              <w:rPr>
                <w:rFonts w:ascii="Calibri" w:cs="Calibri" w:eastAsia="Calibri" w:hAnsi="Calibri"/>
                <w:sz w:val="14"/>
                <w:szCs w:val="14"/>
                <w:color w:val="auto"/>
              </w:rPr>
              <w:t>24.5%</w:t>
            </w:r>
          </w:p>
        </w:tc>
        <w:tc>
          <w:tcPr>
            <w:tcW w:w="102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4"/>
                <w:szCs w:val="14"/>
                <w:color w:val="auto"/>
              </w:rPr>
              <w:t>13.5%</w:t>
            </w:r>
          </w:p>
        </w:tc>
      </w:tr>
      <w:tr>
        <w:trPr>
          <w:trHeight w:val="351"/>
        </w:trPr>
        <w:tc>
          <w:tcPr>
            <w:tcW w:w="3360" w:type="dxa"/>
            <w:vAlign w:val="bottom"/>
            <w:tcBorders>
              <w:left w:val="single" w:sz="8" w:color="auto"/>
            </w:tcBorders>
            <w:gridSpan w:val="2"/>
          </w:tcPr>
          <w:p>
            <w:pPr>
              <w:jc w:val="center"/>
              <w:ind w:left="1975"/>
              <w:spacing w:after="0"/>
              <w:rPr>
                <w:sz w:val="20"/>
                <w:szCs w:val="20"/>
                <w:color w:val="auto"/>
              </w:rPr>
            </w:pPr>
            <w:r>
              <w:rPr>
                <w:rFonts w:ascii="Calibri" w:cs="Calibri" w:eastAsia="Calibri" w:hAnsi="Calibri"/>
                <w:sz w:val="14"/>
                <w:szCs w:val="14"/>
                <w:b w:val="1"/>
                <w:bCs w:val="1"/>
                <w:color w:val="auto"/>
                <w:w w:val="99"/>
              </w:rPr>
              <w:t>Total net equity</w:t>
            </w:r>
          </w:p>
        </w:tc>
        <w:tc>
          <w:tcPr>
            <w:tcW w:w="9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35,400,047</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b w:val="1"/>
                <w:bCs w:val="1"/>
                <w:color w:val="auto"/>
              </w:rPr>
              <w:t>36,733,088</w:t>
            </w: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37,733,171</w:t>
            </w:r>
          </w:p>
        </w:tc>
        <w:tc>
          <w:tcPr>
            <w:tcW w:w="680" w:type="dxa"/>
            <w:vAlign w:val="bottom"/>
          </w:tcPr>
          <w:p>
            <w:pPr>
              <w:jc w:val="center"/>
              <w:ind w:left="58"/>
              <w:spacing w:after="0"/>
              <w:rPr>
                <w:sz w:val="20"/>
                <w:szCs w:val="20"/>
                <w:color w:val="auto"/>
              </w:rPr>
            </w:pPr>
            <w:r>
              <w:rPr>
                <w:rFonts w:ascii="Calibri" w:cs="Calibri" w:eastAsia="Calibri" w:hAnsi="Calibri"/>
                <w:sz w:val="14"/>
                <w:szCs w:val="14"/>
                <w:b w:val="1"/>
                <w:bCs w:val="1"/>
                <w:color w:val="auto"/>
                <w:w w:val="99"/>
              </w:rPr>
              <w:t>2.7%</w:t>
            </w:r>
          </w:p>
        </w:tc>
        <w:tc>
          <w:tcPr>
            <w:tcW w:w="1020" w:type="dxa"/>
            <w:vAlign w:val="bottom"/>
            <w:tcBorders>
              <w:right w:val="single" w:sz="8" w:color="auto"/>
            </w:tcBorders>
          </w:tcPr>
          <w:p>
            <w:pPr>
              <w:jc w:val="center"/>
              <w:ind w:left="59"/>
              <w:spacing w:after="0"/>
              <w:rPr>
                <w:sz w:val="20"/>
                <w:szCs w:val="20"/>
                <w:color w:val="auto"/>
              </w:rPr>
            </w:pPr>
            <w:r>
              <w:rPr>
                <w:rFonts w:ascii="Calibri" w:cs="Calibri" w:eastAsia="Calibri" w:hAnsi="Calibri"/>
                <w:sz w:val="14"/>
                <w:szCs w:val="14"/>
                <w:b w:val="1"/>
                <w:bCs w:val="1"/>
                <w:color w:val="auto"/>
              </w:rPr>
              <w:t>6.6%</w:t>
            </w:r>
          </w:p>
        </w:tc>
      </w:tr>
      <w:tr>
        <w:trPr>
          <w:trHeight w:val="364"/>
        </w:trPr>
        <w:tc>
          <w:tcPr>
            <w:tcW w:w="3360" w:type="dxa"/>
            <w:vAlign w:val="bottom"/>
            <w:tcBorders>
              <w:left w:val="single" w:sz="8" w:color="auto"/>
              <w:bottom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Total Liabilites And Equity</w:t>
            </w:r>
          </w:p>
        </w:tc>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37,488,360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38,807,108</w:t>
            </w:r>
          </w:p>
        </w:tc>
        <w:tc>
          <w:tcPr>
            <w:tcW w:w="13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4"/>
                <w:szCs w:val="14"/>
                <w:b w:val="1"/>
                <w:bCs w:val="1"/>
                <w:color w:val="auto"/>
              </w:rPr>
              <w:t>40,841,408</w:t>
            </w:r>
          </w:p>
        </w:tc>
        <w:tc>
          <w:tcPr>
            <w:tcW w:w="680" w:type="dxa"/>
            <w:vAlign w:val="bottom"/>
            <w:tcBorders>
              <w:bottom w:val="single" w:sz="8" w:color="auto"/>
            </w:tcBorders>
          </w:tcPr>
          <w:p>
            <w:pPr>
              <w:jc w:val="center"/>
              <w:ind w:left="58"/>
              <w:spacing w:after="0"/>
              <w:rPr>
                <w:sz w:val="20"/>
                <w:szCs w:val="20"/>
                <w:color w:val="auto"/>
              </w:rPr>
            </w:pPr>
            <w:r>
              <w:rPr>
                <w:rFonts w:ascii="Calibri" w:cs="Calibri" w:eastAsia="Calibri" w:hAnsi="Calibri"/>
                <w:sz w:val="14"/>
                <w:szCs w:val="14"/>
                <w:b w:val="1"/>
                <w:bCs w:val="1"/>
                <w:color w:val="auto"/>
                <w:w w:val="99"/>
              </w:rPr>
              <w:t>5.2%</w:t>
            </w:r>
          </w:p>
        </w:tc>
        <w:tc>
          <w:tcPr>
            <w:tcW w:w="1020" w:type="dxa"/>
            <w:vAlign w:val="bottom"/>
            <w:tcBorders>
              <w:bottom w:val="single" w:sz="8" w:color="auto"/>
              <w:right w:val="single" w:sz="8" w:color="auto"/>
            </w:tcBorders>
          </w:tcPr>
          <w:p>
            <w:pPr>
              <w:jc w:val="center"/>
              <w:ind w:left="59"/>
              <w:spacing w:after="0"/>
              <w:rPr>
                <w:sz w:val="20"/>
                <w:szCs w:val="20"/>
                <w:color w:val="auto"/>
              </w:rPr>
            </w:pPr>
            <w:r>
              <w:rPr>
                <w:rFonts w:ascii="Calibri" w:cs="Calibri" w:eastAsia="Calibri" w:hAnsi="Calibri"/>
                <w:sz w:val="14"/>
                <w:szCs w:val="14"/>
                <w:b w:val="1"/>
                <w:bCs w:val="1"/>
                <w:color w:val="auto"/>
              </w:rPr>
              <w:t>8.9%</w:t>
            </w:r>
          </w:p>
        </w:tc>
      </w:tr>
      <w:tr>
        <w:trPr>
          <w:trHeight w:val="378"/>
        </w:trPr>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20" w:type="dxa"/>
            <w:vAlign w:val="bottom"/>
            <w:gridSpan w:val="4"/>
          </w:tcPr>
          <w:p>
            <w:pPr>
              <w:jc w:val="center"/>
              <w:ind w:left="24"/>
              <w:spacing w:after="0"/>
              <w:rPr>
                <w:sz w:val="20"/>
                <w:szCs w:val="20"/>
                <w:color w:val="auto"/>
              </w:rPr>
            </w:pPr>
            <w:r>
              <w:rPr>
                <w:rFonts w:ascii="Calibri" w:cs="Calibri" w:eastAsia="Calibri" w:hAnsi="Calibri"/>
                <w:sz w:val="16"/>
                <w:szCs w:val="16"/>
                <w:b w:val="1"/>
                <w:bCs w:val="1"/>
                <w:color w:val="auto"/>
              </w:rPr>
              <w:t>Statement of Income</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center"/>
              <w:ind w:left="24"/>
              <w:spacing w:after="0"/>
              <w:rPr>
                <w:sz w:val="20"/>
                <w:szCs w:val="20"/>
                <w:color w:val="auto"/>
              </w:rPr>
            </w:pPr>
            <w:r>
              <w:rPr>
                <w:rFonts w:ascii="Calibri" w:cs="Calibri" w:eastAsia="Calibri" w:hAnsi="Calibri"/>
                <w:sz w:val="16"/>
                <w:szCs w:val="16"/>
                <w:b w:val="1"/>
                <w:bCs w:val="1"/>
                <w:color w:val="auto"/>
              </w:rPr>
              <w:t>(S/ Thousands, IFRS)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10"/>
        </w:trPr>
        <w:tc>
          <w:tcPr>
            <w:tcW w:w="3180" w:type="dxa"/>
            <w:vAlign w:val="bottom"/>
            <w:tcBorders>
              <w:left w:val="single" w:sz="8" w:color="33CCCC"/>
              <w:right w:val="single" w:sz="8" w:color="auto"/>
            </w:tcBorders>
            <w:shd w:val="clear" w:color="auto" w:fill="33CCCC"/>
          </w:tcPr>
          <w:p>
            <w:pPr>
              <w:spacing w:after="0"/>
              <w:rPr>
                <w:sz w:val="9"/>
                <w:szCs w:val="9"/>
                <w:color w:val="auto"/>
              </w:rPr>
            </w:pPr>
          </w:p>
        </w:tc>
        <w:tc>
          <w:tcPr>
            <w:tcW w:w="180" w:type="dxa"/>
            <w:vAlign w:val="bottom"/>
            <w:shd w:val="clear" w:color="auto" w:fill="33CCCC"/>
          </w:tcPr>
          <w:p>
            <w:pPr>
              <w:spacing w:after="0"/>
              <w:rPr>
                <w:sz w:val="9"/>
                <w:szCs w:val="9"/>
                <w:color w:val="auto"/>
              </w:rPr>
            </w:pPr>
          </w:p>
        </w:tc>
        <w:tc>
          <w:tcPr>
            <w:tcW w:w="960" w:type="dxa"/>
            <w:vAlign w:val="bottom"/>
            <w:shd w:val="clear" w:color="auto" w:fill="33CCCC"/>
          </w:tcPr>
          <w:p>
            <w:pPr>
              <w:spacing w:after="0"/>
              <w:rPr>
                <w:sz w:val="9"/>
                <w:szCs w:val="9"/>
                <w:color w:val="auto"/>
              </w:rPr>
            </w:pPr>
          </w:p>
        </w:tc>
        <w:tc>
          <w:tcPr>
            <w:tcW w:w="1080" w:type="dxa"/>
            <w:vAlign w:val="bottom"/>
            <w:tcBorders>
              <w:right w:val="single" w:sz="8" w:color="33CCCC"/>
            </w:tcBorders>
            <w:shd w:val="clear" w:color="auto" w:fill="33CCCC"/>
          </w:tcPr>
          <w:p>
            <w:pPr>
              <w:jc w:val="right"/>
              <w:ind w:right="524"/>
              <w:spacing w:after="0" w:line="110" w:lineRule="exact"/>
              <w:rPr>
                <w:sz w:val="20"/>
                <w:szCs w:val="20"/>
                <w:color w:val="auto"/>
              </w:rPr>
            </w:pPr>
            <w:r>
              <w:rPr>
                <w:rFonts w:ascii="Calibri" w:cs="Calibri" w:eastAsia="Calibri" w:hAnsi="Calibri"/>
                <w:sz w:val="10"/>
                <w:szCs w:val="10"/>
                <w:color w:val="FFFFFF"/>
              </w:rPr>
              <w:t>Quarter</w:t>
            </w:r>
          </w:p>
        </w:tc>
        <w:tc>
          <w:tcPr>
            <w:tcW w:w="380" w:type="dxa"/>
            <w:vAlign w:val="bottom"/>
            <w:shd w:val="clear" w:color="auto" w:fill="33CCCC"/>
          </w:tcPr>
          <w:p>
            <w:pPr>
              <w:spacing w:after="0"/>
              <w:rPr>
                <w:sz w:val="9"/>
                <w:szCs w:val="9"/>
                <w:color w:val="auto"/>
              </w:rPr>
            </w:pPr>
          </w:p>
        </w:tc>
        <w:tc>
          <w:tcPr>
            <w:tcW w:w="400" w:type="dxa"/>
            <w:vAlign w:val="bottom"/>
            <w:tcBorders>
              <w:right w:val="single" w:sz="8" w:color="auto"/>
            </w:tcBorders>
            <w:shd w:val="clear" w:color="auto" w:fill="33CCCC"/>
          </w:tcPr>
          <w:p>
            <w:pPr>
              <w:spacing w:after="0"/>
              <w:rPr>
                <w:sz w:val="9"/>
                <w:szCs w:val="9"/>
                <w:color w:val="auto"/>
              </w:rPr>
            </w:pPr>
          </w:p>
        </w:tc>
        <w:tc>
          <w:tcPr>
            <w:tcW w:w="660" w:type="dxa"/>
            <w:vAlign w:val="bottom"/>
            <w:shd w:val="clear" w:color="auto" w:fill="33CCCC"/>
          </w:tcPr>
          <w:p>
            <w:pPr>
              <w:spacing w:after="0"/>
              <w:rPr>
                <w:sz w:val="9"/>
                <w:szCs w:val="9"/>
                <w:color w:val="auto"/>
              </w:rPr>
            </w:pPr>
          </w:p>
        </w:tc>
        <w:tc>
          <w:tcPr>
            <w:tcW w:w="1360" w:type="dxa"/>
            <w:vAlign w:val="bottom"/>
            <w:tcBorders>
              <w:right w:val="single" w:sz="8" w:color="auto"/>
            </w:tcBorders>
            <w:gridSpan w:val="2"/>
            <w:shd w:val="clear" w:color="auto" w:fill="33CCCC"/>
          </w:tcPr>
          <w:p>
            <w:pPr>
              <w:jc w:val="right"/>
              <w:ind w:right="777"/>
              <w:spacing w:after="0" w:line="110" w:lineRule="exact"/>
              <w:rPr>
                <w:sz w:val="20"/>
                <w:szCs w:val="20"/>
                <w:color w:val="auto"/>
              </w:rPr>
            </w:pPr>
            <w:r>
              <w:rPr>
                <w:rFonts w:ascii="Calibri" w:cs="Calibri" w:eastAsia="Calibri" w:hAnsi="Calibri"/>
                <w:sz w:val="10"/>
                <w:szCs w:val="10"/>
                <w:color w:val="FFFFFF"/>
              </w:rPr>
              <w:t>% Change</w:t>
            </w:r>
          </w:p>
        </w:tc>
        <w:tc>
          <w:tcPr>
            <w:tcW w:w="1340" w:type="dxa"/>
            <w:vAlign w:val="bottom"/>
            <w:tcBorders>
              <w:right w:val="single" w:sz="8" w:color="33CCCC"/>
            </w:tcBorders>
            <w:shd w:val="clear" w:color="auto" w:fill="33CCCC"/>
          </w:tcPr>
          <w:p>
            <w:pPr>
              <w:jc w:val="right"/>
              <w:ind w:right="179"/>
              <w:spacing w:after="0" w:line="110" w:lineRule="exact"/>
              <w:rPr>
                <w:sz w:val="20"/>
                <w:szCs w:val="20"/>
                <w:color w:val="auto"/>
              </w:rPr>
            </w:pPr>
            <w:r>
              <w:rPr>
                <w:rFonts w:ascii="Calibri" w:cs="Calibri" w:eastAsia="Calibri" w:hAnsi="Calibri"/>
                <w:sz w:val="10"/>
                <w:szCs w:val="10"/>
                <w:color w:val="FFFFFF"/>
              </w:rPr>
              <w:t>Up to</w:t>
            </w:r>
          </w:p>
        </w:tc>
        <w:tc>
          <w:tcPr>
            <w:tcW w:w="680" w:type="dxa"/>
            <w:vAlign w:val="bottom"/>
            <w:tcBorders>
              <w:right w:val="single" w:sz="8" w:color="auto"/>
            </w:tcBorders>
            <w:shd w:val="clear" w:color="auto" w:fill="33CCCC"/>
          </w:tcPr>
          <w:p>
            <w:pPr>
              <w:spacing w:after="0"/>
              <w:rPr>
                <w:sz w:val="9"/>
                <w:szCs w:val="9"/>
                <w:color w:val="auto"/>
              </w:rPr>
            </w:pPr>
          </w:p>
        </w:tc>
        <w:tc>
          <w:tcPr>
            <w:tcW w:w="1020" w:type="dxa"/>
            <w:vAlign w:val="bottom"/>
            <w:tcBorders>
              <w:right w:val="single" w:sz="8" w:color="auto"/>
            </w:tcBorders>
            <w:shd w:val="clear" w:color="auto" w:fill="33CCCC"/>
          </w:tcPr>
          <w:p>
            <w:pPr>
              <w:jc w:val="center"/>
              <w:spacing w:after="0" w:line="110" w:lineRule="exact"/>
              <w:rPr>
                <w:sz w:val="20"/>
                <w:szCs w:val="20"/>
                <w:color w:val="auto"/>
              </w:rPr>
            </w:pPr>
            <w:r>
              <w:rPr>
                <w:rFonts w:ascii="Calibri" w:cs="Calibri" w:eastAsia="Calibri" w:hAnsi="Calibri"/>
                <w:sz w:val="10"/>
                <w:szCs w:val="10"/>
                <w:color w:val="FFFFFF"/>
              </w:rPr>
              <w:t>% Change</w:t>
            </w:r>
          </w:p>
        </w:tc>
      </w:tr>
      <w:tr>
        <w:trPr>
          <w:trHeight w:val="127"/>
        </w:trPr>
        <w:tc>
          <w:tcPr>
            <w:tcW w:w="3180" w:type="dxa"/>
            <w:vAlign w:val="bottom"/>
            <w:tcBorders>
              <w:left w:val="single" w:sz="8" w:color="33CCCC"/>
              <w:right w:val="single" w:sz="8" w:color="auto"/>
            </w:tcBorders>
            <w:shd w:val="clear" w:color="auto" w:fill="33CCCC"/>
          </w:tcPr>
          <w:p>
            <w:pPr>
              <w:spacing w:after="0"/>
              <w:rPr>
                <w:sz w:val="11"/>
                <w:szCs w:val="11"/>
                <w:color w:val="auto"/>
              </w:rPr>
            </w:pPr>
          </w:p>
        </w:tc>
        <w:tc>
          <w:tcPr>
            <w:tcW w:w="180" w:type="dxa"/>
            <w:vAlign w:val="bottom"/>
            <w:shd w:val="clear" w:color="auto" w:fill="33CCCC"/>
          </w:tcPr>
          <w:p>
            <w:pPr>
              <w:spacing w:after="0"/>
              <w:rPr>
                <w:sz w:val="11"/>
                <w:szCs w:val="11"/>
                <w:color w:val="auto"/>
              </w:rPr>
            </w:pPr>
          </w:p>
        </w:tc>
        <w:tc>
          <w:tcPr>
            <w:tcW w:w="960" w:type="dxa"/>
            <w:vAlign w:val="bottom"/>
            <w:shd w:val="clear" w:color="auto" w:fill="33CCCC"/>
          </w:tcPr>
          <w:p>
            <w:pPr>
              <w:jc w:val="right"/>
              <w:ind w:right="511"/>
              <w:spacing w:after="0" w:line="116" w:lineRule="exact"/>
              <w:rPr>
                <w:sz w:val="20"/>
                <w:szCs w:val="20"/>
                <w:color w:val="auto"/>
              </w:rPr>
            </w:pPr>
            <w:r>
              <w:rPr>
                <w:rFonts w:ascii="Calibri" w:cs="Calibri" w:eastAsia="Calibri" w:hAnsi="Calibri"/>
                <w:sz w:val="10"/>
                <w:szCs w:val="10"/>
                <w:color w:val="FFFFFF"/>
              </w:rPr>
              <w:t>3Q23</w:t>
            </w:r>
          </w:p>
        </w:tc>
        <w:tc>
          <w:tcPr>
            <w:tcW w:w="1080" w:type="dxa"/>
            <w:vAlign w:val="bottom"/>
            <w:tcBorders>
              <w:right w:val="single" w:sz="8" w:color="33CCCC"/>
            </w:tcBorders>
            <w:shd w:val="clear" w:color="auto" w:fill="33CCCC"/>
          </w:tcPr>
          <w:p>
            <w:pPr>
              <w:jc w:val="right"/>
              <w:ind w:right="584"/>
              <w:spacing w:after="0" w:line="116" w:lineRule="exact"/>
              <w:rPr>
                <w:sz w:val="20"/>
                <w:szCs w:val="20"/>
                <w:color w:val="auto"/>
              </w:rPr>
            </w:pPr>
            <w:r>
              <w:rPr>
                <w:rFonts w:ascii="Calibri" w:cs="Calibri" w:eastAsia="Calibri" w:hAnsi="Calibri"/>
                <w:sz w:val="10"/>
                <w:szCs w:val="10"/>
                <w:color w:val="FFFFFF"/>
              </w:rPr>
              <w:t>2Q24</w:t>
            </w:r>
          </w:p>
        </w:tc>
        <w:tc>
          <w:tcPr>
            <w:tcW w:w="380" w:type="dxa"/>
            <w:vAlign w:val="bottom"/>
            <w:shd w:val="clear" w:color="auto" w:fill="33CCCC"/>
          </w:tcPr>
          <w:p>
            <w:pPr>
              <w:ind w:left="140"/>
              <w:spacing w:after="0" w:line="116" w:lineRule="exact"/>
              <w:rPr>
                <w:sz w:val="20"/>
                <w:szCs w:val="20"/>
                <w:color w:val="auto"/>
              </w:rPr>
            </w:pPr>
            <w:r>
              <w:rPr>
                <w:rFonts w:ascii="Calibri" w:cs="Calibri" w:eastAsia="Calibri" w:hAnsi="Calibri"/>
                <w:sz w:val="10"/>
                <w:szCs w:val="10"/>
                <w:color w:val="FFFFFF"/>
              </w:rPr>
              <w:t>3Q24</w:t>
            </w:r>
          </w:p>
        </w:tc>
        <w:tc>
          <w:tcPr>
            <w:tcW w:w="400" w:type="dxa"/>
            <w:vAlign w:val="bottom"/>
            <w:tcBorders>
              <w:right w:val="single" w:sz="8" w:color="auto"/>
            </w:tcBorders>
            <w:shd w:val="clear" w:color="auto" w:fill="33CCCC"/>
          </w:tcPr>
          <w:p>
            <w:pPr>
              <w:spacing w:after="0"/>
              <w:rPr>
                <w:sz w:val="11"/>
                <w:szCs w:val="11"/>
                <w:color w:val="auto"/>
              </w:rPr>
            </w:pPr>
          </w:p>
        </w:tc>
        <w:tc>
          <w:tcPr>
            <w:tcW w:w="660" w:type="dxa"/>
            <w:vAlign w:val="bottom"/>
            <w:shd w:val="clear" w:color="auto" w:fill="33CCCC"/>
          </w:tcPr>
          <w:p>
            <w:pPr>
              <w:jc w:val="right"/>
              <w:ind w:right="31"/>
              <w:spacing w:after="0" w:line="116" w:lineRule="exact"/>
              <w:rPr>
                <w:sz w:val="20"/>
                <w:szCs w:val="20"/>
                <w:color w:val="auto"/>
              </w:rPr>
            </w:pPr>
            <w:r>
              <w:rPr>
                <w:rFonts w:ascii="Calibri" w:cs="Calibri" w:eastAsia="Calibri" w:hAnsi="Calibri"/>
                <w:sz w:val="10"/>
                <w:szCs w:val="10"/>
                <w:color w:val="FFFFFF"/>
              </w:rPr>
              <w:t>QoQ</w:t>
            </w:r>
          </w:p>
        </w:tc>
        <w:tc>
          <w:tcPr>
            <w:tcW w:w="380" w:type="dxa"/>
            <w:vAlign w:val="bottom"/>
            <w:shd w:val="clear" w:color="auto" w:fill="33CCCC"/>
          </w:tcPr>
          <w:p>
            <w:pPr>
              <w:spacing w:after="0"/>
              <w:rPr>
                <w:sz w:val="11"/>
                <w:szCs w:val="11"/>
                <w:color w:val="auto"/>
              </w:rPr>
            </w:pPr>
          </w:p>
        </w:tc>
        <w:tc>
          <w:tcPr>
            <w:tcW w:w="980" w:type="dxa"/>
            <w:vAlign w:val="bottom"/>
            <w:tcBorders>
              <w:right w:val="single" w:sz="8" w:color="auto"/>
            </w:tcBorders>
            <w:shd w:val="clear" w:color="auto" w:fill="33CCCC"/>
          </w:tcPr>
          <w:p>
            <w:pPr>
              <w:jc w:val="right"/>
              <w:ind w:right="397"/>
              <w:spacing w:after="0" w:line="116" w:lineRule="exact"/>
              <w:rPr>
                <w:sz w:val="20"/>
                <w:szCs w:val="20"/>
                <w:color w:val="auto"/>
              </w:rPr>
            </w:pPr>
            <w:r>
              <w:rPr>
                <w:rFonts w:ascii="Calibri" w:cs="Calibri" w:eastAsia="Calibri" w:hAnsi="Calibri"/>
                <w:sz w:val="10"/>
                <w:szCs w:val="10"/>
                <w:color w:val="FFFFFF"/>
              </w:rPr>
              <w:t>YoY</w:t>
            </w:r>
          </w:p>
        </w:tc>
        <w:tc>
          <w:tcPr>
            <w:tcW w:w="1340" w:type="dxa"/>
            <w:vAlign w:val="bottom"/>
            <w:tcBorders>
              <w:right w:val="single" w:sz="8" w:color="33CCCC"/>
            </w:tcBorders>
            <w:shd w:val="clear" w:color="auto" w:fill="33CCCC"/>
          </w:tcPr>
          <w:p>
            <w:pPr>
              <w:jc w:val="right"/>
              <w:ind w:right="659"/>
              <w:spacing w:after="0" w:line="116" w:lineRule="exact"/>
              <w:rPr>
                <w:sz w:val="20"/>
                <w:szCs w:val="20"/>
                <w:color w:val="auto"/>
              </w:rPr>
            </w:pPr>
            <w:r>
              <w:rPr>
                <w:rFonts w:ascii="Calibri" w:cs="Calibri" w:eastAsia="Calibri" w:hAnsi="Calibri"/>
                <w:sz w:val="10"/>
                <w:szCs w:val="10"/>
                <w:color w:val="FFFFFF"/>
              </w:rPr>
              <w:t>Sep 23</w:t>
            </w:r>
          </w:p>
        </w:tc>
        <w:tc>
          <w:tcPr>
            <w:tcW w:w="680" w:type="dxa"/>
            <w:vAlign w:val="bottom"/>
            <w:tcBorders>
              <w:right w:val="single" w:sz="8" w:color="auto"/>
            </w:tcBorders>
            <w:shd w:val="clear" w:color="auto" w:fill="33CCCC"/>
          </w:tcPr>
          <w:p>
            <w:pPr>
              <w:jc w:val="right"/>
              <w:ind w:right="338"/>
              <w:spacing w:after="0" w:line="116" w:lineRule="exact"/>
              <w:rPr>
                <w:sz w:val="20"/>
                <w:szCs w:val="20"/>
                <w:color w:val="auto"/>
              </w:rPr>
            </w:pPr>
            <w:r>
              <w:rPr>
                <w:rFonts w:ascii="Calibri" w:cs="Calibri" w:eastAsia="Calibri" w:hAnsi="Calibri"/>
                <w:sz w:val="10"/>
                <w:szCs w:val="10"/>
                <w:color w:val="FFFFFF"/>
                <w:w w:val="95"/>
              </w:rPr>
              <w:t>Sep 24</w:t>
            </w:r>
          </w:p>
        </w:tc>
        <w:tc>
          <w:tcPr>
            <w:tcW w:w="1020" w:type="dxa"/>
            <w:vAlign w:val="bottom"/>
            <w:tcBorders>
              <w:right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color w:val="FFFFFF"/>
                <w:w w:val="95"/>
              </w:rPr>
              <w:t>Sep 23/Sep 24</w:t>
            </w:r>
          </w:p>
        </w:tc>
      </w:tr>
      <w:tr>
        <w:trPr>
          <w:trHeight w:val="116"/>
        </w:trPr>
        <w:tc>
          <w:tcPr>
            <w:tcW w:w="3180" w:type="dxa"/>
            <w:vAlign w:val="bottom"/>
            <w:tcBorders>
              <w:right w:val="single" w:sz="8" w:color="auto"/>
            </w:tcBorders>
          </w:tcPr>
          <w:p>
            <w:pPr>
              <w:ind w:left="20"/>
              <w:spacing w:after="0" w:line="116" w:lineRule="exact"/>
              <w:rPr>
                <w:sz w:val="20"/>
                <w:szCs w:val="20"/>
                <w:color w:val="auto"/>
              </w:rPr>
            </w:pPr>
            <w:r>
              <w:rPr>
                <w:rFonts w:ascii="Calibri" w:cs="Calibri" w:eastAsia="Calibri" w:hAnsi="Calibri"/>
                <w:sz w:val="10"/>
                <w:szCs w:val="10"/>
                <w:b w:val="1"/>
                <w:bCs w:val="1"/>
                <w:color w:val="auto"/>
              </w:rPr>
              <w:t>Interest income</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r>
      <w:tr>
        <w:trPr>
          <w:trHeight w:val="23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Net share of the income from investments in subsidiaries and associates</w:t>
            </w:r>
          </w:p>
        </w:tc>
        <w:tc>
          <w:tcPr>
            <w:tcW w:w="18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1,288,466</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1,899,078</w:t>
            </w:r>
          </w:p>
        </w:tc>
        <w:tc>
          <w:tcPr>
            <w:tcW w:w="780" w:type="dxa"/>
            <w:vAlign w:val="bottom"/>
            <w:tcBorders>
              <w:right w:val="single" w:sz="8" w:color="auto"/>
            </w:tcBorders>
            <w:gridSpan w:val="2"/>
          </w:tcPr>
          <w:p>
            <w:pPr>
              <w:jc w:val="right"/>
              <w:spacing w:after="0"/>
              <w:rPr>
                <w:sz w:val="20"/>
                <w:szCs w:val="20"/>
                <w:color w:val="auto"/>
              </w:rPr>
            </w:pPr>
            <w:r>
              <w:rPr>
                <w:rFonts w:ascii="Calibri" w:cs="Calibri" w:eastAsia="Calibri" w:hAnsi="Calibri"/>
                <w:sz w:val="10"/>
                <w:szCs w:val="10"/>
                <w:color w:val="auto"/>
              </w:rPr>
              <w:t>1,735,379</w:t>
            </w:r>
          </w:p>
        </w:tc>
        <w:tc>
          <w:tcPr>
            <w:tcW w:w="660" w:type="dxa"/>
            <w:vAlign w:val="bottom"/>
          </w:tcPr>
          <w:p>
            <w:pPr>
              <w:spacing w:after="0"/>
              <w:rPr>
                <w:sz w:val="20"/>
                <w:szCs w:val="2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-8.6%</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34.7%</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4,532,550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5,191,851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14.5%</w:t>
            </w:r>
          </w:p>
        </w:tc>
      </w:tr>
      <w:tr>
        <w:trPr>
          <w:trHeight w:val="12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Interest and similar income</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429</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28,052</w:t>
            </w:r>
          </w:p>
        </w:tc>
        <w:tc>
          <w:tcPr>
            <w:tcW w:w="380" w:type="dxa"/>
            <w:vAlign w:val="bottom"/>
          </w:tcPr>
          <w:p>
            <w:pPr>
              <w:spacing w:after="0"/>
              <w:rPr>
                <w:sz w:val="10"/>
                <w:szCs w:val="10"/>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22,290</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-20.5%</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n.a.</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9,725</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69,067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3"/>
              </w:rPr>
              <w:t>610.2%</w:t>
            </w:r>
          </w:p>
        </w:tc>
      </w:tr>
      <w:tr>
        <w:trPr>
          <w:trHeight w:val="121"/>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Net gain on fnancial assets at fair value through proft or loss</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8,845</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0"/>
                <w:szCs w:val="10"/>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n.a.</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n.a.</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35,222</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1,234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-96.5%</w:t>
            </w:r>
          </w:p>
        </w:tc>
      </w:tr>
      <w:tr>
        <w:trPr>
          <w:trHeight w:val="12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income</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b w:val="1"/>
                <w:bCs w:val="1"/>
                <w:color w:val="auto"/>
              </w:rPr>
              <w:t>1,297,740</w:t>
            </w:r>
          </w:p>
        </w:tc>
        <w:tc>
          <w:tcPr>
            <w:tcW w:w="1080" w:type="dxa"/>
            <w:vAlign w:val="bottom"/>
          </w:tcPr>
          <w:p>
            <w:pPr>
              <w:jc w:val="right"/>
              <w:ind w:right="184"/>
              <w:spacing w:after="0"/>
              <w:rPr>
                <w:sz w:val="20"/>
                <w:szCs w:val="20"/>
                <w:color w:val="auto"/>
              </w:rPr>
            </w:pPr>
            <w:r>
              <w:rPr>
                <w:rFonts w:ascii="Calibri" w:cs="Calibri" w:eastAsia="Calibri" w:hAnsi="Calibri"/>
                <w:sz w:val="10"/>
                <w:szCs w:val="10"/>
                <w:b w:val="1"/>
                <w:bCs w:val="1"/>
                <w:color w:val="auto"/>
              </w:rPr>
              <w:t>1,927,130</w:t>
            </w:r>
          </w:p>
        </w:tc>
        <w:tc>
          <w:tcPr>
            <w:tcW w:w="780" w:type="dxa"/>
            <w:vAlign w:val="bottom"/>
            <w:tcBorders>
              <w:right w:val="single" w:sz="8" w:color="auto"/>
            </w:tcBorders>
            <w:gridSpan w:val="2"/>
          </w:tcPr>
          <w:p>
            <w:pPr>
              <w:jc w:val="right"/>
              <w:spacing w:after="0"/>
              <w:rPr>
                <w:sz w:val="20"/>
                <w:szCs w:val="20"/>
                <w:color w:val="auto"/>
              </w:rPr>
            </w:pPr>
            <w:r>
              <w:rPr>
                <w:rFonts w:ascii="Calibri" w:cs="Calibri" w:eastAsia="Calibri" w:hAnsi="Calibri"/>
                <w:sz w:val="10"/>
                <w:szCs w:val="10"/>
                <w:b w:val="1"/>
                <w:bCs w:val="1"/>
                <w:color w:val="auto"/>
              </w:rPr>
              <w:t>1,757,669</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-8.8%</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35.4%</w:t>
            </w:r>
          </w:p>
        </w:tc>
        <w:tc>
          <w:tcPr>
            <w:tcW w:w="1340" w:type="dxa"/>
            <w:vAlign w:val="bottom"/>
          </w:tcPr>
          <w:p>
            <w:pPr>
              <w:jc w:val="right"/>
              <w:ind w:right="299"/>
              <w:spacing w:after="0"/>
              <w:rPr>
                <w:sz w:val="20"/>
                <w:szCs w:val="20"/>
                <w:color w:val="auto"/>
              </w:rPr>
            </w:pPr>
            <w:r>
              <w:rPr>
                <w:rFonts w:ascii="Calibri" w:cs="Calibri" w:eastAsia="Calibri" w:hAnsi="Calibri"/>
                <w:sz w:val="10"/>
                <w:szCs w:val="10"/>
                <w:b w:val="1"/>
                <w:bCs w:val="1"/>
                <w:color w:val="auto"/>
              </w:rPr>
              <w:t>4,577,497</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5,262,152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15.0%</w:t>
            </w:r>
          </w:p>
        </w:tc>
      </w:tr>
      <w:tr>
        <w:trPr>
          <w:trHeight w:val="243"/>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Interest and similar expense</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(13,880)</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(13,508)</w:t>
            </w:r>
          </w:p>
        </w:tc>
        <w:tc>
          <w:tcPr>
            <w:tcW w:w="380" w:type="dxa"/>
            <w:vAlign w:val="bottom"/>
          </w:tcPr>
          <w:p>
            <w:pPr>
              <w:spacing w:after="0"/>
              <w:rPr>
                <w:sz w:val="21"/>
                <w:szCs w:val="21"/>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(13,527)</w:t>
            </w:r>
          </w:p>
        </w:tc>
        <w:tc>
          <w:tcPr>
            <w:tcW w:w="6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0.1%</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-2.5%</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(41,832)</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(40,600)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-2.9%</w:t>
            </w:r>
          </w:p>
        </w:tc>
      </w:tr>
      <w:tr>
        <w:trPr>
          <w:trHeight w:val="121"/>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Administratve and general expenses</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(4,097)</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(5,115)</w:t>
            </w:r>
          </w:p>
        </w:tc>
        <w:tc>
          <w:tcPr>
            <w:tcW w:w="380" w:type="dxa"/>
            <w:vAlign w:val="bottom"/>
          </w:tcPr>
          <w:p>
            <w:pPr>
              <w:spacing w:after="0"/>
              <w:rPr>
                <w:sz w:val="10"/>
                <w:szCs w:val="10"/>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(4,034)</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-21.1%</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-1.5%</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(16,088)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(13,951)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-13.3%</w:t>
            </w:r>
          </w:p>
        </w:tc>
      </w:tr>
      <w:tr>
        <w:trPr>
          <w:trHeight w:val="12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b w:val="1"/>
                <w:bCs w:val="1"/>
                <w:color w:val="auto"/>
              </w:rPr>
              <w:t>(17,977)</w:t>
            </w:r>
          </w:p>
        </w:tc>
        <w:tc>
          <w:tcPr>
            <w:tcW w:w="1080" w:type="dxa"/>
            <w:vAlign w:val="bottom"/>
          </w:tcPr>
          <w:p>
            <w:pPr>
              <w:jc w:val="right"/>
              <w:ind w:right="184"/>
              <w:spacing w:after="0"/>
              <w:rPr>
                <w:sz w:val="20"/>
                <w:szCs w:val="20"/>
                <w:color w:val="auto"/>
              </w:rPr>
            </w:pPr>
            <w:r>
              <w:rPr>
                <w:rFonts w:ascii="Calibri" w:cs="Calibri" w:eastAsia="Calibri" w:hAnsi="Calibri"/>
                <w:sz w:val="10"/>
                <w:szCs w:val="10"/>
                <w:b w:val="1"/>
                <w:bCs w:val="1"/>
                <w:color w:val="auto"/>
              </w:rPr>
              <w:t>(18,623)</w:t>
            </w:r>
          </w:p>
        </w:tc>
        <w:tc>
          <w:tcPr>
            <w:tcW w:w="380" w:type="dxa"/>
            <w:vAlign w:val="bottom"/>
          </w:tcPr>
          <w:p>
            <w:pPr>
              <w:spacing w:after="0"/>
              <w:rPr>
                <w:sz w:val="10"/>
                <w:szCs w:val="10"/>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(17,561)</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-5.7%</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-2.3%</w:t>
            </w:r>
          </w:p>
        </w:tc>
        <w:tc>
          <w:tcPr>
            <w:tcW w:w="1340" w:type="dxa"/>
            <w:vAlign w:val="bottom"/>
          </w:tcPr>
          <w:p>
            <w:pPr>
              <w:jc w:val="right"/>
              <w:ind w:right="299"/>
              <w:spacing w:after="0"/>
              <w:rPr>
                <w:sz w:val="20"/>
                <w:szCs w:val="20"/>
                <w:color w:val="auto"/>
              </w:rPr>
            </w:pPr>
            <w:r>
              <w:rPr>
                <w:rFonts w:ascii="Calibri" w:cs="Calibri" w:eastAsia="Calibri" w:hAnsi="Calibri"/>
                <w:sz w:val="10"/>
                <w:szCs w:val="10"/>
                <w:b w:val="1"/>
                <w:bCs w:val="1"/>
                <w:color w:val="auto"/>
              </w:rPr>
              <w:t>(57,920)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(54,551)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-5.8%</w:t>
            </w:r>
          </w:p>
        </w:tc>
      </w:tr>
      <w:tr>
        <w:trPr>
          <w:trHeight w:val="243"/>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Operatng income</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b w:val="1"/>
                <w:bCs w:val="1"/>
                <w:color w:val="auto"/>
              </w:rPr>
              <w:t>1,279,763</w:t>
            </w:r>
          </w:p>
        </w:tc>
        <w:tc>
          <w:tcPr>
            <w:tcW w:w="1080" w:type="dxa"/>
            <w:vAlign w:val="bottom"/>
          </w:tcPr>
          <w:p>
            <w:pPr>
              <w:jc w:val="right"/>
              <w:ind w:right="184"/>
              <w:spacing w:after="0"/>
              <w:rPr>
                <w:sz w:val="20"/>
                <w:szCs w:val="20"/>
                <w:color w:val="auto"/>
              </w:rPr>
            </w:pPr>
            <w:r>
              <w:rPr>
                <w:rFonts w:ascii="Calibri" w:cs="Calibri" w:eastAsia="Calibri" w:hAnsi="Calibri"/>
                <w:sz w:val="10"/>
                <w:szCs w:val="10"/>
                <w:b w:val="1"/>
                <w:bCs w:val="1"/>
                <w:color w:val="auto"/>
              </w:rPr>
              <w:t>1,908,507</w:t>
            </w:r>
          </w:p>
        </w:tc>
        <w:tc>
          <w:tcPr>
            <w:tcW w:w="780" w:type="dxa"/>
            <w:vAlign w:val="bottom"/>
            <w:tcBorders>
              <w:right w:val="single" w:sz="8" w:color="auto"/>
            </w:tcBorders>
            <w:gridSpan w:val="2"/>
          </w:tcPr>
          <w:p>
            <w:pPr>
              <w:jc w:val="right"/>
              <w:spacing w:after="0"/>
              <w:rPr>
                <w:sz w:val="20"/>
                <w:szCs w:val="20"/>
                <w:color w:val="auto"/>
              </w:rPr>
            </w:pPr>
            <w:r>
              <w:rPr>
                <w:rFonts w:ascii="Calibri" w:cs="Calibri" w:eastAsia="Calibri" w:hAnsi="Calibri"/>
                <w:sz w:val="10"/>
                <w:szCs w:val="10"/>
                <w:b w:val="1"/>
                <w:bCs w:val="1"/>
                <w:color w:val="auto"/>
              </w:rPr>
              <w:t>1,740,108</w:t>
            </w:r>
          </w:p>
        </w:tc>
        <w:tc>
          <w:tcPr>
            <w:tcW w:w="6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-8.8%</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36.0%</w:t>
            </w:r>
          </w:p>
        </w:tc>
        <w:tc>
          <w:tcPr>
            <w:tcW w:w="1340" w:type="dxa"/>
            <w:vAlign w:val="bottom"/>
          </w:tcPr>
          <w:p>
            <w:pPr>
              <w:jc w:val="right"/>
              <w:ind w:right="299"/>
              <w:spacing w:after="0"/>
              <w:rPr>
                <w:sz w:val="20"/>
                <w:szCs w:val="20"/>
                <w:color w:val="auto"/>
              </w:rPr>
            </w:pPr>
            <w:r>
              <w:rPr>
                <w:rFonts w:ascii="Calibri" w:cs="Calibri" w:eastAsia="Calibri" w:hAnsi="Calibri"/>
                <w:sz w:val="10"/>
                <w:szCs w:val="10"/>
                <w:b w:val="1"/>
                <w:bCs w:val="1"/>
                <w:color w:val="auto"/>
              </w:rPr>
              <w:t>4,519,577</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5,207,601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15.2%</w:t>
            </w:r>
          </w:p>
        </w:tc>
      </w:tr>
      <w:tr>
        <w:trPr>
          <w:trHeight w:val="243"/>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Results from exchange diferences</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1,383</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(2,830)</w:t>
            </w:r>
          </w:p>
        </w:tc>
        <w:tc>
          <w:tcPr>
            <w:tcW w:w="380" w:type="dxa"/>
            <w:vAlign w:val="bottom"/>
          </w:tcPr>
          <w:p>
            <w:pPr>
              <w:spacing w:after="0"/>
              <w:rPr>
                <w:sz w:val="21"/>
                <w:szCs w:val="21"/>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(119)</w:t>
            </w:r>
          </w:p>
        </w:tc>
        <w:tc>
          <w:tcPr>
            <w:tcW w:w="6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-95.8%</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-108.6%</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(2,059)</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(2,856)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38.7%</w:t>
            </w:r>
          </w:p>
        </w:tc>
      </w:tr>
      <w:tr>
        <w:trPr>
          <w:trHeight w:val="12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Other, net</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2,665</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(29)</w:t>
            </w:r>
          </w:p>
        </w:tc>
        <w:tc>
          <w:tcPr>
            <w:tcW w:w="380" w:type="dxa"/>
            <w:vAlign w:val="bottom"/>
          </w:tcPr>
          <w:p>
            <w:pPr>
              <w:spacing w:after="0"/>
              <w:rPr>
                <w:sz w:val="10"/>
                <w:szCs w:val="10"/>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(367)</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n.a.</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-113.8%</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2,866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(285)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r>
      <w:tr>
        <w:trPr>
          <w:trHeight w:val="243"/>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Proft before income tax</w:t>
            </w:r>
          </w:p>
        </w:tc>
        <w:tc>
          <w:tcPr>
            <w:tcW w:w="1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b w:val="1"/>
                <w:bCs w:val="1"/>
                <w:color w:val="auto"/>
              </w:rPr>
              <w:t>1,283,811</w:t>
            </w:r>
          </w:p>
        </w:tc>
        <w:tc>
          <w:tcPr>
            <w:tcW w:w="1080" w:type="dxa"/>
            <w:vAlign w:val="bottom"/>
          </w:tcPr>
          <w:p>
            <w:pPr>
              <w:jc w:val="right"/>
              <w:ind w:right="184"/>
              <w:spacing w:after="0"/>
              <w:rPr>
                <w:sz w:val="20"/>
                <w:szCs w:val="20"/>
                <w:color w:val="auto"/>
              </w:rPr>
            </w:pPr>
            <w:r>
              <w:rPr>
                <w:rFonts w:ascii="Calibri" w:cs="Calibri" w:eastAsia="Calibri" w:hAnsi="Calibri"/>
                <w:sz w:val="10"/>
                <w:szCs w:val="10"/>
                <w:b w:val="1"/>
                <w:bCs w:val="1"/>
                <w:color w:val="auto"/>
              </w:rPr>
              <w:t>1,905,648</w:t>
            </w:r>
          </w:p>
        </w:tc>
        <w:tc>
          <w:tcPr>
            <w:tcW w:w="780" w:type="dxa"/>
            <w:vAlign w:val="bottom"/>
            <w:tcBorders>
              <w:right w:val="single" w:sz="8" w:color="auto"/>
            </w:tcBorders>
            <w:gridSpan w:val="2"/>
          </w:tcPr>
          <w:p>
            <w:pPr>
              <w:jc w:val="right"/>
              <w:spacing w:after="0"/>
              <w:rPr>
                <w:sz w:val="20"/>
                <w:szCs w:val="20"/>
                <w:color w:val="auto"/>
              </w:rPr>
            </w:pPr>
            <w:r>
              <w:rPr>
                <w:rFonts w:ascii="Calibri" w:cs="Calibri" w:eastAsia="Calibri" w:hAnsi="Calibri"/>
                <w:sz w:val="10"/>
                <w:szCs w:val="10"/>
                <w:b w:val="1"/>
                <w:bCs w:val="1"/>
                <w:color w:val="auto"/>
              </w:rPr>
              <w:t>1,739,622</w:t>
            </w:r>
          </w:p>
        </w:tc>
        <w:tc>
          <w:tcPr>
            <w:tcW w:w="6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-8.7%</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35.5%</w:t>
            </w:r>
          </w:p>
        </w:tc>
        <w:tc>
          <w:tcPr>
            <w:tcW w:w="1340" w:type="dxa"/>
            <w:vAlign w:val="bottom"/>
          </w:tcPr>
          <w:p>
            <w:pPr>
              <w:jc w:val="right"/>
              <w:ind w:right="299"/>
              <w:spacing w:after="0"/>
              <w:rPr>
                <w:sz w:val="20"/>
                <w:szCs w:val="20"/>
                <w:color w:val="auto"/>
              </w:rPr>
            </w:pPr>
            <w:r>
              <w:rPr>
                <w:rFonts w:ascii="Calibri" w:cs="Calibri" w:eastAsia="Calibri" w:hAnsi="Calibri"/>
                <w:sz w:val="10"/>
                <w:szCs w:val="10"/>
                <w:b w:val="1"/>
                <w:bCs w:val="1"/>
                <w:color w:val="auto"/>
              </w:rPr>
              <w:t>4,520,384</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5,204,460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15.1%</w:t>
            </w:r>
          </w:p>
        </w:tc>
      </w:tr>
      <w:tr>
        <w:trPr>
          <w:trHeight w:val="122"/>
        </w:trPr>
        <w:tc>
          <w:tcPr>
            <w:tcW w:w="31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Income tax</w:t>
            </w:r>
          </w:p>
        </w:tc>
        <w:tc>
          <w:tcPr>
            <w:tcW w:w="180" w:type="dxa"/>
            <w:vAlign w:val="bottom"/>
          </w:tcPr>
          <w:p>
            <w:pPr>
              <w:spacing w:after="0"/>
              <w:rPr>
                <w:sz w:val="10"/>
                <w:szCs w:val="10"/>
                <w:color w:val="auto"/>
              </w:rPr>
            </w:pPr>
          </w:p>
        </w:tc>
        <w:tc>
          <w:tcPr>
            <w:tcW w:w="960" w:type="dxa"/>
            <w:vAlign w:val="bottom"/>
          </w:tcPr>
          <w:p>
            <w:pPr>
              <w:jc w:val="right"/>
              <w:ind w:right="111"/>
              <w:spacing w:after="0"/>
              <w:rPr>
                <w:sz w:val="20"/>
                <w:szCs w:val="20"/>
                <w:color w:val="auto"/>
              </w:rPr>
            </w:pPr>
            <w:r>
              <w:rPr>
                <w:rFonts w:ascii="Calibri" w:cs="Calibri" w:eastAsia="Calibri" w:hAnsi="Calibri"/>
                <w:sz w:val="10"/>
                <w:szCs w:val="10"/>
                <w:color w:val="auto"/>
              </w:rPr>
              <w:t>(46,850)</w:t>
            </w:r>
          </w:p>
        </w:tc>
        <w:tc>
          <w:tcPr>
            <w:tcW w:w="1080" w:type="dxa"/>
            <w:vAlign w:val="bottom"/>
          </w:tcPr>
          <w:p>
            <w:pPr>
              <w:jc w:val="right"/>
              <w:ind w:right="184"/>
              <w:spacing w:after="0"/>
              <w:rPr>
                <w:sz w:val="20"/>
                <w:szCs w:val="20"/>
                <w:color w:val="auto"/>
              </w:rPr>
            </w:pPr>
            <w:r>
              <w:rPr>
                <w:rFonts w:ascii="Calibri" w:cs="Calibri" w:eastAsia="Calibri" w:hAnsi="Calibri"/>
                <w:sz w:val="10"/>
                <w:szCs w:val="10"/>
                <w:color w:val="auto"/>
              </w:rPr>
              <w:t>(51,879)</w:t>
            </w:r>
          </w:p>
        </w:tc>
        <w:tc>
          <w:tcPr>
            <w:tcW w:w="380" w:type="dxa"/>
            <w:vAlign w:val="bottom"/>
          </w:tcPr>
          <w:p>
            <w:pPr>
              <w:spacing w:after="0"/>
              <w:rPr>
                <w:sz w:val="10"/>
                <w:szCs w:val="10"/>
                <w:color w:val="auto"/>
              </w:rPr>
            </w:pPr>
          </w:p>
        </w:tc>
        <w:tc>
          <w:tcPr>
            <w:tcW w:w="40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(43,118)</w:t>
            </w:r>
          </w:p>
        </w:tc>
        <w:tc>
          <w:tcPr>
            <w:tcW w:w="660" w:type="dxa"/>
            <w:vAlign w:val="bottom"/>
          </w:tcPr>
          <w:p>
            <w:pPr>
              <w:spacing w:after="0"/>
              <w:rPr>
                <w:sz w:val="10"/>
                <w:szCs w:val="10"/>
                <w:color w:val="auto"/>
              </w:rPr>
            </w:pPr>
          </w:p>
        </w:tc>
        <w:tc>
          <w:tcPr>
            <w:tcW w:w="380" w:type="dxa"/>
            <w:vAlign w:val="bottom"/>
          </w:tcPr>
          <w:p>
            <w:pPr>
              <w:jc w:val="right"/>
              <w:ind w:right="11"/>
              <w:spacing w:after="0"/>
              <w:rPr>
                <w:sz w:val="20"/>
                <w:szCs w:val="20"/>
                <w:color w:val="auto"/>
              </w:rPr>
            </w:pPr>
            <w:r>
              <w:rPr>
                <w:rFonts w:ascii="Calibri" w:cs="Calibri" w:eastAsia="Calibri" w:hAnsi="Calibri"/>
                <w:sz w:val="10"/>
                <w:szCs w:val="10"/>
                <w:color w:val="auto"/>
              </w:rPr>
              <w:t>-16.9%</w:t>
            </w:r>
          </w:p>
        </w:tc>
        <w:tc>
          <w:tcPr>
            <w:tcW w:w="9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-8.0%</w:t>
            </w:r>
          </w:p>
        </w:tc>
        <w:tc>
          <w:tcPr>
            <w:tcW w:w="1340" w:type="dxa"/>
            <w:vAlign w:val="bottom"/>
          </w:tcPr>
          <w:p>
            <w:pPr>
              <w:jc w:val="right"/>
              <w:ind w:right="299"/>
              <w:spacing w:after="0"/>
              <w:rPr>
                <w:sz w:val="20"/>
                <w:szCs w:val="20"/>
                <w:color w:val="auto"/>
              </w:rPr>
            </w:pPr>
            <w:r>
              <w:rPr>
                <w:rFonts w:ascii="Calibri" w:cs="Calibri" w:eastAsia="Calibri" w:hAnsi="Calibri"/>
                <w:sz w:val="10"/>
                <w:szCs w:val="10"/>
                <w:color w:val="auto"/>
              </w:rPr>
              <w:t>(140,738)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0"/>
                <w:szCs w:val="10"/>
                <w:color w:val="auto"/>
              </w:rPr>
              <w:t>(138,101)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w:t>
            </w:r>
          </w:p>
        </w:tc>
      </w:tr>
      <w:tr>
        <w:trPr>
          <w:trHeight w:val="131"/>
        </w:trPr>
        <w:tc>
          <w:tcPr>
            <w:tcW w:w="3180" w:type="dxa"/>
            <w:vAlign w:val="bottom"/>
            <w:tcBorders>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income</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11"/>
              <w:spacing w:after="0"/>
              <w:rPr>
                <w:sz w:val="20"/>
                <w:szCs w:val="20"/>
                <w:color w:val="auto"/>
              </w:rPr>
            </w:pPr>
            <w:r>
              <w:rPr>
                <w:rFonts w:ascii="Calibri" w:cs="Calibri" w:eastAsia="Calibri" w:hAnsi="Calibri"/>
                <w:sz w:val="10"/>
                <w:szCs w:val="10"/>
                <w:b w:val="1"/>
                <w:bCs w:val="1"/>
                <w:color w:val="auto"/>
              </w:rPr>
              <w:t>1,236,961</w:t>
            </w:r>
          </w:p>
        </w:tc>
        <w:tc>
          <w:tcPr>
            <w:tcW w:w="1080" w:type="dxa"/>
            <w:vAlign w:val="bottom"/>
            <w:tcBorders>
              <w:bottom w:val="single" w:sz="8" w:color="auto"/>
            </w:tcBorders>
          </w:tcPr>
          <w:p>
            <w:pPr>
              <w:jc w:val="right"/>
              <w:ind w:right="184"/>
              <w:spacing w:after="0"/>
              <w:rPr>
                <w:sz w:val="20"/>
                <w:szCs w:val="20"/>
                <w:color w:val="auto"/>
              </w:rPr>
            </w:pPr>
            <w:r>
              <w:rPr>
                <w:rFonts w:ascii="Calibri" w:cs="Calibri" w:eastAsia="Calibri" w:hAnsi="Calibri"/>
                <w:sz w:val="10"/>
                <w:szCs w:val="10"/>
                <w:b w:val="1"/>
                <w:bCs w:val="1"/>
                <w:color w:val="auto"/>
              </w:rPr>
              <w:t>1,853,769</w:t>
            </w:r>
          </w:p>
        </w:tc>
        <w:tc>
          <w:tcPr>
            <w:tcW w:w="780" w:type="dxa"/>
            <w:vAlign w:val="bottom"/>
            <w:tcBorders>
              <w:bottom w:val="single" w:sz="8" w:color="auto"/>
              <w:right w:val="single" w:sz="8" w:color="auto"/>
            </w:tcBorders>
            <w:gridSpan w:val="2"/>
          </w:tcPr>
          <w:p>
            <w:pPr>
              <w:jc w:val="right"/>
              <w:spacing w:after="0"/>
              <w:rPr>
                <w:sz w:val="20"/>
                <w:szCs w:val="20"/>
                <w:color w:val="auto"/>
              </w:rPr>
            </w:pPr>
            <w:r>
              <w:rPr>
                <w:rFonts w:ascii="Calibri" w:cs="Calibri" w:eastAsia="Calibri" w:hAnsi="Calibri"/>
                <w:sz w:val="10"/>
                <w:szCs w:val="10"/>
                <w:b w:val="1"/>
                <w:bCs w:val="1"/>
                <w:color w:val="auto"/>
              </w:rPr>
              <w:t>1,696,504</w:t>
            </w: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1"/>
              <w:spacing w:after="0"/>
              <w:rPr>
                <w:sz w:val="20"/>
                <w:szCs w:val="20"/>
                <w:color w:val="auto"/>
              </w:rPr>
            </w:pPr>
            <w:r>
              <w:rPr>
                <w:rFonts w:ascii="Calibri" w:cs="Calibri" w:eastAsia="Calibri" w:hAnsi="Calibri"/>
                <w:sz w:val="10"/>
                <w:szCs w:val="10"/>
                <w:b w:val="1"/>
                <w:bCs w:val="1"/>
                <w:color w:val="auto"/>
              </w:rPr>
              <w:t>-8.5%</w:t>
            </w:r>
          </w:p>
        </w:tc>
        <w:tc>
          <w:tcPr>
            <w:tcW w:w="9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37.2%</w:t>
            </w:r>
          </w:p>
        </w:tc>
        <w:tc>
          <w:tcPr>
            <w:tcW w:w="1340" w:type="dxa"/>
            <w:vAlign w:val="bottom"/>
            <w:tcBorders>
              <w:bottom w:val="single" w:sz="8" w:color="auto"/>
            </w:tcBorders>
          </w:tcPr>
          <w:p>
            <w:pPr>
              <w:jc w:val="right"/>
              <w:ind w:right="299"/>
              <w:spacing w:after="0"/>
              <w:rPr>
                <w:sz w:val="20"/>
                <w:szCs w:val="20"/>
                <w:color w:val="auto"/>
              </w:rPr>
            </w:pPr>
            <w:r>
              <w:rPr>
                <w:rFonts w:ascii="Calibri" w:cs="Calibri" w:eastAsia="Calibri" w:hAnsi="Calibri"/>
                <w:sz w:val="10"/>
                <w:szCs w:val="10"/>
                <w:b w:val="1"/>
                <w:bCs w:val="1"/>
                <w:color w:val="auto"/>
              </w:rPr>
              <w:t>4,379,646</w:t>
            </w:r>
          </w:p>
        </w:tc>
        <w:tc>
          <w:tcPr>
            <w:tcW w:w="6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0"/>
                <w:szCs w:val="10"/>
                <w:b w:val="1"/>
                <w:bCs w:val="1"/>
                <w:color w:val="auto"/>
              </w:rPr>
              <w:t>5,066,359</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15.7%</w:t>
            </w:r>
          </w:p>
        </w:tc>
      </w:tr>
      <w:tr>
        <w:trPr>
          <w:trHeight w:val="121"/>
        </w:trPr>
        <w:tc>
          <w:tcPr>
            <w:tcW w:w="3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122"/>
        </w:trPr>
        <w:tc>
          <w:tcPr>
            <w:tcW w:w="3180" w:type="dxa"/>
            <w:vAlign w:val="bottom"/>
            <w:tcBorders>
              <w:bottom w:val="single" w:sz="8" w:color="auto"/>
              <w:right w:val="single" w:sz="8" w:color="auto"/>
            </w:tcBorders>
          </w:tcPr>
          <w:p>
            <w:pPr>
              <w:ind w:left="20"/>
              <w:spacing w:after="0" w:line="116" w:lineRule="exact"/>
              <w:rPr>
                <w:sz w:val="20"/>
                <w:szCs w:val="20"/>
                <w:color w:val="auto"/>
              </w:rPr>
            </w:pPr>
            <w:r>
              <w:rPr>
                <w:rFonts w:ascii="Calibri" w:cs="Calibri" w:eastAsia="Calibri" w:hAnsi="Calibri"/>
                <w:sz w:val="10"/>
                <w:szCs w:val="10"/>
                <w:b w:val="1"/>
                <w:bCs w:val="1"/>
                <w:color w:val="auto"/>
              </w:rPr>
              <w:t>Double Leverage Rato</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11"/>
              <w:spacing w:after="0" w:line="116" w:lineRule="exact"/>
              <w:rPr>
                <w:sz w:val="20"/>
                <w:szCs w:val="20"/>
                <w:color w:val="auto"/>
              </w:rPr>
            </w:pPr>
            <w:r>
              <w:rPr>
                <w:rFonts w:ascii="Calibri" w:cs="Calibri" w:eastAsia="Calibri" w:hAnsi="Calibri"/>
                <w:sz w:val="10"/>
                <w:szCs w:val="10"/>
                <w:b w:val="1"/>
                <w:bCs w:val="1"/>
                <w:color w:val="auto"/>
              </w:rPr>
              <w:t>102.2%</w:t>
            </w:r>
          </w:p>
        </w:tc>
        <w:tc>
          <w:tcPr>
            <w:tcW w:w="1080" w:type="dxa"/>
            <w:vAlign w:val="bottom"/>
            <w:tcBorders>
              <w:bottom w:val="single" w:sz="8" w:color="auto"/>
            </w:tcBorders>
          </w:tcPr>
          <w:p>
            <w:pPr>
              <w:jc w:val="right"/>
              <w:ind w:right="184"/>
              <w:spacing w:after="0" w:line="116" w:lineRule="exact"/>
              <w:rPr>
                <w:sz w:val="20"/>
                <w:szCs w:val="20"/>
                <w:color w:val="auto"/>
              </w:rPr>
            </w:pPr>
            <w:r>
              <w:rPr>
                <w:rFonts w:ascii="Calibri" w:cs="Calibri" w:eastAsia="Calibri" w:hAnsi="Calibri"/>
                <w:sz w:val="10"/>
                <w:szCs w:val="10"/>
                <w:b w:val="1"/>
                <w:bCs w:val="1"/>
                <w:color w:val="auto"/>
              </w:rPr>
              <w:t>99.1%</w:t>
            </w: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jc w:val="right"/>
              <w:spacing w:after="0" w:line="116" w:lineRule="exact"/>
              <w:rPr>
                <w:sz w:val="20"/>
                <w:szCs w:val="20"/>
                <w:color w:val="auto"/>
              </w:rPr>
            </w:pPr>
            <w:r>
              <w:rPr>
                <w:rFonts w:ascii="Calibri" w:cs="Calibri" w:eastAsia="Calibri" w:hAnsi="Calibri"/>
                <w:sz w:val="10"/>
                <w:szCs w:val="10"/>
                <w:b w:val="1"/>
                <w:bCs w:val="1"/>
                <w:color w:val="auto"/>
              </w:rPr>
              <w:t>99.3%</w:t>
            </w: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1"/>
              <w:spacing w:after="0" w:line="116" w:lineRule="exact"/>
              <w:rPr>
                <w:sz w:val="20"/>
                <w:szCs w:val="20"/>
                <w:color w:val="auto"/>
              </w:rPr>
            </w:pPr>
            <w:r>
              <w:rPr>
                <w:rFonts w:ascii="Calibri" w:cs="Calibri" w:eastAsia="Calibri" w:hAnsi="Calibri"/>
                <w:sz w:val="10"/>
                <w:szCs w:val="10"/>
                <w:color w:val="auto"/>
              </w:rPr>
              <w:t>20 bps</w:t>
            </w:r>
          </w:p>
        </w:tc>
        <w:tc>
          <w:tcPr>
            <w:tcW w:w="980" w:type="dxa"/>
            <w:vAlign w:val="bottom"/>
            <w:tcBorders>
              <w:bottom w:val="single" w:sz="8" w:color="auto"/>
              <w:right w:val="single" w:sz="8" w:color="auto"/>
            </w:tcBorders>
          </w:tcPr>
          <w:p>
            <w:pPr>
              <w:jc w:val="right"/>
              <w:spacing w:after="0" w:line="116" w:lineRule="exact"/>
              <w:rPr>
                <w:sz w:val="20"/>
                <w:szCs w:val="20"/>
                <w:color w:val="auto"/>
              </w:rPr>
            </w:pPr>
            <w:r>
              <w:rPr>
                <w:rFonts w:ascii="Calibri" w:cs="Calibri" w:eastAsia="Calibri" w:hAnsi="Calibri"/>
                <w:sz w:val="10"/>
                <w:szCs w:val="10"/>
                <w:color w:val="auto"/>
              </w:rPr>
              <w:t>-284 bps</w:t>
            </w:r>
          </w:p>
        </w:tc>
        <w:tc>
          <w:tcPr>
            <w:tcW w:w="1340" w:type="dxa"/>
            <w:vAlign w:val="bottom"/>
            <w:tcBorders>
              <w:bottom w:val="single" w:sz="8" w:color="auto"/>
            </w:tcBorders>
          </w:tcPr>
          <w:p>
            <w:pPr>
              <w:jc w:val="right"/>
              <w:ind w:right="299"/>
              <w:spacing w:after="0" w:line="116" w:lineRule="exact"/>
              <w:rPr>
                <w:sz w:val="20"/>
                <w:szCs w:val="20"/>
                <w:color w:val="auto"/>
              </w:rPr>
            </w:pPr>
            <w:r>
              <w:rPr>
                <w:rFonts w:ascii="Calibri" w:cs="Calibri" w:eastAsia="Calibri" w:hAnsi="Calibri"/>
                <w:sz w:val="10"/>
                <w:szCs w:val="10"/>
                <w:b w:val="1"/>
                <w:bCs w:val="1"/>
                <w:color w:val="auto"/>
              </w:rPr>
              <w:t>102.2%</w:t>
            </w:r>
          </w:p>
        </w:tc>
        <w:tc>
          <w:tcPr>
            <w:tcW w:w="680" w:type="dxa"/>
            <w:vAlign w:val="bottom"/>
            <w:tcBorders>
              <w:bottom w:val="single" w:sz="8" w:color="auto"/>
              <w:right w:val="single" w:sz="8" w:color="auto"/>
            </w:tcBorders>
          </w:tcPr>
          <w:p>
            <w:pPr>
              <w:jc w:val="right"/>
              <w:spacing w:after="0" w:line="116" w:lineRule="exact"/>
              <w:rPr>
                <w:sz w:val="20"/>
                <w:szCs w:val="20"/>
                <w:color w:val="auto"/>
              </w:rPr>
            </w:pPr>
            <w:r>
              <w:rPr>
                <w:rFonts w:ascii="Calibri" w:cs="Calibri" w:eastAsia="Calibri" w:hAnsi="Calibri"/>
                <w:sz w:val="10"/>
                <w:szCs w:val="10"/>
                <w:b w:val="1"/>
                <w:bCs w:val="1"/>
                <w:color w:val="auto"/>
              </w:rPr>
              <w:t>99.3%</w:t>
            </w:r>
          </w:p>
        </w:tc>
        <w:tc>
          <w:tcPr>
            <w:tcW w:w="1020" w:type="dxa"/>
            <w:vAlign w:val="bottom"/>
            <w:tcBorders>
              <w:bottom w:val="single" w:sz="8" w:color="auto"/>
              <w:right w:val="single" w:sz="8" w:color="auto"/>
            </w:tcBorders>
          </w:tcPr>
          <w:p>
            <w:pPr>
              <w:jc w:val="right"/>
              <w:ind w:right="279"/>
              <w:spacing w:after="0" w:line="116" w:lineRule="exact"/>
              <w:rPr>
                <w:sz w:val="20"/>
                <w:szCs w:val="20"/>
                <w:color w:val="auto"/>
              </w:rPr>
            </w:pPr>
            <w:r>
              <w:rPr>
                <w:rFonts w:ascii="Calibri" w:cs="Calibri" w:eastAsia="Calibri" w:hAnsi="Calibri"/>
                <w:sz w:val="10"/>
                <w:szCs w:val="10"/>
                <w:color w:val="auto"/>
              </w:rPr>
              <w:t>-284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-6780530</wp:posOffset>
            </wp:positionV>
            <wp:extent cx="108013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453"/>
        </w:trPr>
        <w:tc>
          <w:tcPr>
            <w:tcW w:w="6780" w:type="dxa"/>
            <w:vAlign w:val="bottom"/>
            <w:tcBorders>
              <w:left w:val="single" w:sz="8" w:color="auto"/>
            </w:tcBorders>
            <w:gridSpan w:val="3"/>
            <w:shd w:val="clear" w:color="auto" w:fill="000000"/>
          </w:tcPr>
          <w:p>
            <w:pPr>
              <w:ind w:left="270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3740" w:type="dxa"/>
            <w:vAlign w:val="bottom"/>
            <w:gridSpan w:val="3"/>
            <w:shd w:val="clear" w:color="auto" w:fill="000000"/>
          </w:tcPr>
          <w:p>
            <w:pPr>
              <w:ind w:left="860"/>
              <w:spacing w:after="0"/>
              <w:rPr>
                <w:sz w:val="20"/>
                <w:szCs w:val="20"/>
                <w:color w:val="auto"/>
              </w:rPr>
            </w:pPr>
            <w:r>
              <w:rPr>
                <w:rFonts w:ascii="Calibri" w:cs="Calibri" w:eastAsia="Calibri" w:hAnsi="Calibri"/>
                <w:sz w:val="16"/>
                <w:szCs w:val="16"/>
                <w:color w:val="ED3FA8"/>
              </w:rPr>
              <w:t>Analysis of 3Q24 Consolidated Results</w:t>
            </w:r>
          </w:p>
        </w:tc>
        <w:tc>
          <w:tcPr>
            <w:tcW w:w="720" w:type="dxa"/>
            <w:vAlign w:val="bottom"/>
            <w:tcBorders>
              <w:right w:val="single" w:sz="8" w:color="auto"/>
            </w:tcBorders>
            <w:shd w:val="clear" w:color="auto" w:fill="000000"/>
          </w:tcPr>
          <w:p>
            <w:pPr>
              <w:spacing w:after="0"/>
              <w:rPr>
                <w:sz w:val="24"/>
                <w:szCs w:val="24"/>
                <w:color w:val="auto"/>
              </w:rPr>
            </w:pPr>
          </w:p>
        </w:tc>
      </w:tr>
      <w:tr>
        <w:trPr>
          <w:trHeight w:val="330"/>
        </w:trPr>
        <w:tc>
          <w:tcPr>
            <w:tcW w:w="4060" w:type="dxa"/>
            <w:vAlign w:val="bottom"/>
            <w:tcBorders>
              <w:left w:val="single" w:sz="8" w:color="auto"/>
            </w:tcBorders>
            <w:shd w:val="clear" w:color="auto" w:fill="000000"/>
          </w:tcPr>
          <w:p>
            <w:pPr>
              <w:spacing w:after="0"/>
              <w:rPr>
                <w:sz w:val="24"/>
                <w:szCs w:val="24"/>
                <w:color w:val="auto"/>
              </w:rPr>
            </w:pPr>
          </w:p>
        </w:tc>
        <w:tc>
          <w:tcPr>
            <w:tcW w:w="1040" w:type="dxa"/>
            <w:vAlign w:val="bottom"/>
            <w:tcBorders>
              <w:right w:val="single" w:sz="8" w:color="auto"/>
            </w:tcBorders>
            <w:shd w:val="clear" w:color="auto" w:fill="000000"/>
          </w:tcPr>
          <w:p>
            <w:pPr>
              <w:spacing w:after="0"/>
              <w:rPr>
                <w:sz w:val="24"/>
                <w:szCs w:val="24"/>
                <w:color w:val="auto"/>
              </w:rPr>
            </w:pPr>
          </w:p>
        </w:tc>
        <w:tc>
          <w:tcPr>
            <w:tcW w:w="1680" w:type="dxa"/>
            <w:vAlign w:val="bottom"/>
            <w:shd w:val="clear" w:color="auto" w:fill="000000"/>
          </w:tcPr>
          <w:p>
            <w:pPr>
              <w:spacing w:after="0"/>
              <w:rPr>
                <w:sz w:val="24"/>
                <w:szCs w:val="24"/>
                <w:color w:val="auto"/>
              </w:rPr>
            </w:pPr>
          </w:p>
        </w:tc>
        <w:tc>
          <w:tcPr>
            <w:tcW w:w="1360" w:type="dxa"/>
            <w:vAlign w:val="bottom"/>
            <w:shd w:val="clear" w:color="auto" w:fill="000000"/>
          </w:tcPr>
          <w:p>
            <w:pPr>
              <w:spacing w:after="0"/>
              <w:rPr>
                <w:sz w:val="24"/>
                <w:szCs w:val="24"/>
                <w:color w:val="auto"/>
              </w:rPr>
            </w:pPr>
          </w:p>
        </w:tc>
        <w:tc>
          <w:tcPr>
            <w:tcW w:w="1100" w:type="dxa"/>
            <w:vAlign w:val="bottom"/>
            <w:tcBorders>
              <w:right w:val="single" w:sz="8" w:color="auto"/>
            </w:tcBorders>
            <w:shd w:val="clear" w:color="auto" w:fill="000000"/>
          </w:tcPr>
          <w:p>
            <w:pPr>
              <w:spacing w:after="0"/>
              <w:rPr>
                <w:sz w:val="24"/>
                <w:szCs w:val="24"/>
                <w:color w:val="auto"/>
              </w:rPr>
            </w:pPr>
          </w:p>
        </w:tc>
        <w:tc>
          <w:tcPr>
            <w:tcW w:w="1280" w:type="dxa"/>
            <w:vAlign w:val="bottom"/>
            <w:shd w:val="clear" w:color="auto" w:fill="000000"/>
          </w:tcPr>
          <w:p>
            <w:pPr>
              <w:spacing w:after="0"/>
              <w:rPr>
                <w:sz w:val="24"/>
                <w:szCs w:val="24"/>
                <w:color w:val="auto"/>
              </w:rPr>
            </w:pPr>
          </w:p>
        </w:tc>
        <w:tc>
          <w:tcPr>
            <w:tcW w:w="720" w:type="dxa"/>
            <w:vAlign w:val="bottom"/>
            <w:tcBorders>
              <w:right w:val="single" w:sz="8" w:color="auto"/>
            </w:tcBorders>
            <w:shd w:val="clear" w:color="auto" w:fill="000000"/>
          </w:tcPr>
          <w:p>
            <w:pPr>
              <w:spacing w:after="0"/>
              <w:rPr>
                <w:sz w:val="24"/>
                <w:szCs w:val="24"/>
                <w:color w:val="auto"/>
              </w:rPr>
            </w:pPr>
          </w:p>
        </w:tc>
      </w:tr>
      <w:tr>
        <w:trPr>
          <w:trHeight w:val="264"/>
        </w:trPr>
        <w:tc>
          <w:tcPr>
            <w:tcW w:w="406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1040" w:type="dxa"/>
            <w:vAlign w:val="bottom"/>
            <w:tcBorders>
              <w:right w:val="single" w:sz="8" w:color="E93BAC"/>
            </w:tcBorders>
            <w:shd w:val="clear" w:color="auto" w:fill="E93BAC"/>
          </w:tcPr>
          <w:p>
            <w:pPr>
              <w:spacing w:after="0"/>
              <w:rPr>
                <w:sz w:val="22"/>
                <w:szCs w:val="22"/>
                <w:color w:val="auto"/>
              </w:rPr>
            </w:pPr>
          </w:p>
        </w:tc>
        <w:tc>
          <w:tcPr>
            <w:tcW w:w="1680" w:type="dxa"/>
            <w:vAlign w:val="bottom"/>
            <w:shd w:val="clear" w:color="auto" w:fill="E93BAC"/>
          </w:tcPr>
          <w:p>
            <w:pPr>
              <w:spacing w:after="0"/>
              <w:rPr>
                <w:sz w:val="22"/>
                <w:szCs w:val="22"/>
                <w:color w:val="auto"/>
              </w:rPr>
            </w:pPr>
          </w:p>
        </w:tc>
        <w:tc>
          <w:tcPr>
            <w:tcW w:w="1360" w:type="dxa"/>
            <w:vAlign w:val="bottom"/>
            <w:shd w:val="clear" w:color="auto" w:fill="E93BAC"/>
          </w:tcPr>
          <w:p>
            <w:pPr>
              <w:spacing w:after="0"/>
              <w:rPr>
                <w:sz w:val="22"/>
                <w:szCs w:val="22"/>
                <w:color w:val="auto"/>
              </w:rPr>
            </w:pPr>
          </w:p>
        </w:tc>
        <w:tc>
          <w:tcPr>
            <w:tcW w:w="1100" w:type="dxa"/>
            <w:vAlign w:val="bottom"/>
            <w:tcBorders>
              <w:right w:val="single" w:sz="8" w:color="E93BAC"/>
            </w:tcBorders>
            <w:shd w:val="clear" w:color="auto" w:fill="E93BAC"/>
          </w:tcPr>
          <w:p>
            <w:pPr>
              <w:spacing w:after="0"/>
              <w:rPr>
                <w:sz w:val="22"/>
                <w:szCs w:val="22"/>
                <w:color w:val="auto"/>
              </w:rPr>
            </w:pPr>
          </w:p>
        </w:tc>
        <w:tc>
          <w:tcPr>
            <w:tcW w:w="1280" w:type="dxa"/>
            <w:vAlign w:val="bottom"/>
            <w:shd w:val="clear" w:color="auto" w:fill="E93BAC"/>
          </w:tcPr>
          <w:p>
            <w:pPr>
              <w:spacing w:after="0"/>
              <w:rPr>
                <w:sz w:val="22"/>
                <w:szCs w:val="22"/>
                <w:color w:val="auto"/>
              </w:rPr>
            </w:pPr>
          </w:p>
        </w:tc>
        <w:tc>
          <w:tcPr>
            <w:tcW w:w="720" w:type="dxa"/>
            <w:vAlign w:val="bottom"/>
            <w:tcBorders>
              <w:right w:val="single" w:sz="8" w:color="E93BAC"/>
            </w:tcBorders>
            <w:shd w:val="clear" w:color="auto" w:fill="E93BAC"/>
          </w:tcPr>
          <w:p>
            <w:pPr>
              <w:spacing w:after="0"/>
              <w:rPr>
                <w:sz w:val="22"/>
                <w:szCs w:val="22"/>
                <w:color w:val="auto"/>
              </w:rPr>
            </w:pPr>
          </w:p>
        </w:tc>
      </w:tr>
      <w:tr>
        <w:trPr>
          <w:trHeight w:val="87"/>
        </w:trPr>
        <w:tc>
          <w:tcPr>
            <w:tcW w:w="4060" w:type="dxa"/>
            <w:vAlign w:val="bottom"/>
            <w:tcBorders>
              <w:left w:val="single" w:sz="8" w:color="E93BAC"/>
            </w:tcBorders>
            <w:shd w:val="clear" w:color="auto" w:fill="E93BAC"/>
          </w:tcPr>
          <w:p>
            <w:pPr>
              <w:spacing w:after="0"/>
              <w:rPr>
                <w:sz w:val="7"/>
                <w:szCs w:val="7"/>
                <w:color w:val="auto"/>
              </w:rPr>
            </w:pPr>
          </w:p>
        </w:tc>
        <w:tc>
          <w:tcPr>
            <w:tcW w:w="1040" w:type="dxa"/>
            <w:vAlign w:val="bottom"/>
            <w:tcBorders>
              <w:right w:val="single" w:sz="8" w:color="E93BAC"/>
            </w:tcBorders>
            <w:shd w:val="clear" w:color="auto" w:fill="E93BAC"/>
          </w:tcPr>
          <w:p>
            <w:pPr>
              <w:spacing w:after="0"/>
              <w:rPr>
                <w:sz w:val="7"/>
                <w:szCs w:val="7"/>
                <w:color w:val="auto"/>
              </w:rPr>
            </w:pPr>
          </w:p>
        </w:tc>
        <w:tc>
          <w:tcPr>
            <w:tcW w:w="1680" w:type="dxa"/>
            <w:vAlign w:val="bottom"/>
            <w:shd w:val="clear" w:color="auto" w:fill="E93BAC"/>
          </w:tcPr>
          <w:p>
            <w:pPr>
              <w:spacing w:after="0"/>
              <w:rPr>
                <w:sz w:val="7"/>
                <w:szCs w:val="7"/>
                <w:color w:val="auto"/>
              </w:rPr>
            </w:pPr>
          </w:p>
        </w:tc>
        <w:tc>
          <w:tcPr>
            <w:tcW w:w="1360" w:type="dxa"/>
            <w:vAlign w:val="bottom"/>
            <w:shd w:val="clear" w:color="auto" w:fill="E93BAC"/>
          </w:tcPr>
          <w:p>
            <w:pPr>
              <w:spacing w:after="0"/>
              <w:rPr>
                <w:sz w:val="7"/>
                <w:szCs w:val="7"/>
                <w:color w:val="auto"/>
              </w:rPr>
            </w:pPr>
          </w:p>
        </w:tc>
        <w:tc>
          <w:tcPr>
            <w:tcW w:w="1100" w:type="dxa"/>
            <w:vAlign w:val="bottom"/>
            <w:tcBorders>
              <w:right w:val="single" w:sz="8" w:color="E93BAC"/>
            </w:tcBorders>
            <w:shd w:val="clear" w:color="auto" w:fill="E93BAC"/>
          </w:tcPr>
          <w:p>
            <w:pPr>
              <w:spacing w:after="0"/>
              <w:rPr>
                <w:sz w:val="7"/>
                <w:szCs w:val="7"/>
                <w:color w:val="auto"/>
              </w:rPr>
            </w:pPr>
          </w:p>
        </w:tc>
        <w:tc>
          <w:tcPr>
            <w:tcW w:w="1280" w:type="dxa"/>
            <w:vAlign w:val="bottom"/>
            <w:shd w:val="clear" w:color="auto" w:fill="E93BAC"/>
          </w:tcPr>
          <w:p>
            <w:pPr>
              <w:spacing w:after="0"/>
              <w:rPr>
                <w:sz w:val="7"/>
                <w:szCs w:val="7"/>
                <w:color w:val="auto"/>
              </w:rPr>
            </w:pPr>
          </w:p>
        </w:tc>
        <w:tc>
          <w:tcPr>
            <w:tcW w:w="720" w:type="dxa"/>
            <w:vAlign w:val="bottom"/>
            <w:tcBorders>
              <w:right w:val="single" w:sz="8" w:color="E93BAC"/>
            </w:tcBorders>
            <w:shd w:val="clear" w:color="auto" w:fill="E93BAC"/>
          </w:tcPr>
          <w:p>
            <w:pPr>
              <w:spacing w:after="0"/>
              <w:rPr>
                <w:sz w:val="7"/>
                <w:szCs w:val="7"/>
                <w:color w:val="auto"/>
              </w:rPr>
            </w:pPr>
          </w:p>
        </w:tc>
      </w:tr>
      <w:tr>
        <w:trPr>
          <w:trHeight w:val="408"/>
        </w:trPr>
        <w:tc>
          <w:tcPr>
            <w:tcW w:w="4060" w:type="dxa"/>
            <w:vAlign w:val="bottom"/>
          </w:tcPr>
          <w:p>
            <w:pPr>
              <w:spacing w:after="0"/>
              <w:rPr>
                <w:sz w:val="20"/>
                <w:szCs w:val="20"/>
                <w:color w:val="auto"/>
              </w:rPr>
            </w:pPr>
            <w:r>
              <w:rPr>
                <w:rFonts w:ascii="Calibri" w:cs="Calibri" w:eastAsia="Calibri" w:hAnsi="Calibri"/>
                <w:sz w:val="18"/>
                <w:szCs w:val="18"/>
                <w:b w:val="1"/>
                <w:bCs w:val="1"/>
                <w:color w:val="auto"/>
              </w:rPr>
              <w:t>12.6.3  BCP Consolidated</w:t>
            </w: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4060" w:type="dxa"/>
            <w:vAlign w:val="bottom"/>
          </w:tcPr>
          <w:p>
            <w:pPr>
              <w:spacing w:after="0"/>
              <w:rPr>
                <w:sz w:val="17"/>
                <w:szCs w:val="17"/>
                <w:color w:val="auto"/>
              </w:rPr>
            </w:pPr>
          </w:p>
        </w:tc>
        <w:tc>
          <w:tcPr>
            <w:tcW w:w="4080" w:type="dxa"/>
            <w:vAlign w:val="bottom"/>
            <w:gridSpan w:val="3"/>
          </w:tcPr>
          <w:p>
            <w:pPr>
              <w:jc w:val="right"/>
              <w:ind w:right="952"/>
              <w:spacing w:after="0"/>
              <w:rPr>
                <w:sz w:val="20"/>
                <w:szCs w:val="20"/>
                <w:color w:val="auto"/>
              </w:rPr>
            </w:pPr>
            <w:r>
              <w:rPr>
                <w:rFonts w:ascii="Calibri" w:cs="Calibri" w:eastAsia="Calibri" w:hAnsi="Calibri"/>
                <w:sz w:val="16"/>
                <w:szCs w:val="16"/>
                <w:b w:val="1"/>
                <w:bCs w:val="1"/>
                <w:color w:val="auto"/>
              </w:rPr>
              <w:t>Consolidated Statement of Financial Positon</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720" w:type="dxa"/>
            <w:vAlign w:val="bottom"/>
            <w:gridSpan w:val="2"/>
          </w:tcPr>
          <w:p>
            <w:pPr>
              <w:jc w:val="right"/>
              <w:ind w:right="412"/>
              <w:spacing w:after="0"/>
              <w:rPr>
                <w:sz w:val="20"/>
                <w:szCs w:val="20"/>
                <w:color w:val="auto"/>
              </w:rPr>
            </w:pPr>
            <w:r>
              <w:rPr>
                <w:rFonts w:ascii="Calibri" w:cs="Calibri" w:eastAsia="Calibri" w:hAnsi="Calibri"/>
                <w:sz w:val="16"/>
                <w:szCs w:val="16"/>
                <w:b w:val="1"/>
                <w:bCs w:val="1"/>
                <w:color w:val="auto"/>
              </w:rPr>
              <w:t>(S/ Thousands, IFRS)</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3"/>
        </w:trPr>
        <w:tc>
          <w:tcPr>
            <w:tcW w:w="40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163"/>
        </w:trPr>
        <w:tc>
          <w:tcPr>
            <w:tcW w:w="4060" w:type="dxa"/>
            <w:vAlign w:val="bottom"/>
            <w:tcBorders>
              <w:left w:val="single" w:sz="8" w:color="auto"/>
            </w:tcBorders>
            <w:shd w:val="clear" w:color="auto" w:fill="33CCCC"/>
          </w:tcPr>
          <w:p>
            <w:pPr>
              <w:spacing w:after="0"/>
              <w:rPr>
                <w:sz w:val="14"/>
                <w:szCs w:val="14"/>
                <w:color w:val="auto"/>
              </w:rPr>
            </w:pPr>
          </w:p>
        </w:tc>
        <w:tc>
          <w:tcPr>
            <w:tcW w:w="1040" w:type="dxa"/>
            <w:vAlign w:val="bottom"/>
            <w:tcBorders>
              <w:right w:val="single" w:sz="8" w:color="auto"/>
            </w:tcBorders>
            <w:shd w:val="clear" w:color="auto" w:fill="33CCCC"/>
          </w:tcPr>
          <w:p>
            <w:pPr>
              <w:spacing w:after="0"/>
              <w:rPr>
                <w:sz w:val="14"/>
                <w:szCs w:val="14"/>
                <w:color w:val="auto"/>
              </w:rPr>
            </w:pPr>
          </w:p>
        </w:tc>
        <w:tc>
          <w:tcPr>
            <w:tcW w:w="1680" w:type="dxa"/>
            <w:vAlign w:val="bottom"/>
            <w:shd w:val="clear" w:color="auto" w:fill="33CCCC"/>
          </w:tcPr>
          <w:p>
            <w:pPr>
              <w:spacing w:after="0"/>
              <w:rPr>
                <w:sz w:val="14"/>
                <w:szCs w:val="14"/>
                <w:color w:val="auto"/>
              </w:rPr>
            </w:pPr>
          </w:p>
        </w:tc>
        <w:tc>
          <w:tcPr>
            <w:tcW w:w="1360" w:type="dxa"/>
            <w:vAlign w:val="bottom"/>
            <w:shd w:val="clear" w:color="auto" w:fill="33CCCC"/>
          </w:tcPr>
          <w:p>
            <w:pPr>
              <w:jc w:val="right"/>
              <w:ind w:right="772"/>
              <w:spacing w:after="0" w:line="164" w:lineRule="exact"/>
              <w:rPr>
                <w:sz w:val="20"/>
                <w:szCs w:val="20"/>
                <w:color w:val="auto"/>
              </w:rPr>
            </w:pPr>
            <w:r>
              <w:rPr>
                <w:rFonts w:ascii="Calibri" w:cs="Calibri" w:eastAsia="Calibri" w:hAnsi="Calibri"/>
                <w:sz w:val="14"/>
                <w:szCs w:val="14"/>
                <w:color w:val="FFFFFF"/>
              </w:rPr>
              <w:t>As of</w:t>
            </w:r>
          </w:p>
        </w:tc>
        <w:tc>
          <w:tcPr>
            <w:tcW w:w="1100" w:type="dxa"/>
            <w:vAlign w:val="bottom"/>
            <w:tcBorders>
              <w:right w:val="single" w:sz="8" w:color="auto"/>
            </w:tcBorders>
            <w:shd w:val="clear" w:color="auto" w:fill="33CCCC"/>
          </w:tcPr>
          <w:p>
            <w:pPr>
              <w:spacing w:after="0"/>
              <w:rPr>
                <w:sz w:val="14"/>
                <w:szCs w:val="14"/>
                <w:color w:val="auto"/>
              </w:rPr>
            </w:pPr>
          </w:p>
        </w:tc>
        <w:tc>
          <w:tcPr>
            <w:tcW w:w="1280" w:type="dxa"/>
            <w:vAlign w:val="bottom"/>
            <w:shd w:val="clear" w:color="auto" w:fill="33CCCC"/>
          </w:tcPr>
          <w:p>
            <w:pPr>
              <w:ind w:left="720"/>
              <w:spacing w:after="0" w:line="164" w:lineRule="exact"/>
              <w:rPr>
                <w:sz w:val="20"/>
                <w:szCs w:val="20"/>
                <w:color w:val="auto"/>
              </w:rPr>
            </w:pPr>
            <w:r>
              <w:rPr>
                <w:rFonts w:ascii="Calibri" w:cs="Calibri" w:eastAsia="Calibri" w:hAnsi="Calibri"/>
                <w:sz w:val="14"/>
                <w:szCs w:val="14"/>
                <w:color w:val="FFFFFF"/>
                <w:w w:val="99"/>
              </w:rPr>
              <w:t>% change</w:t>
            </w:r>
          </w:p>
        </w:tc>
        <w:tc>
          <w:tcPr>
            <w:tcW w:w="720" w:type="dxa"/>
            <w:vAlign w:val="bottom"/>
            <w:tcBorders>
              <w:right w:val="single" w:sz="8" w:color="auto"/>
            </w:tcBorders>
            <w:shd w:val="clear" w:color="auto" w:fill="33CCCC"/>
          </w:tcPr>
          <w:p>
            <w:pPr>
              <w:spacing w:after="0"/>
              <w:rPr>
                <w:sz w:val="14"/>
                <w:szCs w:val="14"/>
                <w:color w:val="auto"/>
              </w:rPr>
            </w:pPr>
          </w:p>
        </w:tc>
      </w:tr>
      <w:tr>
        <w:trPr>
          <w:trHeight w:val="176"/>
        </w:trPr>
        <w:tc>
          <w:tcPr>
            <w:tcW w:w="4060" w:type="dxa"/>
            <w:vAlign w:val="bottom"/>
            <w:tcBorders>
              <w:left w:val="single" w:sz="8" w:color="auto"/>
              <w:bottom w:val="single" w:sz="8" w:color="auto"/>
            </w:tcBorders>
            <w:shd w:val="clear" w:color="auto" w:fill="33CCCC"/>
          </w:tcPr>
          <w:p>
            <w:pPr>
              <w:spacing w:after="0"/>
              <w:rPr>
                <w:sz w:val="15"/>
                <w:szCs w:val="15"/>
                <w:color w:val="auto"/>
              </w:rPr>
            </w:pPr>
          </w:p>
        </w:tc>
        <w:tc>
          <w:tcPr>
            <w:tcW w:w="1040" w:type="dxa"/>
            <w:vAlign w:val="bottom"/>
            <w:tcBorders>
              <w:bottom w:val="single" w:sz="8" w:color="auto"/>
              <w:right w:val="single" w:sz="8" w:color="auto"/>
            </w:tcBorders>
            <w:shd w:val="clear" w:color="auto" w:fill="33CCCC"/>
          </w:tcPr>
          <w:p>
            <w:pPr>
              <w:spacing w:after="0"/>
              <w:rPr>
                <w:sz w:val="15"/>
                <w:szCs w:val="15"/>
                <w:color w:val="auto"/>
              </w:rPr>
            </w:pPr>
          </w:p>
        </w:tc>
        <w:tc>
          <w:tcPr>
            <w:tcW w:w="1680" w:type="dxa"/>
            <w:vAlign w:val="bottom"/>
            <w:tcBorders>
              <w:bottom w:val="single" w:sz="8" w:color="auto"/>
            </w:tcBorders>
            <w:shd w:val="clear" w:color="auto" w:fill="33CCCC"/>
          </w:tcPr>
          <w:p>
            <w:pPr>
              <w:jc w:val="right"/>
              <w:ind w:right="692"/>
              <w:spacing w:after="0"/>
              <w:rPr>
                <w:sz w:val="20"/>
                <w:szCs w:val="20"/>
                <w:color w:val="auto"/>
              </w:rPr>
            </w:pPr>
            <w:r>
              <w:rPr>
                <w:rFonts w:ascii="Calibri" w:cs="Calibri" w:eastAsia="Calibri" w:hAnsi="Calibri"/>
                <w:sz w:val="14"/>
                <w:szCs w:val="14"/>
                <w:color w:val="FFFFFF"/>
              </w:rPr>
              <w:t>Sep 23</w:t>
            </w:r>
          </w:p>
        </w:tc>
        <w:tc>
          <w:tcPr>
            <w:tcW w:w="1360" w:type="dxa"/>
            <w:vAlign w:val="bottom"/>
            <w:tcBorders>
              <w:bottom w:val="single" w:sz="8" w:color="auto"/>
            </w:tcBorders>
            <w:shd w:val="clear" w:color="auto" w:fill="33CCCC"/>
          </w:tcPr>
          <w:p>
            <w:pPr>
              <w:jc w:val="right"/>
              <w:ind w:right="652"/>
              <w:spacing w:after="0"/>
              <w:rPr>
                <w:sz w:val="20"/>
                <w:szCs w:val="20"/>
                <w:color w:val="auto"/>
              </w:rPr>
            </w:pPr>
            <w:r>
              <w:rPr>
                <w:rFonts w:ascii="Calibri" w:cs="Calibri" w:eastAsia="Calibri" w:hAnsi="Calibri"/>
                <w:sz w:val="14"/>
                <w:szCs w:val="14"/>
                <w:color w:val="FFFFFF"/>
              </w:rPr>
              <w:t>Jun 24</w:t>
            </w:r>
          </w:p>
        </w:tc>
        <w:tc>
          <w:tcPr>
            <w:tcW w:w="1100" w:type="dxa"/>
            <w:vAlign w:val="bottom"/>
            <w:tcBorders>
              <w:bottom w:val="single" w:sz="8" w:color="auto"/>
              <w:right w:val="single" w:sz="8" w:color="auto"/>
            </w:tcBorders>
            <w:shd w:val="clear" w:color="auto" w:fill="33CCCC"/>
          </w:tcPr>
          <w:p>
            <w:pPr>
              <w:jc w:val="right"/>
              <w:ind w:right="412"/>
              <w:spacing w:after="0"/>
              <w:rPr>
                <w:sz w:val="20"/>
                <w:szCs w:val="20"/>
                <w:color w:val="auto"/>
              </w:rPr>
            </w:pPr>
            <w:r>
              <w:rPr>
                <w:rFonts w:ascii="Calibri" w:cs="Calibri" w:eastAsia="Calibri" w:hAnsi="Calibri"/>
                <w:sz w:val="14"/>
                <w:szCs w:val="14"/>
                <w:color w:val="FFFFFF"/>
              </w:rPr>
              <w:t>Sep 24</w:t>
            </w:r>
          </w:p>
        </w:tc>
        <w:tc>
          <w:tcPr>
            <w:tcW w:w="1280" w:type="dxa"/>
            <w:vAlign w:val="bottom"/>
            <w:tcBorders>
              <w:bottom w:val="single" w:sz="8" w:color="auto"/>
            </w:tcBorders>
            <w:shd w:val="clear" w:color="auto" w:fill="33CCCC"/>
          </w:tcPr>
          <w:p>
            <w:pPr>
              <w:jc w:val="center"/>
              <w:ind w:right="212"/>
              <w:spacing w:after="0"/>
              <w:rPr>
                <w:sz w:val="20"/>
                <w:szCs w:val="20"/>
                <w:color w:val="auto"/>
              </w:rPr>
            </w:pPr>
            <w:r>
              <w:rPr>
                <w:rFonts w:ascii="Calibri" w:cs="Calibri" w:eastAsia="Calibri" w:hAnsi="Calibri"/>
                <w:sz w:val="14"/>
                <w:szCs w:val="14"/>
                <w:color w:val="FFFFFF"/>
              </w:rPr>
              <w:t>QoQ</w:t>
            </w:r>
          </w:p>
        </w:tc>
        <w:tc>
          <w:tcPr>
            <w:tcW w:w="72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Calibri" w:cs="Calibri" w:eastAsia="Calibri" w:hAnsi="Calibri"/>
                <w:sz w:val="14"/>
                <w:szCs w:val="14"/>
                <w:color w:val="FFFFFF"/>
              </w:rPr>
              <w:t>YoY</w:t>
            </w:r>
          </w:p>
        </w:tc>
      </w:tr>
      <w:tr>
        <w:trPr>
          <w:trHeight w:val="158"/>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ASSETS</w:t>
            </w:r>
          </w:p>
        </w:tc>
        <w:tc>
          <w:tcPr>
            <w:tcW w:w="1040" w:type="dxa"/>
            <w:vAlign w:val="bottom"/>
            <w:tcBorders>
              <w:right w:val="single" w:sz="8" w:color="auto"/>
            </w:tcBorders>
          </w:tcPr>
          <w:p>
            <w:pPr>
              <w:spacing w:after="0"/>
              <w:rPr>
                <w:sz w:val="13"/>
                <w:szCs w:val="13"/>
                <w:color w:val="auto"/>
              </w:rPr>
            </w:pPr>
          </w:p>
        </w:tc>
        <w:tc>
          <w:tcPr>
            <w:tcW w:w="16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70"/>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Cash and due from banks</w:t>
            </w:r>
          </w:p>
        </w:tc>
        <w:tc>
          <w:tcPr>
            <w:tcW w:w="1040" w:type="dxa"/>
            <w:vAlign w:val="bottom"/>
            <w:tcBorders>
              <w:right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Non-interest bearing</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6,041,081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5,464,859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5,134,613</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-6.0%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-15.0%</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Interest bearing</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23,912,271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26,093,132</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36,092,693</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w w:val="98"/>
              </w:rPr>
              <w:t>38.3%</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50.9%</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Total cash and due from banks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29,953,352</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31,557,991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41,227,306</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w w:val="98"/>
              </w:rPr>
              <w:t>30.6%</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37.6%</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Cash collateral, reverse repurchase agreements and securites borrowing</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207,284</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839,649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622,399</w:t>
            </w:r>
          </w:p>
        </w:tc>
        <w:tc>
          <w:tcPr>
            <w:tcW w:w="1280" w:type="dxa"/>
            <w:vAlign w:val="bottom"/>
          </w:tcPr>
          <w:p>
            <w:pPr>
              <w:jc w:val="center"/>
              <w:ind w:right="192"/>
              <w:spacing w:after="0"/>
              <w:rPr>
                <w:sz w:val="20"/>
                <w:szCs w:val="20"/>
                <w:color w:val="auto"/>
              </w:rPr>
            </w:pPr>
            <w:r>
              <w:rPr>
                <w:rFonts w:ascii="Calibri" w:cs="Calibri" w:eastAsia="Calibri" w:hAnsi="Calibri"/>
                <w:sz w:val="13"/>
                <w:szCs w:val="13"/>
                <w:color w:val="auto"/>
              </w:rPr>
              <w:t>-25.9%</w:t>
            </w:r>
          </w:p>
        </w:tc>
        <w:tc>
          <w:tcPr>
            <w:tcW w:w="720" w:type="dxa"/>
            <w:vAlign w:val="bottom"/>
            <w:tcBorders>
              <w:right w:val="single" w:sz="8" w:color="auto"/>
            </w:tcBorders>
          </w:tcPr>
          <w:p>
            <w:pPr>
              <w:jc w:val="center"/>
              <w:ind w:right="212"/>
              <w:spacing w:after="0"/>
              <w:rPr>
                <w:sz w:val="20"/>
                <w:szCs w:val="20"/>
                <w:color w:val="auto"/>
              </w:rPr>
            </w:pPr>
            <w:r>
              <w:rPr>
                <w:rFonts w:ascii="Calibri" w:cs="Calibri" w:eastAsia="Calibri" w:hAnsi="Calibri"/>
                <w:sz w:val="13"/>
                <w:szCs w:val="13"/>
                <w:color w:val="auto"/>
              </w:rPr>
              <w:t>200.3%</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Fair value through proft or loss investments</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1,229,265</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439,004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704,968</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w w:val="98"/>
              </w:rPr>
              <w:t>60.6%</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-42.7%</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Fair value through other comprehensive income investments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19,717,481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22,661,943</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22,888,341</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1.0%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16.1%</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Amortzed cost investments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9,450,388</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8,321,181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8,178,619</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-1.7%</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-13.5%</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Loans</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131,843,710</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132,958,919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129,063,925</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-2.9%</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-2.1%</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Current</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125,761,669</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127,103,518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123,400,733</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-2.9%</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-1.9%</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Internal overdue loans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6,082,041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5,855,401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5,663,192</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-3.3%</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-6.9%</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Less - allowance for loan losses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(7,570,703)</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(7,799,646)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(7,714,711)</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-1.1%</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1.9%</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Loans, net</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124,273,007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125,159,273</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121,349,214</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-3.0%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-2.4%</w:t>
            </w:r>
          </w:p>
        </w:tc>
      </w:tr>
      <w:tr>
        <w:trPr>
          <w:trHeight w:val="367"/>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 xml:space="preserve">Property, furniture and equipment, net </w:t>
            </w:r>
            <w:r>
              <w:rPr>
                <w:rFonts w:ascii="Calibri" w:cs="Calibri" w:eastAsia="Calibri" w:hAnsi="Calibri"/>
                <w:sz w:val="22"/>
                <w:szCs w:val="22"/>
                <w:color w:val="auto"/>
                <w:vertAlign w:val="superscript"/>
              </w:rPr>
              <w:t>(1)</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1,449,222</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1,490,388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1,479,708</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-0.7%</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2.1%</w:t>
            </w:r>
          </w:p>
        </w:tc>
      </w:tr>
      <w:tr>
        <w:trPr>
          <w:trHeight w:val="159"/>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Due from customers on acceptances</w:t>
            </w:r>
          </w:p>
        </w:tc>
        <w:tc>
          <w:tcPr>
            <w:tcW w:w="1040" w:type="dxa"/>
            <w:vAlign w:val="bottom"/>
            <w:tcBorders>
              <w:right w:val="single" w:sz="8" w:color="auto"/>
            </w:tcBorders>
          </w:tcPr>
          <w:p>
            <w:pPr>
              <w:spacing w:after="0"/>
              <w:rPr>
                <w:sz w:val="13"/>
                <w:szCs w:val="13"/>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325,771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473,382</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466,957</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-1.4%</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43.3%</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Investments in associates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17,941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26,754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29,053</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8.6%</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61.9%</w:t>
            </w:r>
          </w:p>
        </w:tc>
      </w:tr>
      <w:tr>
        <w:trPr>
          <w:trHeight w:val="27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 xml:space="preserve">Other assets </w:t>
            </w:r>
            <w:r>
              <w:rPr>
                <w:rFonts w:ascii="Calibri" w:cs="Calibri" w:eastAsia="Calibri" w:hAnsi="Calibri"/>
                <w:sz w:val="22"/>
                <w:szCs w:val="22"/>
                <w:color w:val="auto"/>
                <w:vertAlign w:val="superscript"/>
              </w:rPr>
              <w:t>(2)</w:t>
            </w:r>
          </w:p>
        </w:tc>
        <w:tc>
          <w:tcPr>
            <w:tcW w:w="1040" w:type="dxa"/>
            <w:vAlign w:val="bottom"/>
            <w:tcBorders>
              <w:right w:val="single" w:sz="8" w:color="auto"/>
            </w:tcBorders>
          </w:tcPr>
          <w:p>
            <w:pPr>
              <w:spacing w:after="0"/>
              <w:rPr>
                <w:sz w:val="23"/>
                <w:szCs w:val="23"/>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7,736,054</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11,830,099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7,959,779</w:t>
            </w:r>
          </w:p>
        </w:tc>
        <w:tc>
          <w:tcPr>
            <w:tcW w:w="1280" w:type="dxa"/>
            <w:vAlign w:val="bottom"/>
          </w:tcPr>
          <w:p>
            <w:pPr>
              <w:jc w:val="center"/>
              <w:ind w:right="192"/>
              <w:spacing w:after="0"/>
              <w:rPr>
                <w:sz w:val="20"/>
                <w:szCs w:val="20"/>
                <w:color w:val="auto"/>
              </w:rPr>
            </w:pPr>
            <w:r>
              <w:rPr>
                <w:rFonts w:ascii="Calibri" w:cs="Calibri" w:eastAsia="Calibri" w:hAnsi="Calibri"/>
                <w:sz w:val="13"/>
                <w:szCs w:val="13"/>
                <w:color w:val="auto"/>
              </w:rPr>
              <w:t>-32.7%</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2.9%</w:t>
            </w:r>
          </w:p>
        </w:tc>
      </w:tr>
      <w:tr>
        <w:trPr>
          <w:trHeight w:val="255"/>
        </w:trPr>
        <w:tc>
          <w:tcPr>
            <w:tcW w:w="4060" w:type="dxa"/>
            <w:vAlign w:val="bottom"/>
            <w:tcBorders>
              <w:left w:val="single" w:sz="8" w:color="auto"/>
            </w:tcBorders>
          </w:tcPr>
          <w:p>
            <w:pPr>
              <w:jc w:val="center"/>
              <w:ind w:left="971"/>
              <w:spacing w:after="0"/>
              <w:rPr>
                <w:sz w:val="20"/>
                <w:szCs w:val="20"/>
                <w:color w:val="auto"/>
              </w:rPr>
            </w:pPr>
            <w:r>
              <w:rPr>
                <w:rFonts w:ascii="Calibri" w:cs="Calibri" w:eastAsia="Calibri" w:hAnsi="Calibri"/>
                <w:sz w:val="13"/>
                <w:szCs w:val="13"/>
                <w:b w:val="1"/>
                <w:bCs w:val="1"/>
                <w:color w:val="auto"/>
              </w:rPr>
              <w:t>Total Assets</w:t>
            </w:r>
          </w:p>
        </w:tc>
        <w:tc>
          <w:tcPr>
            <w:tcW w:w="1040" w:type="dxa"/>
            <w:vAlign w:val="bottom"/>
            <w:tcBorders>
              <w:right w:val="single" w:sz="8" w:color="auto"/>
            </w:tcBorders>
          </w:tcPr>
          <w:p>
            <w:pPr>
              <w:spacing w:after="0"/>
              <w:rPr>
                <w:sz w:val="22"/>
                <w:szCs w:val="22"/>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b w:val="1"/>
                <w:bCs w:val="1"/>
                <w:color w:val="auto"/>
              </w:rPr>
              <w:t>194,359,765</w:t>
            </w:r>
          </w:p>
        </w:tc>
        <w:tc>
          <w:tcPr>
            <w:tcW w:w="1360" w:type="dxa"/>
            <w:vAlign w:val="bottom"/>
          </w:tcPr>
          <w:p>
            <w:pPr>
              <w:jc w:val="right"/>
              <w:ind w:right="172"/>
              <w:spacing w:after="0"/>
              <w:rPr>
                <w:sz w:val="20"/>
                <w:szCs w:val="20"/>
                <w:color w:val="auto"/>
              </w:rPr>
            </w:pPr>
            <w:r>
              <w:rPr>
                <w:rFonts w:ascii="Calibri" w:cs="Calibri" w:eastAsia="Calibri" w:hAnsi="Calibri"/>
                <w:sz w:val="13"/>
                <w:szCs w:val="13"/>
                <w:b w:val="1"/>
                <w:bCs w:val="1"/>
                <w:color w:val="auto"/>
              </w:rPr>
              <w:t>202,799,664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204,906,344</w:t>
            </w:r>
          </w:p>
        </w:tc>
        <w:tc>
          <w:tcPr>
            <w:tcW w:w="1280" w:type="dxa"/>
            <w:vAlign w:val="bottom"/>
          </w:tcPr>
          <w:p>
            <w:pPr>
              <w:jc w:val="center"/>
              <w:ind w:right="212"/>
              <w:spacing w:after="0"/>
              <w:rPr>
                <w:sz w:val="20"/>
                <w:szCs w:val="20"/>
                <w:color w:val="auto"/>
              </w:rPr>
            </w:pPr>
            <w:r>
              <w:rPr>
                <w:rFonts w:ascii="Calibri" w:cs="Calibri" w:eastAsia="Calibri" w:hAnsi="Calibri"/>
                <w:sz w:val="13"/>
                <w:szCs w:val="13"/>
                <w:b w:val="1"/>
                <w:bCs w:val="1"/>
                <w:color w:val="auto"/>
              </w:rPr>
              <w:t>1.0%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b w:val="1"/>
                <w:bCs w:val="1"/>
                <w:color w:val="auto"/>
                <w:w w:val="99"/>
              </w:rPr>
              <w:t>5.4%</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Liabilites and Equity</w:t>
            </w:r>
          </w:p>
        </w:tc>
        <w:tc>
          <w:tcPr>
            <w:tcW w:w="10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Deposits and obligatons</w:t>
            </w:r>
          </w:p>
        </w:tc>
        <w:tc>
          <w:tcPr>
            <w:tcW w:w="1040" w:type="dxa"/>
            <w:vAlign w:val="bottom"/>
            <w:tcBorders>
              <w:right w:val="single" w:sz="8" w:color="auto"/>
            </w:tcBorders>
          </w:tcPr>
          <w:p>
            <w:pPr>
              <w:spacing w:after="0"/>
              <w:rPr>
                <w:sz w:val="15"/>
                <w:szCs w:val="15"/>
                <w:color w:val="auto"/>
              </w:rPr>
            </w:pPr>
          </w:p>
        </w:tc>
        <w:tc>
          <w:tcPr>
            <w:tcW w:w="1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186"/>
        </w:trPr>
        <w:tc>
          <w:tcPr>
            <w:tcW w:w="4060" w:type="dxa"/>
            <w:vAlign w:val="bottom"/>
            <w:tcBorders>
              <w:left w:val="single" w:sz="8" w:color="auto"/>
            </w:tcBorders>
          </w:tcPr>
          <w:p>
            <w:pPr>
              <w:ind w:left="20"/>
              <w:spacing w:after="0" w:line="186" w:lineRule="exact"/>
              <w:rPr>
                <w:sz w:val="20"/>
                <w:szCs w:val="20"/>
                <w:color w:val="auto"/>
              </w:rPr>
            </w:pPr>
            <w:r>
              <w:rPr>
                <w:rFonts w:ascii="Calibri" w:cs="Calibri" w:eastAsia="Calibri" w:hAnsi="Calibri"/>
                <w:sz w:val="12"/>
                <w:szCs w:val="12"/>
                <w:color w:val="auto"/>
              </w:rPr>
              <w:t xml:space="preserve">Non-interest bearing </w:t>
            </w:r>
            <w:r>
              <w:rPr>
                <w:rFonts w:ascii="Calibri" w:cs="Calibri" w:eastAsia="Calibri" w:hAnsi="Calibri"/>
                <w:sz w:val="20"/>
                <w:szCs w:val="20"/>
                <w:color w:val="auto"/>
                <w:vertAlign w:val="superscript"/>
              </w:rPr>
              <w:t>(1)</w:t>
            </w:r>
          </w:p>
        </w:tc>
        <w:tc>
          <w:tcPr>
            <w:tcW w:w="1040" w:type="dxa"/>
            <w:vAlign w:val="bottom"/>
            <w:tcBorders>
              <w:right w:val="single" w:sz="8" w:color="auto"/>
            </w:tcBorders>
          </w:tcPr>
          <w:p>
            <w:pPr>
              <w:spacing w:after="0"/>
              <w:rPr>
                <w:sz w:val="16"/>
                <w:szCs w:val="16"/>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36,743,810</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41,187,095</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45,310,064</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w w:val="98"/>
              </w:rPr>
              <w:t>10.0%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23.3%</w:t>
            </w:r>
          </w:p>
        </w:tc>
      </w:tr>
      <w:tr>
        <w:trPr>
          <w:trHeight w:val="182"/>
        </w:trPr>
        <w:tc>
          <w:tcPr>
            <w:tcW w:w="4060" w:type="dxa"/>
            <w:vAlign w:val="bottom"/>
            <w:tcBorders>
              <w:left w:val="single" w:sz="8" w:color="auto"/>
            </w:tcBorders>
          </w:tcPr>
          <w:p>
            <w:pPr>
              <w:ind w:left="20"/>
              <w:spacing w:after="0" w:line="181" w:lineRule="exact"/>
              <w:rPr>
                <w:sz w:val="20"/>
                <w:szCs w:val="20"/>
                <w:color w:val="auto"/>
              </w:rPr>
            </w:pPr>
            <w:r>
              <w:rPr>
                <w:rFonts w:ascii="Calibri" w:cs="Calibri" w:eastAsia="Calibri" w:hAnsi="Calibri"/>
                <w:sz w:val="12"/>
                <w:szCs w:val="12"/>
                <w:color w:val="auto"/>
              </w:rPr>
              <w:t xml:space="preserve">Interest bearing </w:t>
            </w:r>
            <w:r>
              <w:rPr>
                <w:rFonts w:ascii="Calibri" w:cs="Calibri" w:eastAsia="Calibri" w:hAnsi="Calibri"/>
                <w:sz w:val="19"/>
                <w:szCs w:val="19"/>
                <w:color w:val="auto"/>
                <w:vertAlign w:val="superscript"/>
              </w:rPr>
              <w:t>(1)</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95,597,397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96,391,919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95,985,178</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-0.4%</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0.4%</w:t>
            </w:r>
          </w:p>
        </w:tc>
      </w:tr>
      <w:tr>
        <w:trPr>
          <w:trHeight w:val="159"/>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Total deposits and obligatons</w:t>
            </w:r>
          </w:p>
        </w:tc>
        <w:tc>
          <w:tcPr>
            <w:tcW w:w="1040" w:type="dxa"/>
            <w:vAlign w:val="bottom"/>
            <w:tcBorders>
              <w:right w:val="single" w:sz="8" w:color="auto"/>
            </w:tcBorders>
          </w:tcPr>
          <w:p>
            <w:pPr>
              <w:spacing w:after="0"/>
              <w:rPr>
                <w:sz w:val="13"/>
                <w:szCs w:val="13"/>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132,341,207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137,579,014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141,295,242</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2.7%</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6.8%</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Payables from repurchase agreements and securites lending</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10,155,810</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6,095,858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5,621,745</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-7.8%</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-44.6%</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BCRP instruments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9,616,150</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5,542,892</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4,788,939</w:t>
            </w:r>
          </w:p>
        </w:tc>
        <w:tc>
          <w:tcPr>
            <w:tcW w:w="1280" w:type="dxa"/>
            <w:vAlign w:val="bottom"/>
          </w:tcPr>
          <w:p>
            <w:pPr>
              <w:jc w:val="center"/>
              <w:ind w:right="192"/>
              <w:spacing w:after="0"/>
              <w:rPr>
                <w:sz w:val="20"/>
                <w:szCs w:val="20"/>
                <w:color w:val="auto"/>
              </w:rPr>
            </w:pPr>
            <w:r>
              <w:rPr>
                <w:rFonts w:ascii="Calibri" w:cs="Calibri" w:eastAsia="Calibri" w:hAnsi="Calibri"/>
                <w:sz w:val="13"/>
                <w:szCs w:val="13"/>
                <w:color w:val="auto"/>
              </w:rPr>
              <w:t>-13.6%</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-50.2%</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Repurchase agreements with third partes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539,660</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552,966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832,806</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w w:val="98"/>
              </w:rPr>
              <w:t>50.6%</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54.3%</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Due to banks and correspondents</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10,116,035</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12,141,299</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12,210,085</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0.6%</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20.7%</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Bonds and notes issued</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11,250,454</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14,284,148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13,351,992</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-6.5%</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18.7%</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Banker’s acceptances outstanding</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325,771</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473,382</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466,957</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-1.4%</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43.3%</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Financial liabilites at fair value through proft or loss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42,768</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468,746</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354,562</w:t>
            </w:r>
          </w:p>
        </w:tc>
        <w:tc>
          <w:tcPr>
            <w:tcW w:w="1280" w:type="dxa"/>
            <w:vAlign w:val="bottom"/>
          </w:tcPr>
          <w:p>
            <w:pPr>
              <w:jc w:val="center"/>
              <w:ind w:right="192"/>
              <w:spacing w:after="0"/>
              <w:rPr>
                <w:sz w:val="20"/>
                <w:szCs w:val="20"/>
                <w:color w:val="auto"/>
              </w:rPr>
            </w:pPr>
            <w:r>
              <w:rPr>
                <w:rFonts w:ascii="Calibri" w:cs="Calibri" w:eastAsia="Calibri" w:hAnsi="Calibri"/>
                <w:sz w:val="13"/>
                <w:szCs w:val="13"/>
                <w:color w:val="auto"/>
              </w:rPr>
              <w:t>-24.4%</w:t>
            </w:r>
          </w:p>
        </w:tc>
        <w:tc>
          <w:tcPr>
            <w:tcW w:w="720" w:type="dxa"/>
            <w:vAlign w:val="bottom"/>
            <w:tcBorders>
              <w:right w:val="single" w:sz="8" w:color="auto"/>
            </w:tcBorders>
          </w:tcPr>
          <w:p>
            <w:pPr>
              <w:jc w:val="center"/>
              <w:ind w:right="212"/>
              <w:spacing w:after="0"/>
              <w:rPr>
                <w:sz w:val="20"/>
                <w:szCs w:val="20"/>
                <w:color w:val="auto"/>
              </w:rPr>
            </w:pPr>
            <w:r>
              <w:rPr>
                <w:rFonts w:ascii="Calibri" w:cs="Calibri" w:eastAsia="Calibri" w:hAnsi="Calibri"/>
                <w:sz w:val="13"/>
                <w:szCs w:val="13"/>
                <w:color w:val="auto"/>
              </w:rPr>
              <w:t>729.0%</w:t>
            </w:r>
          </w:p>
        </w:tc>
      </w:tr>
      <w:tr>
        <w:trPr>
          <w:trHeight w:val="192"/>
        </w:trPr>
        <w:tc>
          <w:tcPr>
            <w:tcW w:w="4060" w:type="dxa"/>
            <w:vAlign w:val="bottom"/>
            <w:tcBorders>
              <w:left w:val="single" w:sz="8" w:color="auto"/>
            </w:tcBorders>
          </w:tcPr>
          <w:p>
            <w:pPr>
              <w:ind w:left="20"/>
              <w:spacing w:after="0" w:line="192" w:lineRule="exact"/>
              <w:rPr>
                <w:sz w:val="20"/>
                <w:szCs w:val="20"/>
                <w:color w:val="auto"/>
              </w:rPr>
            </w:pPr>
            <w:r>
              <w:rPr>
                <w:rFonts w:ascii="Calibri" w:cs="Calibri" w:eastAsia="Calibri" w:hAnsi="Calibri"/>
                <w:sz w:val="12"/>
                <w:szCs w:val="12"/>
                <w:color w:val="auto"/>
              </w:rPr>
              <w:t xml:space="preserve">Other liabilites </w:t>
            </w:r>
            <w:r>
              <w:rPr>
                <w:rFonts w:ascii="Calibri" w:cs="Calibri" w:eastAsia="Calibri" w:hAnsi="Calibri"/>
                <w:sz w:val="20"/>
                <w:szCs w:val="20"/>
                <w:color w:val="auto"/>
                <w:vertAlign w:val="superscript"/>
              </w:rPr>
              <w:t>(3)</w:t>
            </w:r>
          </w:p>
        </w:tc>
        <w:tc>
          <w:tcPr>
            <w:tcW w:w="1040" w:type="dxa"/>
            <w:vAlign w:val="bottom"/>
            <w:tcBorders>
              <w:right w:val="single" w:sz="8" w:color="auto"/>
            </w:tcBorders>
          </w:tcPr>
          <w:p>
            <w:pPr>
              <w:spacing w:after="0"/>
              <w:rPr>
                <w:sz w:val="16"/>
                <w:szCs w:val="16"/>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5,741,077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7,987,914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6,110,653</w:t>
            </w:r>
          </w:p>
        </w:tc>
        <w:tc>
          <w:tcPr>
            <w:tcW w:w="1280" w:type="dxa"/>
            <w:vAlign w:val="bottom"/>
          </w:tcPr>
          <w:p>
            <w:pPr>
              <w:jc w:val="center"/>
              <w:ind w:right="192"/>
              <w:spacing w:after="0"/>
              <w:rPr>
                <w:sz w:val="20"/>
                <w:szCs w:val="20"/>
                <w:color w:val="auto"/>
              </w:rPr>
            </w:pPr>
            <w:r>
              <w:rPr>
                <w:rFonts w:ascii="Calibri" w:cs="Calibri" w:eastAsia="Calibri" w:hAnsi="Calibri"/>
                <w:sz w:val="13"/>
                <w:szCs w:val="13"/>
                <w:color w:val="auto"/>
              </w:rPr>
              <w:t>-23.5%</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6.4%</w:t>
            </w:r>
          </w:p>
        </w:tc>
      </w:tr>
      <w:tr>
        <w:trPr>
          <w:trHeight w:val="159"/>
        </w:trPr>
        <w:tc>
          <w:tcPr>
            <w:tcW w:w="4060" w:type="dxa"/>
            <w:vAlign w:val="bottom"/>
            <w:tcBorders>
              <w:left w:val="single" w:sz="8" w:color="auto"/>
            </w:tcBorders>
          </w:tcPr>
          <w:p>
            <w:pPr>
              <w:jc w:val="center"/>
              <w:ind w:left="971"/>
              <w:spacing w:after="0"/>
              <w:rPr>
                <w:sz w:val="20"/>
                <w:szCs w:val="20"/>
                <w:color w:val="auto"/>
              </w:rPr>
            </w:pPr>
            <w:r>
              <w:rPr>
                <w:rFonts w:ascii="Calibri" w:cs="Calibri" w:eastAsia="Calibri" w:hAnsi="Calibri"/>
                <w:sz w:val="13"/>
                <w:szCs w:val="13"/>
                <w:b w:val="1"/>
                <w:bCs w:val="1"/>
                <w:color w:val="auto"/>
              </w:rPr>
              <w:t>Total Liabilites</w:t>
            </w:r>
          </w:p>
        </w:tc>
        <w:tc>
          <w:tcPr>
            <w:tcW w:w="1040" w:type="dxa"/>
            <w:vAlign w:val="bottom"/>
            <w:tcBorders>
              <w:right w:val="single" w:sz="8" w:color="auto"/>
            </w:tcBorders>
          </w:tcPr>
          <w:p>
            <w:pPr>
              <w:spacing w:after="0"/>
              <w:rPr>
                <w:sz w:val="13"/>
                <w:szCs w:val="13"/>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b w:val="1"/>
                <w:bCs w:val="1"/>
                <w:color w:val="auto"/>
              </w:rPr>
              <w:t>169,973,122</w:t>
            </w:r>
          </w:p>
        </w:tc>
        <w:tc>
          <w:tcPr>
            <w:tcW w:w="1360" w:type="dxa"/>
            <w:vAlign w:val="bottom"/>
          </w:tcPr>
          <w:p>
            <w:pPr>
              <w:jc w:val="right"/>
              <w:ind w:right="172"/>
              <w:spacing w:after="0"/>
              <w:rPr>
                <w:sz w:val="20"/>
                <w:szCs w:val="20"/>
                <w:color w:val="auto"/>
              </w:rPr>
            </w:pPr>
            <w:r>
              <w:rPr>
                <w:rFonts w:ascii="Calibri" w:cs="Calibri" w:eastAsia="Calibri" w:hAnsi="Calibri"/>
                <w:sz w:val="13"/>
                <w:szCs w:val="13"/>
                <w:b w:val="1"/>
                <w:bCs w:val="1"/>
                <w:color w:val="auto"/>
              </w:rPr>
              <w:t>179,030,361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179,411,236</w:t>
            </w:r>
          </w:p>
        </w:tc>
        <w:tc>
          <w:tcPr>
            <w:tcW w:w="1280" w:type="dxa"/>
            <w:vAlign w:val="bottom"/>
          </w:tcPr>
          <w:p>
            <w:pPr>
              <w:jc w:val="center"/>
              <w:ind w:right="212"/>
              <w:spacing w:after="0"/>
              <w:rPr>
                <w:sz w:val="20"/>
                <w:szCs w:val="20"/>
                <w:color w:val="auto"/>
              </w:rPr>
            </w:pPr>
            <w:r>
              <w:rPr>
                <w:rFonts w:ascii="Calibri" w:cs="Calibri" w:eastAsia="Calibri" w:hAnsi="Calibri"/>
                <w:sz w:val="13"/>
                <w:szCs w:val="13"/>
                <w:b w:val="1"/>
                <w:bCs w:val="1"/>
                <w:color w:val="auto"/>
              </w:rPr>
              <w:t>0.2%</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b w:val="1"/>
                <w:bCs w:val="1"/>
                <w:color w:val="auto"/>
                <w:w w:val="99"/>
              </w:rPr>
              <w:t>5.6%</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Net equity</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b w:val="1"/>
                <w:bCs w:val="1"/>
                <w:color w:val="auto"/>
              </w:rPr>
              <w:t>24,228,926</w:t>
            </w:r>
          </w:p>
        </w:tc>
        <w:tc>
          <w:tcPr>
            <w:tcW w:w="1360" w:type="dxa"/>
            <w:vAlign w:val="bottom"/>
          </w:tcPr>
          <w:p>
            <w:pPr>
              <w:jc w:val="right"/>
              <w:ind w:right="172"/>
              <w:spacing w:after="0"/>
              <w:rPr>
                <w:sz w:val="20"/>
                <w:szCs w:val="20"/>
                <w:color w:val="auto"/>
              </w:rPr>
            </w:pPr>
            <w:r>
              <w:rPr>
                <w:rFonts w:ascii="Calibri" w:cs="Calibri" w:eastAsia="Calibri" w:hAnsi="Calibri"/>
                <w:sz w:val="13"/>
                <w:szCs w:val="13"/>
                <w:b w:val="1"/>
                <w:bCs w:val="1"/>
                <w:color w:val="auto"/>
              </w:rPr>
              <w:t>23,624,852</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25,347,135</w:t>
            </w:r>
          </w:p>
        </w:tc>
        <w:tc>
          <w:tcPr>
            <w:tcW w:w="1280" w:type="dxa"/>
            <w:vAlign w:val="bottom"/>
          </w:tcPr>
          <w:p>
            <w:pPr>
              <w:jc w:val="center"/>
              <w:ind w:right="212"/>
              <w:spacing w:after="0"/>
              <w:rPr>
                <w:sz w:val="20"/>
                <w:szCs w:val="20"/>
                <w:color w:val="auto"/>
              </w:rPr>
            </w:pPr>
            <w:r>
              <w:rPr>
                <w:rFonts w:ascii="Calibri" w:cs="Calibri" w:eastAsia="Calibri" w:hAnsi="Calibri"/>
                <w:sz w:val="13"/>
                <w:szCs w:val="13"/>
                <w:b w:val="1"/>
                <w:bCs w:val="1"/>
                <w:color w:val="auto"/>
              </w:rPr>
              <w:t>7.3%</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b w:val="1"/>
                <w:bCs w:val="1"/>
                <w:color w:val="auto"/>
                <w:w w:val="99"/>
              </w:rPr>
              <w:t>4.6%</w:t>
            </w:r>
          </w:p>
        </w:tc>
      </w:tr>
      <w:tr>
        <w:trPr>
          <w:trHeight w:val="175"/>
        </w:trPr>
        <w:tc>
          <w:tcPr>
            <w:tcW w:w="4060" w:type="dxa"/>
            <w:vAlign w:val="bottom"/>
            <w:tcBorders>
              <w:left w:val="single" w:sz="8" w:color="auto"/>
            </w:tcBorders>
          </w:tcPr>
          <w:p>
            <w:pPr>
              <w:ind w:left="180"/>
              <w:spacing w:after="0"/>
              <w:rPr>
                <w:sz w:val="20"/>
                <w:szCs w:val="20"/>
                <w:color w:val="auto"/>
              </w:rPr>
            </w:pPr>
            <w:r>
              <w:rPr>
                <w:rFonts w:ascii="Calibri" w:cs="Calibri" w:eastAsia="Calibri" w:hAnsi="Calibri"/>
                <w:sz w:val="13"/>
                <w:szCs w:val="13"/>
                <w:color w:val="auto"/>
              </w:rPr>
              <w:t>Capital stock</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12,679,794</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12,679,794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12,679,794</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0.0%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0.0%</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Reserves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6,820,930</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6,372,468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6,372,468</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0.0%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-6.6%</w:t>
            </w:r>
          </w:p>
        </w:tc>
      </w:tr>
      <w:tr>
        <w:trPr>
          <w:trHeight w:val="175"/>
        </w:trPr>
        <w:tc>
          <w:tcPr>
            <w:tcW w:w="4060" w:type="dxa"/>
            <w:vAlign w:val="bottom"/>
            <w:tcBorders>
              <w:left w:val="single" w:sz="8" w:color="auto"/>
            </w:tcBorders>
          </w:tcPr>
          <w:p>
            <w:pPr>
              <w:ind w:left="180"/>
              <w:spacing w:after="0"/>
              <w:rPr>
                <w:sz w:val="20"/>
                <w:szCs w:val="20"/>
                <w:color w:val="auto"/>
              </w:rPr>
            </w:pPr>
            <w:r>
              <w:rPr>
                <w:rFonts w:ascii="Calibri" w:cs="Calibri" w:eastAsia="Calibri" w:hAnsi="Calibri"/>
                <w:sz w:val="13"/>
                <w:szCs w:val="13"/>
                <w:color w:val="auto"/>
              </w:rPr>
              <w:t>Unrealized gains and losses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(373,385)</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(95,961)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223,921</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n.a.</w:t>
            </w:r>
          </w:p>
        </w:tc>
        <w:tc>
          <w:tcPr>
            <w:tcW w:w="720" w:type="dxa"/>
            <w:vAlign w:val="bottom"/>
            <w:tcBorders>
              <w:right w:val="single" w:sz="8" w:color="auto"/>
            </w:tcBorders>
          </w:tcPr>
          <w:p>
            <w:pPr>
              <w:ind w:left="120"/>
              <w:spacing w:after="0"/>
              <w:rPr>
                <w:sz w:val="20"/>
                <w:szCs w:val="20"/>
                <w:color w:val="auto"/>
              </w:rPr>
            </w:pPr>
            <w:r>
              <w:rPr>
                <w:rFonts w:ascii="Calibri" w:cs="Calibri" w:eastAsia="Calibri" w:hAnsi="Calibri"/>
                <w:sz w:val="13"/>
                <w:szCs w:val="13"/>
                <w:color w:val="auto"/>
              </w:rPr>
              <w:t>n.a.</w:t>
            </w:r>
          </w:p>
        </w:tc>
      </w:tr>
      <w:tr>
        <w:trPr>
          <w:trHeight w:val="176"/>
        </w:trPr>
        <w:tc>
          <w:tcPr>
            <w:tcW w:w="4060" w:type="dxa"/>
            <w:vAlign w:val="bottom"/>
            <w:tcBorders>
              <w:left w:val="single" w:sz="8" w:color="auto"/>
            </w:tcBorders>
          </w:tcPr>
          <w:p>
            <w:pPr>
              <w:ind w:left="180"/>
              <w:spacing w:after="0"/>
              <w:rPr>
                <w:sz w:val="20"/>
                <w:szCs w:val="20"/>
                <w:color w:val="auto"/>
              </w:rPr>
            </w:pPr>
            <w:r>
              <w:rPr>
                <w:rFonts w:ascii="Calibri" w:cs="Calibri" w:eastAsia="Calibri" w:hAnsi="Calibri"/>
                <w:sz w:val="13"/>
                <w:szCs w:val="13"/>
                <w:color w:val="auto"/>
              </w:rPr>
              <w:t>Retained earnings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5,101,587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4,668,551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6,070,952</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w w:val="98"/>
              </w:rPr>
              <w:t>30.0%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19.0%</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Non-controlling interest</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157,717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144,451</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147,973</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2.4%</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-6.2%</w:t>
            </w:r>
          </w:p>
        </w:tc>
      </w:tr>
      <w:tr>
        <w:trPr>
          <w:trHeight w:val="351"/>
        </w:trPr>
        <w:tc>
          <w:tcPr>
            <w:tcW w:w="4060" w:type="dxa"/>
            <w:vAlign w:val="bottom"/>
            <w:tcBorders>
              <w:left w:val="single" w:sz="8" w:color="auto"/>
            </w:tcBorders>
          </w:tcPr>
          <w:p>
            <w:pPr>
              <w:jc w:val="center"/>
              <w:ind w:left="971"/>
              <w:spacing w:after="0"/>
              <w:rPr>
                <w:sz w:val="20"/>
                <w:szCs w:val="20"/>
                <w:color w:val="auto"/>
              </w:rPr>
            </w:pPr>
            <w:r>
              <w:rPr>
                <w:rFonts w:ascii="Calibri" w:cs="Calibri" w:eastAsia="Calibri" w:hAnsi="Calibri"/>
                <w:sz w:val="13"/>
                <w:szCs w:val="13"/>
                <w:b w:val="1"/>
                <w:bCs w:val="1"/>
                <w:color w:val="auto"/>
              </w:rPr>
              <w:t>Total Net Equity</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b w:val="1"/>
                <w:bCs w:val="1"/>
                <w:color w:val="auto"/>
              </w:rPr>
              <w:t>24,386,643</w:t>
            </w:r>
          </w:p>
        </w:tc>
        <w:tc>
          <w:tcPr>
            <w:tcW w:w="1360" w:type="dxa"/>
            <w:vAlign w:val="bottom"/>
          </w:tcPr>
          <w:p>
            <w:pPr>
              <w:jc w:val="right"/>
              <w:ind w:right="172"/>
              <w:spacing w:after="0"/>
              <w:rPr>
                <w:sz w:val="20"/>
                <w:szCs w:val="20"/>
                <w:color w:val="auto"/>
              </w:rPr>
            </w:pPr>
            <w:r>
              <w:rPr>
                <w:rFonts w:ascii="Calibri" w:cs="Calibri" w:eastAsia="Calibri" w:hAnsi="Calibri"/>
                <w:sz w:val="13"/>
                <w:szCs w:val="13"/>
                <w:b w:val="1"/>
                <w:bCs w:val="1"/>
                <w:color w:val="auto"/>
              </w:rPr>
              <w:t>23,769,303</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25,495,108</w:t>
            </w:r>
          </w:p>
        </w:tc>
        <w:tc>
          <w:tcPr>
            <w:tcW w:w="1280" w:type="dxa"/>
            <w:vAlign w:val="bottom"/>
          </w:tcPr>
          <w:p>
            <w:pPr>
              <w:jc w:val="center"/>
              <w:ind w:right="212"/>
              <w:spacing w:after="0"/>
              <w:rPr>
                <w:sz w:val="20"/>
                <w:szCs w:val="20"/>
                <w:color w:val="auto"/>
              </w:rPr>
            </w:pPr>
            <w:r>
              <w:rPr>
                <w:rFonts w:ascii="Calibri" w:cs="Calibri" w:eastAsia="Calibri" w:hAnsi="Calibri"/>
                <w:sz w:val="13"/>
                <w:szCs w:val="13"/>
                <w:b w:val="1"/>
                <w:bCs w:val="1"/>
                <w:color w:val="auto"/>
              </w:rPr>
              <w:t>7.3%</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b w:val="1"/>
                <w:bCs w:val="1"/>
                <w:color w:val="auto"/>
                <w:w w:val="99"/>
              </w:rPr>
              <w:t>4.5%</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liabilites and equity</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b w:val="1"/>
                <w:bCs w:val="1"/>
                <w:color w:val="auto"/>
              </w:rPr>
              <w:t>194,359,765</w:t>
            </w:r>
          </w:p>
        </w:tc>
        <w:tc>
          <w:tcPr>
            <w:tcW w:w="1360" w:type="dxa"/>
            <w:vAlign w:val="bottom"/>
          </w:tcPr>
          <w:p>
            <w:pPr>
              <w:jc w:val="right"/>
              <w:ind w:right="172"/>
              <w:spacing w:after="0"/>
              <w:rPr>
                <w:sz w:val="20"/>
                <w:szCs w:val="20"/>
                <w:color w:val="auto"/>
              </w:rPr>
            </w:pPr>
            <w:r>
              <w:rPr>
                <w:rFonts w:ascii="Calibri" w:cs="Calibri" w:eastAsia="Calibri" w:hAnsi="Calibri"/>
                <w:sz w:val="13"/>
                <w:szCs w:val="13"/>
                <w:b w:val="1"/>
                <w:bCs w:val="1"/>
                <w:color w:val="auto"/>
              </w:rPr>
              <w:t>202,799,664</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204,906,344</w:t>
            </w:r>
          </w:p>
        </w:tc>
        <w:tc>
          <w:tcPr>
            <w:tcW w:w="1280" w:type="dxa"/>
            <w:vAlign w:val="bottom"/>
          </w:tcPr>
          <w:p>
            <w:pPr>
              <w:jc w:val="center"/>
              <w:ind w:right="212"/>
              <w:spacing w:after="0"/>
              <w:rPr>
                <w:sz w:val="20"/>
                <w:szCs w:val="20"/>
                <w:color w:val="auto"/>
              </w:rPr>
            </w:pPr>
            <w:r>
              <w:rPr>
                <w:rFonts w:ascii="Calibri" w:cs="Calibri" w:eastAsia="Calibri" w:hAnsi="Calibri"/>
                <w:sz w:val="13"/>
                <w:szCs w:val="13"/>
                <w:b w:val="1"/>
                <w:bCs w:val="1"/>
                <w:color w:val="auto"/>
              </w:rPr>
              <w:t>1.0%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b w:val="1"/>
                <w:bCs w:val="1"/>
                <w:color w:val="auto"/>
                <w:w w:val="99"/>
              </w:rPr>
              <w:t>5.4%</w:t>
            </w:r>
          </w:p>
        </w:tc>
      </w:tr>
      <w:tr>
        <w:trPr>
          <w:trHeight w:val="351"/>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Of-balance sheet</w:t>
            </w:r>
          </w:p>
        </w:tc>
        <w:tc>
          <w:tcPr>
            <w:tcW w:w="1040" w:type="dxa"/>
            <w:vAlign w:val="bottom"/>
            <w:tcBorders>
              <w:right w:val="single" w:sz="8" w:color="auto"/>
            </w:tcBorders>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b w:val="1"/>
                <w:bCs w:val="1"/>
                <w:color w:val="auto"/>
              </w:rPr>
              <w:t>141,192,730</w:t>
            </w:r>
          </w:p>
        </w:tc>
        <w:tc>
          <w:tcPr>
            <w:tcW w:w="1360" w:type="dxa"/>
            <w:vAlign w:val="bottom"/>
          </w:tcPr>
          <w:p>
            <w:pPr>
              <w:jc w:val="right"/>
              <w:ind w:right="172"/>
              <w:spacing w:after="0"/>
              <w:rPr>
                <w:sz w:val="20"/>
                <w:szCs w:val="20"/>
                <w:color w:val="auto"/>
              </w:rPr>
            </w:pPr>
            <w:r>
              <w:rPr>
                <w:rFonts w:ascii="Calibri" w:cs="Calibri" w:eastAsia="Calibri" w:hAnsi="Calibri"/>
                <w:sz w:val="13"/>
                <w:szCs w:val="13"/>
                <w:b w:val="1"/>
                <w:bCs w:val="1"/>
                <w:color w:val="auto"/>
              </w:rPr>
              <w:t>152,205,005</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144,241,520</w:t>
            </w:r>
          </w:p>
        </w:tc>
        <w:tc>
          <w:tcPr>
            <w:tcW w:w="1280" w:type="dxa"/>
            <w:vAlign w:val="bottom"/>
          </w:tcPr>
          <w:p>
            <w:pPr>
              <w:jc w:val="center"/>
              <w:ind w:right="212"/>
              <w:spacing w:after="0"/>
              <w:rPr>
                <w:sz w:val="20"/>
                <w:szCs w:val="20"/>
                <w:color w:val="auto"/>
              </w:rPr>
            </w:pPr>
            <w:r>
              <w:rPr>
                <w:rFonts w:ascii="Calibri" w:cs="Calibri" w:eastAsia="Calibri" w:hAnsi="Calibri"/>
                <w:sz w:val="13"/>
                <w:szCs w:val="13"/>
                <w:b w:val="1"/>
                <w:bCs w:val="1"/>
                <w:color w:val="auto"/>
              </w:rPr>
              <w:t>-5.2%</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b w:val="1"/>
                <w:bCs w:val="1"/>
                <w:color w:val="auto"/>
                <w:w w:val="99"/>
              </w:rPr>
              <w:t>2.2%</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Total performance bonds, stand-by and L/Cs.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18,226,797</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20,008,285</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19,593,247</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-2.1%</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7.5%</w:t>
            </w:r>
          </w:p>
        </w:tc>
      </w:tr>
      <w:tr>
        <w:trPr>
          <w:trHeight w:val="175"/>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Undrawn credit lines, advised but not commited</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79,083,109</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79,567,802</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77,964,739</w:t>
            </w:r>
          </w:p>
        </w:tc>
        <w:tc>
          <w:tcPr>
            <w:tcW w:w="1280" w:type="dxa"/>
            <w:vAlign w:val="bottom"/>
          </w:tcPr>
          <w:p>
            <w:pPr>
              <w:jc w:val="center"/>
              <w:ind w:right="212"/>
              <w:spacing w:after="0"/>
              <w:rPr>
                <w:sz w:val="20"/>
                <w:szCs w:val="20"/>
                <w:color w:val="auto"/>
              </w:rPr>
            </w:pPr>
            <w:r>
              <w:rPr>
                <w:rFonts w:ascii="Calibri" w:cs="Calibri" w:eastAsia="Calibri" w:hAnsi="Calibri"/>
                <w:sz w:val="13"/>
                <w:szCs w:val="13"/>
                <w:color w:val="auto"/>
              </w:rPr>
              <w:t>-2.0%</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-1.4%</w:t>
            </w:r>
          </w:p>
        </w:tc>
      </w:tr>
      <w:tr>
        <w:trPr>
          <w:trHeight w:val="176"/>
        </w:trPr>
        <w:tc>
          <w:tcPr>
            <w:tcW w:w="406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Total derivatves (notonal) and others</w:t>
            </w:r>
          </w:p>
        </w:tc>
        <w:tc>
          <w:tcPr>
            <w:tcW w:w="1040" w:type="dxa"/>
            <w:vAlign w:val="bottom"/>
            <w:tcBorders>
              <w:right w:val="single" w:sz="8" w:color="auto"/>
            </w:tcBorders>
          </w:tcPr>
          <w:p>
            <w:pPr>
              <w:spacing w:after="0"/>
              <w:rPr>
                <w:sz w:val="15"/>
                <w:szCs w:val="15"/>
                <w:color w:val="auto"/>
              </w:rPr>
            </w:pPr>
          </w:p>
        </w:tc>
        <w:tc>
          <w:tcPr>
            <w:tcW w:w="1680" w:type="dxa"/>
            <w:vAlign w:val="bottom"/>
          </w:tcPr>
          <w:p>
            <w:pPr>
              <w:jc w:val="right"/>
              <w:ind w:right="152"/>
              <w:spacing w:after="0"/>
              <w:rPr>
                <w:sz w:val="20"/>
                <w:szCs w:val="20"/>
                <w:color w:val="auto"/>
              </w:rPr>
            </w:pPr>
            <w:r>
              <w:rPr>
                <w:rFonts w:ascii="Calibri" w:cs="Calibri" w:eastAsia="Calibri" w:hAnsi="Calibri"/>
                <w:sz w:val="13"/>
                <w:szCs w:val="13"/>
                <w:color w:val="auto"/>
              </w:rPr>
              <w:t>43,882,824</w:t>
            </w:r>
          </w:p>
        </w:tc>
        <w:tc>
          <w:tcPr>
            <w:tcW w:w="1360" w:type="dxa"/>
            <w:vAlign w:val="bottom"/>
          </w:tcPr>
          <w:p>
            <w:pPr>
              <w:jc w:val="right"/>
              <w:ind w:right="172"/>
              <w:spacing w:after="0"/>
              <w:rPr>
                <w:sz w:val="20"/>
                <w:szCs w:val="20"/>
                <w:color w:val="auto"/>
              </w:rPr>
            </w:pPr>
            <w:r>
              <w:rPr>
                <w:rFonts w:ascii="Calibri" w:cs="Calibri" w:eastAsia="Calibri" w:hAnsi="Calibri"/>
                <w:sz w:val="13"/>
                <w:szCs w:val="13"/>
                <w:color w:val="auto"/>
              </w:rPr>
              <w:t>52,628,918</w:t>
            </w:r>
          </w:p>
        </w:tc>
        <w:tc>
          <w:tcPr>
            <w:tcW w:w="110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46,683,534</w:t>
            </w:r>
          </w:p>
        </w:tc>
        <w:tc>
          <w:tcPr>
            <w:tcW w:w="1280" w:type="dxa"/>
            <w:vAlign w:val="bottom"/>
          </w:tcPr>
          <w:p>
            <w:pPr>
              <w:jc w:val="center"/>
              <w:ind w:right="192"/>
              <w:spacing w:after="0"/>
              <w:rPr>
                <w:sz w:val="20"/>
                <w:szCs w:val="20"/>
                <w:color w:val="auto"/>
              </w:rPr>
            </w:pPr>
            <w:r>
              <w:rPr>
                <w:rFonts w:ascii="Calibri" w:cs="Calibri" w:eastAsia="Calibri" w:hAnsi="Calibri"/>
                <w:sz w:val="13"/>
                <w:szCs w:val="13"/>
                <w:color w:val="auto"/>
              </w:rPr>
              <w:t>-11.3%</w:t>
            </w:r>
          </w:p>
        </w:tc>
        <w:tc>
          <w:tcPr>
            <w:tcW w:w="720" w:type="dxa"/>
            <w:vAlign w:val="bottom"/>
            <w:tcBorders>
              <w:right w:val="single" w:sz="8" w:color="auto"/>
            </w:tcBorders>
          </w:tcPr>
          <w:p>
            <w:pPr>
              <w:jc w:val="center"/>
              <w:ind w:right="232"/>
              <w:spacing w:after="0"/>
              <w:rPr>
                <w:sz w:val="20"/>
                <w:szCs w:val="20"/>
                <w:color w:val="auto"/>
              </w:rPr>
            </w:pPr>
            <w:r>
              <w:rPr>
                <w:rFonts w:ascii="Calibri" w:cs="Calibri" w:eastAsia="Calibri" w:hAnsi="Calibri"/>
                <w:sz w:val="13"/>
                <w:szCs w:val="13"/>
                <w:color w:val="auto"/>
              </w:rPr>
              <w:t>6.4%</w:t>
            </w:r>
          </w:p>
        </w:tc>
      </w:tr>
      <w:tr>
        <w:trPr>
          <w:trHeight w:val="22"/>
        </w:trPr>
        <w:tc>
          <w:tcPr>
            <w:tcW w:w="406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-7946390</wp:posOffset>
            </wp:positionV>
            <wp:extent cx="108013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59" w:lineRule="exact"/>
        <w:rPr>
          <w:sz w:val="20"/>
          <w:szCs w:val="20"/>
          <w:color w:val="auto"/>
        </w:rPr>
      </w:pPr>
    </w:p>
    <w:p>
      <w:pPr>
        <w:ind w:left="500" w:hanging="168"/>
        <w:spacing w:after="0"/>
        <w:tabs>
          <w:tab w:leader="none" w:pos="500" w:val="left"/>
        </w:tabs>
        <w:numPr>
          <w:ilvl w:val="0"/>
          <w:numId w:val="59"/>
        </w:numPr>
        <w:rPr>
          <w:rFonts w:ascii="Calibri" w:cs="Calibri" w:eastAsia="Calibri" w:hAnsi="Calibri"/>
          <w:sz w:val="12"/>
          <w:szCs w:val="12"/>
          <w:color w:val="auto"/>
        </w:rPr>
      </w:pPr>
      <w:r>
        <w:rPr>
          <w:rFonts w:ascii="Calibri" w:cs="Calibri" w:eastAsia="Calibri" w:hAnsi="Calibri"/>
          <w:sz w:val="12"/>
          <w:szCs w:val="12"/>
          <w:color w:val="auto"/>
        </w:rPr>
        <w:t>Right of use asset of lease contracts is included by applicaton of IFRS 16.</w:t>
      </w:r>
    </w:p>
    <w:p>
      <w:pPr>
        <w:spacing w:after="0" w:line="56" w:lineRule="exact"/>
        <w:rPr>
          <w:rFonts w:ascii="Calibri" w:cs="Calibri" w:eastAsia="Calibri" w:hAnsi="Calibri"/>
          <w:sz w:val="12"/>
          <w:szCs w:val="12"/>
          <w:color w:val="auto"/>
        </w:rPr>
      </w:pPr>
    </w:p>
    <w:p>
      <w:pPr>
        <w:ind w:left="500" w:hanging="168"/>
        <w:spacing w:after="0"/>
        <w:tabs>
          <w:tab w:leader="none" w:pos="500" w:val="left"/>
        </w:tabs>
        <w:numPr>
          <w:ilvl w:val="0"/>
          <w:numId w:val="59"/>
        </w:numPr>
        <w:rPr>
          <w:rFonts w:ascii="Calibri" w:cs="Calibri" w:eastAsia="Calibri" w:hAnsi="Calibri"/>
          <w:sz w:val="12"/>
          <w:szCs w:val="12"/>
          <w:color w:val="auto"/>
        </w:rPr>
      </w:pPr>
      <w:r>
        <w:rPr>
          <w:rFonts w:ascii="Calibri" w:cs="Calibri" w:eastAsia="Calibri" w:hAnsi="Calibri"/>
          <w:sz w:val="12"/>
          <w:szCs w:val="12"/>
          <w:color w:val="auto"/>
        </w:rPr>
        <w:t>Mainly includes intangible assets, other receivable accounts, trading derivatves receivable accounts and tax credit.</w:t>
      </w:r>
    </w:p>
    <w:p>
      <w:pPr>
        <w:spacing w:after="0" w:line="56" w:lineRule="exact"/>
        <w:rPr>
          <w:rFonts w:ascii="Calibri" w:cs="Calibri" w:eastAsia="Calibri" w:hAnsi="Calibri"/>
          <w:sz w:val="12"/>
          <w:szCs w:val="12"/>
          <w:color w:val="auto"/>
        </w:rPr>
      </w:pPr>
    </w:p>
    <w:p>
      <w:pPr>
        <w:ind w:left="500" w:hanging="168"/>
        <w:spacing w:after="0"/>
        <w:tabs>
          <w:tab w:leader="none" w:pos="500" w:val="left"/>
        </w:tabs>
        <w:numPr>
          <w:ilvl w:val="0"/>
          <w:numId w:val="59"/>
        </w:numPr>
        <w:rPr>
          <w:rFonts w:ascii="Calibri" w:cs="Calibri" w:eastAsia="Calibri" w:hAnsi="Calibri"/>
          <w:sz w:val="12"/>
          <w:szCs w:val="12"/>
          <w:color w:val="auto"/>
        </w:rPr>
      </w:pPr>
      <w:r>
        <w:rPr>
          <w:rFonts w:ascii="Calibri" w:cs="Calibri" w:eastAsia="Calibri" w:hAnsi="Calibri"/>
          <w:sz w:val="12"/>
          <w:szCs w:val="12"/>
          <w:color w:val="auto"/>
        </w:rPr>
        <w:t>Mainly includes other payable accounts, trading derivatves payable accounts and taxes for payable.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453"/>
        </w:trPr>
        <w:tc>
          <w:tcPr>
            <w:tcW w:w="2860" w:type="dxa"/>
            <w:vAlign w:val="bottom"/>
            <w:tcBorders>
              <w:left w:val="single" w:sz="8" w:color="auto"/>
            </w:tcBorders>
            <w:shd w:val="clear" w:color="auto" w:fill="000000"/>
          </w:tcPr>
          <w:p>
            <w:pPr>
              <w:ind w:left="2700"/>
              <w:spacing w:after="0"/>
              <w:rPr>
                <w:sz w:val="20"/>
                <w:szCs w:val="20"/>
                <w:color w:val="auto"/>
              </w:rPr>
            </w:pPr>
            <w:r>
              <w:rPr>
                <w:rFonts w:ascii="Calibri" w:cs="Calibri" w:eastAsia="Calibri" w:hAnsi="Calibri"/>
                <w:sz w:val="20"/>
                <w:szCs w:val="20"/>
                <w:color w:val="A6A6A6"/>
              </w:rPr>
              <w:t>|</w:t>
            </w:r>
          </w:p>
        </w:tc>
        <w:tc>
          <w:tcPr>
            <w:tcW w:w="2060" w:type="dxa"/>
            <w:vAlign w:val="bottom"/>
            <w:gridSpan w:val="3"/>
            <w:shd w:val="clear" w:color="auto" w:fill="000000"/>
          </w:tcPr>
          <w:p>
            <w:pPr>
              <w:ind w:left="80"/>
              <w:spacing w:after="0"/>
              <w:rPr>
                <w:sz w:val="20"/>
                <w:szCs w:val="20"/>
                <w:color w:val="auto"/>
              </w:rPr>
            </w:pPr>
            <w:r>
              <w:rPr>
                <w:rFonts w:ascii="Calibri" w:cs="Calibri" w:eastAsia="Calibri" w:hAnsi="Calibri"/>
                <w:sz w:val="16"/>
                <w:szCs w:val="16"/>
                <w:b w:val="1"/>
                <w:bCs w:val="1"/>
                <w:color w:val="BFBFBF"/>
              </w:rPr>
              <w:t>Earnings Release 3Q / 24</w:t>
            </w:r>
          </w:p>
        </w:tc>
        <w:tc>
          <w:tcPr>
            <w:tcW w:w="240" w:type="dxa"/>
            <w:vAlign w:val="bottom"/>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2680" w:type="dxa"/>
            <w:vAlign w:val="bottom"/>
            <w:tcBorders>
              <w:right w:val="single" w:sz="8" w:color="auto"/>
            </w:tcBorders>
            <w:gridSpan w:val="3"/>
            <w:shd w:val="clear" w:color="auto" w:fill="000000"/>
          </w:tcPr>
          <w:p>
            <w:pPr>
              <w:ind w:left="100"/>
              <w:spacing w:after="0"/>
              <w:rPr>
                <w:sz w:val="20"/>
                <w:szCs w:val="20"/>
                <w:color w:val="auto"/>
              </w:rPr>
            </w:pPr>
            <w:r>
              <w:rPr>
                <w:rFonts w:ascii="Calibri" w:cs="Calibri" w:eastAsia="Calibri" w:hAnsi="Calibri"/>
                <w:sz w:val="16"/>
                <w:szCs w:val="16"/>
                <w:color w:val="ED3FA8"/>
              </w:rPr>
              <w:t>Analysis of 3Q24 Consolidated Results</w:t>
            </w:r>
          </w:p>
        </w:tc>
        <w:tc>
          <w:tcPr>
            <w:tcW w:w="10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860" w:type="dxa"/>
            <w:vAlign w:val="bottom"/>
            <w:tcBorders>
              <w:left w:val="single" w:sz="8" w:color="auto"/>
            </w:tcBorders>
            <w:shd w:val="clear" w:color="auto" w:fill="000000"/>
          </w:tcPr>
          <w:p>
            <w:pPr>
              <w:spacing w:after="0"/>
              <w:rPr>
                <w:sz w:val="24"/>
                <w:szCs w:val="24"/>
                <w:color w:val="auto"/>
              </w:rPr>
            </w:pPr>
          </w:p>
        </w:tc>
        <w:tc>
          <w:tcPr>
            <w:tcW w:w="320" w:type="dxa"/>
            <w:vAlign w:val="bottom"/>
            <w:tcBorders>
              <w:right w:val="single" w:sz="8" w:color="auto"/>
            </w:tcBorders>
            <w:shd w:val="clear" w:color="auto" w:fill="000000"/>
          </w:tcPr>
          <w:p>
            <w:pPr>
              <w:spacing w:after="0"/>
              <w:rPr>
                <w:sz w:val="24"/>
                <w:szCs w:val="24"/>
                <w:color w:val="auto"/>
              </w:rPr>
            </w:pPr>
          </w:p>
        </w:tc>
        <w:tc>
          <w:tcPr>
            <w:tcW w:w="98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660" w:type="dxa"/>
            <w:vAlign w:val="bottom"/>
            <w:tcBorders>
              <w:right w:val="single" w:sz="8" w:color="auto"/>
            </w:tcBorders>
            <w:shd w:val="clear" w:color="auto" w:fill="000000"/>
          </w:tcPr>
          <w:p>
            <w:pPr>
              <w:spacing w:after="0"/>
              <w:rPr>
                <w:sz w:val="24"/>
                <w:szCs w:val="24"/>
                <w:color w:val="auto"/>
              </w:rPr>
            </w:pPr>
          </w:p>
        </w:tc>
        <w:tc>
          <w:tcPr>
            <w:tcW w:w="980" w:type="dxa"/>
            <w:vAlign w:val="bottom"/>
            <w:shd w:val="clear" w:color="auto" w:fill="000000"/>
          </w:tcPr>
          <w:p>
            <w:pPr>
              <w:spacing w:after="0"/>
              <w:rPr>
                <w:sz w:val="24"/>
                <w:szCs w:val="24"/>
                <w:color w:val="auto"/>
              </w:rPr>
            </w:pPr>
          </w:p>
        </w:tc>
        <w:tc>
          <w:tcPr>
            <w:tcW w:w="1040" w:type="dxa"/>
            <w:vAlign w:val="bottom"/>
            <w:tcBorders>
              <w:right w:val="single" w:sz="8" w:color="auto"/>
            </w:tcBorders>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6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320" w:type="dxa"/>
            <w:vAlign w:val="bottom"/>
            <w:tcBorders>
              <w:right w:val="single" w:sz="8" w:color="E93BAC"/>
            </w:tcBorders>
            <w:shd w:val="clear" w:color="auto" w:fill="E93BAC"/>
          </w:tcPr>
          <w:p>
            <w:pPr>
              <w:spacing w:after="0"/>
              <w:rPr>
                <w:sz w:val="22"/>
                <w:szCs w:val="22"/>
                <w:color w:val="auto"/>
              </w:rPr>
            </w:pPr>
          </w:p>
        </w:tc>
        <w:tc>
          <w:tcPr>
            <w:tcW w:w="980" w:type="dxa"/>
            <w:vAlign w:val="bottom"/>
            <w:shd w:val="clear" w:color="auto" w:fill="E93BAC"/>
          </w:tcPr>
          <w:p>
            <w:pPr>
              <w:spacing w:after="0"/>
              <w:rPr>
                <w:sz w:val="22"/>
                <w:szCs w:val="22"/>
                <w:color w:val="auto"/>
              </w:rPr>
            </w:pPr>
          </w:p>
        </w:tc>
        <w:tc>
          <w:tcPr>
            <w:tcW w:w="760" w:type="dxa"/>
            <w:vAlign w:val="bottom"/>
            <w:shd w:val="clear" w:color="auto" w:fill="E93BAC"/>
          </w:tcPr>
          <w:p>
            <w:pPr>
              <w:spacing w:after="0"/>
              <w:rPr>
                <w:sz w:val="22"/>
                <w:szCs w:val="22"/>
                <w:color w:val="auto"/>
              </w:rPr>
            </w:pPr>
          </w:p>
        </w:tc>
        <w:tc>
          <w:tcPr>
            <w:tcW w:w="240" w:type="dxa"/>
            <w:vAlign w:val="bottom"/>
            <w:shd w:val="clear" w:color="auto" w:fill="E93BAC"/>
          </w:tcPr>
          <w:p>
            <w:pPr>
              <w:spacing w:after="0"/>
              <w:rPr>
                <w:sz w:val="22"/>
                <w:szCs w:val="22"/>
                <w:color w:val="auto"/>
              </w:rPr>
            </w:pPr>
          </w:p>
        </w:tc>
        <w:tc>
          <w:tcPr>
            <w:tcW w:w="1020" w:type="dxa"/>
            <w:vAlign w:val="bottom"/>
            <w:tcBorders>
              <w:right w:val="single" w:sz="8" w:color="E93BAC"/>
            </w:tcBorders>
            <w:shd w:val="clear" w:color="auto" w:fill="E93BAC"/>
          </w:tcPr>
          <w:p>
            <w:pPr>
              <w:spacing w:after="0"/>
              <w:rPr>
                <w:sz w:val="22"/>
                <w:szCs w:val="22"/>
                <w:color w:val="auto"/>
              </w:rPr>
            </w:pPr>
          </w:p>
        </w:tc>
        <w:tc>
          <w:tcPr>
            <w:tcW w:w="240" w:type="dxa"/>
            <w:vAlign w:val="bottom"/>
            <w:shd w:val="clear" w:color="auto" w:fill="E93BAC"/>
          </w:tcPr>
          <w:p>
            <w:pPr>
              <w:spacing w:after="0"/>
              <w:rPr>
                <w:sz w:val="22"/>
                <w:szCs w:val="22"/>
                <w:color w:val="auto"/>
              </w:rPr>
            </w:pPr>
          </w:p>
        </w:tc>
        <w:tc>
          <w:tcPr>
            <w:tcW w:w="380" w:type="dxa"/>
            <w:vAlign w:val="bottom"/>
            <w:shd w:val="clear" w:color="auto" w:fill="E93BAC"/>
          </w:tcPr>
          <w:p>
            <w:pPr>
              <w:spacing w:after="0"/>
              <w:rPr>
                <w:sz w:val="22"/>
                <w:szCs w:val="22"/>
                <w:color w:val="auto"/>
              </w:rPr>
            </w:pPr>
          </w:p>
        </w:tc>
        <w:tc>
          <w:tcPr>
            <w:tcW w:w="400" w:type="dxa"/>
            <w:vAlign w:val="bottom"/>
            <w:shd w:val="clear" w:color="auto" w:fill="E93BAC"/>
          </w:tcPr>
          <w:p>
            <w:pPr>
              <w:spacing w:after="0"/>
              <w:rPr>
                <w:sz w:val="22"/>
                <w:szCs w:val="22"/>
                <w:color w:val="auto"/>
              </w:rPr>
            </w:pPr>
          </w:p>
        </w:tc>
        <w:tc>
          <w:tcPr>
            <w:tcW w:w="340" w:type="dxa"/>
            <w:vAlign w:val="bottom"/>
            <w:shd w:val="clear" w:color="auto" w:fill="E93BAC"/>
          </w:tcPr>
          <w:p>
            <w:pPr>
              <w:spacing w:after="0"/>
              <w:rPr>
                <w:sz w:val="22"/>
                <w:szCs w:val="22"/>
                <w:color w:val="auto"/>
              </w:rPr>
            </w:pPr>
          </w:p>
        </w:tc>
        <w:tc>
          <w:tcPr>
            <w:tcW w:w="660" w:type="dxa"/>
            <w:vAlign w:val="bottom"/>
            <w:tcBorders>
              <w:right w:val="single" w:sz="8" w:color="E93BAC"/>
            </w:tcBorders>
            <w:shd w:val="clear" w:color="auto" w:fill="E93BAC"/>
          </w:tcPr>
          <w:p>
            <w:pPr>
              <w:spacing w:after="0"/>
              <w:rPr>
                <w:sz w:val="22"/>
                <w:szCs w:val="22"/>
                <w:color w:val="auto"/>
              </w:rPr>
            </w:pPr>
          </w:p>
        </w:tc>
        <w:tc>
          <w:tcPr>
            <w:tcW w:w="980" w:type="dxa"/>
            <w:vAlign w:val="bottom"/>
            <w:shd w:val="clear" w:color="auto" w:fill="E93BAC"/>
          </w:tcPr>
          <w:p>
            <w:pPr>
              <w:spacing w:after="0"/>
              <w:rPr>
                <w:sz w:val="22"/>
                <w:szCs w:val="22"/>
                <w:color w:val="auto"/>
              </w:rPr>
            </w:pPr>
          </w:p>
        </w:tc>
        <w:tc>
          <w:tcPr>
            <w:tcW w:w="1040" w:type="dxa"/>
            <w:vAlign w:val="bottom"/>
            <w:tcBorders>
              <w:right w:val="single" w:sz="8" w:color="E93BAC"/>
            </w:tcBorders>
            <w:shd w:val="clear" w:color="auto" w:fill="E93BAC"/>
          </w:tcPr>
          <w:p>
            <w:pPr>
              <w:spacing w:after="0"/>
              <w:rPr>
                <w:sz w:val="22"/>
                <w:szCs w:val="22"/>
                <w:color w:val="auto"/>
              </w:rPr>
            </w:pPr>
          </w:p>
        </w:tc>
        <w:tc>
          <w:tcPr>
            <w:tcW w:w="1020" w:type="dxa"/>
            <w:vAlign w:val="bottom"/>
            <w:tcBorders>
              <w:right w:val="single" w:sz="8" w:color="E93BAC"/>
            </w:tcBorders>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860" w:type="dxa"/>
            <w:vAlign w:val="bottom"/>
            <w:tcBorders>
              <w:left w:val="single" w:sz="8" w:color="E93BAC"/>
            </w:tcBorders>
            <w:shd w:val="clear" w:color="auto" w:fill="E93BAC"/>
          </w:tcPr>
          <w:p>
            <w:pPr>
              <w:spacing w:after="0"/>
              <w:rPr>
                <w:sz w:val="7"/>
                <w:szCs w:val="7"/>
                <w:color w:val="auto"/>
              </w:rPr>
            </w:pPr>
          </w:p>
        </w:tc>
        <w:tc>
          <w:tcPr>
            <w:tcW w:w="320" w:type="dxa"/>
            <w:vAlign w:val="bottom"/>
            <w:tcBorders>
              <w:right w:val="single" w:sz="8" w:color="E93BAC"/>
            </w:tcBorders>
            <w:shd w:val="clear" w:color="auto" w:fill="E93BAC"/>
          </w:tcPr>
          <w:p>
            <w:pPr>
              <w:spacing w:after="0"/>
              <w:rPr>
                <w:sz w:val="7"/>
                <w:szCs w:val="7"/>
                <w:color w:val="auto"/>
              </w:rPr>
            </w:pPr>
          </w:p>
        </w:tc>
        <w:tc>
          <w:tcPr>
            <w:tcW w:w="980" w:type="dxa"/>
            <w:vAlign w:val="bottom"/>
            <w:shd w:val="clear" w:color="auto" w:fill="E93BAC"/>
          </w:tcPr>
          <w:p>
            <w:pPr>
              <w:spacing w:after="0"/>
              <w:rPr>
                <w:sz w:val="7"/>
                <w:szCs w:val="7"/>
                <w:color w:val="auto"/>
              </w:rPr>
            </w:pPr>
          </w:p>
        </w:tc>
        <w:tc>
          <w:tcPr>
            <w:tcW w:w="1000" w:type="dxa"/>
            <w:vAlign w:val="bottom"/>
            <w:gridSpan w:val="2"/>
            <w:shd w:val="clear" w:color="auto" w:fill="E93BAC"/>
          </w:tcPr>
          <w:p>
            <w:pPr>
              <w:spacing w:after="0"/>
              <w:rPr>
                <w:sz w:val="7"/>
                <w:szCs w:val="7"/>
                <w:color w:val="auto"/>
              </w:rPr>
            </w:pPr>
          </w:p>
        </w:tc>
        <w:tc>
          <w:tcPr>
            <w:tcW w:w="1020" w:type="dxa"/>
            <w:vAlign w:val="bottom"/>
            <w:tcBorders>
              <w:right w:val="single" w:sz="8" w:color="E93BAC"/>
            </w:tcBorders>
            <w:shd w:val="clear" w:color="auto" w:fill="E93BAC"/>
          </w:tcPr>
          <w:p>
            <w:pPr>
              <w:spacing w:after="0"/>
              <w:rPr>
                <w:sz w:val="7"/>
                <w:szCs w:val="7"/>
                <w:color w:val="auto"/>
              </w:rPr>
            </w:pPr>
          </w:p>
        </w:tc>
        <w:tc>
          <w:tcPr>
            <w:tcW w:w="620" w:type="dxa"/>
            <w:vAlign w:val="bottom"/>
            <w:gridSpan w:val="2"/>
            <w:shd w:val="clear" w:color="auto" w:fill="E93BAC"/>
          </w:tcPr>
          <w:p>
            <w:pPr>
              <w:spacing w:after="0"/>
              <w:rPr>
                <w:sz w:val="7"/>
                <w:szCs w:val="7"/>
                <w:color w:val="auto"/>
              </w:rPr>
            </w:pPr>
          </w:p>
        </w:tc>
        <w:tc>
          <w:tcPr>
            <w:tcW w:w="400" w:type="dxa"/>
            <w:vAlign w:val="bottom"/>
            <w:shd w:val="clear" w:color="auto" w:fill="E93BAC"/>
          </w:tcPr>
          <w:p>
            <w:pPr>
              <w:spacing w:after="0"/>
              <w:rPr>
                <w:sz w:val="7"/>
                <w:szCs w:val="7"/>
                <w:color w:val="auto"/>
              </w:rPr>
            </w:pPr>
          </w:p>
        </w:tc>
        <w:tc>
          <w:tcPr>
            <w:tcW w:w="340" w:type="dxa"/>
            <w:vAlign w:val="bottom"/>
            <w:shd w:val="clear" w:color="auto" w:fill="E93BAC"/>
          </w:tcPr>
          <w:p>
            <w:pPr>
              <w:spacing w:after="0"/>
              <w:rPr>
                <w:sz w:val="7"/>
                <w:szCs w:val="7"/>
                <w:color w:val="auto"/>
              </w:rPr>
            </w:pPr>
          </w:p>
        </w:tc>
        <w:tc>
          <w:tcPr>
            <w:tcW w:w="660" w:type="dxa"/>
            <w:vAlign w:val="bottom"/>
            <w:tcBorders>
              <w:right w:val="single" w:sz="8" w:color="E93BAC"/>
            </w:tcBorders>
            <w:shd w:val="clear" w:color="auto" w:fill="E93BAC"/>
          </w:tcPr>
          <w:p>
            <w:pPr>
              <w:spacing w:after="0"/>
              <w:rPr>
                <w:sz w:val="7"/>
                <w:szCs w:val="7"/>
                <w:color w:val="auto"/>
              </w:rPr>
            </w:pPr>
          </w:p>
        </w:tc>
        <w:tc>
          <w:tcPr>
            <w:tcW w:w="980" w:type="dxa"/>
            <w:vAlign w:val="bottom"/>
            <w:shd w:val="clear" w:color="auto" w:fill="E93BAC"/>
          </w:tcPr>
          <w:p>
            <w:pPr>
              <w:spacing w:after="0"/>
              <w:rPr>
                <w:sz w:val="7"/>
                <w:szCs w:val="7"/>
                <w:color w:val="auto"/>
              </w:rPr>
            </w:pPr>
          </w:p>
        </w:tc>
        <w:tc>
          <w:tcPr>
            <w:tcW w:w="1040" w:type="dxa"/>
            <w:vAlign w:val="bottom"/>
            <w:tcBorders>
              <w:right w:val="single" w:sz="8" w:color="E93BAC"/>
            </w:tcBorders>
            <w:shd w:val="clear" w:color="auto" w:fill="E93BAC"/>
          </w:tcPr>
          <w:p>
            <w:pPr>
              <w:spacing w:after="0"/>
              <w:rPr>
                <w:sz w:val="7"/>
                <w:szCs w:val="7"/>
                <w:color w:val="auto"/>
              </w:rPr>
            </w:pPr>
          </w:p>
        </w:tc>
        <w:tc>
          <w:tcPr>
            <w:tcW w:w="1020" w:type="dxa"/>
            <w:vAlign w:val="bottom"/>
            <w:tcBorders>
              <w:right w:val="single" w:sz="8" w:color="E93BAC"/>
            </w:tcBorders>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40" w:type="dxa"/>
            <w:vAlign w:val="bottom"/>
            <w:gridSpan w:val="6"/>
          </w:tcPr>
          <w:p>
            <w:pPr>
              <w:jc w:val="center"/>
              <w:ind w:right="48"/>
              <w:spacing w:after="0"/>
              <w:rPr>
                <w:sz w:val="20"/>
                <w:szCs w:val="20"/>
                <w:color w:val="auto"/>
              </w:rPr>
            </w:pPr>
            <w:r>
              <w:rPr>
                <w:rFonts w:ascii="Calibri" w:cs="Calibri" w:eastAsia="Calibri" w:hAnsi="Calibri"/>
                <w:sz w:val="16"/>
                <w:szCs w:val="16"/>
                <w:b w:val="1"/>
                <w:bCs w:val="1"/>
                <w:color w:val="auto"/>
              </w:rPr>
              <w:t>Consolidated Statement of Income</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Calibri" w:cs="Calibri" w:eastAsia="Calibri" w:hAnsi="Calibri"/>
                <w:sz w:val="16"/>
                <w:szCs w:val="16"/>
                <w:b w:val="1"/>
                <w:bCs w:val="1"/>
                <w:color w:val="auto"/>
              </w:rPr>
              <w:t>(S/ Thousands, IFRS)</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8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860" w:type="dxa"/>
            <w:vAlign w:val="bottom"/>
            <w:tcBorders>
              <w:top w:val="single" w:sz="8" w:color="33CCCC"/>
              <w:left w:val="single" w:sz="8" w:color="auto"/>
              <w:bottom w:val="single" w:sz="8" w:color="33CCCC"/>
            </w:tcBorders>
            <w:shd w:val="clear" w:color="auto" w:fill="33CCCC"/>
          </w:tcPr>
          <w:p>
            <w:pPr>
              <w:spacing w:after="0"/>
              <w:rPr>
                <w:sz w:val="16"/>
                <w:szCs w:val="16"/>
                <w:color w:val="auto"/>
              </w:rPr>
            </w:pPr>
          </w:p>
        </w:tc>
        <w:tc>
          <w:tcPr>
            <w:tcW w:w="320" w:type="dxa"/>
            <w:vAlign w:val="bottom"/>
            <w:tcBorders>
              <w:top w:val="single" w:sz="8" w:color="33CCCC"/>
              <w:bottom w:val="single" w:sz="8" w:color="33CCCC"/>
              <w:right w:val="single" w:sz="8" w:color="auto"/>
            </w:tcBorders>
            <w:shd w:val="clear" w:color="auto" w:fill="33CCCC"/>
          </w:tcPr>
          <w:p>
            <w:pPr>
              <w:spacing w:after="0"/>
              <w:rPr>
                <w:sz w:val="16"/>
                <w:szCs w:val="16"/>
                <w:color w:val="auto"/>
              </w:rPr>
            </w:pPr>
          </w:p>
        </w:tc>
        <w:tc>
          <w:tcPr>
            <w:tcW w:w="980" w:type="dxa"/>
            <w:vAlign w:val="bottom"/>
            <w:tcBorders>
              <w:top w:val="single" w:sz="8" w:color="2AD2C8"/>
              <w:bottom w:val="single" w:sz="8" w:color="33CCCC"/>
            </w:tcBorders>
            <w:vMerge w:val="restart"/>
            <w:shd w:val="clear" w:color="auto" w:fill="33CCCC"/>
          </w:tcPr>
          <w:p>
            <w:pPr>
              <w:jc w:val="center"/>
              <w:spacing w:after="0"/>
              <w:rPr>
                <w:sz w:val="20"/>
                <w:szCs w:val="20"/>
                <w:color w:val="auto"/>
              </w:rPr>
            </w:pPr>
            <w:r>
              <w:rPr>
                <w:rFonts w:ascii="Calibri" w:cs="Calibri" w:eastAsia="Calibri" w:hAnsi="Calibri"/>
                <w:sz w:val="14"/>
                <w:szCs w:val="14"/>
                <w:color w:val="FFFFFF"/>
              </w:rPr>
              <w:t>3Q23</w:t>
            </w:r>
          </w:p>
        </w:tc>
        <w:tc>
          <w:tcPr>
            <w:tcW w:w="760" w:type="dxa"/>
            <w:vAlign w:val="bottom"/>
            <w:tcBorders>
              <w:top w:val="single" w:sz="8" w:color="2AD2C8"/>
              <w:bottom w:val="single" w:sz="8" w:color="2AD2C8"/>
            </w:tcBorders>
            <w:shd w:val="clear" w:color="auto" w:fill="33CCCC"/>
          </w:tcPr>
          <w:p>
            <w:pPr>
              <w:ind w:left="280"/>
              <w:spacing w:after="0" w:line="163" w:lineRule="exact"/>
              <w:rPr>
                <w:sz w:val="20"/>
                <w:szCs w:val="20"/>
                <w:color w:val="auto"/>
              </w:rPr>
            </w:pPr>
            <w:r>
              <w:rPr>
                <w:rFonts w:ascii="Calibri" w:cs="Calibri" w:eastAsia="Calibri" w:hAnsi="Calibri"/>
                <w:sz w:val="14"/>
                <w:szCs w:val="14"/>
                <w:color w:val="FFFFFF"/>
              </w:rPr>
              <w:t>Quarter</w:t>
            </w:r>
          </w:p>
        </w:tc>
        <w:tc>
          <w:tcPr>
            <w:tcW w:w="240" w:type="dxa"/>
            <w:vAlign w:val="bottom"/>
            <w:tcBorders>
              <w:top w:val="single" w:sz="8" w:color="2AD2C8"/>
              <w:bottom w:val="single" w:sz="8" w:color="2AD2C8"/>
            </w:tcBorders>
            <w:shd w:val="clear" w:color="auto" w:fill="33CCCC"/>
          </w:tcPr>
          <w:p>
            <w:pPr>
              <w:spacing w:after="0"/>
              <w:rPr>
                <w:sz w:val="16"/>
                <w:szCs w:val="16"/>
                <w:color w:val="auto"/>
              </w:rPr>
            </w:pPr>
          </w:p>
        </w:tc>
        <w:tc>
          <w:tcPr>
            <w:tcW w:w="1020" w:type="dxa"/>
            <w:vAlign w:val="bottom"/>
            <w:tcBorders>
              <w:top w:val="single" w:sz="8" w:color="2AD2C8"/>
              <w:bottom w:val="single" w:sz="8" w:color="33CCCC"/>
              <w:right w:val="single" w:sz="8" w:color="auto"/>
            </w:tcBorders>
            <w:shd w:val="clear" w:color="auto" w:fill="33CCCC"/>
          </w:tcPr>
          <w:p>
            <w:pPr>
              <w:spacing w:after="0"/>
              <w:rPr>
                <w:sz w:val="16"/>
                <w:szCs w:val="16"/>
                <w:color w:val="auto"/>
              </w:rPr>
            </w:pPr>
          </w:p>
        </w:tc>
        <w:tc>
          <w:tcPr>
            <w:tcW w:w="240" w:type="dxa"/>
            <w:vAlign w:val="bottom"/>
            <w:tcBorders>
              <w:top w:val="single" w:sz="8" w:color="2AD2C8"/>
              <w:bottom w:val="single" w:sz="8" w:color="2AD2C8"/>
            </w:tcBorders>
            <w:shd w:val="clear" w:color="auto" w:fill="33CCCC"/>
          </w:tcPr>
          <w:p>
            <w:pPr>
              <w:spacing w:after="0"/>
              <w:rPr>
                <w:sz w:val="16"/>
                <w:szCs w:val="16"/>
                <w:color w:val="auto"/>
              </w:rPr>
            </w:pPr>
          </w:p>
        </w:tc>
        <w:tc>
          <w:tcPr>
            <w:tcW w:w="380" w:type="dxa"/>
            <w:vAlign w:val="bottom"/>
            <w:tcBorders>
              <w:top w:val="single" w:sz="8" w:color="2AD2C8"/>
              <w:bottom w:val="single" w:sz="8" w:color="2AD2C8"/>
            </w:tcBorders>
            <w:shd w:val="clear" w:color="auto" w:fill="33CCCC"/>
          </w:tcPr>
          <w:p>
            <w:pPr>
              <w:spacing w:after="0"/>
              <w:rPr>
                <w:sz w:val="16"/>
                <w:szCs w:val="16"/>
                <w:color w:val="auto"/>
              </w:rPr>
            </w:pPr>
          </w:p>
        </w:tc>
        <w:tc>
          <w:tcPr>
            <w:tcW w:w="1400" w:type="dxa"/>
            <w:vAlign w:val="bottom"/>
            <w:tcBorders>
              <w:top w:val="single" w:sz="8" w:color="2AD2C8"/>
              <w:bottom w:val="single" w:sz="8" w:color="2AD2C8"/>
              <w:right w:val="single" w:sz="8" w:color="auto"/>
            </w:tcBorders>
            <w:gridSpan w:val="3"/>
            <w:shd w:val="clear" w:color="auto" w:fill="33CCCC"/>
          </w:tcPr>
          <w:p>
            <w:pPr>
              <w:jc w:val="right"/>
              <w:ind w:right="675"/>
              <w:spacing w:after="0" w:line="163" w:lineRule="exact"/>
              <w:rPr>
                <w:sz w:val="20"/>
                <w:szCs w:val="20"/>
                <w:color w:val="auto"/>
              </w:rPr>
            </w:pPr>
            <w:r>
              <w:rPr>
                <w:rFonts w:ascii="Calibri" w:cs="Calibri" w:eastAsia="Calibri" w:hAnsi="Calibri"/>
                <w:sz w:val="14"/>
                <w:szCs w:val="14"/>
                <w:color w:val="FFFFFF"/>
              </w:rPr>
              <w:t>% Change</w:t>
            </w:r>
          </w:p>
        </w:tc>
        <w:tc>
          <w:tcPr>
            <w:tcW w:w="980" w:type="dxa"/>
            <w:vAlign w:val="bottom"/>
            <w:tcBorders>
              <w:top w:val="single" w:sz="8" w:color="33CCCC"/>
              <w:bottom w:val="single" w:sz="8" w:color="33CCCC"/>
            </w:tcBorders>
            <w:vMerge w:val="restart"/>
            <w:shd w:val="clear" w:color="auto" w:fill="33CCCC"/>
          </w:tcPr>
          <w:p>
            <w:pPr>
              <w:ind w:left="300"/>
              <w:spacing w:after="0"/>
              <w:rPr>
                <w:sz w:val="20"/>
                <w:szCs w:val="20"/>
                <w:color w:val="auto"/>
              </w:rPr>
            </w:pPr>
            <w:r>
              <w:rPr>
                <w:rFonts w:ascii="Calibri" w:cs="Calibri" w:eastAsia="Calibri" w:hAnsi="Calibri"/>
                <w:sz w:val="14"/>
                <w:szCs w:val="14"/>
                <w:color w:val="FFFFFF"/>
              </w:rPr>
              <w:t>Sep 23</w:t>
            </w:r>
          </w:p>
        </w:tc>
        <w:tc>
          <w:tcPr>
            <w:tcW w:w="1040" w:type="dxa"/>
            <w:vAlign w:val="bottom"/>
            <w:tcBorders>
              <w:top w:val="single" w:sz="8" w:color="2AD2C8"/>
              <w:bottom w:val="single" w:sz="8" w:color="2AD2C8"/>
              <w:right w:val="single" w:sz="8" w:color="auto"/>
            </w:tcBorders>
            <w:shd w:val="clear" w:color="auto" w:fill="33CCCC"/>
          </w:tcPr>
          <w:p>
            <w:pPr>
              <w:jc w:val="center"/>
              <w:spacing w:after="0" w:line="163" w:lineRule="exact"/>
              <w:rPr>
                <w:sz w:val="20"/>
                <w:szCs w:val="20"/>
                <w:color w:val="auto"/>
              </w:rPr>
            </w:pPr>
            <w:r>
              <w:rPr>
                <w:rFonts w:ascii="Calibri" w:cs="Calibri" w:eastAsia="Calibri" w:hAnsi="Calibri"/>
                <w:sz w:val="14"/>
                <w:szCs w:val="14"/>
                <w:color w:val="FFFFFF"/>
              </w:rPr>
              <w:t>Up to</w:t>
            </w:r>
          </w:p>
        </w:tc>
        <w:tc>
          <w:tcPr>
            <w:tcW w:w="1020" w:type="dxa"/>
            <w:vAlign w:val="bottom"/>
            <w:tcBorders>
              <w:top w:val="single" w:sz="8" w:color="2AD2C8"/>
              <w:bottom w:val="single" w:sz="8" w:color="2AD2C8"/>
              <w:right w:val="single" w:sz="8" w:color="auto"/>
            </w:tcBorders>
            <w:shd w:val="clear" w:color="auto" w:fill="33CCCC"/>
          </w:tcPr>
          <w:p>
            <w:pPr>
              <w:jc w:val="center"/>
              <w:spacing w:after="0" w:line="163" w:lineRule="exact"/>
              <w:rPr>
                <w:sz w:val="20"/>
                <w:szCs w:val="20"/>
                <w:color w:val="auto"/>
              </w:rPr>
            </w:pPr>
            <w:r>
              <w:rPr>
                <w:rFonts w:ascii="Calibri" w:cs="Calibri" w:eastAsia="Calibri" w:hAnsi="Calibri"/>
                <w:sz w:val="14"/>
                <w:szCs w:val="14"/>
                <w:color w:val="FFFFFF"/>
              </w:rPr>
              <w:t>% Change</w:t>
            </w:r>
          </w:p>
        </w:tc>
        <w:tc>
          <w:tcPr>
            <w:tcW w:w="0" w:type="dxa"/>
            <w:vAlign w:val="bottom"/>
          </w:tcPr>
          <w:p>
            <w:pPr>
              <w:spacing w:after="0"/>
              <w:rPr>
                <w:sz w:val="1"/>
                <w:szCs w:val="1"/>
                <w:color w:val="auto"/>
              </w:rPr>
            </w:pPr>
          </w:p>
        </w:tc>
      </w:tr>
      <w:tr>
        <w:trPr>
          <w:trHeight w:val="167"/>
        </w:trPr>
        <w:tc>
          <w:tcPr>
            <w:tcW w:w="2860" w:type="dxa"/>
            <w:vAlign w:val="bottom"/>
            <w:tcBorders>
              <w:top w:val="single" w:sz="8" w:color="33CCCC"/>
              <w:left w:val="single" w:sz="8" w:color="auto"/>
              <w:bottom w:val="single" w:sz="8" w:color="33CCCC"/>
            </w:tcBorders>
            <w:shd w:val="clear" w:color="auto" w:fill="33CCCC"/>
          </w:tcPr>
          <w:p>
            <w:pPr>
              <w:spacing w:after="0"/>
              <w:rPr>
                <w:sz w:val="14"/>
                <w:szCs w:val="14"/>
                <w:color w:val="auto"/>
              </w:rPr>
            </w:pPr>
          </w:p>
        </w:tc>
        <w:tc>
          <w:tcPr>
            <w:tcW w:w="320" w:type="dxa"/>
            <w:vAlign w:val="bottom"/>
            <w:tcBorders>
              <w:top w:val="single" w:sz="8" w:color="33CCCC"/>
              <w:bottom w:val="single" w:sz="8" w:color="33CCCC"/>
              <w:right w:val="single" w:sz="8" w:color="auto"/>
            </w:tcBorders>
            <w:shd w:val="clear" w:color="auto" w:fill="33CCCC"/>
          </w:tcPr>
          <w:p>
            <w:pPr>
              <w:spacing w:after="0"/>
              <w:rPr>
                <w:sz w:val="14"/>
                <w:szCs w:val="14"/>
                <w:color w:val="auto"/>
              </w:rPr>
            </w:pPr>
          </w:p>
        </w:tc>
        <w:tc>
          <w:tcPr>
            <w:tcW w:w="980" w:type="dxa"/>
            <w:vAlign w:val="bottom"/>
            <w:tcBorders>
              <w:top w:val="single" w:sz="8" w:color="33CCCC"/>
              <w:bottom w:val="single" w:sz="8" w:color="33CCCC"/>
            </w:tcBorders>
            <w:vMerge w:val="continue"/>
            <w:shd w:val="clear" w:color="auto" w:fill="33CCCC"/>
          </w:tcPr>
          <w:p>
            <w:pPr>
              <w:spacing w:after="0"/>
              <w:rPr>
                <w:sz w:val="14"/>
                <w:szCs w:val="14"/>
                <w:color w:val="auto"/>
              </w:rPr>
            </w:pPr>
          </w:p>
        </w:tc>
        <w:tc>
          <w:tcPr>
            <w:tcW w:w="760" w:type="dxa"/>
            <w:vAlign w:val="bottom"/>
            <w:tcBorders>
              <w:top w:val="single" w:sz="8" w:color="33CCCC"/>
              <w:bottom w:val="single" w:sz="8" w:color="33CCCC"/>
            </w:tcBorders>
            <w:shd w:val="clear" w:color="auto" w:fill="33CCCC"/>
          </w:tcPr>
          <w:p>
            <w:pPr>
              <w:jc w:val="center"/>
              <w:ind w:left="168"/>
              <w:spacing w:after="0" w:line="142" w:lineRule="exact"/>
              <w:rPr>
                <w:sz w:val="20"/>
                <w:szCs w:val="20"/>
                <w:color w:val="auto"/>
              </w:rPr>
            </w:pPr>
            <w:r>
              <w:rPr>
                <w:rFonts w:ascii="Calibri" w:cs="Calibri" w:eastAsia="Calibri" w:hAnsi="Calibri"/>
                <w:sz w:val="14"/>
                <w:szCs w:val="14"/>
                <w:color w:val="FFFFFF"/>
                <w:w w:val="97"/>
              </w:rPr>
              <w:t>2Q24</w:t>
            </w:r>
          </w:p>
        </w:tc>
        <w:tc>
          <w:tcPr>
            <w:tcW w:w="240" w:type="dxa"/>
            <w:vAlign w:val="bottom"/>
            <w:tcBorders>
              <w:top w:val="single" w:sz="8" w:color="33CCCC"/>
              <w:bottom w:val="single" w:sz="8" w:color="33CCCC"/>
            </w:tcBorders>
            <w:shd w:val="clear" w:color="auto" w:fill="33CCCC"/>
          </w:tcPr>
          <w:p>
            <w:pPr>
              <w:spacing w:after="0"/>
              <w:rPr>
                <w:sz w:val="14"/>
                <w:szCs w:val="14"/>
                <w:color w:val="auto"/>
              </w:rPr>
            </w:pPr>
          </w:p>
        </w:tc>
        <w:tc>
          <w:tcPr>
            <w:tcW w:w="1020" w:type="dxa"/>
            <w:vAlign w:val="bottom"/>
            <w:tcBorders>
              <w:top w:val="single" w:sz="8" w:color="33CCCC"/>
              <w:bottom w:val="single" w:sz="8" w:color="33CCCC"/>
              <w:right w:val="single" w:sz="8" w:color="auto"/>
            </w:tcBorders>
            <w:shd w:val="clear" w:color="auto" w:fill="33CCCC"/>
          </w:tcPr>
          <w:p>
            <w:pPr>
              <w:jc w:val="center"/>
              <w:spacing w:after="0" w:line="142" w:lineRule="exact"/>
              <w:rPr>
                <w:sz w:val="20"/>
                <w:szCs w:val="20"/>
                <w:color w:val="auto"/>
              </w:rPr>
            </w:pPr>
            <w:r>
              <w:rPr>
                <w:rFonts w:ascii="Calibri" w:cs="Calibri" w:eastAsia="Calibri" w:hAnsi="Calibri"/>
                <w:sz w:val="14"/>
                <w:szCs w:val="14"/>
                <w:color w:val="FFFFFF"/>
                <w:w w:val="97"/>
              </w:rPr>
              <w:t>3Q24</w:t>
            </w:r>
          </w:p>
        </w:tc>
        <w:tc>
          <w:tcPr>
            <w:tcW w:w="240" w:type="dxa"/>
            <w:vAlign w:val="bottom"/>
            <w:tcBorders>
              <w:top w:val="single" w:sz="8" w:color="2AD2C8"/>
              <w:bottom w:val="single" w:sz="8" w:color="2AD2C8"/>
            </w:tcBorders>
            <w:shd w:val="clear" w:color="auto" w:fill="2AD2C8"/>
          </w:tcPr>
          <w:p>
            <w:pPr>
              <w:spacing w:after="0"/>
              <w:rPr>
                <w:sz w:val="14"/>
                <w:szCs w:val="14"/>
                <w:color w:val="auto"/>
              </w:rPr>
            </w:pPr>
          </w:p>
        </w:tc>
        <w:tc>
          <w:tcPr>
            <w:tcW w:w="380" w:type="dxa"/>
            <w:vAlign w:val="bottom"/>
            <w:tcBorders>
              <w:top w:val="single" w:sz="8" w:color="2AD2C8"/>
              <w:bottom w:val="single" w:sz="8" w:color="2AD2C8"/>
            </w:tcBorders>
            <w:shd w:val="clear" w:color="auto" w:fill="2AD2C8"/>
          </w:tcPr>
          <w:p>
            <w:pPr>
              <w:spacing w:after="0"/>
              <w:rPr>
                <w:sz w:val="14"/>
                <w:szCs w:val="14"/>
                <w:color w:val="auto"/>
              </w:rPr>
            </w:pPr>
          </w:p>
        </w:tc>
        <w:tc>
          <w:tcPr>
            <w:tcW w:w="400" w:type="dxa"/>
            <w:vAlign w:val="bottom"/>
            <w:tcBorders>
              <w:top w:val="single" w:sz="8" w:color="2AD2C8"/>
              <w:bottom w:val="single" w:sz="8" w:color="2AD2C8"/>
            </w:tcBorders>
            <w:shd w:val="clear" w:color="auto" w:fill="33CCCC"/>
          </w:tcPr>
          <w:p>
            <w:pPr>
              <w:spacing w:after="0" w:line="142" w:lineRule="exact"/>
              <w:rPr>
                <w:sz w:val="20"/>
                <w:szCs w:val="20"/>
                <w:color w:val="auto"/>
              </w:rPr>
            </w:pPr>
            <w:r>
              <w:rPr>
                <w:rFonts w:ascii="Calibri" w:cs="Calibri" w:eastAsia="Calibri" w:hAnsi="Calibri"/>
                <w:sz w:val="14"/>
                <w:szCs w:val="14"/>
                <w:color w:val="FFFFFF"/>
              </w:rPr>
              <w:t>QoQ</w:t>
            </w:r>
          </w:p>
        </w:tc>
        <w:tc>
          <w:tcPr>
            <w:tcW w:w="340" w:type="dxa"/>
            <w:vAlign w:val="bottom"/>
            <w:tcBorders>
              <w:top w:val="single" w:sz="8" w:color="2AD2C8"/>
              <w:bottom w:val="single" w:sz="8" w:color="2AD2C8"/>
            </w:tcBorders>
            <w:shd w:val="clear" w:color="auto" w:fill="33CCCC"/>
          </w:tcPr>
          <w:p>
            <w:pPr>
              <w:jc w:val="right"/>
              <w:spacing w:after="0" w:line="142" w:lineRule="exact"/>
              <w:rPr>
                <w:sz w:val="20"/>
                <w:szCs w:val="20"/>
                <w:color w:val="auto"/>
              </w:rPr>
            </w:pPr>
            <w:r>
              <w:rPr>
                <w:rFonts w:ascii="Calibri" w:cs="Calibri" w:eastAsia="Calibri" w:hAnsi="Calibri"/>
                <w:sz w:val="14"/>
                <w:szCs w:val="14"/>
                <w:color w:val="FFFFFF"/>
              </w:rPr>
              <w:t>YoY</w:t>
            </w:r>
          </w:p>
        </w:tc>
        <w:tc>
          <w:tcPr>
            <w:tcW w:w="660" w:type="dxa"/>
            <w:vAlign w:val="bottom"/>
            <w:tcBorders>
              <w:top w:val="single" w:sz="8" w:color="2AD2C8"/>
              <w:bottom w:val="single" w:sz="8" w:color="2AD2C8"/>
              <w:right w:val="single" w:sz="8" w:color="auto"/>
            </w:tcBorders>
            <w:shd w:val="clear" w:color="auto" w:fill="2AD2C8"/>
          </w:tcPr>
          <w:p>
            <w:pPr>
              <w:spacing w:after="0"/>
              <w:rPr>
                <w:sz w:val="14"/>
                <w:szCs w:val="14"/>
                <w:color w:val="auto"/>
              </w:rPr>
            </w:pPr>
          </w:p>
        </w:tc>
        <w:tc>
          <w:tcPr>
            <w:tcW w:w="980" w:type="dxa"/>
            <w:vAlign w:val="bottom"/>
            <w:tcBorders>
              <w:top w:val="single" w:sz="8" w:color="33CCCC"/>
              <w:bottom w:val="single" w:sz="8" w:color="33CCCC"/>
            </w:tcBorders>
            <w:vMerge w:val="continue"/>
            <w:shd w:val="clear" w:color="auto" w:fill="33CCCC"/>
          </w:tcPr>
          <w:p>
            <w:pPr>
              <w:spacing w:after="0"/>
              <w:rPr>
                <w:sz w:val="14"/>
                <w:szCs w:val="14"/>
                <w:color w:val="auto"/>
              </w:rPr>
            </w:pPr>
          </w:p>
        </w:tc>
        <w:tc>
          <w:tcPr>
            <w:tcW w:w="1040" w:type="dxa"/>
            <w:vAlign w:val="bottom"/>
            <w:tcBorders>
              <w:top w:val="single" w:sz="8" w:color="33CCCC"/>
              <w:bottom w:val="single" w:sz="8" w:color="33CCCC"/>
              <w:right w:val="single" w:sz="8" w:color="auto"/>
            </w:tcBorders>
            <w:shd w:val="clear" w:color="auto" w:fill="33CCCC"/>
          </w:tcPr>
          <w:p>
            <w:pPr>
              <w:jc w:val="center"/>
              <w:spacing w:after="0" w:line="142" w:lineRule="exact"/>
              <w:rPr>
                <w:sz w:val="20"/>
                <w:szCs w:val="20"/>
                <w:color w:val="auto"/>
              </w:rPr>
            </w:pPr>
            <w:r>
              <w:rPr>
                <w:rFonts w:ascii="Calibri" w:cs="Calibri" w:eastAsia="Calibri" w:hAnsi="Calibri"/>
                <w:sz w:val="14"/>
                <w:szCs w:val="14"/>
                <w:color w:val="FFFFFF"/>
              </w:rPr>
              <w:t>Sep 24</w:t>
            </w:r>
          </w:p>
        </w:tc>
        <w:tc>
          <w:tcPr>
            <w:tcW w:w="1020" w:type="dxa"/>
            <w:vAlign w:val="bottom"/>
            <w:tcBorders>
              <w:top w:val="single" w:sz="8" w:color="33CCCC"/>
              <w:bottom w:val="single" w:sz="8" w:color="33CCCC"/>
              <w:right w:val="single" w:sz="8" w:color="auto"/>
            </w:tcBorders>
            <w:shd w:val="clear" w:color="auto" w:fill="33CCCC"/>
          </w:tcPr>
          <w:p>
            <w:pPr>
              <w:jc w:val="center"/>
              <w:spacing w:after="0" w:line="142" w:lineRule="exact"/>
              <w:rPr>
                <w:sz w:val="20"/>
                <w:szCs w:val="20"/>
                <w:color w:val="auto"/>
              </w:rPr>
            </w:pPr>
            <w:r>
              <w:rPr>
                <w:rFonts w:ascii="Calibri" w:cs="Calibri" w:eastAsia="Calibri" w:hAnsi="Calibri"/>
                <w:sz w:val="14"/>
                <w:szCs w:val="14"/>
                <w:color w:val="FFFFFF"/>
              </w:rPr>
              <w:t>Sep 24 / Sep 23</w:t>
            </w:r>
          </w:p>
        </w:tc>
        <w:tc>
          <w:tcPr>
            <w:tcW w:w="0" w:type="dxa"/>
            <w:vAlign w:val="bottom"/>
          </w:tcPr>
          <w:p>
            <w:pPr>
              <w:spacing w:after="0"/>
              <w:rPr>
                <w:sz w:val="1"/>
                <w:szCs w:val="1"/>
                <w:color w:val="auto"/>
              </w:rPr>
            </w:pPr>
          </w:p>
        </w:tc>
      </w:tr>
      <w:tr>
        <w:trPr>
          <w:trHeight w:val="106"/>
        </w:trPr>
        <w:tc>
          <w:tcPr>
            <w:tcW w:w="2860" w:type="dxa"/>
            <w:vAlign w:val="bottom"/>
            <w:tcBorders>
              <w:top w:val="single" w:sz="8" w:color="auto"/>
              <w:left w:val="single" w:sz="8" w:color="auto"/>
            </w:tcBorders>
          </w:tcPr>
          <w:p>
            <w:pPr>
              <w:ind w:left="20"/>
              <w:spacing w:after="0" w:line="106" w:lineRule="exact"/>
              <w:rPr>
                <w:sz w:val="20"/>
                <w:szCs w:val="20"/>
                <w:color w:val="auto"/>
              </w:rPr>
            </w:pPr>
            <w:r>
              <w:rPr>
                <w:rFonts w:ascii="Calibri" w:cs="Calibri" w:eastAsia="Calibri" w:hAnsi="Calibri"/>
                <w:sz w:val="10"/>
                <w:szCs w:val="10"/>
                <w:b w:val="1"/>
                <w:bCs w:val="1"/>
                <w:color w:val="auto"/>
              </w:rPr>
              <w:t>Interest income and expense</w:t>
            </w:r>
          </w:p>
        </w:tc>
        <w:tc>
          <w:tcPr>
            <w:tcW w:w="320" w:type="dxa"/>
            <w:vAlign w:val="bottom"/>
            <w:tcBorders>
              <w:top w:val="single" w:sz="8" w:color="auto"/>
              <w:right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20" w:type="dxa"/>
            <w:vAlign w:val="bottom"/>
            <w:tcBorders>
              <w:top w:val="single" w:sz="8" w:color="auto"/>
              <w:right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60" w:type="dxa"/>
            <w:vAlign w:val="bottom"/>
            <w:tcBorders>
              <w:top w:val="single" w:sz="8" w:color="auto"/>
              <w:right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40" w:type="dxa"/>
            <w:vAlign w:val="bottom"/>
            <w:tcBorders>
              <w:top w:val="single" w:sz="8" w:color="auto"/>
              <w:right w:val="single" w:sz="8" w:color="auto"/>
            </w:tcBorders>
          </w:tcPr>
          <w:p>
            <w:pPr>
              <w:spacing w:after="0"/>
              <w:rPr>
                <w:sz w:val="9"/>
                <w:szCs w:val="9"/>
                <w:color w:val="auto"/>
              </w:rPr>
            </w:pPr>
          </w:p>
        </w:tc>
        <w:tc>
          <w:tcPr>
            <w:tcW w:w="102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tcPr>
          <w:p>
            <w:pPr>
              <w:ind w:left="180"/>
              <w:spacing w:after="0"/>
              <w:rPr>
                <w:sz w:val="20"/>
                <w:szCs w:val="20"/>
                <w:color w:val="auto"/>
              </w:rPr>
            </w:pPr>
            <w:r>
              <w:rPr>
                <w:rFonts w:ascii="Calibri" w:cs="Calibri" w:eastAsia="Calibri" w:hAnsi="Calibri"/>
                <w:sz w:val="10"/>
                <w:szCs w:val="10"/>
                <w:b w:val="1"/>
                <w:bCs w:val="1"/>
                <w:color w:val="auto"/>
              </w:rPr>
              <w:t>Interest and similar income</w:t>
            </w:r>
          </w:p>
        </w:tc>
        <w:tc>
          <w:tcPr>
            <w:tcW w:w="32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4,227,671</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w w:val="98"/>
              </w:rPr>
              <w:t>4,321,539</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color w:val="auto"/>
                <w:w w:val="98"/>
              </w:rPr>
              <w:t>4,363,712</w:t>
            </w:r>
          </w:p>
        </w:tc>
        <w:tc>
          <w:tcPr>
            <w:tcW w:w="240" w:type="dxa"/>
            <w:vAlign w:val="bottom"/>
          </w:tcPr>
          <w:p>
            <w:pPr>
              <w:spacing w:after="0"/>
              <w:rPr>
                <w:sz w:val="17"/>
                <w:szCs w:val="17"/>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color w:val="auto"/>
              </w:rPr>
              <w:t>1.0%</w:t>
            </w:r>
          </w:p>
        </w:tc>
        <w:tc>
          <w:tcPr>
            <w:tcW w:w="400" w:type="dxa"/>
            <w:vAlign w:val="bottom"/>
          </w:tcPr>
          <w:p>
            <w:pPr>
              <w:spacing w:after="0"/>
              <w:rPr>
                <w:sz w:val="17"/>
                <w:szCs w:val="17"/>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w w:val="90"/>
              </w:rPr>
              <w:t>3.2%</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12,197,215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12,964,152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0"/>
              </w:rPr>
              <w:t>6.3%</w:t>
            </w:r>
          </w:p>
        </w:tc>
        <w:tc>
          <w:tcPr>
            <w:tcW w:w="0" w:type="dxa"/>
            <w:vAlign w:val="bottom"/>
          </w:tcPr>
          <w:p>
            <w:pPr>
              <w:spacing w:after="0"/>
              <w:rPr>
                <w:sz w:val="1"/>
                <w:szCs w:val="1"/>
                <w:color w:val="auto"/>
              </w:rPr>
            </w:pPr>
          </w:p>
        </w:tc>
      </w:tr>
      <w:tr>
        <w:trPr>
          <w:trHeight w:val="140"/>
        </w:trPr>
        <w:tc>
          <w:tcPr>
            <w:tcW w:w="2860" w:type="dxa"/>
            <w:vAlign w:val="bottom"/>
            <w:tcBorders>
              <w:left w:val="single" w:sz="8" w:color="auto"/>
            </w:tcBorders>
          </w:tcPr>
          <w:p>
            <w:pPr>
              <w:ind w:left="180"/>
              <w:spacing w:after="0" w:line="140" w:lineRule="exact"/>
              <w:rPr>
                <w:sz w:val="20"/>
                <w:szCs w:val="20"/>
                <w:color w:val="auto"/>
              </w:rPr>
            </w:pPr>
            <w:r>
              <w:rPr>
                <w:rFonts w:ascii="Calibri" w:cs="Calibri" w:eastAsia="Calibri" w:hAnsi="Calibri"/>
                <w:sz w:val="9"/>
                <w:szCs w:val="9"/>
                <w:color w:val="auto"/>
              </w:rPr>
              <w:t xml:space="preserve">Interest and similar expenses </w:t>
            </w:r>
            <w:r>
              <w:rPr>
                <w:rFonts w:ascii="Calibri" w:cs="Calibri" w:eastAsia="Calibri" w:hAnsi="Calibri"/>
                <w:sz w:val="15"/>
                <w:szCs w:val="15"/>
                <w:color w:val="auto"/>
                <w:vertAlign w:val="superscript"/>
              </w:rPr>
              <w:t>(1)</w:t>
            </w:r>
          </w:p>
        </w:tc>
        <w:tc>
          <w:tcPr>
            <w:tcW w:w="320" w:type="dxa"/>
            <w:vAlign w:val="bottom"/>
            <w:tcBorders>
              <w:right w:val="single" w:sz="8" w:color="auto"/>
            </w:tcBorders>
          </w:tcPr>
          <w:p>
            <w:pPr>
              <w:spacing w:after="0"/>
              <w:rPr>
                <w:sz w:val="12"/>
                <w:szCs w:val="12"/>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(1,216,744)</w:t>
            </w:r>
          </w:p>
        </w:tc>
        <w:tc>
          <w:tcPr>
            <w:tcW w:w="760" w:type="dxa"/>
            <w:vAlign w:val="bottom"/>
          </w:tcPr>
          <w:p>
            <w:pPr>
              <w:jc w:val="center"/>
              <w:ind w:left="208"/>
              <w:spacing w:after="0"/>
              <w:rPr>
                <w:sz w:val="20"/>
                <w:szCs w:val="20"/>
                <w:color w:val="auto"/>
              </w:rPr>
            </w:pPr>
            <w:r>
              <w:rPr>
                <w:rFonts w:ascii="Calibri" w:cs="Calibri" w:eastAsia="Calibri" w:hAnsi="Calibri"/>
                <w:sz w:val="10"/>
                <w:szCs w:val="10"/>
                <w:color w:val="auto"/>
                <w:w w:val="98"/>
              </w:rPr>
              <w:t>(1,101,415)</w:t>
            </w:r>
          </w:p>
        </w:tc>
        <w:tc>
          <w:tcPr>
            <w:tcW w:w="1260" w:type="dxa"/>
            <w:vAlign w:val="bottom"/>
            <w:tcBorders>
              <w:right w:val="single" w:sz="8" w:color="auto"/>
            </w:tcBorders>
            <w:gridSpan w:val="2"/>
          </w:tcPr>
          <w:p>
            <w:pPr>
              <w:jc w:val="center"/>
              <w:ind w:left="189"/>
              <w:spacing w:after="0"/>
              <w:rPr>
                <w:sz w:val="20"/>
                <w:szCs w:val="20"/>
                <w:color w:val="auto"/>
              </w:rPr>
            </w:pPr>
            <w:r>
              <w:rPr>
                <w:rFonts w:ascii="Calibri" w:cs="Calibri" w:eastAsia="Calibri" w:hAnsi="Calibri"/>
                <w:sz w:val="10"/>
                <w:szCs w:val="10"/>
                <w:color w:val="auto"/>
                <w:w w:val="98"/>
              </w:rPr>
              <w:t>(1,040,332)</w:t>
            </w:r>
          </w:p>
        </w:tc>
        <w:tc>
          <w:tcPr>
            <w:tcW w:w="240" w:type="dxa"/>
            <w:vAlign w:val="bottom"/>
          </w:tcPr>
          <w:p>
            <w:pPr>
              <w:spacing w:after="0"/>
              <w:rPr>
                <w:sz w:val="12"/>
                <w:szCs w:val="12"/>
                <w:color w:val="auto"/>
              </w:rPr>
            </w:pPr>
          </w:p>
        </w:tc>
        <w:tc>
          <w:tcPr>
            <w:tcW w:w="380" w:type="dxa"/>
            <w:vAlign w:val="bottom"/>
          </w:tcPr>
          <w:p>
            <w:pPr>
              <w:jc w:val="center"/>
              <w:ind w:left="71"/>
              <w:spacing w:after="0"/>
              <w:rPr>
                <w:sz w:val="20"/>
                <w:szCs w:val="20"/>
                <w:color w:val="auto"/>
              </w:rPr>
            </w:pPr>
            <w:r>
              <w:rPr>
                <w:rFonts w:ascii="Calibri" w:cs="Calibri" w:eastAsia="Calibri" w:hAnsi="Calibri"/>
                <w:sz w:val="10"/>
                <w:szCs w:val="10"/>
                <w:color w:val="auto"/>
                <w:w w:val="95"/>
              </w:rPr>
              <w:t>-5.5%</w:t>
            </w:r>
          </w:p>
        </w:tc>
        <w:tc>
          <w:tcPr>
            <w:tcW w:w="40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-14.5%</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(3,324,203)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(3,261,405)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5"/>
              </w:rPr>
              <w:t>-1.9%</w:t>
            </w:r>
          </w:p>
        </w:tc>
        <w:tc>
          <w:tcPr>
            <w:tcW w:w="0" w:type="dxa"/>
            <w:vAlign w:val="bottom"/>
          </w:tcPr>
          <w:p>
            <w:pPr>
              <w:spacing w:after="0"/>
              <w:rPr>
                <w:sz w:val="1"/>
                <w:szCs w:val="1"/>
                <w:color w:val="auto"/>
              </w:rPr>
            </w:pPr>
          </w:p>
        </w:tc>
      </w:tr>
      <w:tr>
        <w:trPr>
          <w:trHeight w:val="116"/>
        </w:trPr>
        <w:tc>
          <w:tcPr>
            <w:tcW w:w="2860" w:type="dxa"/>
            <w:vAlign w:val="bottom"/>
            <w:tcBorders>
              <w:left w:val="single" w:sz="8" w:color="auto"/>
            </w:tcBorders>
          </w:tcPr>
          <w:p>
            <w:pPr>
              <w:ind w:left="20"/>
              <w:spacing w:after="0" w:line="116" w:lineRule="exact"/>
              <w:rPr>
                <w:sz w:val="20"/>
                <w:szCs w:val="20"/>
                <w:color w:val="auto"/>
              </w:rPr>
            </w:pPr>
            <w:r>
              <w:rPr>
                <w:rFonts w:ascii="Calibri" w:cs="Calibri" w:eastAsia="Calibri" w:hAnsi="Calibri"/>
                <w:sz w:val="10"/>
                <w:szCs w:val="10"/>
                <w:b w:val="1"/>
                <w:bCs w:val="1"/>
                <w:color w:val="auto"/>
              </w:rPr>
              <w:t>Interest income and expense</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w w:val="98"/>
              </w:rPr>
              <w:t>3,010,927</w:t>
            </w:r>
          </w:p>
        </w:tc>
        <w:tc>
          <w:tcPr>
            <w:tcW w:w="760" w:type="dxa"/>
            <w:vAlign w:val="bottom"/>
          </w:tcPr>
          <w:p>
            <w:pPr>
              <w:jc w:val="center"/>
              <w:ind w:left="188"/>
              <w:spacing w:after="0" w:line="116" w:lineRule="exact"/>
              <w:rPr>
                <w:sz w:val="20"/>
                <w:szCs w:val="20"/>
                <w:color w:val="auto"/>
              </w:rPr>
            </w:pPr>
            <w:r>
              <w:rPr>
                <w:rFonts w:ascii="Calibri" w:cs="Calibri" w:eastAsia="Calibri" w:hAnsi="Calibri"/>
                <w:sz w:val="10"/>
                <w:szCs w:val="10"/>
                <w:b w:val="1"/>
                <w:bCs w:val="1"/>
                <w:color w:val="auto"/>
                <w:w w:val="98"/>
              </w:rPr>
              <w:t>3,220,124</w:t>
            </w:r>
          </w:p>
        </w:tc>
        <w:tc>
          <w:tcPr>
            <w:tcW w:w="1260" w:type="dxa"/>
            <w:vAlign w:val="bottom"/>
            <w:tcBorders>
              <w:right w:val="single" w:sz="8" w:color="auto"/>
            </w:tcBorders>
            <w:gridSpan w:val="2"/>
          </w:tcPr>
          <w:p>
            <w:pPr>
              <w:jc w:val="center"/>
              <w:ind w:left="169"/>
              <w:spacing w:after="0" w:line="116" w:lineRule="exact"/>
              <w:rPr>
                <w:sz w:val="20"/>
                <w:szCs w:val="20"/>
                <w:color w:val="auto"/>
              </w:rPr>
            </w:pPr>
            <w:r>
              <w:rPr>
                <w:rFonts w:ascii="Calibri" w:cs="Calibri" w:eastAsia="Calibri" w:hAnsi="Calibri"/>
                <w:sz w:val="10"/>
                <w:szCs w:val="10"/>
                <w:b w:val="1"/>
                <w:bCs w:val="1"/>
                <w:color w:val="auto"/>
                <w:w w:val="98"/>
              </w:rPr>
              <w:t>3,323,380</w:t>
            </w:r>
          </w:p>
        </w:tc>
        <w:tc>
          <w:tcPr>
            <w:tcW w:w="240" w:type="dxa"/>
            <w:vAlign w:val="bottom"/>
          </w:tcPr>
          <w:p>
            <w:pPr>
              <w:spacing w:after="0"/>
              <w:rPr>
                <w:sz w:val="10"/>
                <w:szCs w:val="10"/>
                <w:color w:val="auto"/>
              </w:rPr>
            </w:pPr>
          </w:p>
        </w:tc>
        <w:tc>
          <w:tcPr>
            <w:tcW w:w="380" w:type="dxa"/>
            <w:vAlign w:val="bottom"/>
          </w:tcPr>
          <w:p>
            <w:pPr>
              <w:jc w:val="center"/>
              <w:ind w:left="91"/>
              <w:spacing w:after="0" w:line="116" w:lineRule="exact"/>
              <w:rPr>
                <w:sz w:val="20"/>
                <w:szCs w:val="20"/>
                <w:color w:val="auto"/>
              </w:rPr>
            </w:pPr>
            <w:r>
              <w:rPr>
                <w:rFonts w:ascii="Calibri" w:cs="Calibri" w:eastAsia="Calibri" w:hAnsi="Calibri"/>
                <w:sz w:val="10"/>
                <w:szCs w:val="10"/>
                <w:b w:val="1"/>
                <w:bCs w:val="1"/>
                <w:color w:val="auto"/>
                <w:w w:val="99"/>
              </w:rPr>
              <w:t>3.2%</w:t>
            </w:r>
          </w:p>
        </w:tc>
        <w:tc>
          <w:tcPr>
            <w:tcW w:w="40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line="116" w:lineRule="exact"/>
              <w:rPr>
                <w:sz w:val="20"/>
                <w:szCs w:val="20"/>
                <w:color w:val="auto"/>
              </w:rPr>
            </w:pPr>
            <w:r>
              <w:rPr>
                <w:rFonts w:ascii="Calibri" w:cs="Calibri" w:eastAsia="Calibri" w:hAnsi="Calibri"/>
                <w:sz w:val="10"/>
                <w:szCs w:val="10"/>
                <w:b w:val="1"/>
                <w:bCs w:val="1"/>
                <w:color w:val="auto"/>
                <w:w w:val="95"/>
              </w:rPr>
              <w:t>10.4%</w:t>
            </w:r>
          </w:p>
        </w:tc>
        <w:tc>
          <w:tcPr>
            <w:tcW w:w="980" w:type="dxa"/>
            <w:vAlign w:val="bottom"/>
          </w:tcPr>
          <w:p>
            <w:pPr>
              <w:jc w:val="center"/>
              <w:spacing w:after="0" w:line="116" w:lineRule="exact"/>
              <w:rPr>
                <w:sz w:val="20"/>
                <w:szCs w:val="20"/>
                <w:color w:val="auto"/>
              </w:rPr>
            </w:pPr>
            <w:r>
              <w:rPr>
                <w:rFonts w:ascii="Calibri" w:cs="Calibri" w:eastAsia="Calibri" w:hAnsi="Calibri"/>
                <w:sz w:val="10"/>
                <w:szCs w:val="10"/>
                <w:b w:val="1"/>
                <w:bCs w:val="1"/>
                <w:color w:val="auto"/>
                <w:w w:val="98"/>
              </w:rPr>
              <w:t>8,873,012</w:t>
            </w:r>
          </w:p>
        </w:tc>
        <w:tc>
          <w:tcPr>
            <w:tcW w:w="104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w w:val="98"/>
              </w:rPr>
              <w:t>9,702,747</w:t>
            </w:r>
          </w:p>
        </w:tc>
        <w:tc>
          <w:tcPr>
            <w:tcW w:w="102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w w:val="99"/>
              </w:rPr>
              <w:t>9.4%</w:t>
            </w: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color w:val="auto"/>
              </w:rPr>
              <w:t>Provision for credit losses on loan portolio</w:t>
            </w:r>
          </w:p>
        </w:tc>
        <w:tc>
          <w:tcPr>
            <w:tcW w:w="320" w:type="dxa"/>
            <w:vAlign w:val="bottom"/>
            <w:tcBorders>
              <w:right w:val="single" w:sz="8" w:color="auto"/>
            </w:tcBorders>
          </w:tcPr>
          <w:p>
            <w:pPr>
              <w:spacing w:after="0"/>
              <w:rPr>
                <w:sz w:val="18"/>
                <w:szCs w:val="18"/>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7"/>
              </w:rPr>
              <w:t>(961,880)</w:t>
            </w:r>
          </w:p>
        </w:tc>
        <w:tc>
          <w:tcPr>
            <w:tcW w:w="760" w:type="dxa"/>
            <w:vAlign w:val="bottom"/>
          </w:tcPr>
          <w:p>
            <w:pPr>
              <w:jc w:val="center"/>
              <w:ind w:left="168"/>
              <w:spacing w:after="0"/>
              <w:rPr>
                <w:sz w:val="20"/>
                <w:szCs w:val="20"/>
                <w:color w:val="auto"/>
              </w:rPr>
            </w:pPr>
            <w:r>
              <w:rPr>
                <w:rFonts w:ascii="Calibri" w:cs="Calibri" w:eastAsia="Calibri" w:hAnsi="Calibri"/>
                <w:sz w:val="10"/>
                <w:szCs w:val="10"/>
                <w:color w:val="auto"/>
                <w:w w:val="98"/>
              </w:rPr>
              <w:t>(1,117,597)</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color w:val="auto"/>
              </w:rPr>
              <w:t>(935,374)</w:t>
            </w:r>
          </w:p>
        </w:tc>
        <w:tc>
          <w:tcPr>
            <w:tcW w:w="240" w:type="dxa"/>
            <w:vAlign w:val="bottom"/>
          </w:tcPr>
          <w:p>
            <w:pPr>
              <w:spacing w:after="0"/>
              <w:rPr>
                <w:sz w:val="18"/>
                <w:szCs w:val="18"/>
                <w:color w:val="auto"/>
              </w:rPr>
            </w:pPr>
          </w:p>
        </w:tc>
        <w:tc>
          <w:tcPr>
            <w:tcW w:w="780" w:type="dxa"/>
            <w:vAlign w:val="bottom"/>
            <w:gridSpan w:val="2"/>
          </w:tcPr>
          <w:p>
            <w:pPr>
              <w:jc w:val="center"/>
              <w:ind w:right="228"/>
              <w:spacing w:after="0"/>
              <w:rPr>
                <w:sz w:val="20"/>
                <w:szCs w:val="20"/>
                <w:color w:val="auto"/>
              </w:rPr>
            </w:pPr>
            <w:r>
              <w:rPr>
                <w:rFonts w:ascii="Calibri" w:cs="Calibri" w:eastAsia="Calibri" w:hAnsi="Calibri"/>
                <w:sz w:val="10"/>
                <w:szCs w:val="10"/>
                <w:color w:val="auto"/>
              </w:rPr>
              <w:t>-16.3%</w:t>
            </w: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w w:val="95"/>
              </w:rPr>
              <w:t>-2.8%</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(2,608,202)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(2,897,122)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11.1%</w:t>
            </w:r>
          </w:p>
        </w:tc>
        <w:tc>
          <w:tcPr>
            <w:tcW w:w="0" w:type="dxa"/>
            <w:vAlign w:val="bottom"/>
          </w:tcPr>
          <w:p>
            <w:pPr>
              <w:spacing w:after="0"/>
              <w:rPr>
                <w:sz w:val="1"/>
                <w:szCs w:val="1"/>
                <w:color w:val="auto"/>
              </w:rPr>
            </w:pPr>
          </w:p>
        </w:tc>
      </w:tr>
      <w:tr>
        <w:trPr>
          <w:trHeight w:val="121"/>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color w:val="auto"/>
              </w:rPr>
              <w:t>Recoveries of writen-of loans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85,160</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rPr>
              <w:t>95,174</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color w:val="auto"/>
                <w:w w:val="97"/>
              </w:rPr>
              <w:t>107,848</w:t>
            </w:r>
          </w:p>
        </w:tc>
        <w:tc>
          <w:tcPr>
            <w:tcW w:w="240" w:type="dxa"/>
            <w:vAlign w:val="bottom"/>
          </w:tcPr>
          <w:p>
            <w:pPr>
              <w:spacing w:after="0"/>
              <w:rPr>
                <w:sz w:val="10"/>
                <w:szCs w:val="10"/>
                <w:color w:val="auto"/>
              </w:rPr>
            </w:pPr>
          </w:p>
        </w:tc>
        <w:tc>
          <w:tcPr>
            <w:tcW w:w="380" w:type="dxa"/>
            <w:vAlign w:val="bottom"/>
          </w:tcPr>
          <w:p>
            <w:pPr>
              <w:jc w:val="center"/>
              <w:ind w:left="91"/>
              <w:spacing w:after="0"/>
              <w:rPr>
                <w:sz w:val="20"/>
                <w:szCs w:val="20"/>
                <w:color w:val="auto"/>
              </w:rPr>
            </w:pPr>
            <w:r>
              <w:rPr>
                <w:rFonts w:ascii="Calibri" w:cs="Calibri" w:eastAsia="Calibri" w:hAnsi="Calibri"/>
                <w:sz w:val="10"/>
                <w:szCs w:val="10"/>
                <w:color w:val="auto"/>
                <w:w w:val="96"/>
              </w:rPr>
              <w:t>13.3%</w:t>
            </w:r>
          </w:p>
        </w:tc>
        <w:tc>
          <w:tcPr>
            <w:tcW w:w="40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26.6%</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232,008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7"/>
              </w:rPr>
              <w:t>293,820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26.6%</w:t>
            </w: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Provision for credit losses on loan portolio, net of recoveries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(876,720)</w:t>
            </w:r>
          </w:p>
        </w:tc>
        <w:tc>
          <w:tcPr>
            <w:tcW w:w="760" w:type="dxa"/>
            <w:vAlign w:val="bottom"/>
          </w:tcPr>
          <w:p>
            <w:pPr>
              <w:jc w:val="center"/>
              <w:ind w:left="208"/>
              <w:spacing w:after="0"/>
              <w:rPr>
                <w:sz w:val="20"/>
                <w:szCs w:val="20"/>
                <w:color w:val="auto"/>
              </w:rPr>
            </w:pPr>
            <w:r>
              <w:rPr>
                <w:rFonts w:ascii="Calibri" w:cs="Calibri" w:eastAsia="Calibri" w:hAnsi="Calibri"/>
                <w:sz w:val="10"/>
                <w:szCs w:val="10"/>
                <w:b w:val="1"/>
                <w:bCs w:val="1"/>
                <w:color w:val="auto"/>
                <w:w w:val="97"/>
              </w:rPr>
              <w:t>(1,022,423)</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b w:val="1"/>
                <w:bCs w:val="1"/>
                <w:color w:val="auto"/>
              </w:rPr>
              <w:t>(827,526)</w:t>
            </w:r>
          </w:p>
        </w:tc>
        <w:tc>
          <w:tcPr>
            <w:tcW w:w="240" w:type="dxa"/>
            <w:vAlign w:val="bottom"/>
          </w:tcPr>
          <w:p>
            <w:pPr>
              <w:spacing w:after="0"/>
              <w:rPr>
                <w:sz w:val="10"/>
                <w:szCs w:val="10"/>
                <w:color w:val="auto"/>
              </w:rPr>
            </w:pPr>
          </w:p>
        </w:tc>
        <w:tc>
          <w:tcPr>
            <w:tcW w:w="780" w:type="dxa"/>
            <w:vAlign w:val="bottom"/>
            <w:gridSpan w:val="2"/>
          </w:tcPr>
          <w:p>
            <w:pPr>
              <w:jc w:val="center"/>
              <w:ind w:right="188"/>
              <w:spacing w:after="0"/>
              <w:rPr>
                <w:sz w:val="20"/>
                <w:szCs w:val="20"/>
                <w:color w:val="auto"/>
              </w:rPr>
            </w:pPr>
            <w:r>
              <w:rPr>
                <w:rFonts w:ascii="Calibri" w:cs="Calibri" w:eastAsia="Calibri" w:hAnsi="Calibri"/>
                <w:sz w:val="10"/>
                <w:szCs w:val="10"/>
                <w:b w:val="1"/>
                <w:bCs w:val="1"/>
                <w:color w:val="auto"/>
                <w:w w:val="99"/>
              </w:rPr>
              <w:t>-19.1%</w:t>
            </w: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rPr>
              <w:t>-5.6%</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(2,376,194)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7"/>
              </w:rPr>
              <w:t>(2,603,302)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9.6%</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0"/>
                <w:szCs w:val="10"/>
                <w:b w:val="1"/>
                <w:bCs w:val="1"/>
                <w:color w:val="auto"/>
              </w:rPr>
              <w:t>Net interest, similar income and expenses, afer provision for credit losses</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2,134,207</w:t>
            </w:r>
          </w:p>
        </w:tc>
        <w:tc>
          <w:tcPr>
            <w:tcW w:w="760" w:type="dxa"/>
            <w:vAlign w:val="bottom"/>
          </w:tcPr>
          <w:p>
            <w:pPr>
              <w:jc w:val="center"/>
              <w:ind w:left="188"/>
              <w:spacing w:after="0"/>
              <w:rPr>
                <w:sz w:val="20"/>
                <w:szCs w:val="20"/>
                <w:color w:val="auto"/>
              </w:rPr>
            </w:pPr>
            <w:r>
              <w:rPr>
                <w:rFonts w:ascii="Calibri" w:cs="Calibri" w:eastAsia="Calibri" w:hAnsi="Calibri"/>
                <w:sz w:val="10"/>
                <w:szCs w:val="10"/>
                <w:b w:val="1"/>
                <w:bCs w:val="1"/>
                <w:color w:val="auto"/>
                <w:w w:val="98"/>
              </w:rPr>
              <w:t>2,197,701</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b w:val="1"/>
                <w:bCs w:val="1"/>
                <w:color w:val="auto"/>
                <w:w w:val="98"/>
              </w:rPr>
              <w:t>2,495,854</w:t>
            </w:r>
          </w:p>
        </w:tc>
        <w:tc>
          <w:tcPr>
            <w:tcW w:w="240" w:type="dxa"/>
            <w:vAlign w:val="bottom"/>
          </w:tcPr>
          <w:p>
            <w:pPr>
              <w:spacing w:after="0"/>
              <w:rPr>
                <w:sz w:val="18"/>
                <w:szCs w:val="18"/>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b w:val="1"/>
                <w:bCs w:val="1"/>
                <w:color w:val="auto"/>
                <w:w w:val="95"/>
              </w:rPr>
              <w:t>13.6%</w:t>
            </w:r>
          </w:p>
        </w:tc>
        <w:tc>
          <w:tcPr>
            <w:tcW w:w="400" w:type="dxa"/>
            <w:vAlign w:val="bottom"/>
          </w:tcPr>
          <w:p>
            <w:pPr>
              <w:spacing w:after="0"/>
              <w:rPr>
                <w:sz w:val="18"/>
                <w:szCs w:val="18"/>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rPr>
              <w:t>16.9%</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6,496,818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7,099,445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9.3%</w:t>
            </w: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b w:val="1"/>
                <w:bCs w:val="1"/>
                <w:color w:val="auto"/>
              </w:rPr>
              <w:t>on loan portolio</w:t>
            </w:r>
          </w:p>
        </w:tc>
        <w:tc>
          <w:tcPr>
            <w:tcW w:w="32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860" w:type="dxa"/>
            <w:vAlign w:val="bottom"/>
            <w:tcBorders>
              <w:left w:val="single" w:sz="8" w:color="auto"/>
            </w:tcBorders>
          </w:tcPr>
          <w:p>
            <w:pPr>
              <w:ind w:left="40"/>
              <w:spacing w:after="0"/>
              <w:rPr>
                <w:sz w:val="20"/>
                <w:szCs w:val="20"/>
                <w:color w:val="auto"/>
              </w:rPr>
            </w:pPr>
            <w:r>
              <w:rPr>
                <w:rFonts w:ascii="Calibri" w:cs="Calibri" w:eastAsia="Calibri" w:hAnsi="Calibri"/>
                <w:sz w:val="10"/>
                <w:szCs w:val="10"/>
                <w:b w:val="1"/>
                <w:bCs w:val="1"/>
                <w:color w:val="auto"/>
              </w:rPr>
              <w:t>Other income</w:t>
            </w:r>
          </w:p>
        </w:tc>
        <w:tc>
          <w:tcPr>
            <w:tcW w:w="32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Fee income</w:t>
            </w:r>
          </w:p>
        </w:tc>
        <w:tc>
          <w:tcPr>
            <w:tcW w:w="320" w:type="dxa"/>
            <w:vAlign w:val="bottom"/>
            <w:tcBorders>
              <w:right w:val="single" w:sz="8" w:color="auto"/>
            </w:tcBorders>
          </w:tcPr>
          <w:p>
            <w:pPr>
              <w:spacing w:after="0"/>
              <w:rPr>
                <w:sz w:val="11"/>
                <w:szCs w:val="11"/>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784,742</w:t>
            </w:r>
          </w:p>
        </w:tc>
        <w:tc>
          <w:tcPr>
            <w:tcW w:w="760" w:type="dxa"/>
            <w:vAlign w:val="bottom"/>
          </w:tcPr>
          <w:p>
            <w:pPr>
              <w:jc w:val="center"/>
              <w:ind w:left="168"/>
              <w:spacing w:after="0"/>
              <w:rPr>
                <w:sz w:val="20"/>
                <w:szCs w:val="20"/>
                <w:color w:val="auto"/>
              </w:rPr>
            </w:pPr>
            <w:r>
              <w:rPr>
                <w:rFonts w:ascii="Calibri" w:cs="Calibri" w:eastAsia="Calibri" w:hAnsi="Calibri"/>
                <w:sz w:val="10"/>
                <w:szCs w:val="10"/>
                <w:color w:val="auto"/>
              </w:rPr>
              <w:t>834,543</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rPr>
              <w:t>898,766</w:t>
            </w:r>
          </w:p>
        </w:tc>
        <w:tc>
          <w:tcPr>
            <w:tcW w:w="240" w:type="dxa"/>
            <w:vAlign w:val="bottom"/>
          </w:tcPr>
          <w:p>
            <w:pPr>
              <w:spacing w:after="0"/>
              <w:rPr>
                <w:sz w:val="11"/>
                <w:szCs w:val="11"/>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color w:val="auto"/>
              </w:rPr>
              <w:t>7.7%</w:t>
            </w:r>
          </w:p>
        </w:tc>
        <w:tc>
          <w:tcPr>
            <w:tcW w:w="40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14.5%</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2,266,704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2,529,845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11.6%</w:t>
            </w:r>
          </w:p>
        </w:tc>
        <w:tc>
          <w:tcPr>
            <w:tcW w:w="0" w:type="dxa"/>
            <w:vAlign w:val="bottom"/>
          </w:tcPr>
          <w:p>
            <w:pPr>
              <w:spacing w:after="0"/>
              <w:rPr>
                <w:sz w:val="1"/>
                <w:szCs w:val="1"/>
                <w:color w:val="auto"/>
              </w:rPr>
            </w:pPr>
          </w:p>
        </w:tc>
      </w:tr>
      <w:tr>
        <w:trPr>
          <w:trHeight w:val="121"/>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Net gain on foreign exchange transactons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240,236</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w w:val="97"/>
              </w:rPr>
              <w:t>291,722</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rPr>
              <w:t>299,425</w:t>
            </w:r>
          </w:p>
        </w:tc>
        <w:tc>
          <w:tcPr>
            <w:tcW w:w="240" w:type="dxa"/>
            <w:vAlign w:val="bottom"/>
          </w:tcPr>
          <w:p>
            <w:pPr>
              <w:spacing w:after="0"/>
              <w:rPr>
                <w:sz w:val="10"/>
                <w:szCs w:val="10"/>
                <w:color w:val="auto"/>
              </w:rPr>
            </w:pPr>
          </w:p>
        </w:tc>
        <w:tc>
          <w:tcPr>
            <w:tcW w:w="380" w:type="dxa"/>
            <w:vAlign w:val="bottom"/>
          </w:tcPr>
          <w:p>
            <w:pPr>
              <w:jc w:val="center"/>
              <w:ind w:left="91"/>
              <w:spacing w:after="0"/>
              <w:rPr>
                <w:sz w:val="20"/>
                <w:szCs w:val="20"/>
                <w:color w:val="auto"/>
              </w:rPr>
            </w:pPr>
            <w:r>
              <w:rPr>
                <w:rFonts w:ascii="Calibri" w:cs="Calibri" w:eastAsia="Calibri" w:hAnsi="Calibri"/>
                <w:sz w:val="10"/>
                <w:szCs w:val="10"/>
                <w:color w:val="auto"/>
              </w:rPr>
              <w:t>2.6%</w:t>
            </w:r>
          </w:p>
        </w:tc>
        <w:tc>
          <w:tcPr>
            <w:tcW w:w="40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24.6%</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7"/>
              </w:rPr>
              <w:t>729,034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7"/>
              </w:rPr>
              <w:t>853,029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17.0%</w:t>
            </w: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Net gain (loss) on securites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(2,166)</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rPr>
              <w:t>33,920</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w w:val="93"/>
              </w:rPr>
              <w:t>24,114</w:t>
            </w:r>
          </w:p>
        </w:tc>
        <w:tc>
          <w:tcPr>
            <w:tcW w:w="240" w:type="dxa"/>
            <w:vAlign w:val="bottom"/>
          </w:tcPr>
          <w:p>
            <w:pPr>
              <w:spacing w:after="0"/>
              <w:rPr>
                <w:sz w:val="10"/>
                <w:szCs w:val="10"/>
                <w:color w:val="auto"/>
              </w:rPr>
            </w:pPr>
          </w:p>
        </w:tc>
        <w:tc>
          <w:tcPr>
            <w:tcW w:w="78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-28.9%</w:t>
            </w:r>
          </w:p>
        </w:tc>
        <w:tc>
          <w:tcPr>
            <w:tcW w:w="340" w:type="dxa"/>
            <w:vAlign w:val="bottom"/>
          </w:tcPr>
          <w:p>
            <w:pPr>
              <w:spacing w:after="0"/>
              <w:rPr>
                <w:sz w:val="10"/>
                <w:szCs w:val="10"/>
                <w:color w:val="auto"/>
              </w:rPr>
            </w:pPr>
          </w:p>
        </w:tc>
        <w:tc>
          <w:tcPr>
            <w:tcW w:w="660" w:type="dxa"/>
            <w:vAlign w:val="bottom"/>
            <w:tcBorders>
              <w:right w:val="single" w:sz="8" w:color="auto"/>
            </w:tcBorders>
          </w:tcPr>
          <w:p>
            <w:pPr>
              <w:jc w:val="right"/>
              <w:ind w:right="395"/>
              <w:spacing w:after="0"/>
              <w:rPr>
                <w:sz w:val="20"/>
                <w:szCs w:val="20"/>
                <w:color w:val="auto"/>
              </w:rPr>
            </w:pPr>
            <w:r>
              <w:rPr>
                <w:rFonts w:ascii="Calibri" w:cs="Calibri" w:eastAsia="Calibri" w:hAnsi="Calibri"/>
                <w:sz w:val="10"/>
                <w:szCs w:val="10"/>
                <w:color w:val="auto"/>
              </w:rPr>
              <w:t>n.a.</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(33,861)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47,505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Net gain on derivatves held for trading</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3"/>
              </w:rPr>
              <w:t>16,774</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rPr>
              <w:t>21,197</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w w:val="93"/>
              </w:rPr>
              <w:t>13,639</w:t>
            </w:r>
          </w:p>
        </w:tc>
        <w:tc>
          <w:tcPr>
            <w:tcW w:w="240" w:type="dxa"/>
            <w:vAlign w:val="bottom"/>
          </w:tcPr>
          <w:p>
            <w:pPr>
              <w:spacing w:after="0"/>
              <w:rPr>
                <w:sz w:val="10"/>
                <w:szCs w:val="10"/>
                <w:color w:val="auto"/>
              </w:rPr>
            </w:pPr>
          </w:p>
        </w:tc>
        <w:tc>
          <w:tcPr>
            <w:tcW w:w="780" w:type="dxa"/>
            <w:vAlign w:val="bottom"/>
            <w:gridSpan w:val="2"/>
          </w:tcPr>
          <w:p>
            <w:pPr>
              <w:jc w:val="center"/>
              <w:ind w:right="188"/>
              <w:spacing w:after="0"/>
              <w:rPr>
                <w:sz w:val="20"/>
                <w:szCs w:val="20"/>
                <w:color w:val="auto"/>
              </w:rPr>
            </w:pPr>
            <w:r>
              <w:rPr>
                <w:rFonts w:ascii="Calibri" w:cs="Calibri" w:eastAsia="Calibri" w:hAnsi="Calibri"/>
                <w:sz w:val="10"/>
                <w:szCs w:val="10"/>
                <w:color w:val="auto"/>
              </w:rPr>
              <w:t>-35.7%</w:t>
            </w: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-18.7%</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77,406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52,792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-31.8%</w:t>
            </w: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Net loss (gain) from exchange diferences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(9,335)</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rPr>
              <w:t>723</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rPr>
              <w:t>(10,714)</w:t>
            </w:r>
          </w:p>
        </w:tc>
        <w:tc>
          <w:tcPr>
            <w:tcW w:w="240" w:type="dxa"/>
            <w:vAlign w:val="bottom"/>
          </w:tcPr>
          <w:p>
            <w:pPr>
              <w:spacing w:after="0"/>
              <w:rPr>
                <w:sz w:val="10"/>
                <w:szCs w:val="10"/>
                <w:color w:val="auto"/>
              </w:rPr>
            </w:pPr>
          </w:p>
        </w:tc>
        <w:tc>
          <w:tcPr>
            <w:tcW w:w="780" w:type="dxa"/>
            <w:vAlign w:val="bottom"/>
            <w:gridSpan w:val="2"/>
          </w:tcPr>
          <w:p>
            <w:pPr>
              <w:ind w:left="160"/>
              <w:spacing w:after="0"/>
              <w:rPr>
                <w:sz w:val="20"/>
                <w:szCs w:val="20"/>
                <w:color w:val="auto"/>
              </w:rPr>
            </w:pPr>
            <w:r>
              <w:rPr>
                <w:rFonts w:ascii="Calibri" w:cs="Calibri" w:eastAsia="Calibri" w:hAnsi="Calibri"/>
                <w:sz w:val="10"/>
                <w:szCs w:val="10"/>
                <w:color w:val="auto"/>
              </w:rPr>
              <w:t>n.a.</w:t>
            </w:r>
          </w:p>
        </w:tc>
        <w:tc>
          <w:tcPr>
            <w:tcW w:w="1000" w:type="dxa"/>
            <w:vAlign w:val="bottom"/>
            <w:tcBorders>
              <w:right w:val="single" w:sz="8" w:color="auto"/>
            </w:tcBorders>
            <w:gridSpan w:val="2"/>
            <w:vMerge w:val="restart"/>
          </w:tcPr>
          <w:p>
            <w:pPr>
              <w:jc w:val="right"/>
              <w:ind w:right="315"/>
              <w:spacing w:after="0"/>
              <w:rPr>
                <w:sz w:val="20"/>
                <w:szCs w:val="20"/>
                <w:color w:val="auto"/>
              </w:rPr>
            </w:pPr>
            <w:r>
              <w:rPr>
                <w:rFonts w:ascii="Calibri" w:cs="Calibri" w:eastAsia="Calibri" w:hAnsi="Calibri"/>
                <w:sz w:val="10"/>
                <w:szCs w:val="10"/>
                <w:color w:val="auto"/>
              </w:rPr>
              <w:t>14.8%</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636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(3,465)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0" w:type="dxa"/>
            <w:vAlign w:val="bottom"/>
          </w:tcPr>
          <w:p>
            <w:pPr>
              <w:spacing w:after="0"/>
              <w:rPr>
                <w:sz w:val="1"/>
                <w:szCs w:val="1"/>
                <w:color w:val="auto"/>
              </w:rPr>
            </w:pPr>
          </w:p>
        </w:tc>
      </w:tr>
      <w:tr>
        <w:trPr>
          <w:trHeight w:val="40"/>
        </w:trPr>
        <w:tc>
          <w:tcPr>
            <w:tcW w:w="2860" w:type="dxa"/>
            <w:vAlign w:val="bottom"/>
            <w:tcBorders>
              <w:left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Others</w:t>
            </w:r>
          </w:p>
        </w:tc>
        <w:tc>
          <w:tcPr>
            <w:tcW w:w="320" w:type="dxa"/>
            <w:vAlign w:val="bottom"/>
            <w:tcBorders>
              <w:right w:val="single" w:sz="8" w:color="auto"/>
            </w:tcBorders>
          </w:tcPr>
          <w:p>
            <w:pPr>
              <w:spacing w:after="0"/>
              <w:rPr>
                <w:sz w:val="14"/>
                <w:szCs w:val="14"/>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3"/>
              </w:rPr>
              <w:t>54,370</w:t>
            </w:r>
          </w:p>
        </w:tc>
        <w:tc>
          <w:tcPr>
            <w:tcW w:w="760" w:type="dxa"/>
            <w:vAlign w:val="bottom"/>
          </w:tcPr>
          <w:p>
            <w:pPr>
              <w:jc w:val="center"/>
              <w:ind w:left="168"/>
              <w:spacing w:after="0"/>
              <w:rPr>
                <w:sz w:val="20"/>
                <w:szCs w:val="20"/>
                <w:color w:val="auto"/>
              </w:rPr>
            </w:pPr>
            <w:r>
              <w:rPr>
                <w:rFonts w:ascii="Calibri" w:cs="Calibri" w:eastAsia="Calibri" w:hAnsi="Calibri"/>
                <w:sz w:val="10"/>
                <w:szCs w:val="10"/>
                <w:color w:val="auto"/>
                <w:w w:val="93"/>
              </w:rPr>
              <w:t>74,705</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w w:val="93"/>
              </w:rPr>
              <w:t>19,336</w:t>
            </w:r>
          </w:p>
        </w:tc>
        <w:tc>
          <w:tcPr>
            <w:tcW w:w="240" w:type="dxa"/>
            <w:vAlign w:val="bottom"/>
          </w:tcPr>
          <w:p>
            <w:pPr>
              <w:spacing w:after="0"/>
              <w:rPr>
                <w:sz w:val="14"/>
                <w:szCs w:val="14"/>
                <w:color w:val="auto"/>
              </w:rPr>
            </w:pPr>
          </w:p>
        </w:tc>
        <w:tc>
          <w:tcPr>
            <w:tcW w:w="780" w:type="dxa"/>
            <w:vAlign w:val="bottom"/>
            <w:gridSpan w:val="2"/>
          </w:tcPr>
          <w:p>
            <w:pPr>
              <w:jc w:val="center"/>
              <w:ind w:right="228"/>
              <w:spacing w:after="0"/>
              <w:rPr>
                <w:sz w:val="20"/>
                <w:szCs w:val="20"/>
                <w:color w:val="auto"/>
              </w:rPr>
            </w:pPr>
            <w:r>
              <w:rPr>
                <w:rFonts w:ascii="Calibri" w:cs="Calibri" w:eastAsia="Calibri" w:hAnsi="Calibri"/>
                <w:sz w:val="10"/>
                <w:szCs w:val="10"/>
                <w:color w:val="auto"/>
              </w:rPr>
              <w:t>-74.1%</w:t>
            </w: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w w:val="92"/>
              </w:rPr>
              <w:t>-64.4%</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243,859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7"/>
              </w:rPr>
              <w:t>150,977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-38.1%</w:t>
            </w: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tcBorders>
          </w:tcPr>
          <w:p>
            <w:pPr>
              <w:ind w:left="200"/>
              <w:spacing w:after="0"/>
              <w:rPr>
                <w:sz w:val="20"/>
                <w:szCs w:val="20"/>
                <w:color w:val="auto"/>
              </w:rPr>
            </w:pPr>
            <w:r>
              <w:rPr>
                <w:rFonts w:ascii="Calibri" w:cs="Calibri" w:eastAsia="Calibri" w:hAnsi="Calibri"/>
                <w:sz w:val="10"/>
                <w:szCs w:val="10"/>
                <w:color w:val="auto"/>
              </w:rPr>
              <w:t>Total other income</w:t>
            </w:r>
          </w:p>
        </w:tc>
        <w:tc>
          <w:tcPr>
            <w:tcW w:w="320" w:type="dxa"/>
            <w:vAlign w:val="bottom"/>
            <w:tcBorders>
              <w:right w:val="single" w:sz="8" w:color="auto"/>
            </w:tcBorders>
          </w:tcPr>
          <w:p>
            <w:pPr>
              <w:spacing w:after="0"/>
              <w:rPr>
                <w:sz w:val="11"/>
                <w:szCs w:val="11"/>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1,084,621</w:t>
            </w:r>
          </w:p>
        </w:tc>
        <w:tc>
          <w:tcPr>
            <w:tcW w:w="760" w:type="dxa"/>
            <w:vAlign w:val="bottom"/>
          </w:tcPr>
          <w:p>
            <w:pPr>
              <w:jc w:val="center"/>
              <w:ind w:left="188"/>
              <w:spacing w:after="0"/>
              <w:rPr>
                <w:sz w:val="20"/>
                <w:szCs w:val="20"/>
                <w:color w:val="auto"/>
              </w:rPr>
            </w:pPr>
            <w:r>
              <w:rPr>
                <w:rFonts w:ascii="Calibri" w:cs="Calibri" w:eastAsia="Calibri" w:hAnsi="Calibri"/>
                <w:sz w:val="10"/>
                <w:szCs w:val="10"/>
                <w:b w:val="1"/>
                <w:bCs w:val="1"/>
                <w:color w:val="auto"/>
                <w:w w:val="98"/>
              </w:rPr>
              <w:t>1,256,810</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b w:val="1"/>
                <w:bCs w:val="1"/>
                <w:color w:val="auto"/>
                <w:w w:val="98"/>
              </w:rPr>
              <w:t>1,244,566</w:t>
            </w:r>
          </w:p>
        </w:tc>
        <w:tc>
          <w:tcPr>
            <w:tcW w:w="240" w:type="dxa"/>
            <w:vAlign w:val="bottom"/>
          </w:tcPr>
          <w:p>
            <w:pPr>
              <w:spacing w:after="0"/>
              <w:rPr>
                <w:sz w:val="11"/>
                <w:szCs w:val="11"/>
                <w:color w:val="auto"/>
              </w:rPr>
            </w:pPr>
          </w:p>
        </w:tc>
        <w:tc>
          <w:tcPr>
            <w:tcW w:w="380" w:type="dxa"/>
            <w:vAlign w:val="bottom"/>
          </w:tcPr>
          <w:p>
            <w:pPr>
              <w:jc w:val="center"/>
              <w:ind w:left="71"/>
              <w:spacing w:after="0"/>
              <w:rPr>
                <w:sz w:val="20"/>
                <w:szCs w:val="20"/>
                <w:color w:val="auto"/>
              </w:rPr>
            </w:pPr>
            <w:r>
              <w:rPr>
                <w:rFonts w:ascii="Calibri" w:cs="Calibri" w:eastAsia="Calibri" w:hAnsi="Calibri"/>
                <w:sz w:val="10"/>
                <w:szCs w:val="10"/>
                <w:b w:val="1"/>
                <w:bCs w:val="1"/>
                <w:color w:val="auto"/>
                <w:w w:val="94"/>
              </w:rPr>
              <w:t>-1.0%</w:t>
            </w:r>
          </w:p>
        </w:tc>
        <w:tc>
          <w:tcPr>
            <w:tcW w:w="40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w w:val="95"/>
              </w:rPr>
              <w:t>14.7%</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3,283,778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3,630,683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10.6%</w:t>
            </w:r>
          </w:p>
        </w:tc>
        <w:tc>
          <w:tcPr>
            <w:tcW w:w="0" w:type="dxa"/>
            <w:vAlign w:val="bottom"/>
          </w:tcPr>
          <w:p>
            <w:pPr>
              <w:spacing w:after="0"/>
              <w:rPr>
                <w:sz w:val="1"/>
                <w:szCs w:val="1"/>
                <w:color w:val="auto"/>
              </w:rPr>
            </w:pPr>
          </w:p>
        </w:tc>
      </w:tr>
      <w:tr>
        <w:trPr>
          <w:trHeight w:val="189"/>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b w:val="1"/>
                <w:bCs w:val="1"/>
                <w:color w:val="auto"/>
              </w:rPr>
              <w:t>Total expenses</w:t>
            </w:r>
          </w:p>
        </w:tc>
        <w:tc>
          <w:tcPr>
            <w:tcW w:w="3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tcBorders>
          </w:tcPr>
          <w:p>
            <w:pPr>
              <w:ind w:left="180"/>
              <w:spacing w:after="0"/>
              <w:rPr>
                <w:sz w:val="20"/>
                <w:szCs w:val="20"/>
                <w:color w:val="auto"/>
              </w:rPr>
            </w:pPr>
            <w:r>
              <w:rPr>
                <w:rFonts w:ascii="Calibri" w:cs="Calibri" w:eastAsia="Calibri" w:hAnsi="Calibri"/>
                <w:sz w:val="10"/>
                <w:szCs w:val="10"/>
                <w:color w:val="auto"/>
              </w:rPr>
              <w:t>Salaries and employee benefts</w:t>
            </w:r>
          </w:p>
        </w:tc>
        <w:tc>
          <w:tcPr>
            <w:tcW w:w="320" w:type="dxa"/>
            <w:vAlign w:val="bottom"/>
            <w:tcBorders>
              <w:right w:val="single" w:sz="8" w:color="auto"/>
            </w:tcBorders>
          </w:tcPr>
          <w:p>
            <w:pPr>
              <w:spacing w:after="0"/>
              <w:rPr>
                <w:sz w:val="11"/>
                <w:szCs w:val="11"/>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(757,403)</w:t>
            </w:r>
          </w:p>
        </w:tc>
        <w:tc>
          <w:tcPr>
            <w:tcW w:w="760" w:type="dxa"/>
            <w:vAlign w:val="bottom"/>
          </w:tcPr>
          <w:p>
            <w:pPr>
              <w:jc w:val="center"/>
              <w:ind w:left="168"/>
              <w:spacing w:after="0"/>
              <w:rPr>
                <w:sz w:val="20"/>
                <w:szCs w:val="20"/>
                <w:color w:val="auto"/>
              </w:rPr>
            </w:pPr>
            <w:r>
              <w:rPr>
                <w:rFonts w:ascii="Calibri" w:cs="Calibri" w:eastAsia="Calibri" w:hAnsi="Calibri"/>
                <w:sz w:val="10"/>
                <w:szCs w:val="10"/>
                <w:color w:val="auto"/>
                <w:w w:val="97"/>
              </w:rPr>
              <w:t>(821,206)</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w w:val="97"/>
              </w:rPr>
              <w:t>(850,918)</w:t>
            </w:r>
          </w:p>
        </w:tc>
        <w:tc>
          <w:tcPr>
            <w:tcW w:w="240" w:type="dxa"/>
            <w:vAlign w:val="bottom"/>
          </w:tcPr>
          <w:p>
            <w:pPr>
              <w:spacing w:after="0"/>
              <w:rPr>
                <w:sz w:val="11"/>
                <w:szCs w:val="11"/>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color w:val="auto"/>
              </w:rPr>
              <w:t>3.6%</w:t>
            </w:r>
          </w:p>
        </w:tc>
        <w:tc>
          <w:tcPr>
            <w:tcW w:w="40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12.3%</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(2,282,300)</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(2,467,693)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8.1%</w:t>
            </w: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tcBorders>
          </w:tcPr>
          <w:p>
            <w:pPr>
              <w:ind w:left="180"/>
              <w:spacing w:after="0"/>
              <w:rPr>
                <w:sz w:val="20"/>
                <w:szCs w:val="20"/>
                <w:color w:val="auto"/>
              </w:rPr>
            </w:pPr>
            <w:r>
              <w:rPr>
                <w:rFonts w:ascii="Calibri" w:cs="Calibri" w:eastAsia="Calibri" w:hAnsi="Calibri"/>
                <w:sz w:val="10"/>
                <w:szCs w:val="10"/>
                <w:color w:val="auto"/>
              </w:rPr>
              <w:t>Administratve expenses</w:t>
            </w:r>
          </w:p>
        </w:tc>
        <w:tc>
          <w:tcPr>
            <w:tcW w:w="320" w:type="dxa"/>
            <w:vAlign w:val="bottom"/>
            <w:tcBorders>
              <w:right w:val="single" w:sz="8" w:color="auto"/>
            </w:tcBorders>
          </w:tcPr>
          <w:p>
            <w:pPr>
              <w:spacing w:after="0"/>
              <w:rPr>
                <w:sz w:val="11"/>
                <w:szCs w:val="11"/>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(767,623)</w:t>
            </w:r>
          </w:p>
        </w:tc>
        <w:tc>
          <w:tcPr>
            <w:tcW w:w="760" w:type="dxa"/>
            <w:vAlign w:val="bottom"/>
          </w:tcPr>
          <w:p>
            <w:pPr>
              <w:jc w:val="center"/>
              <w:ind w:left="208"/>
              <w:spacing w:after="0"/>
              <w:rPr>
                <w:sz w:val="20"/>
                <w:szCs w:val="20"/>
                <w:color w:val="auto"/>
              </w:rPr>
            </w:pPr>
            <w:r>
              <w:rPr>
                <w:rFonts w:ascii="Calibri" w:cs="Calibri" w:eastAsia="Calibri" w:hAnsi="Calibri"/>
                <w:sz w:val="10"/>
                <w:szCs w:val="10"/>
                <w:color w:val="auto"/>
                <w:w w:val="97"/>
              </w:rPr>
              <w:t>(782,834)</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w w:val="97"/>
              </w:rPr>
              <w:t>(802,127)</w:t>
            </w:r>
          </w:p>
        </w:tc>
        <w:tc>
          <w:tcPr>
            <w:tcW w:w="240" w:type="dxa"/>
            <w:vAlign w:val="bottom"/>
          </w:tcPr>
          <w:p>
            <w:pPr>
              <w:spacing w:after="0"/>
              <w:rPr>
                <w:sz w:val="11"/>
                <w:szCs w:val="11"/>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color w:val="auto"/>
              </w:rPr>
              <w:t>2.5%</w:t>
            </w:r>
          </w:p>
        </w:tc>
        <w:tc>
          <w:tcPr>
            <w:tcW w:w="40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w w:val="90"/>
              </w:rPr>
              <w:t>4.5%</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(2,080,689)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(2,281,811)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0"/>
              </w:rPr>
              <w:t>9.7%</w:t>
            </w:r>
          </w:p>
        </w:tc>
        <w:tc>
          <w:tcPr>
            <w:tcW w:w="0" w:type="dxa"/>
            <w:vAlign w:val="bottom"/>
          </w:tcPr>
          <w:p>
            <w:pPr>
              <w:spacing w:after="0"/>
              <w:rPr>
                <w:sz w:val="1"/>
                <w:szCs w:val="1"/>
                <w:color w:val="auto"/>
              </w:rPr>
            </w:pPr>
          </w:p>
        </w:tc>
      </w:tr>
      <w:tr>
        <w:trPr>
          <w:trHeight w:val="140"/>
        </w:trPr>
        <w:tc>
          <w:tcPr>
            <w:tcW w:w="2860" w:type="dxa"/>
            <w:vAlign w:val="bottom"/>
            <w:tcBorders>
              <w:left w:val="single" w:sz="8" w:color="auto"/>
            </w:tcBorders>
          </w:tcPr>
          <w:p>
            <w:pPr>
              <w:ind w:left="180"/>
              <w:spacing w:after="0" w:line="140" w:lineRule="exact"/>
              <w:rPr>
                <w:sz w:val="20"/>
                <w:szCs w:val="20"/>
                <w:color w:val="auto"/>
              </w:rPr>
            </w:pPr>
            <w:r>
              <w:rPr>
                <w:rFonts w:ascii="Calibri" w:cs="Calibri" w:eastAsia="Calibri" w:hAnsi="Calibri"/>
                <w:sz w:val="9"/>
                <w:szCs w:val="9"/>
                <w:color w:val="auto"/>
              </w:rPr>
              <w:t xml:space="preserve">Depreciaton and amortzaton </w:t>
            </w:r>
            <w:r>
              <w:rPr>
                <w:rFonts w:ascii="Calibri" w:cs="Calibri" w:eastAsia="Calibri" w:hAnsi="Calibri"/>
                <w:sz w:val="15"/>
                <w:szCs w:val="15"/>
                <w:color w:val="auto"/>
                <w:vertAlign w:val="superscript"/>
              </w:rPr>
              <w:t>(2)</w:t>
            </w:r>
          </w:p>
        </w:tc>
        <w:tc>
          <w:tcPr>
            <w:tcW w:w="320" w:type="dxa"/>
            <w:vAlign w:val="bottom"/>
            <w:tcBorders>
              <w:right w:val="single" w:sz="8" w:color="auto"/>
            </w:tcBorders>
          </w:tcPr>
          <w:p>
            <w:pPr>
              <w:spacing w:after="0"/>
              <w:rPr>
                <w:sz w:val="12"/>
                <w:szCs w:val="12"/>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7"/>
              </w:rPr>
              <w:t>(132,205)</w:t>
            </w:r>
          </w:p>
        </w:tc>
        <w:tc>
          <w:tcPr>
            <w:tcW w:w="760" w:type="dxa"/>
            <w:vAlign w:val="bottom"/>
          </w:tcPr>
          <w:p>
            <w:pPr>
              <w:jc w:val="center"/>
              <w:ind w:left="168"/>
              <w:spacing w:after="0"/>
              <w:rPr>
                <w:sz w:val="20"/>
                <w:szCs w:val="20"/>
                <w:color w:val="auto"/>
              </w:rPr>
            </w:pPr>
            <w:r>
              <w:rPr>
                <w:rFonts w:ascii="Calibri" w:cs="Calibri" w:eastAsia="Calibri" w:hAnsi="Calibri"/>
                <w:sz w:val="10"/>
                <w:szCs w:val="10"/>
                <w:color w:val="auto"/>
                <w:w w:val="97"/>
              </w:rPr>
              <w:t>(140,270)</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color w:val="auto"/>
              </w:rPr>
              <w:t>(146,719)</w:t>
            </w:r>
          </w:p>
        </w:tc>
        <w:tc>
          <w:tcPr>
            <w:tcW w:w="240" w:type="dxa"/>
            <w:vAlign w:val="bottom"/>
          </w:tcPr>
          <w:p>
            <w:pPr>
              <w:spacing w:after="0"/>
              <w:rPr>
                <w:sz w:val="12"/>
                <w:szCs w:val="12"/>
                <w:color w:val="auto"/>
              </w:rPr>
            </w:pPr>
          </w:p>
        </w:tc>
        <w:tc>
          <w:tcPr>
            <w:tcW w:w="380" w:type="dxa"/>
            <w:vAlign w:val="bottom"/>
          </w:tcPr>
          <w:p>
            <w:pPr>
              <w:jc w:val="center"/>
              <w:ind w:left="91"/>
              <w:spacing w:after="0"/>
              <w:rPr>
                <w:sz w:val="20"/>
                <w:szCs w:val="20"/>
                <w:color w:val="auto"/>
              </w:rPr>
            </w:pPr>
            <w:r>
              <w:rPr>
                <w:rFonts w:ascii="Calibri" w:cs="Calibri" w:eastAsia="Calibri" w:hAnsi="Calibri"/>
                <w:sz w:val="10"/>
                <w:szCs w:val="10"/>
                <w:color w:val="auto"/>
              </w:rPr>
              <w:t>4.6%</w:t>
            </w:r>
          </w:p>
        </w:tc>
        <w:tc>
          <w:tcPr>
            <w:tcW w:w="40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11.0%</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7"/>
              </w:rPr>
              <w:t>(400,348)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7"/>
              </w:rPr>
              <w:t>(429,259)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7.2%</w:t>
            </w:r>
          </w:p>
        </w:tc>
        <w:tc>
          <w:tcPr>
            <w:tcW w:w="0" w:type="dxa"/>
            <w:vAlign w:val="bottom"/>
          </w:tcPr>
          <w:p>
            <w:pPr>
              <w:spacing w:after="0"/>
              <w:rPr>
                <w:sz w:val="1"/>
                <w:szCs w:val="1"/>
                <w:color w:val="auto"/>
              </w:rPr>
            </w:pPr>
          </w:p>
        </w:tc>
      </w:tr>
      <w:tr>
        <w:trPr>
          <w:trHeight w:val="116"/>
        </w:trPr>
        <w:tc>
          <w:tcPr>
            <w:tcW w:w="2860" w:type="dxa"/>
            <w:vAlign w:val="bottom"/>
            <w:tcBorders>
              <w:left w:val="single" w:sz="8" w:color="auto"/>
            </w:tcBorders>
          </w:tcPr>
          <w:p>
            <w:pPr>
              <w:ind w:left="180"/>
              <w:spacing w:after="0" w:line="116" w:lineRule="exact"/>
              <w:rPr>
                <w:sz w:val="20"/>
                <w:szCs w:val="20"/>
                <w:color w:val="auto"/>
              </w:rPr>
            </w:pPr>
            <w:r>
              <w:rPr>
                <w:rFonts w:ascii="Calibri" w:cs="Calibri" w:eastAsia="Calibri" w:hAnsi="Calibri"/>
                <w:sz w:val="10"/>
                <w:szCs w:val="10"/>
                <w:color w:val="auto"/>
              </w:rPr>
              <w:t>Other expenses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Calibri" w:cs="Calibri" w:eastAsia="Calibri" w:hAnsi="Calibri"/>
                <w:sz w:val="10"/>
                <w:szCs w:val="10"/>
                <w:color w:val="auto"/>
              </w:rPr>
              <w:t>(78,749)</w:t>
            </w:r>
          </w:p>
        </w:tc>
        <w:tc>
          <w:tcPr>
            <w:tcW w:w="760" w:type="dxa"/>
            <w:vAlign w:val="bottom"/>
          </w:tcPr>
          <w:p>
            <w:pPr>
              <w:jc w:val="center"/>
              <w:ind w:left="208"/>
              <w:spacing w:after="0" w:line="116" w:lineRule="exact"/>
              <w:rPr>
                <w:sz w:val="20"/>
                <w:szCs w:val="20"/>
                <w:color w:val="auto"/>
              </w:rPr>
            </w:pPr>
            <w:r>
              <w:rPr>
                <w:rFonts w:ascii="Calibri" w:cs="Calibri" w:eastAsia="Calibri" w:hAnsi="Calibri"/>
                <w:sz w:val="10"/>
                <w:szCs w:val="10"/>
                <w:color w:val="auto"/>
              </w:rPr>
              <w:t>(63,530)</w:t>
            </w:r>
          </w:p>
        </w:tc>
        <w:tc>
          <w:tcPr>
            <w:tcW w:w="1260" w:type="dxa"/>
            <w:vAlign w:val="bottom"/>
            <w:tcBorders>
              <w:right w:val="single" w:sz="8" w:color="auto"/>
            </w:tcBorders>
            <w:gridSpan w:val="2"/>
          </w:tcPr>
          <w:p>
            <w:pPr>
              <w:jc w:val="center"/>
              <w:ind w:left="169"/>
              <w:spacing w:after="0" w:line="116" w:lineRule="exact"/>
              <w:rPr>
                <w:sz w:val="20"/>
                <w:szCs w:val="20"/>
                <w:color w:val="auto"/>
              </w:rPr>
            </w:pPr>
            <w:r>
              <w:rPr>
                <w:rFonts w:ascii="Calibri" w:cs="Calibri" w:eastAsia="Calibri" w:hAnsi="Calibri"/>
                <w:sz w:val="10"/>
                <w:szCs w:val="10"/>
                <w:color w:val="auto"/>
                <w:w w:val="94"/>
              </w:rPr>
              <w:t>(62,292)</w:t>
            </w:r>
          </w:p>
        </w:tc>
        <w:tc>
          <w:tcPr>
            <w:tcW w:w="240" w:type="dxa"/>
            <w:vAlign w:val="bottom"/>
          </w:tcPr>
          <w:p>
            <w:pPr>
              <w:spacing w:after="0"/>
              <w:rPr>
                <w:sz w:val="10"/>
                <w:szCs w:val="10"/>
                <w:color w:val="auto"/>
              </w:rPr>
            </w:pPr>
          </w:p>
        </w:tc>
        <w:tc>
          <w:tcPr>
            <w:tcW w:w="380" w:type="dxa"/>
            <w:vAlign w:val="bottom"/>
          </w:tcPr>
          <w:p>
            <w:pPr>
              <w:jc w:val="center"/>
              <w:ind w:left="71"/>
              <w:spacing w:after="0" w:line="116" w:lineRule="exact"/>
              <w:rPr>
                <w:sz w:val="20"/>
                <w:szCs w:val="20"/>
                <w:color w:val="auto"/>
              </w:rPr>
            </w:pPr>
            <w:r>
              <w:rPr>
                <w:rFonts w:ascii="Calibri" w:cs="Calibri" w:eastAsia="Calibri" w:hAnsi="Calibri"/>
                <w:sz w:val="10"/>
                <w:szCs w:val="10"/>
                <w:color w:val="auto"/>
                <w:w w:val="95"/>
              </w:rPr>
              <w:t>-1.9%</w:t>
            </w:r>
          </w:p>
        </w:tc>
        <w:tc>
          <w:tcPr>
            <w:tcW w:w="40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line="116" w:lineRule="exact"/>
              <w:rPr>
                <w:sz w:val="20"/>
                <w:szCs w:val="20"/>
                <w:color w:val="auto"/>
              </w:rPr>
            </w:pPr>
            <w:r>
              <w:rPr>
                <w:rFonts w:ascii="Calibri" w:cs="Calibri" w:eastAsia="Calibri" w:hAnsi="Calibri"/>
                <w:sz w:val="10"/>
                <w:szCs w:val="10"/>
                <w:color w:val="auto"/>
              </w:rPr>
              <w:t>-20.9%</w:t>
            </w:r>
          </w:p>
        </w:tc>
        <w:tc>
          <w:tcPr>
            <w:tcW w:w="980" w:type="dxa"/>
            <w:vAlign w:val="bottom"/>
          </w:tcPr>
          <w:p>
            <w:pPr>
              <w:jc w:val="center"/>
              <w:spacing w:after="0" w:line="116" w:lineRule="exact"/>
              <w:rPr>
                <w:sz w:val="20"/>
                <w:szCs w:val="20"/>
                <w:color w:val="auto"/>
              </w:rPr>
            </w:pPr>
            <w:r>
              <w:rPr>
                <w:rFonts w:ascii="Calibri" w:cs="Calibri" w:eastAsia="Calibri" w:hAnsi="Calibri"/>
                <w:sz w:val="10"/>
                <w:szCs w:val="10"/>
                <w:color w:val="auto"/>
              </w:rPr>
              <w:t>(171,960)</w:t>
            </w:r>
          </w:p>
        </w:tc>
        <w:tc>
          <w:tcPr>
            <w:tcW w:w="104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color w:val="auto"/>
                <w:w w:val="97"/>
              </w:rPr>
              <w:t>(178,795)</w:t>
            </w:r>
          </w:p>
        </w:tc>
        <w:tc>
          <w:tcPr>
            <w:tcW w:w="102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color w:val="auto"/>
              </w:rPr>
              <w:t>4.0%</w:t>
            </w: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tcPr>
          <w:p>
            <w:pPr>
              <w:ind w:left="180"/>
              <w:spacing w:after="0"/>
              <w:rPr>
                <w:sz w:val="20"/>
                <w:szCs w:val="20"/>
                <w:color w:val="auto"/>
              </w:rPr>
            </w:pPr>
            <w:r>
              <w:rPr>
                <w:rFonts w:ascii="Calibri" w:cs="Calibri" w:eastAsia="Calibri" w:hAnsi="Calibri"/>
                <w:sz w:val="10"/>
                <w:szCs w:val="10"/>
                <w:color w:val="auto"/>
              </w:rPr>
              <w:t>Total expenses</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7"/>
              </w:rPr>
              <w:t>(1,735,980)</w:t>
            </w:r>
          </w:p>
        </w:tc>
        <w:tc>
          <w:tcPr>
            <w:tcW w:w="760" w:type="dxa"/>
            <w:vAlign w:val="bottom"/>
          </w:tcPr>
          <w:p>
            <w:pPr>
              <w:jc w:val="center"/>
              <w:ind w:left="168"/>
              <w:spacing w:after="0"/>
              <w:rPr>
                <w:sz w:val="20"/>
                <w:szCs w:val="20"/>
                <w:color w:val="auto"/>
              </w:rPr>
            </w:pPr>
            <w:r>
              <w:rPr>
                <w:rFonts w:ascii="Calibri" w:cs="Calibri" w:eastAsia="Calibri" w:hAnsi="Calibri"/>
                <w:sz w:val="10"/>
                <w:szCs w:val="10"/>
                <w:b w:val="1"/>
                <w:bCs w:val="1"/>
                <w:color w:val="auto"/>
                <w:w w:val="97"/>
              </w:rPr>
              <w:t>(1,807,840)</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b w:val="1"/>
                <w:bCs w:val="1"/>
                <w:color w:val="auto"/>
                <w:w w:val="97"/>
              </w:rPr>
              <w:t>(1,862,056)</w:t>
            </w:r>
          </w:p>
        </w:tc>
        <w:tc>
          <w:tcPr>
            <w:tcW w:w="240" w:type="dxa"/>
            <w:vAlign w:val="bottom"/>
          </w:tcPr>
          <w:p>
            <w:pPr>
              <w:spacing w:after="0"/>
              <w:rPr>
                <w:sz w:val="10"/>
                <w:szCs w:val="10"/>
                <w:color w:val="auto"/>
              </w:rPr>
            </w:pPr>
          </w:p>
        </w:tc>
        <w:tc>
          <w:tcPr>
            <w:tcW w:w="380" w:type="dxa"/>
            <w:vAlign w:val="bottom"/>
          </w:tcPr>
          <w:p>
            <w:pPr>
              <w:jc w:val="center"/>
              <w:ind w:left="91"/>
              <w:spacing w:after="0"/>
              <w:rPr>
                <w:sz w:val="20"/>
                <w:szCs w:val="20"/>
                <w:color w:val="auto"/>
              </w:rPr>
            </w:pPr>
            <w:r>
              <w:rPr>
                <w:rFonts w:ascii="Calibri" w:cs="Calibri" w:eastAsia="Calibri" w:hAnsi="Calibri"/>
                <w:sz w:val="10"/>
                <w:szCs w:val="10"/>
                <w:b w:val="1"/>
                <w:bCs w:val="1"/>
                <w:color w:val="auto"/>
                <w:w w:val="99"/>
              </w:rPr>
              <w:t>3.0%</w:t>
            </w:r>
          </w:p>
        </w:tc>
        <w:tc>
          <w:tcPr>
            <w:tcW w:w="40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w w:val="99"/>
              </w:rPr>
              <w:t>7.3%</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rPr>
              <w:t>(4,935,297)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7"/>
              </w:rPr>
              <w:t>(5,357,558)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8.6%</w:t>
            </w:r>
          </w:p>
        </w:tc>
        <w:tc>
          <w:tcPr>
            <w:tcW w:w="0" w:type="dxa"/>
            <w:vAlign w:val="bottom"/>
          </w:tcPr>
          <w:p>
            <w:pPr>
              <w:spacing w:after="0"/>
              <w:rPr>
                <w:sz w:val="1"/>
                <w:szCs w:val="1"/>
                <w:color w:val="auto"/>
              </w:rPr>
            </w:pPr>
          </w:p>
        </w:tc>
      </w:tr>
      <w:tr>
        <w:trPr>
          <w:trHeight w:val="189"/>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b w:val="1"/>
                <w:bCs w:val="1"/>
                <w:color w:val="auto"/>
              </w:rPr>
              <w:t>Proft before income tax</w:t>
            </w:r>
          </w:p>
        </w:tc>
        <w:tc>
          <w:tcPr>
            <w:tcW w:w="320" w:type="dxa"/>
            <w:vAlign w:val="bottom"/>
            <w:tcBorders>
              <w:right w:val="single" w:sz="8" w:color="auto"/>
            </w:tcBorders>
          </w:tcPr>
          <w:p>
            <w:pPr>
              <w:spacing w:after="0"/>
              <w:rPr>
                <w:sz w:val="16"/>
                <w:szCs w:val="16"/>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1,482,848</w:t>
            </w:r>
          </w:p>
        </w:tc>
        <w:tc>
          <w:tcPr>
            <w:tcW w:w="760" w:type="dxa"/>
            <w:vAlign w:val="bottom"/>
          </w:tcPr>
          <w:p>
            <w:pPr>
              <w:jc w:val="center"/>
              <w:ind w:left="188"/>
              <w:spacing w:after="0"/>
              <w:rPr>
                <w:sz w:val="20"/>
                <w:szCs w:val="20"/>
                <w:color w:val="auto"/>
              </w:rPr>
            </w:pPr>
            <w:r>
              <w:rPr>
                <w:rFonts w:ascii="Calibri" w:cs="Calibri" w:eastAsia="Calibri" w:hAnsi="Calibri"/>
                <w:sz w:val="10"/>
                <w:szCs w:val="10"/>
                <w:b w:val="1"/>
                <w:bCs w:val="1"/>
                <w:color w:val="auto"/>
                <w:w w:val="98"/>
              </w:rPr>
              <w:t>1,646,671</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b w:val="1"/>
                <w:bCs w:val="1"/>
                <w:color w:val="auto"/>
                <w:w w:val="98"/>
              </w:rPr>
              <w:t>1,878,364</w:t>
            </w:r>
          </w:p>
        </w:tc>
        <w:tc>
          <w:tcPr>
            <w:tcW w:w="240" w:type="dxa"/>
            <w:vAlign w:val="bottom"/>
          </w:tcPr>
          <w:p>
            <w:pPr>
              <w:spacing w:after="0"/>
              <w:rPr>
                <w:sz w:val="16"/>
                <w:szCs w:val="16"/>
                <w:color w:val="auto"/>
              </w:rPr>
            </w:pPr>
          </w:p>
        </w:tc>
        <w:tc>
          <w:tcPr>
            <w:tcW w:w="780" w:type="dxa"/>
            <w:vAlign w:val="bottom"/>
            <w:gridSpan w:val="2"/>
          </w:tcPr>
          <w:p>
            <w:pPr>
              <w:jc w:val="center"/>
              <w:ind w:right="188"/>
              <w:spacing w:after="0"/>
              <w:rPr>
                <w:sz w:val="20"/>
                <w:szCs w:val="20"/>
                <w:color w:val="auto"/>
              </w:rPr>
            </w:pPr>
            <w:r>
              <w:rPr>
                <w:rFonts w:ascii="Calibri" w:cs="Calibri" w:eastAsia="Calibri" w:hAnsi="Calibri"/>
                <w:sz w:val="10"/>
                <w:szCs w:val="10"/>
                <w:b w:val="1"/>
                <w:bCs w:val="1"/>
                <w:color w:val="auto"/>
                <w:w w:val="95"/>
              </w:rPr>
              <w:t>14.1%</w:t>
            </w: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rPr>
              <w:t>26.7%</w:t>
            </w:r>
          </w:p>
        </w:tc>
        <w:tc>
          <w:tcPr>
            <w:tcW w:w="980" w:type="dxa"/>
            <w:vAlign w:val="bottom"/>
          </w:tcPr>
          <w:p>
            <w:pPr>
              <w:jc w:val="center"/>
              <w:spacing w:after="0"/>
              <w:rPr>
                <w:sz w:val="20"/>
                <w:szCs w:val="20"/>
                <w:color w:val="auto"/>
              </w:rPr>
            </w:pPr>
            <w:r>
              <w:rPr>
                <w:rFonts w:ascii="Calibri" w:cs="Calibri" w:eastAsia="Calibri" w:hAnsi="Calibri"/>
                <w:sz w:val="10"/>
                <w:szCs w:val="10"/>
                <w:b w:val="1"/>
                <w:bCs w:val="1"/>
                <w:color w:val="auto"/>
                <w:w w:val="98"/>
              </w:rPr>
              <w:t>4,845,299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5,372,570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10.9%</w:t>
            </w: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color w:val="auto"/>
              </w:rPr>
              <w:t>Income tax</w:t>
            </w:r>
          </w:p>
        </w:tc>
        <w:tc>
          <w:tcPr>
            <w:tcW w:w="32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7"/>
              </w:rPr>
              <w:t>(378,054)</w:t>
            </w:r>
          </w:p>
        </w:tc>
        <w:tc>
          <w:tcPr>
            <w:tcW w:w="760" w:type="dxa"/>
            <w:vAlign w:val="bottom"/>
          </w:tcPr>
          <w:p>
            <w:pPr>
              <w:jc w:val="center"/>
              <w:ind w:left="208"/>
              <w:spacing w:after="0"/>
              <w:rPr>
                <w:sz w:val="20"/>
                <w:szCs w:val="20"/>
                <w:color w:val="auto"/>
              </w:rPr>
            </w:pPr>
            <w:r>
              <w:rPr>
                <w:rFonts w:ascii="Calibri" w:cs="Calibri" w:eastAsia="Calibri" w:hAnsi="Calibri"/>
                <w:sz w:val="10"/>
                <w:szCs w:val="10"/>
                <w:color w:val="auto"/>
                <w:w w:val="97"/>
              </w:rPr>
              <w:t>(399,971)</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color w:val="auto"/>
              </w:rPr>
              <w:t>(472,791)</w:t>
            </w:r>
          </w:p>
        </w:tc>
        <w:tc>
          <w:tcPr>
            <w:tcW w:w="240" w:type="dxa"/>
            <w:vAlign w:val="bottom"/>
          </w:tcPr>
          <w:p>
            <w:pPr>
              <w:spacing w:after="0"/>
              <w:rPr>
                <w:sz w:val="17"/>
                <w:szCs w:val="17"/>
                <w:color w:val="auto"/>
              </w:rPr>
            </w:pPr>
          </w:p>
        </w:tc>
        <w:tc>
          <w:tcPr>
            <w:tcW w:w="380" w:type="dxa"/>
            <w:vAlign w:val="bottom"/>
          </w:tcPr>
          <w:p>
            <w:pPr>
              <w:jc w:val="center"/>
              <w:ind w:left="91"/>
              <w:spacing w:after="0"/>
              <w:rPr>
                <w:sz w:val="20"/>
                <w:szCs w:val="20"/>
                <w:color w:val="auto"/>
              </w:rPr>
            </w:pPr>
            <w:r>
              <w:rPr>
                <w:rFonts w:ascii="Calibri" w:cs="Calibri" w:eastAsia="Calibri" w:hAnsi="Calibri"/>
                <w:sz w:val="10"/>
                <w:szCs w:val="10"/>
                <w:color w:val="auto"/>
                <w:w w:val="96"/>
              </w:rPr>
              <w:t>18.2%</w:t>
            </w:r>
          </w:p>
        </w:tc>
        <w:tc>
          <w:tcPr>
            <w:tcW w:w="400" w:type="dxa"/>
            <w:vAlign w:val="bottom"/>
          </w:tcPr>
          <w:p>
            <w:pPr>
              <w:spacing w:after="0"/>
              <w:rPr>
                <w:sz w:val="17"/>
                <w:szCs w:val="17"/>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w w:val="96"/>
              </w:rPr>
              <w:t>25.1%</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(1,217,298)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(1,335,340)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9.7%</w:t>
            </w: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color w:val="auto"/>
              </w:rPr>
              <w:t>Net proft</w:t>
            </w:r>
          </w:p>
        </w:tc>
        <w:tc>
          <w:tcPr>
            <w:tcW w:w="32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1,104,794</w:t>
            </w:r>
          </w:p>
        </w:tc>
        <w:tc>
          <w:tcPr>
            <w:tcW w:w="760" w:type="dxa"/>
            <w:vAlign w:val="bottom"/>
          </w:tcPr>
          <w:p>
            <w:pPr>
              <w:jc w:val="center"/>
              <w:ind w:left="188"/>
              <w:spacing w:after="0"/>
              <w:rPr>
                <w:sz w:val="20"/>
                <w:szCs w:val="20"/>
                <w:color w:val="auto"/>
              </w:rPr>
            </w:pPr>
            <w:r>
              <w:rPr>
                <w:rFonts w:ascii="Calibri" w:cs="Calibri" w:eastAsia="Calibri" w:hAnsi="Calibri"/>
                <w:sz w:val="10"/>
                <w:szCs w:val="10"/>
                <w:color w:val="auto"/>
                <w:w w:val="98"/>
              </w:rPr>
              <w:t>1,246,700</w:t>
            </w:r>
          </w:p>
        </w:tc>
        <w:tc>
          <w:tcPr>
            <w:tcW w:w="1260" w:type="dxa"/>
            <w:vAlign w:val="bottom"/>
            <w:tcBorders>
              <w:right w:val="single" w:sz="8" w:color="auto"/>
            </w:tcBorders>
            <w:gridSpan w:val="2"/>
          </w:tcPr>
          <w:p>
            <w:pPr>
              <w:jc w:val="center"/>
              <w:ind w:left="169"/>
              <w:spacing w:after="0"/>
              <w:rPr>
                <w:sz w:val="20"/>
                <w:szCs w:val="20"/>
                <w:color w:val="auto"/>
              </w:rPr>
            </w:pPr>
            <w:r>
              <w:rPr>
                <w:rFonts w:ascii="Calibri" w:cs="Calibri" w:eastAsia="Calibri" w:hAnsi="Calibri"/>
                <w:sz w:val="10"/>
                <w:szCs w:val="10"/>
                <w:color w:val="auto"/>
                <w:w w:val="98"/>
              </w:rPr>
              <w:t>1,405,573</w:t>
            </w:r>
          </w:p>
        </w:tc>
        <w:tc>
          <w:tcPr>
            <w:tcW w:w="240" w:type="dxa"/>
            <w:vAlign w:val="bottom"/>
          </w:tcPr>
          <w:p>
            <w:pPr>
              <w:spacing w:after="0"/>
              <w:rPr>
                <w:sz w:val="17"/>
                <w:szCs w:val="17"/>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color w:val="auto"/>
                <w:w w:val="96"/>
              </w:rPr>
              <w:t>12.7%</w:t>
            </w:r>
          </w:p>
        </w:tc>
        <w:tc>
          <w:tcPr>
            <w:tcW w:w="400" w:type="dxa"/>
            <w:vAlign w:val="bottom"/>
          </w:tcPr>
          <w:p>
            <w:pPr>
              <w:spacing w:after="0"/>
              <w:rPr>
                <w:sz w:val="17"/>
                <w:szCs w:val="17"/>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27.2%</w:t>
            </w:r>
          </w:p>
        </w:tc>
        <w:tc>
          <w:tcPr>
            <w:tcW w:w="980" w:type="dxa"/>
            <w:vAlign w:val="bottom"/>
          </w:tcPr>
          <w:p>
            <w:pPr>
              <w:jc w:val="center"/>
              <w:spacing w:after="0"/>
              <w:rPr>
                <w:sz w:val="20"/>
                <w:szCs w:val="20"/>
                <w:color w:val="auto"/>
              </w:rPr>
            </w:pPr>
            <w:r>
              <w:rPr>
                <w:rFonts w:ascii="Calibri" w:cs="Calibri" w:eastAsia="Calibri" w:hAnsi="Calibri"/>
                <w:sz w:val="10"/>
                <w:szCs w:val="10"/>
                <w:color w:val="auto"/>
                <w:w w:val="98"/>
              </w:rPr>
              <w:t>3,628,001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8"/>
              </w:rPr>
              <w:t>4,037,230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11.3%</w:t>
            </w:r>
          </w:p>
        </w:tc>
        <w:tc>
          <w:tcPr>
            <w:tcW w:w="0" w:type="dxa"/>
            <w:vAlign w:val="bottom"/>
          </w:tcPr>
          <w:p>
            <w:pPr>
              <w:spacing w:after="0"/>
              <w:rPr>
                <w:sz w:val="1"/>
                <w:szCs w:val="1"/>
                <w:color w:val="auto"/>
              </w:rPr>
            </w:pPr>
          </w:p>
        </w:tc>
      </w:tr>
      <w:tr>
        <w:trPr>
          <w:trHeight w:val="121"/>
        </w:trPr>
        <w:tc>
          <w:tcPr>
            <w:tcW w:w="2860" w:type="dxa"/>
            <w:vAlign w:val="bottom"/>
            <w:tcBorders>
              <w:left w:val="single" w:sz="8" w:color="auto"/>
            </w:tcBorders>
          </w:tcPr>
          <w:p>
            <w:pPr>
              <w:ind w:left="20"/>
              <w:spacing w:after="0"/>
              <w:rPr>
                <w:sz w:val="20"/>
                <w:szCs w:val="20"/>
                <w:color w:val="auto"/>
              </w:rPr>
            </w:pPr>
            <w:r>
              <w:rPr>
                <w:rFonts w:ascii="Calibri" w:cs="Calibri" w:eastAsia="Calibri" w:hAnsi="Calibri"/>
                <w:sz w:val="10"/>
                <w:szCs w:val="10"/>
                <w:b w:val="1"/>
                <w:bCs w:val="1"/>
                <w:color w:val="auto"/>
              </w:rPr>
              <w:t>Non-controlling interest</w:t>
            </w:r>
          </w:p>
        </w:tc>
        <w:tc>
          <w:tcPr>
            <w:tcW w:w="320" w:type="dxa"/>
            <w:vAlign w:val="bottom"/>
            <w:tcBorders>
              <w:right w:val="single" w:sz="8" w:color="auto"/>
            </w:tcBorders>
          </w:tcPr>
          <w:p>
            <w:pPr>
              <w:spacing w:after="0"/>
              <w:rPr>
                <w:sz w:val="10"/>
                <w:szCs w:val="10"/>
                <w:color w:val="auto"/>
              </w:rPr>
            </w:pPr>
          </w:p>
        </w:tc>
        <w:tc>
          <w:tcPr>
            <w:tcW w:w="980" w:type="dxa"/>
            <w:vAlign w:val="bottom"/>
          </w:tcPr>
          <w:p>
            <w:pPr>
              <w:jc w:val="center"/>
              <w:spacing w:after="0"/>
              <w:rPr>
                <w:sz w:val="20"/>
                <w:szCs w:val="20"/>
                <w:color w:val="auto"/>
              </w:rPr>
            </w:pPr>
            <w:r>
              <w:rPr>
                <w:rFonts w:ascii="Calibri" w:cs="Calibri" w:eastAsia="Calibri" w:hAnsi="Calibri"/>
                <w:sz w:val="10"/>
                <w:szCs w:val="10"/>
                <w:color w:val="auto"/>
              </w:rPr>
              <w:t>(2,998)</w:t>
            </w:r>
          </w:p>
        </w:tc>
        <w:tc>
          <w:tcPr>
            <w:tcW w:w="760" w:type="dxa"/>
            <w:vAlign w:val="bottom"/>
          </w:tcPr>
          <w:p>
            <w:pPr>
              <w:jc w:val="center"/>
              <w:ind w:left="168"/>
              <w:spacing w:after="0"/>
              <w:rPr>
                <w:sz w:val="20"/>
                <w:szCs w:val="20"/>
                <w:color w:val="auto"/>
              </w:rPr>
            </w:pPr>
            <w:r>
              <w:rPr>
                <w:rFonts w:ascii="Calibri" w:cs="Calibri" w:eastAsia="Calibri" w:hAnsi="Calibri"/>
                <w:sz w:val="10"/>
                <w:szCs w:val="10"/>
                <w:color w:val="auto"/>
              </w:rPr>
              <w:t>(1,749)</w:t>
            </w:r>
          </w:p>
        </w:tc>
        <w:tc>
          <w:tcPr>
            <w:tcW w:w="1260" w:type="dxa"/>
            <w:vAlign w:val="bottom"/>
            <w:tcBorders>
              <w:right w:val="single" w:sz="8" w:color="auto"/>
            </w:tcBorders>
            <w:gridSpan w:val="2"/>
          </w:tcPr>
          <w:p>
            <w:pPr>
              <w:jc w:val="center"/>
              <w:ind w:left="149"/>
              <w:spacing w:after="0"/>
              <w:rPr>
                <w:sz w:val="20"/>
                <w:szCs w:val="20"/>
                <w:color w:val="auto"/>
              </w:rPr>
            </w:pPr>
            <w:r>
              <w:rPr>
                <w:rFonts w:ascii="Calibri" w:cs="Calibri" w:eastAsia="Calibri" w:hAnsi="Calibri"/>
                <w:sz w:val="10"/>
                <w:szCs w:val="10"/>
                <w:color w:val="auto"/>
              </w:rPr>
              <w:t>(3,172)</w:t>
            </w:r>
          </w:p>
        </w:tc>
        <w:tc>
          <w:tcPr>
            <w:tcW w:w="240" w:type="dxa"/>
            <w:vAlign w:val="bottom"/>
          </w:tcPr>
          <w:p>
            <w:pPr>
              <w:spacing w:after="0"/>
              <w:rPr>
                <w:sz w:val="10"/>
                <w:szCs w:val="10"/>
                <w:color w:val="auto"/>
              </w:rPr>
            </w:pPr>
          </w:p>
        </w:tc>
        <w:tc>
          <w:tcPr>
            <w:tcW w:w="380" w:type="dxa"/>
            <w:vAlign w:val="bottom"/>
          </w:tcPr>
          <w:p>
            <w:pPr>
              <w:jc w:val="center"/>
              <w:ind w:left="51"/>
              <w:spacing w:after="0"/>
              <w:rPr>
                <w:sz w:val="20"/>
                <w:szCs w:val="20"/>
                <w:color w:val="auto"/>
              </w:rPr>
            </w:pPr>
            <w:r>
              <w:rPr>
                <w:rFonts w:ascii="Calibri" w:cs="Calibri" w:eastAsia="Calibri" w:hAnsi="Calibri"/>
                <w:sz w:val="10"/>
                <w:szCs w:val="10"/>
                <w:color w:val="auto"/>
                <w:w w:val="96"/>
              </w:rPr>
              <w:t>81.4%</w:t>
            </w:r>
          </w:p>
        </w:tc>
        <w:tc>
          <w:tcPr>
            <w:tcW w:w="40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0"/>
                <w:szCs w:val="10"/>
                <w:color w:val="auto"/>
              </w:rPr>
              <w:t>5.8%</w:t>
            </w:r>
          </w:p>
        </w:tc>
        <w:tc>
          <w:tcPr>
            <w:tcW w:w="980" w:type="dxa"/>
            <w:vAlign w:val="bottom"/>
          </w:tcPr>
          <w:p>
            <w:pPr>
              <w:jc w:val="center"/>
              <w:spacing w:after="0"/>
              <w:rPr>
                <w:sz w:val="20"/>
                <w:szCs w:val="20"/>
                <w:color w:val="auto"/>
              </w:rPr>
            </w:pPr>
            <w:r>
              <w:rPr>
                <w:rFonts w:ascii="Calibri" w:cs="Calibri" w:eastAsia="Calibri" w:hAnsi="Calibri"/>
                <w:sz w:val="10"/>
                <w:szCs w:val="10"/>
                <w:color w:val="auto"/>
              </w:rPr>
              <w:t>(7,411)</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(9,551)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28.9%</w:t>
            </w:r>
          </w:p>
        </w:tc>
        <w:tc>
          <w:tcPr>
            <w:tcW w:w="0" w:type="dxa"/>
            <w:vAlign w:val="bottom"/>
          </w:tcPr>
          <w:p>
            <w:pPr>
              <w:spacing w:after="0"/>
              <w:rPr>
                <w:sz w:val="1"/>
                <w:szCs w:val="1"/>
                <w:color w:val="auto"/>
              </w:rPr>
            </w:pPr>
          </w:p>
        </w:tc>
      </w:tr>
      <w:tr>
        <w:trPr>
          <w:trHeight w:val="123"/>
        </w:trPr>
        <w:tc>
          <w:tcPr>
            <w:tcW w:w="2860" w:type="dxa"/>
            <w:vAlign w:val="bottom"/>
            <w:tcBorders>
              <w:left w:val="single" w:sz="8" w:color="auto"/>
              <w:bottom w:val="single" w:sz="8" w:color="auto"/>
            </w:tcBorders>
          </w:tcPr>
          <w:p>
            <w:pPr>
              <w:ind w:left="40"/>
              <w:spacing w:after="0"/>
              <w:rPr>
                <w:sz w:val="20"/>
                <w:szCs w:val="20"/>
                <w:color w:val="auto"/>
              </w:rPr>
            </w:pPr>
            <w:r>
              <w:rPr>
                <w:rFonts w:ascii="Calibri" w:cs="Calibri" w:eastAsia="Calibri" w:hAnsi="Calibri"/>
                <w:sz w:val="10"/>
                <w:szCs w:val="10"/>
                <w:color w:val="auto"/>
              </w:rPr>
              <w:t>Net proft atributable to BCP Consolidated</w:t>
            </w:r>
          </w:p>
        </w:tc>
        <w:tc>
          <w:tcPr>
            <w:tcW w:w="32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1,101,796</w:t>
            </w:r>
          </w:p>
        </w:tc>
        <w:tc>
          <w:tcPr>
            <w:tcW w:w="760" w:type="dxa"/>
            <w:vAlign w:val="bottom"/>
            <w:tcBorders>
              <w:bottom w:val="single" w:sz="8" w:color="auto"/>
            </w:tcBorders>
          </w:tcPr>
          <w:p>
            <w:pPr>
              <w:jc w:val="center"/>
              <w:ind w:left="188"/>
              <w:spacing w:after="0"/>
              <w:rPr>
                <w:sz w:val="20"/>
                <w:szCs w:val="20"/>
                <w:color w:val="auto"/>
              </w:rPr>
            </w:pPr>
            <w:r>
              <w:rPr>
                <w:rFonts w:ascii="Calibri" w:cs="Calibri" w:eastAsia="Calibri" w:hAnsi="Calibri"/>
                <w:sz w:val="10"/>
                <w:szCs w:val="10"/>
                <w:b w:val="1"/>
                <w:bCs w:val="1"/>
                <w:color w:val="auto"/>
                <w:w w:val="98"/>
              </w:rPr>
              <w:t>1,244,951</w:t>
            </w:r>
          </w:p>
        </w:tc>
        <w:tc>
          <w:tcPr>
            <w:tcW w:w="1260" w:type="dxa"/>
            <w:vAlign w:val="bottom"/>
            <w:tcBorders>
              <w:bottom w:val="single" w:sz="8" w:color="auto"/>
              <w:right w:val="single" w:sz="8" w:color="auto"/>
            </w:tcBorders>
            <w:gridSpan w:val="2"/>
          </w:tcPr>
          <w:p>
            <w:pPr>
              <w:jc w:val="center"/>
              <w:ind w:left="169"/>
              <w:spacing w:after="0"/>
              <w:rPr>
                <w:sz w:val="20"/>
                <w:szCs w:val="20"/>
                <w:color w:val="auto"/>
              </w:rPr>
            </w:pPr>
            <w:r>
              <w:rPr>
                <w:rFonts w:ascii="Calibri" w:cs="Calibri" w:eastAsia="Calibri" w:hAnsi="Calibri"/>
                <w:sz w:val="10"/>
                <w:szCs w:val="10"/>
                <w:b w:val="1"/>
                <w:bCs w:val="1"/>
                <w:color w:val="auto"/>
                <w:w w:val="98"/>
              </w:rPr>
              <w:t>1,402,401</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188"/>
              <w:spacing w:after="0"/>
              <w:rPr>
                <w:sz w:val="20"/>
                <w:szCs w:val="20"/>
                <w:color w:val="auto"/>
              </w:rPr>
            </w:pPr>
            <w:r>
              <w:rPr>
                <w:rFonts w:ascii="Calibri" w:cs="Calibri" w:eastAsia="Calibri" w:hAnsi="Calibri"/>
                <w:sz w:val="10"/>
                <w:szCs w:val="10"/>
                <w:b w:val="1"/>
                <w:bCs w:val="1"/>
                <w:color w:val="auto"/>
                <w:w w:val="95"/>
              </w:rPr>
              <w:t>12.6%</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w w:val="95"/>
              </w:rPr>
              <w:t>27.3%</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3,620,590</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8"/>
              </w:rPr>
              <w:t>4,027,679</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5"/>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-4028440</wp:posOffset>
            </wp:positionV>
            <wp:extent cx="108013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59" w:lineRule="exact"/>
        <w:rPr>
          <w:sz w:val="20"/>
          <w:szCs w:val="20"/>
          <w:color w:val="auto"/>
        </w:rPr>
      </w:pPr>
    </w:p>
    <w:p>
      <w:pPr>
        <w:ind w:left="1140" w:hanging="160"/>
        <w:spacing w:after="0"/>
        <w:tabs>
          <w:tab w:leader="none" w:pos="1140" w:val="left"/>
        </w:tabs>
        <w:numPr>
          <w:ilvl w:val="0"/>
          <w:numId w:val="60"/>
        </w:numPr>
        <w:rPr>
          <w:rFonts w:ascii="Calibri" w:cs="Calibri" w:eastAsia="Calibri" w:hAnsi="Calibri"/>
          <w:sz w:val="12"/>
          <w:szCs w:val="12"/>
          <w:color w:val="auto"/>
        </w:rPr>
      </w:pPr>
      <w:r>
        <w:rPr>
          <w:rFonts w:ascii="Calibri" w:cs="Calibri" w:eastAsia="Calibri" w:hAnsi="Calibri"/>
          <w:sz w:val="12"/>
          <w:szCs w:val="12"/>
          <w:color w:val="auto"/>
        </w:rPr>
        <w:t>Financing expenses related to lease agreements are included according to the applicaton of IFRS 16.</w:t>
      </w:r>
    </w:p>
    <w:p>
      <w:pPr>
        <w:spacing w:after="0" w:line="56" w:lineRule="exact"/>
        <w:rPr>
          <w:rFonts w:ascii="Calibri" w:cs="Calibri" w:eastAsia="Calibri" w:hAnsi="Calibri"/>
          <w:sz w:val="12"/>
          <w:szCs w:val="12"/>
          <w:color w:val="auto"/>
        </w:rPr>
      </w:pPr>
    </w:p>
    <w:p>
      <w:pPr>
        <w:ind w:left="1140" w:hanging="160"/>
        <w:spacing w:after="0"/>
        <w:tabs>
          <w:tab w:leader="none" w:pos="1140" w:val="left"/>
        </w:tabs>
        <w:numPr>
          <w:ilvl w:val="0"/>
          <w:numId w:val="60"/>
        </w:numPr>
        <w:rPr>
          <w:rFonts w:ascii="Calibri" w:cs="Calibri" w:eastAsia="Calibri" w:hAnsi="Calibri"/>
          <w:sz w:val="12"/>
          <w:szCs w:val="12"/>
          <w:color w:val="auto"/>
        </w:rPr>
      </w:pPr>
      <w:r>
        <w:rPr>
          <w:rFonts w:ascii="Calibri" w:cs="Calibri" w:eastAsia="Calibri" w:hAnsi="Calibri"/>
          <w:sz w:val="12"/>
          <w:szCs w:val="12"/>
          <w:color w:val="auto"/>
        </w:rPr>
        <w:t>The efect of the applicaton of IFRS 16 is included, which corresponds to a greater depreciaton for the asset for right-of-use".</w:t>
      </w: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Selected Financial Indicators</w:t>
      </w:r>
    </w:p>
    <w:p>
      <w:pPr>
        <w:spacing w:after="0" w:line="210" w:lineRule="exact"/>
        <w:rPr>
          <w:sz w:val="20"/>
          <w:szCs w:val="20"/>
          <w:color w:val="auto"/>
        </w:rPr>
      </w:pPr>
    </w:p>
    <w:tbl>
      <w:tblPr>
        <w:tblLayout w:type="fixed"/>
        <w:tblInd w:w="1710" w:type="dxa"/>
        <w:tblCellMar>
          <w:top w:w="0" w:type="dxa"/>
          <w:left w:w="0" w:type="dxa"/>
          <w:bottom w:w="0" w:type="dxa"/>
          <w:right w:w="0" w:type="dxa"/>
        </w:tblCellMar>
      </w:tblPr>
      <w:tr>
        <w:trPr>
          <w:trHeight w:val="183"/>
        </w:trPr>
        <w:tc>
          <w:tcPr>
            <w:tcW w:w="402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740" w:type="dxa"/>
            <w:vAlign w:val="bottom"/>
            <w:tcBorders>
              <w:top w:val="single" w:sz="8" w:color="auto"/>
            </w:tcBorders>
            <w:shd w:val="clear" w:color="auto" w:fill="33CCCC"/>
          </w:tcPr>
          <w:p>
            <w:pPr>
              <w:spacing w:after="0"/>
              <w:rPr>
                <w:sz w:val="15"/>
                <w:szCs w:val="15"/>
                <w:color w:val="auto"/>
              </w:rPr>
            </w:pPr>
          </w:p>
        </w:tc>
        <w:tc>
          <w:tcPr>
            <w:tcW w:w="800" w:type="dxa"/>
            <w:vAlign w:val="bottom"/>
            <w:tcBorders>
              <w:top w:val="single" w:sz="8" w:color="auto"/>
            </w:tcBorders>
            <w:shd w:val="clear" w:color="auto" w:fill="33CCCC"/>
          </w:tcPr>
          <w:p>
            <w:pPr>
              <w:ind w:left="160"/>
              <w:spacing w:after="0"/>
              <w:rPr>
                <w:sz w:val="20"/>
                <w:szCs w:val="20"/>
                <w:color w:val="auto"/>
              </w:rPr>
            </w:pPr>
            <w:r>
              <w:rPr>
                <w:rFonts w:ascii="Calibri" w:cs="Calibri" w:eastAsia="Calibri" w:hAnsi="Calibri"/>
                <w:sz w:val="14"/>
                <w:szCs w:val="14"/>
                <w:color w:val="FFFFFF"/>
              </w:rPr>
              <w:t>Quarter</w:t>
            </w:r>
          </w:p>
        </w:tc>
        <w:tc>
          <w:tcPr>
            <w:tcW w:w="760" w:type="dxa"/>
            <w:vAlign w:val="bottom"/>
            <w:tcBorders>
              <w:top w:val="single" w:sz="8" w:color="auto"/>
              <w:right w:val="single" w:sz="8" w:color="auto"/>
            </w:tcBorders>
            <w:shd w:val="clear" w:color="auto" w:fill="33CCCC"/>
          </w:tcPr>
          <w:p>
            <w:pPr>
              <w:spacing w:after="0"/>
              <w:rPr>
                <w:sz w:val="15"/>
                <w:szCs w:val="15"/>
                <w:color w:val="auto"/>
              </w:rPr>
            </w:pPr>
          </w:p>
        </w:tc>
        <w:tc>
          <w:tcPr>
            <w:tcW w:w="580" w:type="dxa"/>
            <w:vAlign w:val="bottom"/>
            <w:tcBorders>
              <w:top w:val="single" w:sz="8" w:color="auto"/>
            </w:tcBorders>
            <w:shd w:val="clear" w:color="auto" w:fill="33CCCC"/>
          </w:tcPr>
          <w:p>
            <w:pPr>
              <w:spacing w:after="0"/>
              <w:rPr>
                <w:sz w:val="15"/>
                <w:szCs w:val="15"/>
                <w:color w:val="auto"/>
              </w:rPr>
            </w:pPr>
          </w:p>
        </w:tc>
        <w:tc>
          <w:tcPr>
            <w:tcW w:w="96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color w:val="FFFFFF"/>
              </w:rPr>
              <w:t>Up to</w:t>
            </w:r>
          </w:p>
        </w:tc>
      </w:tr>
      <w:tr>
        <w:trPr>
          <w:trHeight w:val="175"/>
        </w:trPr>
        <w:tc>
          <w:tcPr>
            <w:tcW w:w="4020" w:type="dxa"/>
            <w:vAlign w:val="bottom"/>
            <w:tcBorders>
              <w:left w:val="single" w:sz="8" w:color="auto"/>
              <w:bottom w:val="single" w:sz="8" w:color="auto"/>
              <w:right w:val="single" w:sz="8" w:color="auto"/>
            </w:tcBorders>
            <w:shd w:val="clear" w:color="auto" w:fill="33CCCC"/>
          </w:tcPr>
          <w:p>
            <w:pPr>
              <w:spacing w:after="0"/>
              <w:rPr>
                <w:sz w:val="15"/>
                <w:szCs w:val="15"/>
                <w:color w:val="auto"/>
              </w:rPr>
            </w:pPr>
          </w:p>
        </w:tc>
        <w:tc>
          <w:tcPr>
            <w:tcW w:w="7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4"/>
                <w:szCs w:val="14"/>
                <w:color w:val="FFFFFF"/>
                <w:w w:val="97"/>
              </w:rPr>
              <w:t>3Q23</w:t>
            </w:r>
          </w:p>
        </w:tc>
        <w:tc>
          <w:tcPr>
            <w:tcW w:w="80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4"/>
                <w:szCs w:val="14"/>
                <w:color w:val="FFFFFF"/>
              </w:rPr>
              <w:t>2Q24</w:t>
            </w:r>
          </w:p>
        </w:tc>
        <w:tc>
          <w:tcPr>
            <w:tcW w:w="7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color w:val="FFFFFF"/>
              </w:rPr>
              <w:t>3Q24</w:t>
            </w:r>
          </w:p>
        </w:tc>
        <w:tc>
          <w:tcPr>
            <w:tcW w:w="580" w:type="dxa"/>
            <w:vAlign w:val="bottom"/>
            <w:tcBorders>
              <w:bottom w:val="single" w:sz="8" w:color="auto"/>
            </w:tcBorders>
            <w:shd w:val="clear" w:color="auto" w:fill="33CCCC"/>
          </w:tcPr>
          <w:p>
            <w:pPr>
              <w:ind w:left="180"/>
              <w:spacing w:after="0"/>
              <w:rPr>
                <w:sz w:val="20"/>
                <w:szCs w:val="20"/>
                <w:color w:val="auto"/>
              </w:rPr>
            </w:pPr>
            <w:r>
              <w:rPr>
                <w:rFonts w:ascii="Calibri" w:cs="Calibri" w:eastAsia="Calibri" w:hAnsi="Calibri"/>
                <w:sz w:val="14"/>
                <w:szCs w:val="14"/>
                <w:color w:val="FFFFFF"/>
                <w:w w:val="99"/>
              </w:rPr>
              <w:t>Sep 23</w:t>
            </w:r>
          </w:p>
        </w:tc>
        <w:tc>
          <w:tcPr>
            <w:tcW w:w="96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Calibri" w:cs="Calibri" w:eastAsia="Calibri" w:hAnsi="Calibri"/>
                <w:sz w:val="14"/>
                <w:szCs w:val="14"/>
                <w:color w:val="FFFFFF"/>
              </w:rPr>
              <w:t>Sep 24</w:t>
            </w:r>
          </w:p>
        </w:tc>
      </w:tr>
      <w:tr>
        <w:trPr>
          <w:trHeight w:val="158"/>
        </w:trPr>
        <w:tc>
          <w:tcPr>
            <w:tcW w:w="402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Proftability</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r>
      <w:tr>
        <w:trPr>
          <w:trHeight w:val="180"/>
        </w:trPr>
        <w:tc>
          <w:tcPr>
            <w:tcW w:w="4020" w:type="dxa"/>
            <w:vAlign w:val="bottom"/>
            <w:tcBorders>
              <w:left w:val="single" w:sz="8" w:color="auto"/>
              <w:right w:val="single" w:sz="8" w:color="auto"/>
            </w:tcBorders>
          </w:tcPr>
          <w:p>
            <w:pPr>
              <w:ind w:left="180"/>
              <w:spacing w:after="0" w:line="180" w:lineRule="exact"/>
              <w:rPr>
                <w:sz w:val="20"/>
                <w:szCs w:val="20"/>
                <w:color w:val="auto"/>
              </w:rPr>
            </w:pPr>
            <w:r>
              <w:rPr>
                <w:rFonts w:ascii="Calibri" w:cs="Calibri" w:eastAsia="Calibri" w:hAnsi="Calibri"/>
                <w:sz w:val="19"/>
                <w:szCs w:val="19"/>
                <w:color w:val="auto"/>
                <w:vertAlign w:val="subscript"/>
              </w:rPr>
              <w:t>ROAA</w:t>
            </w:r>
            <w:r>
              <w:rPr>
                <w:rFonts w:ascii="Calibri" w:cs="Calibri" w:eastAsia="Calibri" w:hAnsi="Calibri"/>
                <w:sz w:val="9"/>
                <w:szCs w:val="9"/>
                <w:color w:val="auto"/>
              </w:rPr>
              <w:t xml:space="preserve"> (1)(2)</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2.3%</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2.5%</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2.8%</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2.5%</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2.7%</w:t>
            </w:r>
          </w:p>
        </w:tc>
      </w:tr>
      <w:tr>
        <w:trPr>
          <w:trHeight w:val="175"/>
        </w:trPr>
        <w:tc>
          <w:tcPr>
            <w:tcW w:w="402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9"/>
                <w:szCs w:val="19"/>
                <w:color w:val="auto"/>
                <w:vertAlign w:val="subscript"/>
              </w:rPr>
              <w:t>ROAE</w:t>
            </w:r>
            <w:r>
              <w:rPr>
                <w:rFonts w:ascii="Calibri" w:cs="Calibri" w:eastAsia="Calibri" w:hAnsi="Calibri"/>
                <w:sz w:val="9"/>
                <w:szCs w:val="9"/>
                <w:color w:val="auto"/>
              </w:rPr>
              <w:t xml:space="preserve"> (1)(2)</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18.6%</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21.7%</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22.9%</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20.4%</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21.3%</w:t>
            </w:r>
          </w:p>
        </w:tc>
      </w:tr>
      <w:tr>
        <w:trPr>
          <w:trHeight w:val="175"/>
        </w:trPr>
        <w:tc>
          <w:tcPr>
            <w:tcW w:w="402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2"/>
                <w:szCs w:val="12"/>
                <w:color w:val="auto"/>
              </w:rPr>
              <w:t xml:space="preserve">Net interest margin </w:t>
            </w:r>
            <w:r>
              <w:rPr>
                <w:rFonts w:ascii="Calibri" w:cs="Calibri" w:eastAsia="Calibri" w:hAnsi="Calibri"/>
                <w:sz w:val="19"/>
                <w:szCs w:val="19"/>
                <w:color w:val="auto"/>
                <w:vertAlign w:val="superscript"/>
              </w:rPr>
              <w:t>(1)(2)</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6.52%</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6.77%</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6.84%</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6.34%</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6.73%</w:t>
            </w:r>
          </w:p>
        </w:tc>
      </w:tr>
      <w:tr>
        <w:trPr>
          <w:trHeight w:val="176"/>
        </w:trPr>
        <w:tc>
          <w:tcPr>
            <w:tcW w:w="402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2"/>
                <w:szCs w:val="12"/>
                <w:color w:val="auto"/>
              </w:rPr>
              <w:t xml:space="preserve">Risk-adjusted Net interest margin </w:t>
            </w:r>
            <w:r>
              <w:rPr>
                <w:rFonts w:ascii="Calibri" w:cs="Calibri" w:eastAsia="Calibri" w:hAnsi="Calibri"/>
                <w:sz w:val="19"/>
                <w:szCs w:val="19"/>
                <w:color w:val="auto"/>
                <w:vertAlign w:val="superscript"/>
              </w:rPr>
              <w:t>(1)(2)</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4.62%</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4.62%</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5.13%</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4.64%</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4.92%</w:t>
            </w:r>
          </w:p>
        </w:tc>
      </w:tr>
      <w:tr>
        <w:trPr>
          <w:trHeight w:val="261"/>
        </w:trPr>
        <w:tc>
          <w:tcPr>
            <w:tcW w:w="4020" w:type="dxa"/>
            <w:vAlign w:val="bottom"/>
            <w:tcBorders>
              <w:left w:val="single" w:sz="8" w:color="auto"/>
              <w:right w:val="single" w:sz="8" w:color="auto"/>
            </w:tcBorders>
          </w:tcPr>
          <w:p>
            <w:pPr>
              <w:ind w:left="180"/>
              <w:spacing w:after="0" w:line="261" w:lineRule="exact"/>
              <w:rPr>
                <w:sz w:val="20"/>
                <w:szCs w:val="20"/>
                <w:color w:val="auto"/>
              </w:rPr>
            </w:pPr>
            <w:r>
              <w:rPr>
                <w:rFonts w:ascii="Calibri" w:cs="Calibri" w:eastAsia="Calibri" w:hAnsi="Calibri"/>
                <w:sz w:val="13"/>
                <w:szCs w:val="13"/>
                <w:color w:val="auto"/>
              </w:rPr>
              <w:t xml:space="preserve">Funding cost </w:t>
            </w:r>
            <w:r>
              <w:rPr>
                <w:rFonts w:ascii="Calibri" w:cs="Calibri" w:eastAsia="Calibri" w:hAnsi="Calibri"/>
                <w:sz w:val="22"/>
                <w:szCs w:val="22"/>
                <w:color w:val="auto"/>
                <w:vertAlign w:val="superscript"/>
              </w:rPr>
              <w:t>(1)(2)(3)</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3.00%</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2.63%</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2.41%</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2.70%</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2.59%</w:t>
            </w:r>
          </w:p>
        </w:tc>
      </w:tr>
      <w:tr>
        <w:trPr>
          <w:trHeight w:val="255"/>
        </w:trPr>
        <w:tc>
          <w:tcPr>
            <w:tcW w:w="402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Loan portolio quality</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176"/>
        </w:trPr>
        <w:tc>
          <w:tcPr>
            <w:tcW w:w="402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Internal overdue rato</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4.6%</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4.4%</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4.4%</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4.6%</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4.4%</w:t>
            </w:r>
          </w:p>
        </w:tc>
      </w:tr>
      <w:tr>
        <w:trPr>
          <w:trHeight w:val="175"/>
        </w:trPr>
        <w:tc>
          <w:tcPr>
            <w:tcW w:w="402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NPL rato</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6.3%</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6.3%</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6.1%</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6.3%</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6.1%</w:t>
            </w:r>
          </w:p>
        </w:tc>
      </w:tr>
      <w:tr>
        <w:trPr>
          <w:trHeight w:val="175"/>
        </w:trPr>
        <w:tc>
          <w:tcPr>
            <w:tcW w:w="402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Coverage rato of IOLs</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124.5%</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133.2%</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136.2%</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124.5%</w:t>
            </w:r>
          </w:p>
        </w:tc>
        <w:tc>
          <w:tcPr>
            <w:tcW w:w="960" w:type="dxa"/>
            <w:vAlign w:val="bottom"/>
            <w:tcBorders>
              <w:right w:val="single" w:sz="8" w:color="auto"/>
            </w:tcBorders>
          </w:tcPr>
          <w:p>
            <w:pPr>
              <w:jc w:val="center"/>
              <w:ind w:left="92"/>
              <w:spacing w:after="0"/>
              <w:rPr>
                <w:sz w:val="20"/>
                <w:szCs w:val="20"/>
                <w:color w:val="auto"/>
              </w:rPr>
            </w:pPr>
            <w:r>
              <w:rPr>
                <w:rFonts w:ascii="Calibri" w:cs="Calibri" w:eastAsia="Calibri" w:hAnsi="Calibri"/>
                <w:sz w:val="13"/>
                <w:szCs w:val="13"/>
                <w:color w:val="auto"/>
              </w:rPr>
              <w:t>136.2%</w:t>
            </w:r>
          </w:p>
        </w:tc>
      </w:tr>
      <w:tr>
        <w:trPr>
          <w:trHeight w:val="175"/>
        </w:trPr>
        <w:tc>
          <w:tcPr>
            <w:tcW w:w="402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Coverage rato of NPLs</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91.6%</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93.6%</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97.4%</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91.6%</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97.4%</w:t>
            </w:r>
          </w:p>
        </w:tc>
      </w:tr>
      <w:tr>
        <w:trPr>
          <w:trHeight w:val="271"/>
        </w:trPr>
        <w:tc>
          <w:tcPr>
            <w:tcW w:w="402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 xml:space="preserve">Cost of risk </w:t>
            </w:r>
            <w:r>
              <w:rPr>
                <w:rFonts w:ascii="Calibri" w:cs="Calibri" w:eastAsia="Calibri" w:hAnsi="Calibri"/>
                <w:sz w:val="22"/>
                <w:szCs w:val="22"/>
                <w:color w:val="auto"/>
                <w:vertAlign w:val="superscript"/>
              </w:rPr>
              <w:t>(4)</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2.7%</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3.1%</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2.5%</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2.4%</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2.7%</w:t>
            </w:r>
          </w:p>
        </w:tc>
      </w:tr>
      <w:tr>
        <w:trPr>
          <w:trHeight w:val="255"/>
        </w:trPr>
        <w:tc>
          <w:tcPr>
            <w:tcW w:w="402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3"/>
                <w:szCs w:val="13"/>
                <w:b w:val="1"/>
                <w:bCs w:val="1"/>
                <w:color w:val="auto"/>
              </w:rPr>
              <w:t>Operatng efciency</w:t>
            </w: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186"/>
        </w:trPr>
        <w:tc>
          <w:tcPr>
            <w:tcW w:w="4020" w:type="dxa"/>
            <w:vAlign w:val="bottom"/>
            <w:tcBorders>
              <w:left w:val="single" w:sz="8" w:color="auto"/>
              <w:right w:val="single" w:sz="8" w:color="auto"/>
            </w:tcBorders>
          </w:tcPr>
          <w:p>
            <w:pPr>
              <w:ind w:left="180"/>
              <w:spacing w:after="0" w:line="186" w:lineRule="exact"/>
              <w:rPr>
                <w:sz w:val="20"/>
                <w:szCs w:val="20"/>
                <w:color w:val="auto"/>
              </w:rPr>
            </w:pPr>
            <w:r>
              <w:rPr>
                <w:rFonts w:ascii="Calibri" w:cs="Calibri" w:eastAsia="Calibri" w:hAnsi="Calibri"/>
                <w:sz w:val="12"/>
                <w:szCs w:val="12"/>
                <w:color w:val="auto"/>
              </w:rPr>
              <w:t xml:space="preserve">Operatng expenses / Total income </w:t>
            </w:r>
            <w:r>
              <w:rPr>
                <w:rFonts w:ascii="Calibri" w:cs="Calibri" w:eastAsia="Calibri" w:hAnsi="Calibri"/>
                <w:sz w:val="20"/>
                <w:szCs w:val="20"/>
                <w:color w:val="auto"/>
                <w:vertAlign w:val="superscript"/>
              </w:rPr>
              <w:t>(5)</w:t>
            </w:r>
          </w:p>
        </w:tc>
        <w:tc>
          <w:tcPr>
            <w:tcW w:w="740" w:type="dxa"/>
            <w:vAlign w:val="bottom"/>
          </w:tcPr>
          <w:p>
            <w:pPr>
              <w:jc w:val="center"/>
              <w:spacing w:after="0"/>
              <w:rPr>
                <w:sz w:val="20"/>
                <w:szCs w:val="20"/>
                <w:color w:val="auto"/>
              </w:rPr>
            </w:pPr>
            <w:r>
              <w:rPr>
                <w:rFonts w:ascii="Calibri" w:cs="Calibri" w:eastAsia="Calibri" w:hAnsi="Calibri"/>
                <w:sz w:val="13"/>
                <w:szCs w:val="13"/>
                <w:color w:val="auto"/>
              </w:rPr>
              <w:t>41.0%</w:t>
            </w:r>
          </w:p>
        </w:tc>
        <w:tc>
          <w:tcPr>
            <w:tcW w:w="800" w:type="dxa"/>
            <w:vAlign w:val="bottom"/>
          </w:tcPr>
          <w:p>
            <w:pPr>
              <w:jc w:val="center"/>
              <w:spacing w:after="0"/>
              <w:rPr>
                <w:sz w:val="20"/>
                <w:szCs w:val="20"/>
                <w:color w:val="auto"/>
              </w:rPr>
            </w:pPr>
            <w:r>
              <w:rPr>
                <w:rFonts w:ascii="Calibri" w:cs="Calibri" w:eastAsia="Calibri" w:hAnsi="Calibri"/>
                <w:sz w:val="13"/>
                <w:szCs w:val="13"/>
                <w:color w:val="auto"/>
              </w:rPr>
              <w:t>39.9%</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39.8%</w:t>
            </w:r>
          </w:p>
        </w:tc>
        <w:tc>
          <w:tcPr>
            <w:tcW w:w="580" w:type="dxa"/>
            <w:vAlign w:val="bottom"/>
          </w:tcPr>
          <w:p>
            <w:pPr>
              <w:jc w:val="center"/>
              <w:ind w:left="92"/>
              <w:spacing w:after="0"/>
              <w:rPr>
                <w:sz w:val="20"/>
                <w:szCs w:val="20"/>
                <w:color w:val="auto"/>
              </w:rPr>
            </w:pPr>
            <w:r>
              <w:rPr>
                <w:rFonts w:ascii="Calibri" w:cs="Calibri" w:eastAsia="Calibri" w:hAnsi="Calibri"/>
                <w:sz w:val="13"/>
                <w:szCs w:val="13"/>
                <w:color w:val="auto"/>
              </w:rPr>
              <w:t>39.9%</w:t>
            </w:r>
          </w:p>
        </w:tc>
        <w:tc>
          <w:tcPr>
            <w:tcW w:w="960" w:type="dxa"/>
            <w:vAlign w:val="bottom"/>
            <w:tcBorders>
              <w:right w:val="single" w:sz="8" w:color="auto"/>
            </w:tcBorders>
          </w:tcPr>
          <w:p>
            <w:pPr>
              <w:jc w:val="center"/>
              <w:ind w:left="72"/>
              <w:spacing w:after="0"/>
              <w:rPr>
                <w:sz w:val="20"/>
                <w:szCs w:val="20"/>
                <w:color w:val="auto"/>
              </w:rPr>
            </w:pPr>
            <w:r>
              <w:rPr>
                <w:rFonts w:ascii="Calibri" w:cs="Calibri" w:eastAsia="Calibri" w:hAnsi="Calibri"/>
                <w:sz w:val="13"/>
                <w:szCs w:val="13"/>
                <w:color w:val="auto"/>
              </w:rPr>
              <w:t>39.4%</w:t>
            </w:r>
          </w:p>
        </w:tc>
      </w:tr>
      <w:tr>
        <w:trPr>
          <w:trHeight w:val="187"/>
        </w:trPr>
        <w:tc>
          <w:tcPr>
            <w:tcW w:w="4020" w:type="dxa"/>
            <w:vAlign w:val="bottom"/>
            <w:tcBorders>
              <w:left w:val="single" w:sz="8" w:color="auto"/>
              <w:bottom w:val="single" w:sz="8" w:color="auto"/>
              <w:right w:val="single" w:sz="8" w:color="auto"/>
            </w:tcBorders>
          </w:tcPr>
          <w:p>
            <w:pPr>
              <w:ind w:left="180"/>
              <w:spacing w:after="0" w:line="188" w:lineRule="exact"/>
              <w:rPr>
                <w:sz w:val="20"/>
                <w:szCs w:val="20"/>
                <w:color w:val="auto"/>
              </w:rPr>
            </w:pPr>
            <w:r>
              <w:rPr>
                <w:rFonts w:ascii="Calibri" w:cs="Calibri" w:eastAsia="Calibri" w:hAnsi="Calibri"/>
                <w:sz w:val="12"/>
                <w:szCs w:val="12"/>
                <w:color w:val="auto"/>
              </w:rPr>
              <w:t xml:space="preserve">Operatng expenses / Total average assets </w:t>
            </w:r>
            <w:r>
              <w:rPr>
                <w:rFonts w:ascii="Calibri" w:cs="Calibri" w:eastAsia="Calibri" w:hAnsi="Calibri"/>
                <w:sz w:val="20"/>
                <w:szCs w:val="20"/>
                <w:color w:val="auto"/>
                <w:vertAlign w:val="superscript"/>
              </w:rPr>
              <w:t>(1)(2)(5)</w:t>
            </w:r>
          </w:p>
        </w:tc>
        <w:tc>
          <w:tcPr>
            <w:tcW w:w="74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3.4%</w:t>
            </w:r>
          </w:p>
        </w:tc>
        <w:tc>
          <w:tcPr>
            <w:tcW w:w="8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color w:val="auto"/>
              </w:rPr>
              <w:t>3.5%</w:t>
            </w:r>
          </w:p>
        </w:tc>
        <w:tc>
          <w:tcPr>
            <w:tcW w:w="7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color w:val="auto"/>
              </w:rPr>
              <w:t>3.5%</w:t>
            </w:r>
          </w:p>
        </w:tc>
        <w:tc>
          <w:tcPr>
            <w:tcW w:w="580" w:type="dxa"/>
            <w:vAlign w:val="bottom"/>
            <w:tcBorders>
              <w:bottom w:val="single" w:sz="8" w:color="auto"/>
            </w:tcBorders>
          </w:tcPr>
          <w:p>
            <w:pPr>
              <w:jc w:val="center"/>
              <w:ind w:left="92"/>
              <w:spacing w:after="0"/>
              <w:rPr>
                <w:sz w:val="20"/>
                <w:szCs w:val="20"/>
                <w:color w:val="auto"/>
              </w:rPr>
            </w:pPr>
            <w:r>
              <w:rPr>
                <w:rFonts w:ascii="Calibri" w:cs="Calibri" w:eastAsia="Calibri" w:hAnsi="Calibri"/>
                <w:sz w:val="13"/>
                <w:szCs w:val="13"/>
                <w:color w:val="auto"/>
              </w:rPr>
              <w:t>3.3%</w:t>
            </w:r>
          </w:p>
        </w:tc>
        <w:tc>
          <w:tcPr>
            <w:tcW w:w="960" w:type="dxa"/>
            <w:vAlign w:val="bottom"/>
            <w:tcBorders>
              <w:bottom w:val="single" w:sz="8" w:color="auto"/>
              <w:right w:val="single" w:sz="8" w:color="auto"/>
            </w:tcBorders>
          </w:tcPr>
          <w:p>
            <w:pPr>
              <w:jc w:val="center"/>
              <w:ind w:left="72"/>
              <w:spacing w:after="0"/>
              <w:rPr>
                <w:sz w:val="20"/>
                <w:szCs w:val="20"/>
                <w:color w:val="auto"/>
              </w:rPr>
            </w:pPr>
            <w:r>
              <w:rPr>
                <w:rFonts w:ascii="Calibri" w:cs="Calibri" w:eastAsia="Calibri" w:hAnsi="Calibri"/>
                <w:sz w:val="13"/>
                <w:szCs w:val="13"/>
                <w:color w:val="auto"/>
              </w:rPr>
              <w:t>3.5%</w:t>
            </w:r>
          </w:p>
        </w:tc>
      </w:tr>
    </w:tbl>
    <w:p>
      <w:pPr>
        <w:spacing w:after="0" w:line="192" w:lineRule="exact"/>
        <w:rPr>
          <w:sz w:val="20"/>
          <w:szCs w:val="20"/>
          <w:color w:val="auto"/>
        </w:rPr>
      </w:pPr>
    </w:p>
    <w:p>
      <w:pPr>
        <w:ind w:left="180" w:hanging="172"/>
        <w:spacing w:after="0"/>
        <w:tabs>
          <w:tab w:leader="none" w:pos="180" w:val="left"/>
        </w:tabs>
        <w:numPr>
          <w:ilvl w:val="0"/>
          <w:numId w:val="61"/>
        </w:numPr>
        <w:rPr>
          <w:rFonts w:ascii="Calibri" w:cs="Calibri" w:eastAsia="Calibri" w:hAnsi="Calibri"/>
          <w:sz w:val="12"/>
          <w:szCs w:val="12"/>
          <w:color w:val="auto"/>
        </w:rPr>
      </w:pPr>
      <w:r>
        <w:rPr>
          <w:rFonts w:ascii="Calibri" w:cs="Calibri" w:eastAsia="Calibri" w:hAnsi="Calibri"/>
          <w:sz w:val="12"/>
          <w:szCs w:val="12"/>
          <w:color w:val="auto"/>
        </w:rPr>
        <w:t>Ratos are annualized.</w:t>
      </w:r>
    </w:p>
    <w:p>
      <w:pPr>
        <w:ind w:left="180" w:hanging="172"/>
        <w:spacing w:after="0" w:line="221" w:lineRule="auto"/>
        <w:tabs>
          <w:tab w:leader="none" w:pos="180" w:val="left"/>
        </w:tabs>
        <w:numPr>
          <w:ilvl w:val="0"/>
          <w:numId w:val="61"/>
        </w:numPr>
        <w:rPr>
          <w:rFonts w:ascii="Calibri" w:cs="Calibri" w:eastAsia="Calibri" w:hAnsi="Calibri"/>
          <w:sz w:val="12"/>
          <w:szCs w:val="12"/>
          <w:color w:val="auto"/>
        </w:rPr>
      </w:pPr>
      <w:r>
        <w:rPr>
          <w:rFonts w:ascii="Calibri" w:cs="Calibri" w:eastAsia="Calibri" w:hAnsi="Calibri"/>
          <w:sz w:val="12"/>
          <w:szCs w:val="12"/>
          <w:color w:val="auto"/>
        </w:rPr>
        <w:t>Averages are determined as the average of period-beginning and period-ending balances.</w:t>
      </w:r>
    </w:p>
    <w:p>
      <w:pPr>
        <w:ind w:left="180" w:right="200" w:hanging="172"/>
        <w:spacing w:after="0" w:line="221" w:lineRule="auto"/>
        <w:tabs>
          <w:tab w:leader="none" w:pos="180" w:val="left"/>
        </w:tabs>
        <w:numPr>
          <w:ilvl w:val="0"/>
          <w:numId w:val="61"/>
        </w:numPr>
        <w:rPr>
          <w:rFonts w:ascii="Calibri" w:cs="Calibri" w:eastAsia="Calibri" w:hAnsi="Calibri"/>
          <w:sz w:val="12"/>
          <w:szCs w:val="12"/>
          <w:color w:val="auto"/>
        </w:rPr>
      </w:pPr>
      <w:r>
        <w:rPr>
          <w:rFonts w:ascii="Calibri" w:cs="Calibri" w:eastAsia="Calibri" w:hAnsi="Calibri"/>
          <w:sz w:val="12"/>
          <w:szCs w:val="12"/>
          <w:color w:val="auto"/>
        </w:rPr>
        <w:t>The funding costs difers from previously reported due to a methodology change in the denominator, which no longer includes the following accounts: acceptances outstanding, reserves for property and casualty claims, reserve for unearned premiums, reinsurance payable and other liabilites.</w:t>
      </w:r>
    </w:p>
    <w:p>
      <w:pPr>
        <w:ind w:left="180" w:hanging="172"/>
        <w:spacing w:after="0" w:line="221" w:lineRule="auto"/>
        <w:tabs>
          <w:tab w:leader="none" w:pos="180" w:val="left"/>
        </w:tabs>
        <w:numPr>
          <w:ilvl w:val="0"/>
          <w:numId w:val="61"/>
        </w:numPr>
        <w:rPr>
          <w:rFonts w:ascii="Calibri" w:cs="Calibri" w:eastAsia="Calibri" w:hAnsi="Calibri"/>
          <w:sz w:val="12"/>
          <w:szCs w:val="12"/>
          <w:color w:val="auto"/>
        </w:rPr>
      </w:pPr>
      <w:r>
        <w:rPr>
          <w:rFonts w:ascii="Calibri" w:cs="Calibri" w:eastAsia="Calibri" w:hAnsi="Calibri"/>
          <w:sz w:val="12"/>
          <w:szCs w:val="12"/>
          <w:color w:val="auto"/>
        </w:rPr>
        <w:t>Cost of risk: Annualized provision for loan losses / Total loans.</w:t>
      </w:r>
    </w:p>
    <w:p>
      <w:pPr>
        <w:ind w:left="180" w:right="260" w:hanging="172"/>
        <w:spacing w:after="0" w:line="221" w:lineRule="auto"/>
        <w:tabs>
          <w:tab w:leader="none" w:pos="180" w:val="left"/>
        </w:tabs>
        <w:numPr>
          <w:ilvl w:val="0"/>
          <w:numId w:val="61"/>
        </w:numPr>
        <w:rPr>
          <w:rFonts w:ascii="Calibri" w:cs="Calibri" w:eastAsia="Calibri" w:hAnsi="Calibri"/>
          <w:sz w:val="12"/>
          <w:szCs w:val="12"/>
          <w:color w:val="auto"/>
        </w:rPr>
      </w:pPr>
      <w:r>
        <w:rPr>
          <w:rFonts w:ascii="Calibri" w:cs="Calibri" w:eastAsia="Calibri" w:hAnsi="Calibri"/>
          <w:sz w:val="12"/>
          <w:szCs w:val="12"/>
          <w:color w:val="auto"/>
        </w:rPr>
        <w:t>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200" w:lineRule="exact"/>
        <w:rPr>
          <w:sz w:val="20"/>
          <w:szCs w:val="20"/>
          <w:color w:val="auto"/>
        </w:rPr>
      </w:pPr>
    </w:p>
    <w:p>
      <w:pPr>
        <w:spacing w:after="0" w:line="23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12.6.4. BCP Stand-alone</w:t>
      </w: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spacing w:after="0" w:line="2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22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1140" w:type="dxa"/>
            <w:vAlign w:val="bottom"/>
            <w:tcBorders>
              <w:top w:val="single" w:sz="8" w:color="auto"/>
            </w:tcBorders>
            <w:shd w:val="clear" w:color="auto" w:fill="33CCCC"/>
          </w:tcPr>
          <w:p>
            <w:pPr>
              <w:spacing w:after="0"/>
              <w:rPr>
                <w:sz w:val="15"/>
                <w:szCs w:val="15"/>
                <w:color w:val="auto"/>
              </w:rPr>
            </w:pPr>
          </w:p>
        </w:tc>
        <w:tc>
          <w:tcPr>
            <w:tcW w:w="1020" w:type="dxa"/>
            <w:vAlign w:val="bottom"/>
            <w:tcBorders>
              <w:top w:val="single" w:sz="8" w:color="auto"/>
            </w:tcBorders>
            <w:shd w:val="clear" w:color="auto" w:fill="33CCCC"/>
          </w:tcPr>
          <w:p>
            <w:pPr>
              <w:jc w:val="right"/>
              <w:ind w:right="457"/>
              <w:spacing w:after="0"/>
              <w:rPr>
                <w:sz w:val="20"/>
                <w:szCs w:val="20"/>
                <w:color w:val="auto"/>
              </w:rPr>
            </w:pPr>
            <w:r>
              <w:rPr>
                <w:rFonts w:ascii="Calibri" w:cs="Calibri" w:eastAsia="Calibri" w:hAnsi="Calibri"/>
                <w:sz w:val="14"/>
                <w:szCs w:val="14"/>
                <w:color w:val="FFFFFF"/>
              </w:rPr>
              <w:t>As of</w:t>
            </w:r>
          </w:p>
        </w:tc>
        <w:tc>
          <w:tcPr>
            <w:tcW w:w="860" w:type="dxa"/>
            <w:vAlign w:val="bottom"/>
            <w:tcBorders>
              <w:top w:val="single" w:sz="8" w:color="auto"/>
              <w:right w:val="single" w:sz="8" w:color="auto"/>
            </w:tcBorders>
            <w:shd w:val="clear" w:color="auto" w:fill="33CCCC"/>
          </w:tcPr>
          <w:p>
            <w:pPr>
              <w:spacing w:after="0"/>
              <w:rPr>
                <w:sz w:val="15"/>
                <w:szCs w:val="15"/>
                <w:color w:val="auto"/>
              </w:rPr>
            </w:pPr>
          </w:p>
        </w:tc>
        <w:tc>
          <w:tcPr>
            <w:tcW w:w="700" w:type="dxa"/>
            <w:vAlign w:val="bottom"/>
            <w:tcBorders>
              <w:top w:val="single" w:sz="8" w:color="auto"/>
            </w:tcBorders>
            <w:shd w:val="clear" w:color="auto" w:fill="33CCCC"/>
          </w:tcPr>
          <w:p>
            <w:pPr>
              <w:spacing w:after="0"/>
              <w:rPr>
                <w:sz w:val="15"/>
                <w:szCs w:val="15"/>
                <w:color w:val="auto"/>
              </w:rPr>
            </w:pPr>
          </w:p>
        </w:tc>
        <w:tc>
          <w:tcPr>
            <w:tcW w:w="130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color w:val="FFFFFF"/>
              </w:rPr>
              <w:t>% change</w:t>
            </w:r>
          </w:p>
        </w:tc>
      </w:tr>
      <w:tr>
        <w:trPr>
          <w:trHeight w:val="176"/>
        </w:trPr>
        <w:tc>
          <w:tcPr>
            <w:tcW w:w="6220" w:type="dxa"/>
            <w:vAlign w:val="bottom"/>
            <w:tcBorders>
              <w:left w:val="single" w:sz="8" w:color="auto"/>
              <w:bottom w:val="single" w:sz="8" w:color="auto"/>
              <w:right w:val="single" w:sz="8" w:color="auto"/>
            </w:tcBorders>
            <w:shd w:val="clear" w:color="auto" w:fill="33CCCC"/>
          </w:tcPr>
          <w:p>
            <w:pPr>
              <w:spacing w:after="0"/>
              <w:rPr>
                <w:sz w:val="15"/>
                <w:szCs w:val="15"/>
                <w:color w:val="auto"/>
              </w:rPr>
            </w:pPr>
          </w:p>
        </w:tc>
        <w:tc>
          <w:tcPr>
            <w:tcW w:w="1140" w:type="dxa"/>
            <w:vAlign w:val="bottom"/>
            <w:tcBorders>
              <w:bottom w:val="single" w:sz="8" w:color="auto"/>
            </w:tcBorders>
            <w:shd w:val="clear" w:color="auto" w:fill="33CCCC"/>
          </w:tcPr>
          <w:p>
            <w:pPr>
              <w:jc w:val="right"/>
              <w:ind w:right="397"/>
              <w:spacing w:after="0"/>
              <w:rPr>
                <w:sz w:val="20"/>
                <w:szCs w:val="20"/>
                <w:color w:val="auto"/>
              </w:rPr>
            </w:pPr>
            <w:r>
              <w:rPr>
                <w:rFonts w:ascii="Calibri" w:cs="Calibri" w:eastAsia="Calibri" w:hAnsi="Calibri"/>
                <w:sz w:val="14"/>
                <w:szCs w:val="14"/>
                <w:color w:val="FFFFFF"/>
              </w:rPr>
              <w:t>Sep 23</w:t>
            </w:r>
          </w:p>
        </w:tc>
        <w:tc>
          <w:tcPr>
            <w:tcW w:w="1020" w:type="dxa"/>
            <w:vAlign w:val="bottom"/>
            <w:tcBorders>
              <w:bottom w:val="single" w:sz="8" w:color="auto"/>
            </w:tcBorders>
            <w:shd w:val="clear" w:color="auto" w:fill="33CCCC"/>
          </w:tcPr>
          <w:p>
            <w:pPr>
              <w:jc w:val="right"/>
              <w:ind w:right="417"/>
              <w:spacing w:after="0"/>
              <w:rPr>
                <w:sz w:val="20"/>
                <w:szCs w:val="20"/>
                <w:color w:val="auto"/>
              </w:rPr>
            </w:pPr>
            <w:r>
              <w:rPr>
                <w:rFonts w:ascii="Calibri" w:cs="Calibri" w:eastAsia="Calibri" w:hAnsi="Calibri"/>
                <w:sz w:val="14"/>
                <w:szCs w:val="14"/>
                <w:color w:val="FFFFFF"/>
              </w:rPr>
              <w:t>Jun 24</w:t>
            </w:r>
          </w:p>
        </w:tc>
        <w:tc>
          <w:tcPr>
            <w:tcW w:w="860" w:type="dxa"/>
            <w:vAlign w:val="bottom"/>
            <w:tcBorders>
              <w:bottom w:val="single" w:sz="8" w:color="auto"/>
              <w:right w:val="single" w:sz="8" w:color="auto"/>
            </w:tcBorders>
            <w:shd w:val="clear" w:color="auto" w:fill="33CCCC"/>
          </w:tcPr>
          <w:p>
            <w:pPr>
              <w:jc w:val="right"/>
              <w:ind w:right="257"/>
              <w:spacing w:after="0"/>
              <w:rPr>
                <w:sz w:val="20"/>
                <w:szCs w:val="20"/>
                <w:color w:val="auto"/>
              </w:rPr>
            </w:pPr>
            <w:r>
              <w:rPr>
                <w:rFonts w:ascii="Calibri" w:cs="Calibri" w:eastAsia="Calibri" w:hAnsi="Calibri"/>
                <w:sz w:val="14"/>
                <w:szCs w:val="14"/>
                <w:color w:val="FFFFFF"/>
              </w:rPr>
              <w:t>Sep 24</w:t>
            </w:r>
          </w:p>
        </w:tc>
        <w:tc>
          <w:tcPr>
            <w:tcW w:w="700" w:type="dxa"/>
            <w:vAlign w:val="bottom"/>
            <w:tcBorders>
              <w:bottom w:val="single" w:sz="8" w:color="auto"/>
            </w:tcBorders>
            <w:shd w:val="clear" w:color="auto" w:fill="33CCCC"/>
          </w:tcPr>
          <w:p>
            <w:pPr>
              <w:jc w:val="center"/>
              <w:ind w:left="217"/>
              <w:spacing w:after="0"/>
              <w:rPr>
                <w:sz w:val="20"/>
                <w:szCs w:val="20"/>
                <w:color w:val="auto"/>
              </w:rPr>
            </w:pPr>
            <w:r>
              <w:rPr>
                <w:rFonts w:ascii="Calibri" w:cs="Calibri" w:eastAsia="Calibri" w:hAnsi="Calibri"/>
                <w:sz w:val="14"/>
                <w:szCs w:val="14"/>
                <w:color w:val="FFFFFF"/>
                <w:w w:val="98"/>
              </w:rPr>
              <w:t>QoQ</w:t>
            </w:r>
          </w:p>
        </w:tc>
        <w:tc>
          <w:tcPr>
            <w:tcW w:w="1300" w:type="dxa"/>
            <w:vAlign w:val="bottom"/>
            <w:tcBorders>
              <w:bottom w:val="single" w:sz="8" w:color="auto"/>
              <w:right w:val="single" w:sz="8" w:color="auto"/>
            </w:tcBorders>
            <w:shd w:val="clear" w:color="auto" w:fill="33CCCC"/>
          </w:tcPr>
          <w:p>
            <w:pPr>
              <w:ind w:left="680"/>
              <w:spacing w:after="0"/>
              <w:rPr>
                <w:sz w:val="20"/>
                <w:szCs w:val="20"/>
                <w:color w:val="auto"/>
              </w:rPr>
            </w:pPr>
            <w:r>
              <w:rPr>
                <w:rFonts w:ascii="Calibri" w:cs="Calibri" w:eastAsia="Calibri" w:hAnsi="Calibri"/>
                <w:sz w:val="14"/>
                <w:szCs w:val="14"/>
                <w:color w:val="FFFFFF"/>
              </w:rPr>
              <w:t>YoY</w:t>
            </w:r>
          </w:p>
        </w:tc>
      </w:tr>
      <w:tr>
        <w:trPr>
          <w:trHeight w:val="137"/>
        </w:trPr>
        <w:tc>
          <w:tcPr>
            <w:tcW w:w="6220" w:type="dxa"/>
            <w:vAlign w:val="bottom"/>
            <w:tcBorders>
              <w:left w:val="single" w:sz="8" w:color="auto"/>
              <w:right w:val="single" w:sz="8" w:color="auto"/>
            </w:tcBorders>
          </w:tcPr>
          <w:p>
            <w:pPr>
              <w:ind w:left="20"/>
              <w:spacing w:after="0" w:line="137" w:lineRule="exact"/>
              <w:rPr>
                <w:sz w:val="20"/>
                <w:szCs w:val="20"/>
                <w:color w:val="auto"/>
              </w:rPr>
            </w:pPr>
            <w:r>
              <w:rPr>
                <w:rFonts w:ascii="Calibri" w:cs="Calibri" w:eastAsia="Calibri" w:hAnsi="Calibri"/>
                <w:sz w:val="13"/>
                <w:szCs w:val="13"/>
                <w:b w:val="1"/>
                <w:bCs w:val="1"/>
                <w:color w:val="auto"/>
              </w:rPr>
              <w:t>ASSETS</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Cash and due from banks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Non-interest bearing</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5,281,567</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4,832,098</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4,561,696</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4"/>
              </w:rPr>
              <w:t>-5.6%</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w w:val="93"/>
              </w:rPr>
              <w:t>-13.6%</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Interest bearing</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23,133,255</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25,834,580</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35,307,925</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8"/>
              </w:rPr>
              <w:t>36.7%</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w w:val="92"/>
              </w:rPr>
              <w:t>52.6%</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Total cash and due from banks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28,414,822</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30,666,678</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39,869,621</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b w:val="1"/>
                <w:bCs w:val="1"/>
                <w:color w:val="auto"/>
                <w:w w:val="97"/>
              </w:rPr>
              <w:t>30.0%</w:t>
            </w:r>
          </w:p>
        </w:tc>
        <w:tc>
          <w:tcPr>
            <w:tcW w:w="1300" w:type="dxa"/>
            <w:vAlign w:val="bottom"/>
            <w:tcBorders>
              <w:right w:val="single" w:sz="8" w:color="auto"/>
            </w:tcBorders>
          </w:tcPr>
          <w:p>
            <w:pPr>
              <w:jc w:val="center"/>
              <w:ind w:left="197"/>
              <w:spacing w:after="0" w:line="149" w:lineRule="exact"/>
              <w:rPr>
                <w:sz w:val="20"/>
                <w:szCs w:val="20"/>
                <w:color w:val="auto"/>
              </w:rPr>
            </w:pPr>
            <w:r>
              <w:rPr>
                <w:rFonts w:ascii="Calibri" w:cs="Calibri" w:eastAsia="Calibri" w:hAnsi="Calibri"/>
                <w:sz w:val="13"/>
                <w:szCs w:val="13"/>
                <w:b w:val="1"/>
                <w:bCs w:val="1"/>
                <w:color w:val="auto"/>
                <w:w w:val="97"/>
              </w:rPr>
              <w:t>40.3%</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Cash collateral, reverse repurchase agreements and securites borrowing</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207,284</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839,649</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622,399</w:t>
            </w:r>
          </w:p>
        </w:tc>
        <w:tc>
          <w:tcPr>
            <w:tcW w:w="700" w:type="dxa"/>
            <w:vAlign w:val="bottom"/>
          </w:tcPr>
          <w:p>
            <w:pPr>
              <w:jc w:val="center"/>
              <w:ind w:left="237"/>
              <w:spacing w:after="0"/>
              <w:rPr>
                <w:sz w:val="20"/>
                <w:szCs w:val="20"/>
                <w:color w:val="auto"/>
              </w:rPr>
            </w:pPr>
            <w:r>
              <w:rPr>
                <w:rFonts w:ascii="Calibri" w:cs="Calibri" w:eastAsia="Calibri" w:hAnsi="Calibri"/>
                <w:sz w:val="13"/>
                <w:szCs w:val="13"/>
                <w:b w:val="1"/>
                <w:bCs w:val="1"/>
                <w:color w:val="auto"/>
                <w:w w:val="97"/>
              </w:rPr>
              <w:t>-25.9%</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b w:val="1"/>
                <w:bCs w:val="1"/>
                <w:color w:val="auto"/>
                <w:w w:val="96"/>
              </w:rPr>
              <w:t>200.3%</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Fair value through proft or loss investments</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1,229,265</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439,004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704,968</w:t>
            </w:r>
          </w:p>
        </w:tc>
        <w:tc>
          <w:tcPr>
            <w:tcW w:w="700" w:type="dxa"/>
            <w:vAlign w:val="bottom"/>
          </w:tcPr>
          <w:p>
            <w:pPr>
              <w:jc w:val="center"/>
              <w:ind w:left="237"/>
              <w:spacing w:after="0"/>
              <w:rPr>
                <w:sz w:val="20"/>
                <w:szCs w:val="20"/>
                <w:color w:val="auto"/>
              </w:rPr>
            </w:pPr>
            <w:r>
              <w:rPr>
                <w:rFonts w:ascii="Calibri" w:cs="Calibri" w:eastAsia="Calibri" w:hAnsi="Calibri"/>
                <w:sz w:val="13"/>
                <w:szCs w:val="13"/>
                <w:b w:val="1"/>
                <w:bCs w:val="1"/>
                <w:color w:val="auto"/>
                <w:w w:val="97"/>
              </w:rPr>
              <w:t>60.6%</w:t>
            </w:r>
          </w:p>
        </w:tc>
        <w:tc>
          <w:tcPr>
            <w:tcW w:w="130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b w:val="1"/>
                <w:bCs w:val="1"/>
                <w:color w:val="auto"/>
                <w:w w:val="97"/>
              </w:rPr>
              <w:t>-42.7%</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Fair value through other comprehensive income investments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18,068,208</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19,504,805</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19,855,738</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1.8%</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9.9%</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Amortzed cost investments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9,310,033</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8,258,140</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8,116,588</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-1.7%</w:t>
            </w:r>
          </w:p>
        </w:tc>
        <w:tc>
          <w:tcPr>
            <w:tcW w:w="1300" w:type="dxa"/>
            <w:vAlign w:val="bottom"/>
            <w:tcBorders>
              <w:right w:val="single" w:sz="8" w:color="auto"/>
            </w:tcBorders>
          </w:tcPr>
          <w:p>
            <w:pPr>
              <w:jc w:val="center"/>
              <w:ind w:left="197"/>
              <w:spacing w:after="0" w:line="149" w:lineRule="exact"/>
              <w:rPr>
                <w:sz w:val="20"/>
                <w:szCs w:val="20"/>
                <w:color w:val="auto"/>
              </w:rPr>
            </w:pPr>
            <w:r>
              <w:rPr>
                <w:rFonts w:ascii="Calibri" w:cs="Calibri" w:eastAsia="Calibri" w:hAnsi="Calibri"/>
                <w:sz w:val="13"/>
                <w:szCs w:val="13"/>
                <w:b w:val="1"/>
                <w:bCs w:val="1"/>
                <w:color w:val="auto"/>
                <w:w w:val="97"/>
              </w:rPr>
              <w:t>-12.8%</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Loans</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119,635,051</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121,055,851</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117,687,023</w:t>
            </w:r>
          </w:p>
        </w:tc>
        <w:tc>
          <w:tcPr>
            <w:tcW w:w="700" w:type="dxa"/>
            <w:vAlign w:val="bottom"/>
          </w:tcPr>
          <w:p>
            <w:pPr>
              <w:jc w:val="center"/>
              <w:ind w:left="217"/>
              <w:spacing w:after="0"/>
              <w:rPr>
                <w:sz w:val="20"/>
                <w:szCs w:val="20"/>
                <w:color w:val="auto"/>
              </w:rPr>
            </w:pPr>
            <w:r>
              <w:rPr>
                <w:rFonts w:ascii="Calibri" w:cs="Calibri" w:eastAsia="Calibri" w:hAnsi="Calibri"/>
                <w:sz w:val="13"/>
                <w:szCs w:val="13"/>
                <w:b w:val="1"/>
                <w:bCs w:val="1"/>
                <w:color w:val="auto"/>
                <w:w w:val="99"/>
              </w:rPr>
              <w:t>-2.8%</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b w:val="1"/>
                <w:bCs w:val="1"/>
                <w:color w:val="auto"/>
                <w:w w:val="99"/>
              </w:rPr>
              <w:t>-1.6%</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Current</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114,403,780</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116,139,749</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112,874,488</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4"/>
              </w:rPr>
              <w:t>-2.8%</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-1.3%</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Internal overdue loans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5,231,271</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4,916,102</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4,812,535</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4"/>
              </w:rPr>
              <w:t>-2.1%</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-8.0%</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Less - allowance for loan losses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(6,534,389)</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(6,809,141)</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(6,768,497)</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4"/>
              </w:rPr>
              <w:t>-0.6%</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3.6%</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Loans, net</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113,100,662</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114,246,710</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110,918,526</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-2.9%</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-1.9%</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 xml:space="preserve">Property, furniture and equipment, net </w:t>
            </w:r>
            <w:r>
              <w:rPr>
                <w:rFonts w:ascii="Calibri" w:cs="Calibri" w:eastAsia="Calibri" w:hAnsi="Calibri"/>
                <w:sz w:val="20"/>
                <w:szCs w:val="20"/>
                <w:b w:val="1"/>
                <w:bCs w:val="1"/>
                <w:color w:val="auto"/>
                <w:vertAlign w:val="superscript"/>
              </w:rPr>
              <w:t>(1)</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1,213,395</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1,250,424</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1,246,350</w:t>
            </w:r>
          </w:p>
        </w:tc>
        <w:tc>
          <w:tcPr>
            <w:tcW w:w="700" w:type="dxa"/>
            <w:vAlign w:val="bottom"/>
          </w:tcPr>
          <w:p>
            <w:pPr>
              <w:jc w:val="center"/>
              <w:ind w:left="217"/>
              <w:spacing w:after="0"/>
              <w:rPr>
                <w:sz w:val="20"/>
                <w:szCs w:val="20"/>
                <w:color w:val="auto"/>
              </w:rPr>
            </w:pPr>
            <w:r>
              <w:rPr>
                <w:rFonts w:ascii="Calibri" w:cs="Calibri" w:eastAsia="Calibri" w:hAnsi="Calibri"/>
                <w:sz w:val="13"/>
                <w:szCs w:val="13"/>
                <w:b w:val="1"/>
                <w:bCs w:val="1"/>
                <w:color w:val="auto"/>
                <w:w w:val="99"/>
              </w:rPr>
              <w:t>-0.3%</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b w:val="1"/>
                <w:bCs w:val="1"/>
                <w:color w:val="auto"/>
                <w:w w:val="99"/>
              </w:rPr>
              <w:t>2.7%</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Due from customers on acceptances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325,771</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473,382</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466,957</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-1.4%</w:t>
            </w:r>
          </w:p>
        </w:tc>
        <w:tc>
          <w:tcPr>
            <w:tcW w:w="1300" w:type="dxa"/>
            <w:vAlign w:val="bottom"/>
            <w:tcBorders>
              <w:right w:val="single" w:sz="8" w:color="auto"/>
            </w:tcBorders>
          </w:tcPr>
          <w:p>
            <w:pPr>
              <w:jc w:val="center"/>
              <w:ind w:left="197"/>
              <w:spacing w:after="0" w:line="149" w:lineRule="exact"/>
              <w:rPr>
                <w:sz w:val="20"/>
                <w:szCs w:val="20"/>
                <w:color w:val="auto"/>
              </w:rPr>
            </w:pPr>
            <w:r>
              <w:rPr>
                <w:rFonts w:ascii="Calibri" w:cs="Calibri" w:eastAsia="Calibri" w:hAnsi="Calibri"/>
                <w:sz w:val="13"/>
                <w:szCs w:val="13"/>
                <w:b w:val="1"/>
                <w:bCs w:val="1"/>
                <w:color w:val="auto"/>
                <w:w w:val="97"/>
              </w:rPr>
              <w:t>43.3%</w:t>
            </w:r>
          </w:p>
        </w:tc>
      </w:tr>
      <w:tr>
        <w:trPr>
          <w:trHeight w:val="141"/>
        </w:trPr>
        <w:tc>
          <w:tcPr>
            <w:tcW w:w="6220" w:type="dxa"/>
            <w:vAlign w:val="bottom"/>
            <w:tcBorders>
              <w:left w:val="single" w:sz="8" w:color="auto"/>
              <w:right w:val="single" w:sz="8" w:color="auto"/>
            </w:tcBorders>
          </w:tcPr>
          <w:p>
            <w:pPr>
              <w:ind w:left="20"/>
              <w:spacing w:after="0" w:line="141" w:lineRule="exact"/>
              <w:rPr>
                <w:sz w:val="20"/>
                <w:szCs w:val="20"/>
                <w:color w:val="auto"/>
              </w:rPr>
            </w:pPr>
            <w:r>
              <w:rPr>
                <w:rFonts w:ascii="Calibri" w:cs="Calibri" w:eastAsia="Calibri" w:hAnsi="Calibri"/>
                <w:sz w:val="13"/>
                <w:szCs w:val="13"/>
                <w:b w:val="1"/>
                <w:bCs w:val="1"/>
                <w:color w:val="auto"/>
              </w:rPr>
              <w:t>Investments in associates</w:t>
            </w:r>
          </w:p>
        </w:tc>
        <w:tc>
          <w:tcPr>
            <w:tcW w:w="1140" w:type="dxa"/>
            <w:vAlign w:val="bottom"/>
          </w:tcPr>
          <w:p>
            <w:pPr>
              <w:jc w:val="right"/>
              <w:ind w:right="97"/>
              <w:spacing w:after="0" w:line="141" w:lineRule="exact"/>
              <w:rPr>
                <w:sz w:val="20"/>
                <w:szCs w:val="20"/>
                <w:color w:val="auto"/>
              </w:rPr>
            </w:pPr>
            <w:r>
              <w:rPr>
                <w:rFonts w:ascii="Calibri" w:cs="Calibri" w:eastAsia="Calibri" w:hAnsi="Calibri"/>
                <w:sz w:val="13"/>
                <w:szCs w:val="13"/>
                <w:b w:val="1"/>
                <w:bCs w:val="1"/>
                <w:color w:val="auto"/>
              </w:rPr>
              <w:t>2,851,285</w:t>
            </w:r>
          </w:p>
        </w:tc>
        <w:tc>
          <w:tcPr>
            <w:tcW w:w="1020" w:type="dxa"/>
            <w:vAlign w:val="bottom"/>
          </w:tcPr>
          <w:p>
            <w:pPr>
              <w:jc w:val="right"/>
              <w:ind w:right="97"/>
              <w:spacing w:after="0" w:line="141" w:lineRule="exact"/>
              <w:rPr>
                <w:sz w:val="20"/>
                <w:szCs w:val="20"/>
                <w:color w:val="auto"/>
              </w:rPr>
            </w:pPr>
            <w:r>
              <w:rPr>
                <w:rFonts w:ascii="Calibri" w:cs="Calibri" w:eastAsia="Calibri" w:hAnsi="Calibri"/>
                <w:sz w:val="13"/>
                <w:szCs w:val="13"/>
                <w:b w:val="1"/>
                <w:bCs w:val="1"/>
                <w:color w:val="auto"/>
              </w:rPr>
              <w:t>2,613,220</w:t>
            </w:r>
          </w:p>
        </w:tc>
        <w:tc>
          <w:tcPr>
            <w:tcW w:w="860" w:type="dxa"/>
            <w:vAlign w:val="bottom"/>
            <w:tcBorders>
              <w:right w:val="single" w:sz="8" w:color="auto"/>
            </w:tcBorders>
          </w:tcPr>
          <w:p>
            <w:pPr>
              <w:jc w:val="right"/>
              <w:spacing w:after="0" w:line="141" w:lineRule="exact"/>
              <w:rPr>
                <w:sz w:val="20"/>
                <w:szCs w:val="20"/>
                <w:color w:val="auto"/>
              </w:rPr>
            </w:pPr>
            <w:r>
              <w:rPr>
                <w:rFonts w:ascii="Calibri" w:cs="Calibri" w:eastAsia="Calibri" w:hAnsi="Calibri"/>
                <w:sz w:val="13"/>
                <w:szCs w:val="13"/>
                <w:b w:val="1"/>
                <w:bCs w:val="1"/>
                <w:color w:val="auto"/>
              </w:rPr>
              <w:t>2,682,807</w:t>
            </w:r>
          </w:p>
        </w:tc>
        <w:tc>
          <w:tcPr>
            <w:tcW w:w="700" w:type="dxa"/>
            <w:vAlign w:val="bottom"/>
          </w:tcPr>
          <w:p>
            <w:pPr>
              <w:jc w:val="center"/>
              <w:ind w:left="217"/>
              <w:spacing w:after="0" w:line="141" w:lineRule="exact"/>
              <w:rPr>
                <w:sz w:val="20"/>
                <w:szCs w:val="20"/>
                <w:color w:val="auto"/>
              </w:rPr>
            </w:pPr>
            <w:r>
              <w:rPr>
                <w:rFonts w:ascii="Calibri" w:cs="Calibri" w:eastAsia="Calibri" w:hAnsi="Calibri"/>
                <w:sz w:val="13"/>
                <w:szCs w:val="13"/>
                <w:b w:val="1"/>
                <w:bCs w:val="1"/>
                <w:color w:val="auto"/>
                <w:w w:val="99"/>
              </w:rPr>
              <w:t>2.7%</w:t>
            </w:r>
          </w:p>
        </w:tc>
        <w:tc>
          <w:tcPr>
            <w:tcW w:w="1300" w:type="dxa"/>
            <w:vAlign w:val="bottom"/>
            <w:tcBorders>
              <w:right w:val="single" w:sz="8" w:color="auto"/>
            </w:tcBorders>
          </w:tcPr>
          <w:p>
            <w:pPr>
              <w:jc w:val="center"/>
              <w:ind w:left="217"/>
              <w:spacing w:after="0" w:line="141" w:lineRule="exact"/>
              <w:rPr>
                <w:sz w:val="20"/>
                <w:szCs w:val="20"/>
                <w:color w:val="auto"/>
              </w:rPr>
            </w:pPr>
            <w:r>
              <w:rPr>
                <w:rFonts w:ascii="Calibri" w:cs="Calibri" w:eastAsia="Calibri" w:hAnsi="Calibri"/>
                <w:sz w:val="13"/>
                <w:szCs w:val="13"/>
                <w:b w:val="1"/>
                <w:bCs w:val="1"/>
                <w:color w:val="auto"/>
                <w:w w:val="99"/>
              </w:rPr>
              <w:t>-5.9%</w:t>
            </w:r>
          </w:p>
        </w:tc>
      </w:tr>
      <w:tr>
        <w:trPr>
          <w:trHeight w:val="243"/>
        </w:trPr>
        <w:tc>
          <w:tcPr>
            <w:tcW w:w="6220" w:type="dxa"/>
            <w:vAlign w:val="bottom"/>
            <w:tcBorders>
              <w:left w:val="single" w:sz="8" w:color="auto"/>
              <w:right w:val="single" w:sz="8" w:color="auto"/>
            </w:tcBorders>
          </w:tcPr>
          <w:p>
            <w:pPr>
              <w:ind w:left="20"/>
              <w:spacing w:after="0" w:line="243" w:lineRule="exact"/>
              <w:rPr>
                <w:sz w:val="20"/>
                <w:szCs w:val="20"/>
                <w:color w:val="auto"/>
              </w:rPr>
            </w:pPr>
            <w:r>
              <w:rPr>
                <w:rFonts w:ascii="Calibri" w:cs="Calibri" w:eastAsia="Calibri" w:hAnsi="Calibri"/>
                <w:sz w:val="13"/>
                <w:szCs w:val="13"/>
                <w:b w:val="1"/>
                <w:bCs w:val="1"/>
                <w:color w:val="auto"/>
              </w:rPr>
              <w:t xml:space="preserve">Other assets </w:t>
            </w:r>
            <w:r>
              <w:rPr>
                <w:rFonts w:ascii="Calibri" w:cs="Calibri" w:eastAsia="Calibri" w:hAnsi="Calibri"/>
                <w:sz w:val="20"/>
                <w:szCs w:val="20"/>
                <w:b w:val="1"/>
                <w:bCs w:val="1"/>
                <w:color w:val="auto"/>
                <w:vertAlign w:val="superscript"/>
              </w:rPr>
              <w:t>(2)</w:t>
            </w:r>
          </w:p>
        </w:tc>
        <w:tc>
          <w:tcPr>
            <w:tcW w:w="1140" w:type="dxa"/>
            <w:vAlign w:val="bottom"/>
          </w:tcPr>
          <w:p>
            <w:pPr>
              <w:jc w:val="right"/>
              <w:ind w:right="97"/>
              <w:spacing w:after="0" w:line="156" w:lineRule="exact"/>
              <w:rPr>
                <w:sz w:val="20"/>
                <w:szCs w:val="20"/>
                <w:color w:val="auto"/>
              </w:rPr>
            </w:pPr>
            <w:r>
              <w:rPr>
                <w:rFonts w:ascii="Calibri" w:cs="Calibri" w:eastAsia="Calibri" w:hAnsi="Calibri"/>
                <w:sz w:val="13"/>
                <w:szCs w:val="13"/>
                <w:b w:val="1"/>
                <w:bCs w:val="1"/>
                <w:color w:val="auto"/>
              </w:rPr>
              <w:t>7,119,911</w:t>
            </w:r>
          </w:p>
        </w:tc>
        <w:tc>
          <w:tcPr>
            <w:tcW w:w="1020" w:type="dxa"/>
            <w:vAlign w:val="bottom"/>
          </w:tcPr>
          <w:p>
            <w:pPr>
              <w:jc w:val="right"/>
              <w:ind w:right="97"/>
              <w:spacing w:after="0" w:line="156" w:lineRule="exact"/>
              <w:rPr>
                <w:sz w:val="20"/>
                <w:szCs w:val="20"/>
                <w:color w:val="auto"/>
              </w:rPr>
            </w:pPr>
            <w:r>
              <w:rPr>
                <w:rFonts w:ascii="Calibri" w:cs="Calibri" w:eastAsia="Calibri" w:hAnsi="Calibri"/>
                <w:sz w:val="13"/>
                <w:szCs w:val="13"/>
                <w:b w:val="1"/>
                <w:bCs w:val="1"/>
                <w:color w:val="auto"/>
              </w:rPr>
              <w:t>10,988,528</w:t>
            </w:r>
          </w:p>
        </w:tc>
        <w:tc>
          <w:tcPr>
            <w:tcW w:w="860" w:type="dxa"/>
            <w:vAlign w:val="bottom"/>
            <w:tcBorders>
              <w:right w:val="single" w:sz="8" w:color="auto"/>
            </w:tcBorders>
          </w:tcPr>
          <w:p>
            <w:pPr>
              <w:jc w:val="right"/>
              <w:spacing w:after="0" w:line="156" w:lineRule="exact"/>
              <w:rPr>
                <w:sz w:val="20"/>
                <w:szCs w:val="20"/>
                <w:color w:val="auto"/>
              </w:rPr>
            </w:pPr>
            <w:r>
              <w:rPr>
                <w:rFonts w:ascii="Calibri" w:cs="Calibri" w:eastAsia="Calibri" w:hAnsi="Calibri"/>
                <w:sz w:val="13"/>
                <w:szCs w:val="13"/>
                <w:b w:val="1"/>
                <w:bCs w:val="1"/>
                <w:color w:val="auto"/>
              </w:rPr>
              <w:t>7,227,029</w:t>
            </w:r>
          </w:p>
        </w:tc>
        <w:tc>
          <w:tcPr>
            <w:tcW w:w="700" w:type="dxa"/>
            <w:vAlign w:val="bottom"/>
          </w:tcPr>
          <w:p>
            <w:pPr>
              <w:jc w:val="center"/>
              <w:ind w:left="237"/>
              <w:spacing w:after="0" w:line="156" w:lineRule="exact"/>
              <w:rPr>
                <w:sz w:val="20"/>
                <w:szCs w:val="20"/>
                <w:color w:val="auto"/>
              </w:rPr>
            </w:pPr>
            <w:r>
              <w:rPr>
                <w:rFonts w:ascii="Calibri" w:cs="Calibri" w:eastAsia="Calibri" w:hAnsi="Calibri"/>
                <w:sz w:val="13"/>
                <w:szCs w:val="13"/>
                <w:b w:val="1"/>
                <w:bCs w:val="1"/>
                <w:color w:val="auto"/>
                <w:w w:val="97"/>
              </w:rPr>
              <w:t>-34.2%</w:t>
            </w:r>
          </w:p>
        </w:tc>
        <w:tc>
          <w:tcPr>
            <w:tcW w:w="1300" w:type="dxa"/>
            <w:vAlign w:val="bottom"/>
            <w:tcBorders>
              <w:right w:val="single" w:sz="8" w:color="auto"/>
            </w:tcBorders>
          </w:tcPr>
          <w:p>
            <w:pPr>
              <w:jc w:val="center"/>
              <w:ind w:left="217"/>
              <w:spacing w:after="0" w:line="156" w:lineRule="exact"/>
              <w:rPr>
                <w:sz w:val="20"/>
                <w:szCs w:val="20"/>
                <w:color w:val="auto"/>
              </w:rPr>
            </w:pPr>
            <w:r>
              <w:rPr>
                <w:rFonts w:ascii="Calibri" w:cs="Calibri" w:eastAsia="Calibri" w:hAnsi="Calibri"/>
                <w:sz w:val="13"/>
                <w:szCs w:val="13"/>
                <w:b w:val="1"/>
                <w:bCs w:val="1"/>
                <w:color w:val="auto"/>
                <w:w w:val="99"/>
              </w:rPr>
              <w:t>1.5%</w:t>
            </w:r>
          </w:p>
        </w:tc>
      </w:tr>
      <w:tr>
        <w:trPr>
          <w:trHeight w:val="210"/>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Assets</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181,840,636</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189,280,540</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191,710,983</w:t>
            </w:r>
          </w:p>
        </w:tc>
        <w:tc>
          <w:tcPr>
            <w:tcW w:w="700" w:type="dxa"/>
            <w:vAlign w:val="bottom"/>
          </w:tcPr>
          <w:p>
            <w:pPr>
              <w:jc w:val="center"/>
              <w:ind w:left="217"/>
              <w:spacing w:after="0"/>
              <w:rPr>
                <w:sz w:val="20"/>
                <w:szCs w:val="20"/>
                <w:color w:val="auto"/>
              </w:rPr>
            </w:pPr>
            <w:r>
              <w:rPr>
                <w:rFonts w:ascii="Calibri" w:cs="Calibri" w:eastAsia="Calibri" w:hAnsi="Calibri"/>
                <w:sz w:val="13"/>
                <w:szCs w:val="13"/>
                <w:b w:val="1"/>
                <w:bCs w:val="1"/>
                <w:color w:val="auto"/>
                <w:w w:val="99"/>
              </w:rPr>
              <w:t>1.3%</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b w:val="1"/>
                <w:bCs w:val="1"/>
                <w:color w:val="auto"/>
                <w:w w:val="99"/>
              </w:rPr>
              <w:t>5.4%</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Liabilites and Equity</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141"/>
        </w:trPr>
        <w:tc>
          <w:tcPr>
            <w:tcW w:w="6220" w:type="dxa"/>
            <w:vAlign w:val="bottom"/>
            <w:tcBorders>
              <w:left w:val="single" w:sz="8" w:color="auto"/>
              <w:right w:val="single" w:sz="8" w:color="auto"/>
            </w:tcBorders>
          </w:tcPr>
          <w:p>
            <w:pPr>
              <w:ind w:left="20"/>
              <w:spacing w:after="0" w:line="141" w:lineRule="exact"/>
              <w:rPr>
                <w:sz w:val="20"/>
                <w:szCs w:val="20"/>
                <w:color w:val="auto"/>
              </w:rPr>
            </w:pPr>
            <w:r>
              <w:rPr>
                <w:rFonts w:ascii="Calibri" w:cs="Calibri" w:eastAsia="Calibri" w:hAnsi="Calibri"/>
                <w:sz w:val="13"/>
                <w:szCs w:val="13"/>
                <w:b w:val="1"/>
                <w:bCs w:val="1"/>
                <w:color w:val="auto"/>
              </w:rPr>
              <w:t>Deposits and obligatons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149"/>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0"/>
                <w:szCs w:val="10"/>
                <w:color w:val="auto"/>
              </w:rPr>
              <w:t xml:space="preserve">Non-interest bearing </w:t>
            </w:r>
            <w:r>
              <w:rPr>
                <w:rFonts w:ascii="Calibri" w:cs="Calibri" w:eastAsia="Calibri" w:hAnsi="Calibri"/>
                <w:sz w:val="16"/>
                <w:szCs w:val="16"/>
                <w:color w:val="auto"/>
                <w:vertAlign w:val="superscript"/>
              </w:rPr>
              <w:t>(1)</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36,740,398</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41,171,770</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45,296,819</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8"/>
              </w:rPr>
              <w:t>10.0%</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w w:val="92"/>
              </w:rPr>
              <w:t>23.3%</w:t>
            </w:r>
          </w:p>
        </w:tc>
      </w:tr>
      <w:tr>
        <w:trPr>
          <w:trHeight w:val="156"/>
        </w:trPr>
        <w:tc>
          <w:tcPr>
            <w:tcW w:w="6220" w:type="dxa"/>
            <w:vAlign w:val="bottom"/>
            <w:tcBorders>
              <w:left w:val="single" w:sz="8" w:color="auto"/>
              <w:right w:val="single" w:sz="8" w:color="auto"/>
            </w:tcBorders>
          </w:tcPr>
          <w:p>
            <w:pPr>
              <w:ind w:left="180"/>
              <w:spacing w:after="0" w:line="156" w:lineRule="exact"/>
              <w:rPr>
                <w:sz w:val="20"/>
                <w:szCs w:val="20"/>
                <w:color w:val="auto"/>
              </w:rPr>
            </w:pPr>
            <w:r>
              <w:rPr>
                <w:rFonts w:ascii="Calibri" w:cs="Calibri" w:eastAsia="Calibri" w:hAnsi="Calibri"/>
                <w:sz w:val="11"/>
                <w:szCs w:val="11"/>
                <w:color w:val="auto"/>
              </w:rPr>
              <w:t xml:space="preserve">Interest bearing </w:t>
            </w:r>
            <w:r>
              <w:rPr>
                <w:rFonts w:ascii="Calibri" w:cs="Calibri" w:eastAsia="Calibri" w:hAnsi="Calibri"/>
                <w:sz w:val="17"/>
                <w:szCs w:val="17"/>
                <w:color w:val="auto"/>
                <w:vertAlign w:val="superscript"/>
              </w:rPr>
              <w:t>(1)</w:t>
            </w:r>
          </w:p>
        </w:tc>
        <w:tc>
          <w:tcPr>
            <w:tcW w:w="1140" w:type="dxa"/>
            <w:vAlign w:val="bottom"/>
          </w:tcPr>
          <w:p>
            <w:pPr>
              <w:jc w:val="right"/>
              <w:ind w:right="97"/>
              <w:spacing w:after="0" w:line="156" w:lineRule="exact"/>
              <w:rPr>
                <w:sz w:val="20"/>
                <w:szCs w:val="20"/>
                <w:color w:val="auto"/>
              </w:rPr>
            </w:pPr>
            <w:r>
              <w:rPr>
                <w:rFonts w:ascii="Calibri" w:cs="Calibri" w:eastAsia="Calibri" w:hAnsi="Calibri"/>
                <w:sz w:val="13"/>
                <w:szCs w:val="13"/>
                <w:color w:val="auto"/>
              </w:rPr>
              <w:t>85,638,878</w:t>
            </w:r>
          </w:p>
        </w:tc>
        <w:tc>
          <w:tcPr>
            <w:tcW w:w="1020" w:type="dxa"/>
            <w:vAlign w:val="bottom"/>
          </w:tcPr>
          <w:p>
            <w:pPr>
              <w:jc w:val="right"/>
              <w:ind w:right="97"/>
              <w:spacing w:after="0" w:line="156" w:lineRule="exact"/>
              <w:rPr>
                <w:sz w:val="20"/>
                <w:szCs w:val="20"/>
                <w:color w:val="auto"/>
              </w:rPr>
            </w:pPr>
            <w:r>
              <w:rPr>
                <w:rFonts w:ascii="Calibri" w:cs="Calibri" w:eastAsia="Calibri" w:hAnsi="Calibri"/>
                <w:sz w:val="13"/>
                <w:szCs w:val="13"/>
                <w:color w:val="auto"/>
              </w:rPr>
              <w:t>85,955,136</w:t>
            </w:r>
          </w:p>
        </w:tc>
        <w:tc>
          <w:tcPr>
            <w:tcW w:w="860" w:type="dxa"/>
            <w:vAlign w:val="bottom"/>
            <w:tcBorders>
              <w:right w:val="single" w:sz="8" w:color="auto"/>
            </w:tcBorders>
          </w:tcPr>
          <w:p>
            <w:pPr>
              <w:jc w:val="right"/>
              <w:spacing w:after="0" w:line="156" w:lineRule="exact"/>
              <w:rPr>
                <w:sz w:val="20"/>
                <w:szCs w:val="20"/>
                <w:color w:val="auto"/>
              </w:rPr>
            </w:pPr>
            <w:r>
              <w:rPr>
                <w:rFonts w:ascii="Calibri" w:cs="Calibri" w:eastAsia="Calibri" w:hAnsi="Calibri"/>
                <w:sz w:val="13"/>
                <w:szCs w:val="13"/>
                <w:color w:val="auto"/>
              </w:rPr>
              <w:t>85,282,102</w:t>
            </w:r>
          </w:p>
        </w:tc>
        <w:tc>
          <w:tcPr>
            <w:tcW w:w="700" w:type="dxa"/>
            <w:vAlign w:val="bottom"/>
          </w:tcPr>
          <w:p>
            <w:pPr>
              <w:jc w:val="center"/>
              <w:ind w:left="237"/>
              <w:spacing w:after="0" w:line="156" w:lineRule="exact"/>
              <w:rPr>
                <w:sz w:val="20"/>
                <w:szCs w:val="20"/>
                <w:color w:val="auto"/>
              </w:rPr>
            </w:pPr>
            <w:r>
              <w:rPr>
                <w:rFonts w:ascii="Calibri" w:cs="Calibri" w:eastAsia="Calibri" w:hAnsi="Calibri"/>
                <w:sz w:val="13"/>
                <w:szCs w:val="13"/>
                <w:color w:val="auto"/>
                <w:w w:val="94"/>
              </w:rPr>
              <w:t>-0.8%</w:t>
            </w:r>
          </w:p>
        </w:tc>
        <w:tc>
          <w:tcPr>
            <w:tcW w:w="1300" w:type="dxa"/>
            <w:vAlign w:val="bottom"/>
            <w:tcBorders>
              <w:right w:val="single" w:sz="8" w:color="auto"/>
            </w:tcBorders>
          </w:tcPr>
          <w:p>
            <w:pPr>
              <w:jc w:val="center"/>
              <w:ind w:left="217"/>
              <w:spacing w:after="0" w:line="156" w:lineRule="exact"/>
              <w:rPr>
                <w:sz w:val="20"/>
                <w:szCs w:val="20"/>
                <w:color w:val="auto"/>
              </w:rPr>
            </w:pPr>
            <w:r>
              <w:rPr>
                <w:rFonts w:ascii="Calibri" w:cs="Calibri" w:eastAsia="Calibri" w:hAnsi="Calibri"/>
                <w:sz w:val="13"/>
                <w:szCs w:val="13"/>
                <w:color w:val="auto"/>
              </w:rPr>
              <w:t>-0.4%</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b w:val="1"/>
                <w:bCs w:val="1"/>
                <w:color w:val="auto"/>
              </w:rPr>
              <w:t>Total deposits and obligatons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122,379,276</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127,126,906</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130,578,921</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2.7%</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6.7%</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Payables from repurchase agreements and securites lending</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9,926,108</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5,526,879</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5,122,666</w:t>
            </w:r>
          </w:p>
        </w:tc>
        <w:tc>
          <w:tcPr>
            <w:tcW w:w="700" w:type="dxa"/>
            <w:vAlign w:val="bottom"/>
          </w:tcPr>
          <w:p>
            <w:pPr>
              <w:jc w:val="center"/>
              <w:ind w:left="217"/>
              <w:spacing w:after="0"/>
              <w:rPr>
                <w:sz w:val="20"/>
                <w:szCs w:val="20"/>
                <w:color w:val="auto"/>
              </w:rPr>
            </w:pPr>
            <w:r>
              <w:rPr>
                <w:rFonts w:ascii="Calibri" w:cs="Calibri" w:eastAsia="Calibri" w:hAnsi="Calibri"/>
                <w:sz w:val="13"/>
                <w:szCs w:val="13"/>
                <w:b w:val="1"/>
                <w:bCs w:val="1"/>
                <w:color w:val="auto"/>
                <w:w w:val="99"/>
              </w:rPr>
              <w:t>-7.3%</w:t>
            </w:r>
          </w:p>
        </w:tc>
        <w:tc>
          <w:tcPr>
            <w:tcW w:w="130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b w:val="1"/>
                <w:bCs w:val="1"/>
                <w:color w:val="auto"/>
                <w:w w:val="97"/>
              </w:rPr>
              <w:t>-48.4%</w:t>
            </w:r>
          </w:p>
        </w:tc>
      </w:tr>
      <w:tr>
        <w:trPr>
          <w:trHeight w:val="149"/>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BCRP instruments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9,386,448</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4,973,913</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4,289,860</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8"/>
              </w:rPr>
              <w:t>-13.8%</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w w:val="93"/>
              </w:rPr>
              <w:t>-54.3%</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Repurchase agreements with third partes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539,660</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552,966</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832,806</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8"/>
              </w:rPr>
              <w:t>50.6%</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w w:val="92"/>
              </w:rPr>
              <w:t>54.3%</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Due to banks and correspondents</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9,030,671</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10,892,721</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11,160,491</w:t>
            </w:r>
          </w:p>
        </w:tc>
        <w:tc>
          <w:tcPr>
            <w:tcW w:w="700" w:type="dxa"/>
            <w:vAlign w:val="bottom"/>
          </w:tcPr>
          <w:p>
            <w:pPr>
              <w:jc w:val="center"/>
              <w:ind w:left="217"/>
              <w:spacing w:after="0"/>
              <w:rPr>
                <w:sz w:val="20"/>
                <w:szCs w:val="20"/>
                <w:color w:val="auto"/>
              </w:rPr>
            </w:pPr>
            <w:r>
              <w:rPr>
                <w:rFonts w:ascii="Calibri" w:cs="Calibri" w:eastAsia="Calibri" w:hAnsi="Calibri"/>
                <w:sz w:val="13"/>
                <w:szCs w:val="13"/>
                <w:b w:val="1"/>
                <w:bCs w:val="1"/>
                <w:color w:val="auto"/>
                <w:w w:val="99"/>
              </w:rPr>
              <w:t>2.5%</w:t>
            </w:r>
          </w:p>
        </w:tc>
        <w:tc>
          <w:tcPr>
            <w:tcW w:w="1300" w:type="dxa"/>
            <w:vAlign w:val="bottom"/>
            <w:tcBorders>
              <w:right w:val="single" w:sz="8" w:color="auto"/>
            </w:tcBorders>
          </w:tcPr>
          <w:p>
            <w:pPr>
              <w:jc w:val="center"/>
              <w:ind w:left="197"/>
              <w:spacing w:after="0"/>
              <w:rPr>
                <w:sz w:val="20"/>
                <w:szCs w:val="20"/>
                <w:color w:val="auto"/>
              </w:rPr>
            </w:pPr>
            <w:r>
              <w:rPr>
                <w:rFonts w:ascii="Calibri" w:cs="Calibri" w:eastAsia="Calibri" w:hAnsi="Calibri"/>
                <w:sz w:val="13"/>
                <w:szCs w:val="13"/>
                <w:b w:val="1"/>
                <w:bCs w:val="1"/>
                <w:color w:val="auto"/>
                <w:w w:val="97"/>
              </w:rPr>
              <w:t>23.6%</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Bonds and notes issued</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10,549,221</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13,711,522</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13,045,879</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-4.9%</w:t>
            </w:r>
          </w:p>
        </w:tc>
        <w:tc>
          <w:tcPr>
            <w:tcW w:w="1300" w:type="dxa"/>
            <w:vAlign w:val="bottom"/>
            <w:tcBorders>
              <w:right w:val="single" w:sz="8" w:color="auto"/>
            </w:tcBorders>
          </w:tcPr>
          <w:p>
            <w:pPr>
              <w:jc w:val="center"/>
              <w:ind w:left="197"/>
              <w:spacing w:after="0" w:line="149" w:lineRule="exact"/>
              <w:rPr>
                <w:sz w:val="20"/>
                <w:szCs w:val="20"/>
                <w:color w:val="auto"/>
              </w:rPr>
            </w:pPr>
            <w:r>
              <w:rPr>
                <w:rFonts w:ascii="Calibri" w:cs="Calibri" w:eastAsia="Calibri" w:hAnsi="Calibri"/>
                <w:sz w:val="13"/>
                <w:szCs w:val="13"/>
                <w:b w:val="1"/>
                <w:bCs w:val="1"/>
                <w:color w:val="auto"/>
                <w:w w:val="97"/>
              </w:rPr>
              <w:t>23.7%</w:t>
            </w:r>
          </w:p>
        </w:tc>
      </w:tr>
      <w:tr>
        <w:trPr>
          <w:trHeight w:val="149"/>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Due from customers on acceptances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325,771</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473,382</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466,957</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-1.4%</w:t>
            </w:r>
          </w:p>
        </w:tc>
        <w:tc>
          <w:tcPr>
            <w:tcW w:w="1300" w:type="dxa"/>
            <w:vAlign w:val="bottom"/>
            <w:tcBorders>
              <w:right w:val="single" w:sz="8" w:color="auto"/>
            </w:tcBorders>
          </w:tcPr>
          <w:p>
            <w:pPr>
              <w:jc w:val="center"/>
              <w:ind w:left="197"/>
              <w:spacing w:after="0" w:line="149" w:lineRule="exact"/>
              <w:rPr>
                <w:sz w:val="20"/>
                <w:szCs w:val="20"/>
                <w:color w:val="auto"/>
              </w:rPr>
            </w:pPr>
            <w:r>
              <w:rPr>
                <w:rFonts w:ascii="Calibri" w:cs="Calibri" w:eastAsia="Calibri" w:hAnsi="Calibri"/>
                <w:sz w:val="13"/>
                <w:szCs w:val="13"/>
                <w:b w:val="1"/>
                <w:bCs w:val="1"/>
                <w:color w:val="auto"/>
                <w:w w:val="97"/>
              </w:rPr>
              <w:t>43.3%</w:t>
            </w:r>
          </w:p>
        </w:tc>
      </w:tr>
      <w:tr>
        <w:trPr>
          <w:trHeight w:val="141"/>
        </w:trPr>
        <w:tc>
          <w:tcPr>
            <w:tcW w:w="6220" w:type="dxa"/>
            <w:vAlign w:val="bottom"/>
            <w:tcBorders>
              <w:left w:val="single" w:sz="8" w:color="auto"/>
              <w:right w:val="single" w:sz="8" w:color="auto"/>
            </w:tcBorders>
          </w:tcPr>
          <w:p>
            <w:pPr>
              <w:ind w:left="20"/>
              <w:spacing w:after="0" w:line="141" w:lineRule="exact"/>
              <w:rPr>
                <w:sz w:val="20"/>
                <w:szCs w:val="20"/>
                <w:color w:val="auto"/>
              </w:rPr>
            </w:pPr>
            <w:r>
              <w:rPr>
                <w:rFonts w:ascii="Calibri" w:cs="Calibri" w:eastAsia="Calibri" w:hAnsi="Calibri"/>
                <w:sz w:val="13"/>
                <w:szCs w:val="13"/>
                <w:b w:val="1"/>
                <w:bCs w:val="1"/>
                <w:color w:val="auto"/>
              </w:rPr>
              <w:t>Financial liabilites at fair value through proft or loss</w:t>
            </w:r>
          </w:p>
        </w:tc>
        <w:tc>
          <w:tcPr>
            <w:tcW w:w="1140" w:type="dxa"/>
            <w:vAlign w:val="bottom"/>
          </w:tcPr>
          <w:p>
            <w:pPr>
              <w:jc w:val="right"/>
              <w:ind w:right="97"/>
              <w:spacing w:after="0" w:line="141" w:lineRule="exact"/>
              <w:rPr>
                <w:sz w:val="20"/>
                <w:szCs w:val="20"/>
                <w:color w:val="auto"/>
              </w:rPr>
            </w:pPr>
            <w:r>
              <w:rPr>
                <w:rFonts w:ascii="Calibri" w:cs="Calibri" w:eastAsia="Calibri" w:hAnsi="Calibri"/>
                <w:sz w:val="13"/>
                <w:szCs w:val="13"/>
                <w:b w:val="1"/>
                <w:bCs w:val="1"/>
                <w:color w:val="auto"/>
              </w:rPr>
              <w:t>42,768</w:t>
            </w:r>
          </w:p>
        </w:tc>
        <w:tc>
          <w:tcPr>
            <w:tcW w:w="1020" w:type="dxa"/>
            <w:vAlign w:val="bottom"/>
          </w:tcPr>
          <w:p>
            <w:pPr>
              <w:jc w:val="right"/>
              <w:ind w:right="97"/>
              <w:spacing w:after="0" w:line="141" w:lineRule="exact"/>
              <w:rPr>
                <w:sz w:val="20"/>
                <w:szCs w:val="20"/>
                <w:color w:val="auto"/>
              </w:rPr>
            </w:pPr>
            <w:r>
              <w:rPr>
                <w:rFonts w:ascii="Calibri" w:cs="Calibri" w:eastAsia="Calibri" w:hAnsi="Calibri"/>
                <w:sz w:val="13"/>
                <w:szCs w:val="13"/>
                <w:b w:val="1"/>
                <w:bCs w:val="1"/>
                <w:color w:val="auto"/>
              </w:rPr>
              <w:t>468,746</w:t>
            </w:r>
          </w:p>
        </w:tc>
        <w:tc>
          <w:tcPr>
            <w:tcW w:w="860" w:type="dxa"/>
            <w:vAlign w:val="bottom"/>
            <w:tcBorders>
              <w:right w:val="single" w:sz="8" w:color="auto"/>
            </w:tcBorders>
          </w:tcPr>
          <w:p>
            <w:pPr>
              <w:jc w:val="right"/>
              <w:spacing w:after="0" w:line="141" w:lineRule="exact"/>
              <w:rPr>
                <w:sz w:val="20"/>
                <w:szCs w:val="20"/>
                <w:color w:val="auto"/>
              </w:rPr>
            </w:pPr>
            <w:r>
              <w:rPr>
                <w:rFonts w:ascii="Calibri" w:cs="Calibri" w:eastAsia="Calibri" w:hAnsi="Calibri"/>
                <w:sz w:val="13"/>
                <w:szCs w:val="13"/>
                <w:b w:val="1"/>
                <w:bCs w:val="1"/>
                <w:color w:val="auto"/>
              </w:rPr>
              <w:t>354,562</w:t>
            </w:r>
          </w:p>
        </w:tc>
        <w:tc>
          <w:tcPr>
            <w:tcW w:w="700" w:type="dxa"/>
            <w:vAlign w:val="bottom"/>
          </w:tcPr>
          <w:p>
            <w:pPr>
              <w:jc w:val="center"/>
              <w:ind w:left="237"/>
              <w:spacing w:after="0" w:line="141" w:lineRule="exact"/>
              <w:rPr>
                <w:sz w:val="20"/>
                <w:szCs w:val="20"/>
                <w:color w:val="auto"/>
              </w:rPr>
            </w:pPr>
            <w:r>
              <w:rPr>
                <w:rFonts w:ascii="Calibri" w:cs="Calibri" w:eastAsia="Calibri" w:hAnsi="Calibri"/>
                <w:sz w:val="13"/>
                <w:szCs w:val="13"/>
                <w:b w:val="1"/>
                <w:bCs w:val="1"/>
                <w:color w:val="auto"/>
                <w:w w:val="97"/>
              </w:rPr>
              <w:t>-24.4%</w:t>
            </w:r>
          </w:p>
        </w:tc>
        <w:tc>
          <w:tcPr>
            <w:tcW w:w="1300" w:type="dxa"/>
            <w:vAlign w:val="bottom"/>
            <w:tcBorders>
              <w:right w:val="single" w:sz="8" w:color="auto"/>
            </w:tcBorders>
          </w:tcPr>
          <w:p>
            <w:pPr>
              <w:jc w:val="center"/>
              <w:ind w:left="217"/>
              <w:spacing w:after="0" w:line="141" w:lineRule="exact"/>
              <w:rPr>
                <w:sz w:val="20"/>
                <w:szCs w:val="20"/>
                <w:color w:val="auto"/>
              </w:rPr>
            </w:pPr>
            <w:r>
              <w:rPr>
                <w:rFonts w:ascii="Calibri" w:cs="Calibri" w:eastAsia="Calibri" w:hAnsi="Calibri"/>
                <w:sz w:val="13"/>
                <w:szCs w:val="13"/>
                <w:b w:val="1"/>
                <w:bCs w:val="1"/>
                <w:color w:val="auto"/>
                <w:w w:val="96"/>
              </w:rPr>
              <w:t>729.0%</w:t>
            </w:r>
          </w:p>
        </w:tc>
      </w:tr>
      <w:tr>
        <w:trPr>
          <w:trHeight w:val="156"/>
        </w:trPr>
        <w:tc>
          <w:tcPr>
            <w:tcW w:w="6220" w:type="dxa"/>
            <w:vAlign w:val="bottom"/>
            <w:tcBorders>
              <w:left w:val="single" w:sz="8" w:color="auto"/>
              <w:right w:val="single" w:sz="8" w:color="auto"/>
            </w:tcBorders>
          </w:tcPr>
          <w:p>
            <w:pPr>
              <w:ind w:left="20"/>
              <w:spacing w:after="0" w:line="156" w:lineRule="exact"/>
              <w:rPr>
                <w:sz w:val="20"/>
                <w:szCs w:val="20"/>
                <w:color w:val="auto"/>
              </w:rPr>
            </w:pPr>
            <w:r>
              <w:rPr>
                <w:rFonts w:ascii="Calibri" w:cs="Calibri" w:eastAsia="Calibri" w:hAnsi="Calibri"/>
                <w:sz w:val="11"/>
                <w:szCs w:val="11"/>
                <w:b w:val="1"/>
                <w:bCs w:val="1"/>
                <w:color w:val="auto"/>
              </w:rPr>
              <w:t xml:space="preserve">Other liabilites </w:t>
            </w:r>
            <w:r>
              <w:rPr>
                <w:rFonts w:ascii="Calibri" w:cs="Calibri" w:eastAsia="Calibri" w:hAnsi="Calibri"/>
                <w:sz w:val="17"/>
                <w:szCs w:val="17"/>
                <w:b w:val="1"/>
                <w:bCs w:val="1"/>
                <w:color w:val="auto"/>
                <w:vertAlign w:val="superscript"/>
              </w:rPr>
              <w:t>(3)</w:t>
            </w:r>
          </w:p>
        </w:tc>
        <w:tc>
          <w:tcPr>
            <w:tcW w:w="1140" w:type="dxa"/>
            <w:vAlign w:val="bottom"/>
          </w:tcPr>
          <w:p>
            <w:pPr>
              <w:jc w:val="right"/>
              <w:ind w:right="97"/>
              <w:spacing w:after="0" w:line="156" w:lineRule="exact"/>
              <w:rPr>
                <w:sz w:val="20"/>
                <w:szCs w:val="20"/>
                <w:color w:val="auto"/>
              </w:rPr>
            </w:pPr>
            <w:r>
              <w:rPr>
                <w:rFonts w:ascii="Calibri" w:cs="Calibri" w:eastAsia="Calibri" w:hAnsi="Calibri"/>
                <w:sz w:val="13"/>
                <w:szCs w:val="13"/>
                <w:b w:val="1"/>
                <w:bCs w:val="1"/>
                <w:color w:val="auto"/>
              </w:rPr>
              <w:t>5,356,302</w:t>
            </w:r>
          </w:p>
        </w:tc>
        <w:tc>
          <w:tcPr>
            <w:tcW w:w="1020" w:type="dxa"/>
            <w:vAlign w:val="bottom"/>
          </w:tcPr>
          <w:p>
            <w:pPr>
              <w:jc w:val="right"/>
              <w:ind w:right="97"/>
              <w:spacing w:after="0" w:line="156" w:lineRule="exact"/>
              <w:rPr>
                <w:sz w:val="20"/>
                <w:szCs w:val="20"/>
                <w:color w:val="auto"/>
              </w:rPr>
            </w:pPr>
            <w:r>
              <w:rPr>
                <w:rFonts w:ascii="Calibri" w:cs="Calibri" w:eastAsia="Calibri" w:hAnsi="Calibri"/>
                <w:sz w:val="13"/>
                <w:szCs w:val="13"/>
                <w:b w:val="1"/>
                <w:bCs w:val="1"/>
                <w:color w:val="auto"/>
              </w:rPr>
              <w:t>7,451,061</w:t>
            </w:r>
          </w:p>
        </w:tc>
        <w:tc>
          <w:tcPr>
            <w:tcW w:w="860" w:type="dxa"/>
            <w:vAlign w:val="bottom"/>
            <w:tcBorders>
              <w:right w:val="single" w:sz="8" w:color="auto"/>
            </w:tcBorders>
          </w:tcPr>
          <w:p>
            <w:pPr>
              <w:jc w:val="right"/>
              <w:spacing w:after="0" w:line="156" w:lineRule="exact"/>
              <w:rPr>
                <w:sz w:val="20"/>
                <w:szCs w:val="20"/>
                <w:color w:val="auto"/>
              </w:rPr>
            </w:pPr>
            <w:r>
              <w:rPr>
                <w:rFonts w:ascii="Calibri" w:cs="Calibri" w:eastAsia="Calibri" w:hAnsi="Calibri"/>
                <w:sz w:val="13"/>
                <w:szCs w:val="13"/>
                <w:b w:val="1"/>
                <w:bCs w:val="1"/>
                <w:color w:val="auto"/>
              </w:rPr>
              <w:t>5,629,964</w:t>
            </w:r>
          </w:p>
        </w:tc>
        <w:tc>
          <w:tcPr>
            <w:tcW w:w="700" w:type="dxa"/>
            <w:vAlign w:val="bottom"/>
          </w:tcPr>
          <w:p>
            <w:pPr>
              <w:jc w:val="center"/>
              <w:ind w:left="237"/>
              <w:spacing w:after="0" w:line="156" w:lineRule="exact"/>
              <w:rPr>
                <w:sz w:val="20"/>
                <w:szCs w:val="20"/>
                <w:color w:val="auto"/>
              </w:rPr>
            </w:pPr>
            <w:r>
              <w:rPr>
                <w:rFonts w:ascii="Calibri" w:cs="Calibri" w:eastAsia="Calibri" w:hAnsi="Calibri"/>
                <w:sz w:val="13"/>
                <w:szCs w:val="13"/>
                <w:b w:val="1"/>
                <w:bCs w:val="1"/>
                <w:color w:val="auto"/>
                <w:w w:val="97"/>
              </w:rPr>
              <w:t>-24.4%</w:t>
            </w:r>
          </w:p>
        </w:tc>
        <w:tc>
          <w:tcPr>
            <w:tcW w:w="1300" w:type="dxa"/>
            <w:vAlign w:val="bottom"/>
            <w:tcBorders>
              <w:right w:val="single" w:sz="8" w:color="auto"/>
            </w:tcBorders>
          </w:tcPr>
          <w:p>
            <w:pPr>
              <w:jc w:val="center"/>
              <w:ind w:left="217"/>
              <w:spacing w:after="0" w:line="156" w:lineRule="exact"/>
              <w:rPr>
                <w:sz w:val="20"/>
                <w:szCs w:val="20"/>
                <w:color w:val="auto"/>
              </w:rPr>
            </w:pPr>
            <w:r>
              <w:rPr>
                <w:rFonts w:ascii="Calibri" w:cs="Calibri" w:eastAsia="Calibri" w:hAnsi="Calibri"/>
                <w:sz w:val="13"/>
                <w:szCs w:val="13"/>
                <w:b w:val="1"/>
                <w:bCs w:val="1"/>
                <w:color w:val="auto"/>
                <w:w w:val="99"/>
              </w:rPr>
              <w:t>5.1%</w:t>
            </w:r>
          </w:p>
        </w:tc>
      </w:tr>
      <w:tr>
        <w:trPr>
          <w:trHeight w:val="148"/>
        </w:trPr>
        <w:tc>
          <w:tcPr>
            <w:tcW w:w="6220" w:type="dxa"/>
            <w:vAlign w:val="bottom"/>
            <w:tcBorders>
              <w:left w:val="single" w:sz="8" w:color="auto"/>
              <w:right w:val="single" w:sz="8" w:color="auto"/>
            </w:tcBorders>
          </w:tcPr>
          <w:p>
            <w:pPr>
              <w:ind w:left="2720"/>
              <w:spacing w:after="0" w:line="149" w:lineRule="exact"/>
              <w:rPr>
                <w:sz w:val="20"/>
                <w:szCs w:val="20"/>
                <w:color w:val="auto"/>
              </w:rPr>
            </w:pPr>
            <w:r>
              <w:rPr>
                <w:rFonts w:ascii="Calibri" w:cs="Calibri" w:eastAsia="Calibri" w:hAnsi="Calibri"/>
                <w:sz w:val="13"/>
                <w:szCs w:val="13"/>
                <w:b w:val="1"/>
                <w:bCs w:val="1"/>
                <w:color w:val="auto"/>
              </w:rPr>
              <w:t>Total Liabilites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157,610,117</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b w:val="1"/>
                <w:bCs w:val="1"/>
                <w:color w:val="auto"/>
              </w:rPr>
              <w:t>165,651,217</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166,359,440</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0.4%</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b w:val="1"/>
                <w:bCs w:val="1"/>
                <w:color w:val="auto"/>
                <w:w w:val="99"/>
              </w:rPr>
              <w:t>5.6%</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equity</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24,230,519</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23,629,323</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25,351,543</w:t>
            </w:r>
          </w:p>
        </w:tc>
        <w:tc>
          <w:tcPr>
            <w:tcW w:w="700" w:type="dxa"/>
            <w:vAlign w:val="bottom"/>
          </w:tcPr>
          <w:p>
            <w:pPr>
              <w:jc w:val="center"/>
              <w:ind w:left="237"/>
              <w:spacing w:after="0"/>
              <w:rPr>
                <w:sz w:val="20"/>
                <w:szCs w:val="20"/>
                <w:color w:val="auto"/>
              </w:rPr>
            </w:pPr>
            <w:r>
              <w:rPr>
                <w:rFonts w:ascii="Calibri" w:cs="Calibri" w:eastAsia="Calibri" w:hAnsi="Calibri"/>
                <w:sz w:val="13"/>
                <w:szCs w:val="13"/>
                <w:color w:val="auto"/>
                <w:w w:val="93"/>
              </w:rPr>
              <w:t>7.3%</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color w:val="auto"/>
              </w:rPr>
              <w:t>4.6%</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Capital stock</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12,679,794</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12,679,794</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12,679,794</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3"/>
              </w:rPr>
              <w:t>0.0%</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0.0%</w:t>
            </w:r>
          </w:p>
        </w:tc>
      </w:tr>
      <w:tr>
        <w:trPr>
          <w:trHeight w:val="148"/>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Reserves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6,820,930</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6,372,468</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6,372,468</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3"/>
              </w:rPr>
              <w:t>0.0%</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-6.6%</w:t>
            </w:r>
          </w:p>
        </w:tc>
      </w:tr>
      <w:tr>
        <w:trPr>
          <w:trHeight w:val="149"/>
        </w:trPr>
        <w:tc>
          <w:tcPr>
            <w:tcW w:w="622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Unrealized gains and losses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(375,086)</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(97,152)</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222,730</w:t>
            </w:r>
          </w:p>
        </w:tc>
        <w:tc>
          <w:tcPr>
            <w:tcW w:w="700" w:type="dxa"/>
            <w:vAlign w:val="bottom"/>
          </w:tcPr>
          <w:p>
            <w:pPr>
              <w:jc w:val="center"/>
              <w:ind w:left="217"/>
              <w:spacing w:after="0" w:line="149" w:lineRule="exact"/>
              <w:rPr>
                <w:sz w:val="20"/>
                <w:szCs w:val="20"/>
                <w:color w:val="auto"/>
              </w:rPr>
            </w:pPr>
            <w:r>
              <w:rPr>
                <w:rFonts w:ascii="Calibri" w:cs="Calibri" w:eastAsia="Calibri" w:hAnsi="Calibri"/>
                <w:sz w:val="13"/>
                <w:szCs w:val="13"/>
                <w:color w:val="auto"/>
                <w:w w:val="91"/>
              </w:rPr>
              <w:t>n.a.</w:t>
            </w:r>
          </w:p>
        </w:tc>
        <w:tc>
          <w:tcPr>
            <w:tcW w:w="1300" w:type="dxa"/>
            <w:vAlign w:val="bottom"/>
            <w:tcBorders>
              <w:right w:val="single" w:sz="8" w:color="auto"/>
            </w:tcBorders>
          </w:tcPr>
          <w:p>
            <w:pPr>
              <w:ind w:left="700"/>
              <w:spacing w:after="0" w:line="149" w:lineRule="exact"/>
              <w:rPr>
                <w:sz w:val="20"/>
                <w:szCs w:val="20"/>
                <w:color w:val="auto"/>
              </w:rPr>
            </w:pPr>
            <w:r>
              <w:rPr>
                <w:rFonts w:ascii="Calibri" w:cs="Calibri" w:eastAsia="Calibri" w:hAnsi="Calibri"/>
                <w:sz w:val="13"/>
                <w:szCs w:val="13"/>
                <w:color w:val="auto"/>
              </w:rPr>
              <w:t>n.a.</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Retained earnings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5,104,881</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4,674,213</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6,076,551</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8"/>
              </w:rPr>
              <w:t>30.0%</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w w:val="92"/>
              </w:rPr>
              <w:t>19.0%</w:t>
            </w:r>
          </w:p>
        </w:tc>
      </w:tr>
      <w:tr>
        <w:trPr>
          <w:trHeight w:val="297"/>
        </w:trPr>
        <w:tc>
          <w:tcPr>
            <w:tcW w:w="6220" w:type="dxa"/>
            <w:vAlign w:val="bottom"/>
            <w:tcBorders>
              <w:left w:val="single" w:sz="8" w:color="auto"/>
              <w:right w:val="single" w:sz="8" w:color="auto"/>
            </w:tcBorders>
          </w:tcPr>
          <w:p>
            <w:pPr>
              <w:ind w:left="2700"/>
              <w:spacing w:after="0"/>
              <w:rPr>
                <w:sz w:val="20"/>
                <w:szCs w:val="20"/>
                <w:color w:val="auto"/>
              </w:rPr>
            </w:pPr>
            <w:r>
              <w:rPr>
                <w:rFonts w:ascii="Calibri" w:cs="Calibri" w:eastAsia="Calibri" w:hAnsi="Calibri"/>
                <w:sz w:val="13"/>
                <w:szCs w:val="13"/>
                <w:b w:val="1"/>
                <w:bCs w:val="1"/>
                <w:color w:val="auto"/>
              </w:rPr>
              <w:t>Total Net Equity</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24,230,519</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23,629,323</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25,351,543</w:t>
            </w:r>
          </w:p>
        </w:tc>
        <w:tc>
          <w:tcPr>
            <w:tcW w:w="700" w:type="dxa"/>
            <w:vAlign w:val="bottom"/>
          </w:tcPr>
          <w:p>
            <w:pPr>
              <w:jc w:val="center"/>
              <w:ind w:left="237"/>
              <w:spacing w:after="0"/>
              <w:rPr>
                <w:sz w:val="20"/>
                <w:szCs w:val="20"/>
                <w:color w:val="auto"/>
              </w:rPr>
            </w:pPr>
            <w:r>
              <w:rPr>
                <w:rFonts w:ascii="Calibri" w:cs="Calibri" w:eastAsia="Calibri" w:hAnsi="Calibri"/>
                <w:sz w:val="13"/>
                <w:szCs w:val="13"/>
                <w:color w:val="auto"/>
                <w:w w:val="93"/>
              </w:rPr>
              <w:t>7.3%</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color w:val="auto"/>
              </w:rPr>
              <w:t>4.6%</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liabilites and equity</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181,840,636</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189,280,540</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191,710,983</w:t>
            </w:r>
          </w:p>
        </w:tc>
        <w:tc>
          <w:tcPr>
            <w:tcW w:w="700" w:type="dxa"/>
            <w:vAlign w:val="bottom"/>
          </w:tcPr>
          <w:p>
            <w:pPr>
              <w:jc w:val="center"/>
              <w:ind w:left="237"/>
              <w:spacing w:after="0"/>
              <w:rPr>
                <w:sz w:val="20"/>
                <w:szCs w:val="20"/>
                <w:color w:val="auto"/>
              </w:rPr>
            </w:pPr>
            <w:r>
              <w:rPr>
                <w:rFonts w:ascii="Calibri" w:cs="Calibri" w:eastAsia="Calibri" w:hAnsi="Calibri"/>
                <w:sz w:val="13"/>
                <w:szCs w:val="13"/>
                <w:color w:val="auto"/>
                <w:w w:val="93"/>
              </w:rPr>
              <w:t>1.3%</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color w:val="auto"/>
              </w:rPr>
              <w:t>5.4%</w:t>
            </w:r>
          </w:p>
        </w:tc>
      </w:tr>
      <w:tr>
        <w:trPr>
          <w:trHeight w:val="297"/>
        </w:trPr>
        <w:tc>
          <w:tcPr>
            <w:tcW w:w="62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Of-balance sheet</w:t>
            </w:r>
          </w:p>
        </w:tc>
        <w:tc>
          <w:tcPr>
            <w:tcW w:w="114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138,269,632</w:t>
            </w:r>
          </w:p>
        </w:tc>
        <w:tc>
          <w:tcPr>
            <w:tcW w:w="1020" w:type="dxa"/>
            <w:vAlign w:val="bottom"/>
          </w:tcPr>
          <w:p>
            <w:pPr>
              <w:jc w:val="right"/>
              <w:ind w:right="97"/>
              <w:spacing w:after="0"/>
              <w:rPr>
                <w:sz w:val="20"/>
                <w:szCs w:val="20"/>
                <w:color w:val="auto"/>
              </w:rPr>
            </w:pPr>
            <w:r>
              <w:rPr>
                <w:rFonts w:ascii="Calibri" w:cs="Calibri" w:eastAsia="Calibri" w:hAnsi="Calibri"/>
                <w:sz w:val="13"/>
                <w:szCs w:val="13"/>
                <w:b w:val="1"/>
                <w:bCs w:val="1"/>
                <w:color w:val="auto"/>
              </w:rPr>
              <w:t>147,994,313</w:t>
            </w:r>
          </w:p>
        </w:tc>
        <w:tc>
          <w:tcPr>
            <w:tcW w:w="8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140,242,082</w:t>
            </w:r>
          </w:p>
        </w:tc>
        <w:tc>
          <w:tcPr>
            <w:tcW w:w="700" w:type="dxa"/>
            <w:vAlign w:val="bottom"/>
          </w:tcPr>
          <w:p>
            <w:pPr>
              <w:jc w:val="center"/>
              <w:ind w:left="237"/>
              <w:spacing w:after="0"/>
              <w:rPr>
                <w:sz w:val="20"/>
                <w:szCs w:val="20"/>
                <w:color w:val="auto"/>
              </w:rPr>
            </w:pPr>
            <w:r>
              <w:rPr>
                <w:rFonts w:ascii="Calibri" w:cs="Calibri" w:eastAsia="Calibri" w:hAnsi="Calibri"/>
                <w:sz w:val="13"/>
                <w:szCs w:val="13"/>
                <w:color w:val="auto"/>
                <w:w w:val="94"/>
              </w:rPr>
              <w:t>-5.2%</w:t>
            </w:r>
          </w:p>
        </w:tc>
        <w:tc>
          <w:tcPr>
            <w:tcW w:w="1300" w:type="dxa"/>
            <w:vAlign w:val="bottom"/>
            <w:tcBorders>
              <w:right w:val="single" w:sz="8" w:color="auto"/>
            </w:tcBorders>
          </w:tcPr>
          <w:p>
            <w:pPr>
              <w:jc w:val="center"/>
              <w:ind w:left="217"/>
              <w:spacing w:after="0"/>
              <w:rPr>
                <w:sz w:val="20"/>
                <w:szCs w:val="20"/>
                <w:color w:val="auto"/>
              </w:rPr>
            </w:pPr>
            <w:r>
              <w:rPr>
                <w:rFonts w:ascii="Calibri" w:cs="Calibri" w:eastAsia="Calibri" w:hAnsi="Calibri"/>
                <w:sz w:val="13"/>
                <w:szCs w:val="13"/>
                <w:color w:val="auto"/>
              </w:rPr>
              <w:t>1.4%</w:t>
            </w:r>
          </w:p>
        </w:tc>
      </w:tr>
      <w:tr>
        <w:trPr>
          <w:trHeight w:val="149"/>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Total performance bonds, stand-by and L/Cs.</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18,226,992</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20,008,285</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19,593,247</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4"/>
              </w:rPr>
              <w:t>-2.1%</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7.5%</w:t>
            </w:r>
          </w:p>
        </w:tc>
      </w:tr>
      <w:tr>
        <w:trPr>
          <w:trHeight w:val="148"/>
        </w:trPr>
        <w:tc>
          <w:tcPr>
            <w:tcW w:w="62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Undrawn credit lines, advised but not commited</w:t>
            </w:r>
          </w:p>
        </w:tc>
        <w:tc>
          <w:tcPr>
            <w:tcW w:w="114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76,290,046</w:t>
            </w:r>
          </w:p>
        </w:tc>
        <w:tc>
          <w:tcPr>
            <w:tcW w:w="102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77,032,694</w:t>
            </w:r>
          </w:p>
        </w:tc>
        <w:tc>
          <w:tcPr>
            <w:tcW w:w="86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75,257,883</w:t>
            </w:r>
          </w:p>
        </w:tc>
        <w:tc>
          <w:tcPr>
            <w:tcW w:w="700" w:type="dxa"/>
            <w:vAlign w:val="bottom"/>
          </w:tcPr>
          <w:p>
            <w:pPr>
              <w:jc w:val="center"/>
              <w:ind w:left="237"/>
              <w:spacing w:after="0" w:line="149" w:lineRule="exact"/>
              <w:rPr>
                <w:sz w:val="20"/>
                <w:szCs w:val="20"/>
                <w:color w:val="auto"/>
              </w:rPr>
            </w:pPr>
            <w:r>
              <w:rPr>
                <w:rFonts w:ascii="Calibri" w:cs="Calibri" w:eastAsia="Calibri" w:hAnsi="Calibri"/>
                <w:sz w:val="13"/>
                <w:szCs w:val="13"/>
                <w:color w:val="auto"/>
                <w:w w:val="94"/>
              </w:rPr>
              <w:t>-2.3%</w:t>
            </w:r>
          </w:p>
        </w:tc>
        <w:tc>
          <w:tcPr>
            <w:tcW w:w="1300" w:type="dxa"/>
            <w:vAlign w:val="bottom"/>
            <w:tcBorders>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-1.4%</w:t>
            </w:r>
          </w:p>
        </w:tc>
      </w:tr>
      <w:tr>
        <w:trPr>
          <w:trHeight w:val="154"/>
        </w:trPr>
        <w:tc>
          <w:tcPr>
            <w:tcW w:w="6220" w:type="dxa"/>
            <w:vAlign w:val="bottom"/>
            <w:tcBorders>
              <w:left w:val="single" w:sz="8" w:color="auto"/>
              <w:bottom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Total derivatves (notonal) and others</w:t>
            </w:r>
          </w:p>
        </w:tc>
        <w:tc>
          <w:tcPr>
            <w:tcW w:w="1140" w:type="dxa"/>
            <w:vAlign w:val="bottom"/>
            <w:tcBorders>
              <w:bottom w:val="single" w:sz="8" w:color="auto"/>
            </w:tcBorders>
          </w:tcPr>
          <w:p>
            <w:pPr>
              <w:jc w:val="right"/>
              <w:ind w:right="97"/>
              <w:spacing w:after="0" w:line="149" w:lineRule="exact"/>
              <w:rPr>
                <w:sz w:val="20"/>
                <w:szCs w:val="20"/>
                <w:color w:val="auto"/>
              </w:rPr>
            </w:pPr>
            <w:r>
              <w:rPr>
                <w:rFonts w:ascii="Calibri" w:cs="Calibri" w:eastAsia="Calibri" w:hAnsi="Calibri"/>
                <w:sz w:val="13"/>
                <w:szCs w:val="13"/>
                <w:color w:val="auto"/>
              </w:rPr>
              <w:t>43,752,594</w:t>
            </w:r>
          </w:p>
        </w:tc>
        <w:tc>
          <w:tcPr>
            <w:tcW w:w="1020" w:type="dxa"/>
            <w:vAlign w:val="bottom"/>
            <w:tcBorders>
              <w:bottom w:val="single" w:sz="8" w:color="auto"/>
            </w:tcBorders>
          </w:tcPr>
          <w:p>
            <w:pPr>
              <w:jc w:val="right"/>
              <w:ind w:right="97"/>
              <w:spacing w:after="0" w:line="149" w:lineRule="exact"/>
              <w:rPr>
                <w:sz w:val="20"/>
                <w:szCs w:val="20"/>
                <w:color w:val="auto"/>
              </w:rPr>
            </w:pPr>
            <w:r>
              <w:rPr>
                <w:rFonts w:ascii="Calibri" w:cs="Calibri" w:eastAsia="Calibri" w:hAnsi="Calibri"/>
                <w:sz w:val="13"/>
                <w:szCs w:val="13"/>
                <w:color w:val="auto"/>
              </w:rPr>
              <w:t>50,953,334</w:t>
            </w:r>
          </w:p>
        </w:tc>
        <w:tc>
          <w:tcPr>
            <w:tcW w:w="86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45,390,952</w:t>
            </w:r>
          </w:p>
        </w:tc>
        <w:tc>
          <w:tcPr>
            <w:tcW w:w="700" w:type="dxa"/>
            <w:vAlign w:val="bottom"/>
            <w:tcBorders>
              <w:bottom w:val="single" w:sz="8" w:color="auto"/>
            </w:tcBorders>
          </w:tcPr>
          <w:p>
            <w:pPr>
              <w:jc w:val="center"/>
              <w:ind w:left="237"/>
              <w:spacing w:after="0" w:line="149" w:lineRule="exact"/>
              <w:rPr>
                <w:sz w:val="20"/>
                <w:szCs w:val="20"/>
                <w:color w:val="auto"/>
              </w:rPr>
            </w:pPr>
            <w:r>
              <w:rPr>
                <w:rFonts w:ascii="Calibri" w:cs="Calibri" w:eastAsia="Calibri" w:hAnsi="Calibri"/>
                <w:sz w:val="13"/>
                <w:szCs w:val="13"/>
                <w:color w:val="auto"/>
                <w:w w:val="98"/>
              </w:rPr>
              <w:t>-10.9%</w:t>
            </w:r>
          </w:p>
        </w:tc>
        <w:tc>
          <w:tcPr>
            <w:tcW w:w="1300" w:type="dxa"/>
            <w:vAlign w:val="bottom"/>
            <w:tcBorders>
              <w:bottom w:val="single" w:sz="8" w:color="auto"/>
              <w:right w:val="single" w:sz="8" w:color="auto"/>
            </w:tcBorders>
          </w:tcPr>
          <w:p>
            <w:pPr>
              <w:jc w:val="center"/>
              <w:ind w:left="217"/>
              <w:spacing w:after="0" w:line="149" w:lineRule="exact"/>
              <w:rPr>
                <w:sz w:val="20"/>
                <w:szCs w:val="20"/>
                <w:color w:val="auto"/>
              </w:rPr>
            </w:pPr>
            <w:r>
              <w:rPr>
                <w:rFonts w:ascii="Calibri" w:cs="Calibri" w:eastAsia="Calibri" w:hAnsi="Calibri"/>
                <w:sz w:val="13"/>
                <w:szCs w:val="13"/>
                <w:color w:val="auto"/>
              </w:rPr>
              <w:t>3.7%</w:t>
            </w:r>
          </w:p>
        </w:tc>
      </w:tr>
    </w:tbl>
    <w:p>
      <w:pPr>
        <w:spacing w:after="0" w:line="187" w:lineRule="exact"/>
        <w:rPr>
          <w:sz w:val="20"/>
          <w:szCs w:val="20"/>
          <w:color w:val="auto"/>
        </w:rPr>
      </w:pPr>
    </w:p>
    <w:p>
      <w:pPr>
        <w:ind w:left="860" w:hanging="204"/>
        <w:spacing w:after="0"/>
        <w:tabs>
          <w:tab w:leader="none" w:pos="860" w:val="left"/>
        </w:tabs>
        <w:numPr>
          <w:ilvl w:val="0"/>
          <w:numId w:val="62"/>
        </w:numPr>
        <w:rPr>
          <w:rFonts w:ascii="Calibri" w:cs="Calibri" w:eastAsia="Calibri" w:hAnsi="Calibri"/>
          <w:sz w:val="14"/>
          <w:szCs w:val="14"/>
          <w:color w:val="auto"/>
        </w:rPr>
      </w:pPr>
      <w:r>
        <w:rPr>
          <w:rFonts w:ascii="Calibri" w:cs="Calibri" w:eastAsia="Calibri" w:hAnsi="Calibri"/>
          <w:sz w:val="14"/>
          <w:szCs w:val="14"/>
          <w:color w:val="auto"/>
        </w:rPr>
        <w:t>Right of use asset of lease contracts is included by applicaton of IFRS 16.</w:t>
      </w:r>
    </w:p>
    <w:p>
      <w:pPr>
        <w:spacing w:after="0" w:line="31" w:lineRule="exact"/>
        <w:rPr>
          <w:rFonts w:ascii="Calibri" w:cs="Calibri" w:eastAsia="Calibri" w:hAnsi="Calibri"/>
          <w:sz w:val="14"/>
          <w:szCs w:val="14"/>
          <w:color w:val="auto"/>
        </w:rPr>
      </w:pPr>
    </w:p>
    <w:p>
      <w:pPr>
        <w:ind w:left="860" w:hanging="204"/>
        <w:spacing w:after="0"/>
        <w:tabs>
          <w:tab w:leader="none" w:pos="860" w:val="left"/>
        </w:tabs>
        <w:numPr>
          <w:ilvl w:val="0"/>
          <w:numId w:val="62"/>
        </w:numPr>
        <w:rPr>
          <w:rFonts w:ascii="Calibri" w:cs="Calibri" w:eastAsia="Calibri" w:hAnsi="Calibri"/>
          <w:sz w:val="14"/>
          <w:szCs w:val="14"/>
          <w:color w:val="auto"/>
        </w:rPr>
      </w:pPr>
      <w:r>
        <w:rPr>
          <w:rFonts w:ascii="Calibri" w:cs="Calibri" w:eastAsia="Calibri" w:hAnsi="Calibri"/>
          <w:sz w:val="14"/>
          <w:szCs w:val="14"/>
          <w:color w:val="auto"/>
        </w:rPr>
        <w:t>Mainly includes intangible assets, other receivable accounts, trading derivatves receivable accounts and tax credit.</w:t>
      </w:r>
    </w:p>
    <w:p>
      <w:pPr>
        <w:spacing w:after="0" w:line="31" w:lineRule="exact"/>
        <w:rPr>
          <w:rFonts w:ascii="Calibri" w:cs="Calibri" w:eastAsia="Calibri" w:hAnsi="Calibri"/>
          <w:sz w:val="14"/>
          <w:szCs w:val="14"/>
          <w:color w:val="auto"/>
        </w:rPr>
      </w:pPr>
    </w:p>
    <w:p>
      <w:pPr>
        <w:ind w:left="860" w:hanging="204"/>
        <w:spacing w:after="0"/>
        <w:tabs>
          <w:tab w:leader="none" w:pos="860" w:val="left"/>
        </w:tabs>
        <w:numPr>
          <w:ilvl w:val="0"/>
          <w:numId w:val="62"/>
        </w:numPr>
        <w:rPr>
          <w:rFonts w:ascii="Calibri" w:cs="Calibri" w:eastAsia="Calibri" w:hAnsi="Calibri"/>
          <w:sz w:val="14"/>
          <w:szCs w:val="14"/>
          <w:color w:val="auto"/>
        </w:rPr>
      </w:pPr>
      <w:r>
        <w:rPr>
          <w:rFonts w:ascii="Calibri" w:cs="Calibri" w:eastAsia="Calibri" w:hAnsi="Calibri"/>
          <w:sz w:val="14"/>
          <w:szCs w:val="14"/>
          <w:color w:val="auto"/>
        </w:rPr>
        <w:t>Mainly includes other payable accounts, trading derivatves payable accounts and taxes for payable.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453"/>
        </w:trPr>
        <w:tc>
          <w:tcPr>
            <w:tcW w:w="5300" w:type="dxa"/>
            <w:vAlign w:val="bottom"/>
            <w:tcBorders>
              <w:left w:val="single" w:sz="8" w:color="auto"/>
            </w:tcBorders>
            <w:gridSpan w:val="2"/>
            <w:shd w:val="clear" w:color="auto" w:fill="000000"/>
          </w:tcPr>
          <w:p>
            <w:pPr>
              <w:ind w:left="270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1080" w:type="dxa"/>
            <w:vAlign w:val="bottom"/>
            <w:shd w:val="clear" w:color="auto" w:fill="000000"/>
          </w:tcPr>
          <w:p>
            <w:pPr>
              <w:spacing w:after="0"/>
              <w:rPr>
                <w:sz w:val="24"/>
                <w:szCs w:val="24"/>
                <w:color w:val="auto"/>
              </w:rPr>
            </w:pPr>
          </w:p>
        </w:tc>
        <w:tc>
          <w:tcPr>
            <w:tcW w:w="680" w:type="dxa"/>
            <w:vAlign w:val="bottom"/>
            <w:tcBorders>
              <w:right w:val="single" w:sz="8" w:color="auto"/>
            </w:tcBorders>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2680" w:type="dxa"/>
            <w:vAlign w:val="bottom"/>
            <w:tcBorders>
              <w:right w:val="single" w:sz="8" w:color="auto"/>
            </w:tcBorders>
            <w:gridSpan w:val="3"/>
            <w:shd w:val="clear" w:color="auto" w:fill="000000"/>
          </w:tcPr>
          <w:p>
            <w:pPr>
              <w:jc w:val="right"/>
              <w:ind w:right="105"/>
              <w:spacing w:after="0"/>
              <w:rPr>
                <w:sz w:val="20"/>
                <w:szCs w:val="20"/>
                <w:color w:val="auto"/>
              </w:rPr>
            </w:pPr>
            <w:r>
              <w:rPr>
                <w:rFonts w:ascii="Calibri" w:cs="Calibri" w:eastAsia="Calibri" w:hAnsi="Calibri"/>
                <w:sz w:val="16"/>
                <w:szCs w:val="16"/>
                <w:color w:val="ED3FA8"/>
              </w:rPr>
              <w:t>Analysis of 3Q24 Consolidated Results</w:t>
            </w:r>
          </w:p>
        </w:tc>
        <w:tc>
          <w:tcPr>
            <w:tcW w:w="94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300" w:type="dxa"/>
            <w:vAlign w:val="bottom"/>
            <w:tcBorders>
              <w:left w:val="single" w:sz="8" w:color="auto"/>
              <w:right w:val="single" w:sz="8" w:color="auto"/>
            </w:tcBorders>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680" w:type="dxa"/>
            <w:vAlign w:val="bottom"/>
            <w:tcBorders>
              <w:right w:val="single" w:sz="8" w:color="auto"/>
            </w:tcBorders>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680" w:type="dxa"/>
            <w:vAlign w:val="bottom"/>
            <w:tcBorders>
              <w:right w:val="single" w:sz="8" w:color="auto"/>
            </w:tcBorders>
            <w:shd w:val="clear" w:color="auto" w:fill="000000"/>
          </w:tcPr>
          <w:p>
            <w:pPr>
              <w:spacing w:after="0"/>
              <w:rPr>
                <w:sz w:val="24"/>
                <w:szCs w:val="24"/>
                <w:color w:val="auto"/>
              </w:rPr>
            </w:pPr>
          </w:p>
        </w:tc>
        <w:tc>
          <w:tcPr>
            <w:tcW w:w="122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94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00" w:type="dxa"/>
            <w:vAlign w:val="bottom"/>
            <w:tcBorders>
              <w:left w:val="single" w:sz="8" w:color="E93BAC"/>
              <w:righ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1000" w:type="dxa"/>
            <w:vAlign w:val="bottom"/>
            <w:shd w:val="clear" w:color="auto" w:fill="E93BAC"/>
          </w:tcPr>
          <w:p>
            <w:pPr>
              <w:spacing w:after="0"/>
              <w:rPr>
                <w:sz w:val="22"/>
                <w:szCs w:val="22"/>
                <w:color w:val="auto"/>
              </w:rPr>
            </w:pPr>
          </w:p>
        </w:tc>
        <w:tc>
          <w:tcPr>
            <w:tcW w:w="1080" w:type="dxa"/>
            <w:vAlign w:val="bottom"/>
            <w:shd w:val="clear" w:color="auto" w:fill="E93BAC"/>
          </w:tcPr>
          <w:p>
            <w:pPr>
              <w:spacing w:after="0"/>
              <w:rPr>
                <w:sz w:val="22"/>
                <w:szCs w:val="22"/>
                <w:color w:val="auto"/>
              </w:rPr>
            </w:pPr>
          </w:p>
        </w:tc>
        <w:tc>
          <w:tcPr>
            <w:tcW w:w="680" w:type="dxa"/>
            <w:vAlign w:val="bottom"/>
            <w:tcBorders>
              <w:right w:val="single" w:sz="8" w:color="E93BAC"/>
            </w:tcBorders>
            <w:shd w:val="clear" w:color="auto" w:fill="E93BAC"/>
          </w:tcPr>
          <w:p>
            <w:pPr>
              <w:spacing w:after="0"/>
              <w:rPr>
                <w:sz w:val="22"/>
                <w:szCs w:val="22"/>
                <w:color w:val="auto"/>
              </w:rPr>
            </w:pPr>
          </w:p>
        </w:tc>
        <w:tc>
          <w:tcPr>
            <w:tcW w:w="560" w:type="dxa"/>
            <w:vAlign w:val="bottom"/>
            <w:shd w:val="clear" w:color="auto" w:fill="E93BAC"/>
          </w:tcPr>
          <w:p>
            <w:pPr>
              <w:spacing w:after="0"/>
              <w:rPr>
                <w:sz w:val="22"/>
                <w:szCs w:val="22"/>
                <w:color w:val="auto"/>
              </w:rPr>
            </w:pPr>
          </w:p>
        </w:tc>
        <w:tc>
          <w:tcPr>
            <w:tcW w:w="680" w:type="dxa"/>
            <w:vAlign w:val="bottom"/>
            <w:tcBorders>
              <w:right w:val="single" w:sz="8" w:color="E93BAC"/>
            </w:tcBorders>
            <w:shd w:val="clear" w:color="auto" w:fill="E93BAC"/>
          </w:tcPr>
          <w:p>
            <w:pPr>
              <w:spacing w:after="0"/>
              <w:rPr>
                <w:sz w:val="22"/>
                <w:szCs w:val="22"/>
                <w:color w:val="auto"/>
              </w:rPr>
            </w:pPr>
          </w:p>
        </w:tc>
        <w:tc>
          <w:tcPr>
            <w:tcW w:w="1220" w:type="dxa"/>
            <w:vAlign w:val="bottom"/>
            <w:shd w:val="clear" w:color="auto" w:fill="E93BAC"/>
          </w:tcPr>
          <w:p>
            <w:pPr>
              <w:spacing w:after="0"/>
              <w:rPr>
                <w:sz w:val="22"/>
                <w:szCs w:val="22"/>
                <w:color w:val="auto"/>
              </w:rPr>
            </w:pPr>
          </w:p>
        </w:tc>
        <w:tc>
          <w:tcPr>
            <w:tcW w:w="780" w:type="dxa"/>
            <w:vAlign w:val="bottom"/>
            <w:tcBorders>
              <w:right w:val="single" w:sz="8" w:color="E93BAC"/>
            </w:tcBorders>
            <w:shd w:val="clear" w:color="auto" w:fill="E93BAC"/>
          </w:tcPr>
          <w:p>
            <w:pPr>
              <w:spacing w:after="0"/>
              <w:rPr>
                <w:sz w:val="22"/>
                <w:szCs w:val="22"/>
                <w:color w:val="auto"/>
              </w:rPr>
            </w:pPr>
          </w:p>
        </w:tc>
        <w:tc>
          <w:tcPr>
            <w:tcW w:w="940" w:type="dxa"/>
            <w:vAlign w:val="bottom"/>
            <w:tcBorders>
              <w:right w:val="single" w:sz="8" w:color="E93BAC"/>
            </w:tcBorders>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4300" w:type="dxa"/>
            <w:vAlign w:val="bottom"/>
            <w:tcBorders>
              <w:left w:val="single" w:sz="8" w:color="E93BAC"/>
              <w:right w:val="single" w:sz="8" w:color="E93BAC"/>
            </w:tcBorders>
            <w:shd w:val="clear" w:color="auto" w:fill="E93BAC"/>
          </w:tcPr>
          <w:p>
            <w:pPr>
              <w:spacing w:after="0"/>
              <w:rPr>
                <w:sz w:val="7"/>
                <w:szCs w:val="7"/>
                <w:color w:val="auto"/>
              </w:rPr>
            </w:pPr>
          </w:p>
        </w:tc>
        <w:tc>
          <w:tcPr>
            <w:tcW w:w="2080" w:type="dxa"/>
            <w:vAlign w:val="bottom"/>
            <w:gridSpan w:val="2"/>
            <w:shd w:val="clear" w:color="auto" w:fill="E93BAC"/>
          </w:tcPr>
          <w:p>
            <w:pPr>
              <w:spacing w:after="0"/>
              <w:rPr>
                <w:sz w:val="7"/>
                <w:szCs w:val="7"/>
                <w:color w:val="auto"/>
              </w:rPr>
            </w:pPr>
          </w:p>
        </w:tc>
        <w:tc>
          <w:tcPr>
            <w:tcW w:w="680" w:type="dxa"/>
            <w:vAlign w:val="bottom"/>
            <w:tcBorders>
              <w:right w:val="single" w:sz="8" w:color="E93BAC"/>
            </w:tcBorders>
            <w:shd w:val="clear" w:color="auto" w:fill="E93BAC"/>
          </w:tcPr>
          <w:p>
            <w:pPr>
              <w:spacing w:after="0"/>
              <w:rPr>
                <w:sz w:val="7"/>
                <w:szCs w:val="7"/>
                <w:color w:val="auto"/>
              </w:rPr>
            </w:pPr>
          </w:p>
        </w:tc>
        <w:tc>
          <w:tcPr>
            <w:tcW w:w="560" w:type="dxa"/>
            <w:vAlign w:val="bottom"/>
            <w:shd w:val="clear" w:color="auto" w:fill="E93BAC"/>
          </w:tcPr>
          <w:p>
            <w:pPr>
              <w:spacing w:after="0"/>
              <w:rPr>
                <w:sz w:val="7"/>
                <w:szCs w:val="7"/>
                <w:color w:val="auto"/>
              </w:rPr>
            </w:pPr>
          </w:p>
        </w:tc>
        <w:tc>
          <w:tcPr>
            <w:tcW w:w="680" w:type="dxa"/>
            <w:vAlign w:val="bottom"/>
            <w:tcBorders>
              <w:right w:val="single" w:sz="8" w:color="E93BAC"/>
            </w:tcBorders>
            <w:shd w:val="clear" w:color="auto" w:fill="E93BAC"/>
          </w:tcPr>
          <w:p>
            <w:pPr>
              <w:spacing w:after="0"/>
              <w:rPr>
                <w:sz w:val="7"/>
                <w:szCs w:val="7"/>
                <w:color w:val="auto"/>
              </w:rPr>
            </w:pPr>
          </w:p>
        </w:tc>
        <w:tc>
          <w:tcPr>
            <w:tcW w:w="1220" w:type="dxa"/>
            <w:vAlign w:val="bottom"/>
            <w:shd w:val="clear" w:color="auto" w:fill="E93BAC"/>
          </w:tcPr>
          <w:p>
            <w:pPr>
              <w:spacing w:after="0"/>
              <w:rPr>
                <w:sz w:val="7"/>
                <w:szCs w:val="7"/>
                <w:color w:val="auto"/>
              </w:rPr>
            </w:pPr>
          </w:p>
        </w:tc>
        <w:tc>
          <w:tcPr>
            <w:tcW w:w="780" w:type="dxa"/>
            <w:vAlign w:val="bottom"/>
            <w:tcBorders>
              <w:right w:val="single" w:sz="8" w:color="E93BAC"/>
            </w:tcBorders>
            <w:shd w:val="clear" w:color="auto" w:fill="E93BAC"/>
          </w:tcPr>
          <w:p>
            <w:pPr>
              <w:spacing w:after="0"/>
              <w:rPr>
                <w:sz w:val="7"/>
                <w:szCs w:val="7"/>
                <w:color w:val="auto"/>
              </w:rPr>
            </w:pPr>
          </w:p>
        </w:tc>
        <w:tc>
          <w:tcPr>
            <w:tcW w:w="940" w:type="dxa"/>
            <w:vAlign w:val="bottom"/>
            <w:tcBorders>
              <w:right w:val="single" w:sz="8" w:color="E93BAC"/>
            </w:tcBorders>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300" w:type="dxa"/>
            <w:vAlign w:val="bottom"/>
          </w:tcPr>
          <w:p>
            <w:pPr>
              <w:spacing w:after="0"/>
              <w:rPr>
                <w:sz w:val="24"/>
                <w:szCs w:val="24"/>
                <w:color w:val="auto"/>
              </w:rPr>
            </w:pPr>
          </w:p>
        </w:tc>
        <w:tc>
          <w:tcPr>
            <w:tcW w:w="2080" w:type="dxa"/>
            <w:vAlign w:val="bottom"/>
            <w:gridSpan w:val="2"/>
          </w:tcPr>
          <w:p>
            <w:pPr>
              <w:jc w:val="right"/>
              <w:ind w:right="5"/>
              <w:spacing w:after="0"/>
              <w:rPr>
                <w:sz w:val="20"/>
                <w:szCs w:val="20"/>
                <w:color w:val="auto"/>
              </w:rPr>
            </w:pPr>
            <w:r>
              <w:rPr>
                <w:rFonts w:ascii="Calibri" w:cs="Calibri" w:eastAsia="Calibri" w:hAnsi="Calibri"/>
                <w:sz w:val="16"/>
                <w:szCs w:val="16"/>
                <w:b w:val="1"/>
                <w:bCs w:val="1"/>
                <w:color w:val="auto"/>
              </w:rPr>
              <w:t>Statement of Income</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2080" w:type="dxa"/>
            <w:vAlign w:val="bottom"/>
            <w:gridSpan w:val="2"/>
          </w:tcPr>
          <w:p>
            <w:pPr>
              <w:jc w:val="right"/>
              <w:ind w:right="45"/>
              <w:spacing w:after="0"/>
              <w:rPr>
                <w:sz w:val="20"/>
                <w:szCs w:val="20"/>
                <w:color w:val="auto"/>
              </w:rPr>
            </w:pPr>
            <w:r>
              <w:rPr>
                <w:rFonts w:ascii="Calibri" w:cs="Calibri" w:eastAsia="Calibri" w:hAnsi="Calibri"/>
                <w:sz w:val="16"/>
                <w:szCs w:val="16"/>
                <w:b w:val="1"/>
                <w:bCs w:val="1"/>
                <w:color w:val="auto"/>
              </w:rPr>
              <w:t>(S/ Thousands, IFRS</w:t>
            </w: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4300" w:type="dxa"/>
            <w:vAlign w:val="bottom"/>
            <w:tcBorders>
              <w:left w:val="single" w:sz="8" w:color="auto"/>
              <w:right w:val="single" w:sz="8" w:color="auto"/>
            </w:tcBorders>
            <w:shd w:val="clear" w:color="auto" w:fill="33CCCC"/>
          </w:tcPr>
          <w:p>
            <w:pPr>
              <w:spacing w:after="0"/>
              <w:rPr>
                <w:sz w:val="14"/>
                <w:szCs w:val="14"/>
                <w:color w:val="auto"/>
              </w:rPr>
            </w:pPr>
          </w:p>
        </w:tc>
        <w:tc>
          <w:tcPr>
            <w:tcW w:w="1000" w:type="dxa"/>
            <w:vAlign w:val="bottom"/>
            <w:shd w:val="clear" w:color="auto" w:fill="33CCCC"/>
          </w:tcPr>
          <w:p>
            <w:pPr>
              <w:spacing w:after="0"/>
              <w:rPr>
                <w:sz w:val="14"/>
                <w:szCs w:val="14"/>
                <w:color w:val="auto"/>
              </w:rPr>
            </w:pPr>
          </w:p>
        </w:tc>
        <w:tc>
          <w:tcPr>
            <w:tcW w:w="1080" w:type="dxa"/>
            <w:vAlign w:val="bottom"/>
            <w:shd w:val="clear" w:color="auto" w:fill="33CCCC"/>
          </w:tcPr>
          <w:p>
            <w:pPr>
              <w:jc w:val="right"/>
              <w:ind w:right="425"/>
              <w:spacing w:after="0" w:line="164" w:lineRule="exact"/>
              <w:rPr>
                <w:sz w:val="20"/>
                <w:szCs w:val="20"/>
                <w:color w:val="auto"/>
              </w:rPr>
            </w:pPr>
            <w:r>
              <w:rPr>
                <w:rFonts w:ascii="Calibri" w:cs="Calibri" w:eastAsia="Calibri" w:hAnsi="Calibri"/>
                <w:sz w:val="14"/>
                <w:szCs w:val="14"/>
                <w:color w:val="FFFFFF"/>
              </w:rPr>
              <w:t>Quarter</w:t>
            </w:r>
          </w:p>
        </w:tc>
        <w:tc>
          <w:tcPr>
            <w:tcW w:w="680" w:type="dxa"/>
            <w:vAlign w:val="bottom"/>
            <w:tcBorders>
              <w:right w:val="single" w:sz="8" w:color="auto"/>
            </w:tcBorders>
            <w:shd w:val="clear" w:color="auto" w:fill="33CCCC"/>
          </w:tcPr>
          <w:p>
            <w:pPr>
              <w:spacing w:after="0"/>
              <w:rPr>
                <w:sz w:val="14"/>
                <w:szCs w:val="14"/>
                <w:color w:val="auto"/>
              </w:rPr>
            </w:pPr>
          </w:p>
        </w:tc>
        <w:tc>
          <w:tcPr>
            <w:tcW w:w="1240" w:type="dxa"/>
            <w:vAlign w:val="bottom"/>
            <w:tcBorders>
              <w:right w:val="single" w:sz="8" w:color="auto"/>
            </w:tcBorders>
            <w:gridSpan w:val="2"/>
            <w:shd w:val="clear" w:color="auto" w:fill="33CCCC"/>
          </w:tcPr>
          <w:p>
            <w:pPr>
              <w:jc w:val="right"/>
              <w:ind w:right="304"/>
              <w:spacing w:after="0" w:line="164" w:lineRule="exact"/>
              <w:rPr>
                <w:sz w:val="20"/>
                <w:szCs w:val="20"/>
                <w:color w:val="auto"/>
              </w:rPr>
            </w:pPr>
            <w:r>
              <w:rPr>
                <w:rFonts w:ascii="Calibri" w:cs="Calibri" w:eastAsia="Calibri" w:hAnsi="Calibri"/>
                <w:sz w:val="14"/>
                <w:szCs w:val="14"/>
                <w:color w:val="FFFFFF"/>
              </w:rPr>
              <w:t>% change</w:t>
            </w:r>
          </w:p>
        </w:tc>
        <w:tc>
          <w:tcPr>
            <w:tcW w:w="1220" w:type="dxa"/>
            <w:vAlign w:val="bottom"/>
            <w:shd w:val="clear" w:color="auto" w:fill="33CCCC"/>
          </w:tcPr>
          <w:p>
            <w:pPr>
              <w:jc w:val="right"/>
              <w:ind w:right="5"/>
              <w:spacing w:after="0" w:line="164" w:lineRule="exact"/>
              <w:rPr>
                <w:sz w:val="20"/>
                <w:szCs w:val="20"/>
                <w:color w:val="auto"/>
              </w:rPr>
            </w:pPr>
            <w:r>
              <w:rPr>
                <w:rFonts w:ascii="Calibri" w:cs="Calibri" w:eastAsia="Calibri" w:hAnsi="Calibri"/>
                <w:sz w:val="14"/>
                <w:szCs w:val="14"/>
                <w:color w:val="FFFFFF"/>
              </w:rPr>
              <w:t>Up to</w:t>
            </w:r>
          </w:p>
        </w:tc>
        <w:tc>
          <w:tcPr>
            <w:tcW w:w="780" w:type="dxa"/>
            <w:vAlign w:val="bottom"/>
            <w:tcBorders>
              <w:right w:val="single" w:sz="8" w:color="auto"/>
            </w:tcBorders>
            <w:shd w:val="clear" w:color="auto" w:fill="33CCCC"/>
          </w:tcPr>
          <w:p>
            <w:pPr>
              <w:spacing w:after="0"/>
              <w:rPr>
                <w:sz w:val="14"/>
                <w:szCs w:val="14"/>
                <w:color w:val="auto"/>
              </w:rPr>
            </w:pPr>
          </w:p>
        </w:tc>
        <w:tc>
          <w:tcPr>
            <w:tcW w:w="940" w:type="dxa"/>
            <w:vAlign w:val="bottom"/>
            <w:tcBorders>
              <w:right w:val="single" w:sz="8" w:color="auto"/>
            </w:tcBorders>
            <w:shd w:val="clear" w:color="auto" w:fill="33CCCC"/>
          </w:tcPr>
          <w:p>
            <w:pPr>
              <w:jc w:val="right"/>
              <w:ind w:right="145"/>
              <w:spacing w:after="0" w:line="164" w:lineRule="exact"/>
              <w:rPr>
                <w:sz w:val="20"/>
                <w:szCs w:val="20"/>
                <w:color w:val="auto"/>
              </w:rPr>
            </w:pPr>
            <w:r>
              <w:rPr>
                <w:rFonts w:ascii="Calibri" w:cs="Calibri" w:eastAsia="Calibri" w:hAnsi="Calibri"/>
                <w:sz w:val="14"/>
                <w:szCs w:val="14"/>
                <w:color w:val="FFFFFF"/>
              </w:rPr>
              <w:t>% change</w:t>
            </w: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bottom w:val="single" w:sz="8" w:color="auto"/>
              <w:right w:val="single" w:sz="8" w:color="auto"/>
            </w:tcBorders>
            <w:shd w:val="clear" w:color="auto" w:fill="33CCCC"/>
          </w:tcPr>
          <w:p>
            <w:pPr>
              <w:spacing w:after="0"/>
              <w:rPr>
                <w:sz w:val="15"/>
                <w:szCs w:val="15"/>
                <w:color w:val="auto"/>
              </w:rPr>
            </w:pPr>
          </w:p>
        </w:tc>
        <w:tc>
          <w:tcPr>
            <w:tcW w:w="1000" w:type="dxa"/>
            <w:vAlign w:val="bottom"/>
            <w:tcBorders>
              <w:bottom w:val="single" w:sz="8" w:color="auto"/>
            </w:tcBorders>
            <w:shd w:val="clear" w:color="auto" w:fill="33CCCC"/>
          </w:tcPr>
          <w:p>
            <w:pPr>
              <w:jc w:val="right"/>
              <w:ind w:right="343"/>
              <w:spacing w:after="0"/>
              <w:rPr>
                <w:sz w:val="20"/>
                <w:szCs w:val="20"/>
                <w:color w:val="auto"/>
              </w:rPr>
            </w:pPr>
            <w:r>
              <w:rPr>
                <w:rFonts w:ascii="Calibri" w:cs="Calibri" w:eastAsia="Calibri" w:hAnsi="Calibri"/>
                <w:sz w:val="14"/>
                <w:szCs w:val="14"/>
                <w:color w:val="FFFFFF"/>
              </w:rPr>
              <w:t>3Q23</w:t>
            </w:r>
          </w:p>
        </w:tc>
        <w:tc>
          <w:tcPr>
            <w:tcW w:w="1080" w:type="dxa"/>
            <w:vAlign w:val="bottom"/>
            <w:tcBorders>
              <w:bottom w:val="single" w:sz="8" w:color="auto"/>
            </w:tcBorders>
            <w:shd w:val="clear" w:color="auto" w:fill="33CCCC"/>
          </w:tcPr>
          <w:p>
            <w:pPr>
              <w:jc w:val="right"/>
              <w:ind w:right="525"/>
              <w:spacing w:after="0"/>
              <w:rPr>
                <w:sz w:val="20"/>
                <w:szCs w:val="20"/>
                <w:color w:val="auto"/>
              </w:rPr>
            </w:pPr>
            <w:r>
              <w:rPr>
                <w:rFonts w:ascii="Calibri" w:cs="Calibri" w:eastAsia="Calibri" w:hAnsi="Calibri"/>
                <w:sz w:val="14"/>
                <w:szCs w:val="14"/>
                <w:color w:val="FFFFFF"/>
              </w:rPr>
              <w:t>2Q24</w:t>
            </w:r>
          </w:p>
        </w:tc>
        <w:tc>
          <w:tcPr>
            <w:tcW w:w="680" w:type="dxa"/>
            <w:vAlign w:val="bottom"/>
            <w:tcBorders>
              <w:bottom w:val="single" w:sz="8" w:color="auto"/>
              <w:right w:val="single" w:sz="8" w:color="auto"/>
            </w:tcBorders>
            <w:shd w:val="clear" w:color="auto" w:fill="33CCCC"/>
          </w:tcPr>
          <w:p>
            <w:pPr>
              <w:jc w:val="right"/>
              <w:ind w:right="265"/>
              <w:spacing w:after="0"/>
              <w:rPr>
                <w:sz w:val="20"/>
                <w:szCs w:val="20"/>
                <w:color w:val="auto"/>
              </w:rPr>
            </w:pPr>
            <w:r>
              <w:rPr>
                <w:rFonts w:ascii="Calibri" w:cs="Calibri" w:eastAsia="Calibri" w:hAnsi="Calibri"/>
                <w:sz w:val="14"/>
                <w:szCs w:val="14"/>
                <w:color w:val="FFFFFF"/>
              </w:rPr>
              <w:t>3Q24</w:t>
            </w:r>
          </w:p>
        </w:tc>
        <w:tc>
          <w:tcPr>
            <w:tcW w:w="560" w:type="dxa"/>
            <w:vAlign w:val="bottom"/>
            <w:tcBorders>
              <w:bottom w:val="single" w:sz="8" w:color="auto"/>
            </w:tcBorders>
            <w:shd w:val="clear" w:color="auto" w:fill="33CCCC"/>
          </w:tcPr>
          <w:p>
            <w:pPr>
              <w:jc w:val="right"/>
              <w:ind w:right="105"/>
              <w:spacing w:after="0"/>
              <w:rPr>
                <w:sz w:val="20"/>
                <w:szCs w:val="20"/>
                <w:color w:val="auto"/>
              </w:rPr>
            </w:pPr>
            <w:r>
              <w:rPr>
                <w:rFonts w:ascii="Calibri" w:cs="Calibri" w:eastAsia="Calibri" w:hAnsi="Calibri"/>
                <w:sz w:val="14"/>
                <w:szCs w:val="14"/>
                <w:color w:val="FFFFFF"/>
              </w:rPr>
              <w:t>QoQ</w:t>
            </w:r>
          </w:p>
        </w:tc>
        <w:tc>
          <w:tcPr>
            <w:tcW w:w="680" w:type="dxa"/>
            <w:vAlign w:val="bottom"/>
            <w:tcBorders>
              <w:bottom w:val="single" w:sz="8" w:color="auto"/>
              <w:right w:val="single" w:sz="8" w:color="auto"/>
            </w:tcBorders>
            <w:shd w:val="clear" w:color="auto" w:fill="33CCCC"/>
          </w:tcPr>
          <w:p>
            <w:pPr>
              <w:jc w:val="right"/>
              <w:ind w:right="204"/>
              <w:spacing w:after="0"/>
              <w:rPr>
                <w:sz w:val="20"/>
                <w:szCs w:val="20"/>
                <w:color w:val="auto"/>
              </w:rPr>
            </w:pPr>
            <w:r>
              <w:rPr>
                <w:rFonts w:ascii="Calibri" w:cs="Calibri" w:eastAsia="Calibri" w:hAnsi="Calibri"/>
                <w:sz w:val="14"/>
                <w:szCs w:val="14"/>
                <w:color w:val="FFFFFF"/>
              </w:rPr>
              <w:t>YoY</w:t>
            </w:r>
          </w:p>
        </w:tc>
        <w:tc>
          <w:tcPr>
            <w:tcW w:w="1220" w:type="dxa"/>
            <w:vAlign w:val="bottom"/>
            <w:tcBorders>
              <w:bottom w:val="single" w:sz="8" w:color="auto"/>
            </w:tcBorders>
            <w:shd w:val="clear" w:color="auto" w:fill="33CCCC"/>
          </w:tcPr>
          <w:p>
            <w:pPr>
              <w:jc w:val="right"/>
              <w:ind w:right="485"/>
              <w:spacing w:after="0"/>
              <w:rPr>
                <w:sz w:val="20"/>
                <w:szCs w:val="20"/>
                <w:color w:val="auto"/>
              </w:rPr>
            </w:pPr>
            <w:r>
              <w:rPr>
                <w:rFonts w:ascii="Calibri" w:cs="Calibri" w:eastAsia="Calibri" w:hAnsi="Calibri"/>
                <w:sz w:val="14"/>
                <w:szCs w:val="14"/>
                <w:color w:val="FFFFFF"/>
              </w:rPr>
              <w:t>Sep 23</w:t>
            </w:r>
          </w:p>
        </w:tc>
        <w:tc>
          <w:tcPr>
            <w:tcW w:w="780" w:type="dxa"/>
            <w:vAlign w:val="bottom"/>
            <w:tcBorders>
              <w:bottom w:val="single" w:sz="8" w:color="auto"/>
              <w:right w:val="single" w:sz="8" w:color="auto"/>
            </w:tcBorders>
            <w:shd w:val="clear" w:color="auto" w:fill="33CCCC"/>
          </w:tcPr>
          <w:p>
            <w:pPr>
              <w:jc w:val="right"/>
              <w:ind w:right="265"/>
              <w:spacing w:after="0"/>
              <w:rPr>
                <w:sz w:val="20"/>
                <w:szCs w:val="20"/>
                <w:color w:val="auto"/>
              </w:rPr>
            </w:pPr>
            <w:r>
              <w:rPr>
                <w:rFonts w:ascii="Calibri" w:cs="Calibri" w:eastAsia="Calibri" w:hAnsi="Calibri"/>
                <w:sz w:val="14"/>
                <w:szCs w:val="14"/>
                <w:color w:val="FFFFFF"/>
              </w:rPr>
              <w:t>Sep 24</w:t>
            </w:r>
          </w:p>
        </w:tc>
        <w:tc>
          <w:tcPr>
            <w:tcW w:w="940" w:type="dxa"/>
            <w:vAlign w:val="bottom"/>
            <w:tcBorders>
              <w:bottom w:val="single" w:sz="8" w:color="auto"/>
              <w:right w:val="single" w:sz="8" w:color="auto"/>
            </w:tcBorders>
            <w:shd w:val="clear" w:color="auto" w:fill="33CCCC"/>
          </w:tcPr>
          <w:p>
            <w:pPr>
              <w:jc w:val="right"/>
              <w:spacing w:after="0"/>
              <w:rPr>
                <w:sz w:val="20"/>
                <w:szCs w:val="20"/>
                <w:color w:val="auto"/>
              </w:rPr>
            </w:pPr>
            <w:r>
              <w:rPr>
                <w:rFonts w:ascii="Calibri" w:cs="Calibri" w:eastAsia="Calibri" w:hAnsi="Calibri"/>
                <w:sz w:val="14"/>
                <w:szCs w:val="14"/>
                <w:color w:val="FFFFFF"/>
              </w:rPr>
              <w:t>Sep 24 / Sep 23</w:t>
            </w:r>
          </w:p>
        </w:tc>
        <w:tc>
          <w:tcPr>
            <w:tcW w:w="0" w:type="dxa"/>
            <w:vAlign w:val="bottom"/>
          </w:tcPr>
          <w:p>
            <w:pPr>
              <w:spacing w:after="0"/>
              <w:rPr>
                <w:sz w:val="1"/>
                <w:szCs w:val="1"/>
                <w:color w:val="auto"/>
              </w:rPr>
            </w:pPr>
          </w:p>
        </w:tc>
      </w:tr>
      <w:tr>
        <w:trPr>
          <w:trHeight w:val="126"/>
        </w:trPr>
        <w:tc>
          <w:tcPr>
            <w:tcW w:w="4300" w:type="dxa"/>
            <w:vAlign w:val="bottom"/>
            <w:tcBorders>
              <w:left w:val="single" w:sz="8" w:color="auto"/>
              <w:right w:val="single" w:sz="8" w:color="auto"/>
            </w:tcBorders>
          </w:tcPr>
          <w:p>
            <w:pPr>
              <w:ind w:left="20"/>
              <w:spacing w:after="0" w:line="126" w:lineRule="exact"/>
              <w:rPr>
                <w:sz w:val="20"/>
                <w:szCs w:val="20"/>
                <w:color w:val="auto"/>
              </w:rPr>
            </w:pPr>
            <w:r>
              <w:rPr>
                <w:rFonts w:ascii="Calibri" w:cs="Calibri" w:eastAsia="Calibri" w:hAnsi="Calibri"/>
                <w:sz w:val="11"/>
                <w:szCs w:val="11"/>
                <w:b w:val="1"/>
                <w:bCs w:val="1"/>
                <w:color w:val="auto"/>
              </w:rPr>
              <w:t>Interest income and expense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tcBorders>
              <w:left w:val="single" w:sz="8" w:color="auto"/>
              <w:right w:val="single" w:sz="8" w:color="auto"/>
            </w:tcBorders>
          </w:tcPr>
          <w:p>
            <w:pPr>
              <w:ind w:left="180"/>
              <w:spacing w:after="0" w:line="125" w:lineRule="exact"/>
              <w:rPr>
                <w:sz w:val="20"/>
                <w:szCs w:val="20"/>
                <w:color w:val="auto"/>
              </w:rPr>
            </w:pPr>
            <w:r>
              <w:rPr>
                <w:rFonts w:ascii="Calibri" w:cs="Calibri" w:eastAsia="Calibri" w:hAnsi="Calibri"/>
                <w:sz w:val="11"/>
                <w:szCs w:val="11"/>
                <w:color w:val="auto"/>
              </w:rPr>
              <w:t>Interest and similar income</w:t>
            </w:r>
          </w:p>
        </w:tc>
        <w:tc>
          <w:tcPr>
            <w:tcW w:w="1000" w:type="dxa"/>
            <w:vAlign w:val="bottom"/>
          </w:tcPr>
          <w:p>
            <w:pPr>
              <w:jc w:val="right"/>
              <w:ind w:right="63"/>
              <w:spacing w:after="0" w:line="125" w:lineRule="exact"/>
              <w:rPr>
                <w:sz w:val="20"/>
                <w:szCs w:val="20"/>
                <w:color w:val="auto"/>
              </w:rPr>
            </w:pPr>
            <w:r>
              <w:rPr>
                <w:rFonts w:ascii="Calibri" w:cs="Calibri" w:eastAsia="Calibri" w:hAnsi="Calibri"/>
                <w:sz w:val="11"/>
                <w:szCs w:val="11"/>
                <w:color w:val="auto"/>
              </w:rPr>
              <w:t>3,450,119</w:t>
            </w:r>
          </w:p>
        </w:tc>
        <w:tc>
          <w:tcPr>
            <w:tcW w:w="1080" w:type="dxa"/>
            <w:vAlign w:val="bottom"/>
          </w:tcPr>
          <w:p>
            <w:pPr>
              <w:jc w:val="right"/>
              <w:ind w:right="205"/>
              <w:spacing w:after="0" w:line="125" w:lineRule="exact"/>
              <w:rPr>
                <w:sz w:val="20"/>
                <w:szCs w:val="20"/>
                <w:color w:val="auto"/>
              </w:rPr>
            </w:pPr>
            <w:r>
              <w:rPr>
                <w:rFonts w:ascii="Calibri" w:cs="Calibri" w:eastAsia="Calibri" w:hAnsi="Calibri"/>
                <w:sz w:val="11"/>
                <w:szCs w:val="11"/>
                <w:color w:val="auto"/>
              </w:rPr>
              <w:t>3,565,956</w:t>
            </w:r>
          </w:p>
        </w:tc>
        <w:tc>
          <w:tcPr>
            <w:tcW w:w="680" w:type="dxa"/>
            <w:vAlign w:val="bottom"/>
            <w:tcBorders>
              <w:right w:val="single" w:sz="8" w:color="auto"/>
            </w:tcBorders>
          </w:tcPr>
          <w:p>
            <w:pPr>
              <w:jc w:val="right"/>
              <w:spacing w:after="0" w:line="125" w:lineRule="exact"/>
              <w:rPr>
                <w:sz w:val="20"/>
                <w:szCs w:val="20"/>
                <w:color w:val="auto"/>
              </w:rPr>
            </w:pPr>
            <w:r>
              <w:rPr>
                <w:rFonts w:ascii="Calibri" w:cs="Calibri" w:eastAsia="Calibri" w:hAnsi="Calibri"/>
                <w:sz w:val="11"/>
                <w:szCs w:val="11"/>
                <w:color w:val="auto"/>
              </w:rPr>
              <w:t>3,616,878</w:t>
            </w:r>
          </w:p>
        </w:tc>
        <w:tc>
          <w:tcPr>
            <w:tcW w:w="560" w:type="dxa"/>
            <w:vAlign w:val="bottom"/>
          </w:tcPr>
          <w:p>
            <w:pPr>
              <w:jc w:val="right"/>
              <w:spacing w:after="0" w:line="125" w:lineRule="exact"/>
              <w:rPr>
                <w:sz w:val="20"/>
                <w:szCs w:val="20"/>
                <w:color w:val="auto"/>
              </w:rPr>
            </w:pPr>
            <w:r>
              <w:rPr>
                <w:rFonts w:ascii="Calibri" w:cs="Calibri" w:eastAsia="Calibri" w:hAnsi="Calibri"/>
                <w:sz w:val="11"/>
                <w:szCs w:val="11"/>
                <w:color w:val="auto"/>
              </w:rPr>
              <w:t>1.4%</w:t>
            </w:r>
          </w:p>
        </w:tc>
        <w:tc>
          <w:tcPr>
            <w:tcW w:w="680" w:type="dxa"/>
            <w:vAlign w:val="bottom"/>
            <w:tcBorders>
              <w:right w:val="single" w:sz="8" w:color="auto"/>
            </w:tcBorders>
          </w:tcPr>
          <w:p>
            <w:pPr>
              <w:jc w:val="right"/>
              <w:spacing w:after="0" w:line="125" w:lineRule="exact"/>
              <w:rPr>
                <w:sz w:val="20"/>
                <w:szCs w:val="20"/>
                <w:color w:val="auto"/>
              </w:rPr>
            </w:pPr>
            <w:r>
              <w:rPr>
                <w:rFonts w:ascii="Calibri" w:cs="Calibri" w:eastAsia="Calibri" w:hAnsi="Calibri"/>
                <w:sz w:val="11"/>
                <w:szCs w:val="11"/>
                <w:color w:val="auto"/>
              </w:rPr>
              <w:t>4.8%</w:t>
            </w:r>
          </w:p>
        </w:tc>
        <w:tc>
          <w:tcPr>
            <w:tcW w:w="1220" w:type="dxa"/>
            <w:vAlign w:val="bottom"/>
          </w:tcPr>
          <w:p>
            <w:pPr>
              <w:jc w:val="right"/>
              <w:ind w:right="185"/>
              <w:spacing w:after="0" w:line="125" w:lineRule="exact"/>
              <w:rPr>
                <w:sz w:val="20"/>
                <w:szCs w:val="20"/>
                <w:color w:val="auto"/>
              </w:rPr>
            </w:pPr>
            <w:r>
              <w:rPr>
                <w:rFonts w:ascii="Calibri" w:cs="Calibri" w:eastAsia="Calibri" w:hAnsi="Calibri"/>
                <w:sz w:val="11"/>
                <w:szCs w:val="11"/>
                <w:color w:val="auto"/>
              </w:rPr>
              <w:t>9,978,865</w:t>
            </w:r>
          </w:p>
        </w:tc>
        <w:tc>
          <w:tcPr>
            <w:tcW w:w="780" w:type="dxa"/>
            <w:vAlign w:val="bottom"/>
            <w:tcBorders>
              <w:right w:val="single" w:sz="8" w:color="auto"/>
            </w:tcBorders>
          </w:tcPr>
          <w:p>
            <w:pPr>
              <w:jc w:val="right"/>
              <w:spacing w:after="0" w:line="125" w:lineRule="exact"/>
              <w:rPr>
                <w:sz w:val="20"/>
                <w:szCs w:val="20"/>
                <w:color w:val="auto"/>
              </w:rPr>
            </w:pPr>
            <w:r>
              <w:rPr>
                <w:rFonts w:ascii="Calibri" w:cs="Calibri" w:eastAsia="Calibri" w:hAnsi="Calibri"/>
                <w:sz w:val="11"/>
                <w:szCs w:val="11"/>
                <w:color w:val="auto"/>
              </w:rPr>
              <w:t>10,705,541</w:t>
            </w:r>
          </w:p>
        </w:tc>
        <w:tc>
          <w:tcPr>
            <w:tcW w:w="940" w:type="dxa"/>
            <w:vAlign w:val="bottom"/>
            <w:tcBorders>
              <w:right w:val="single" w:sz="8" w:color="auto"/>
            </w:tcBorders>
          </w:tcPr>
          <w:p>
            <w:pPr>
              <w:jc w:val="right"/>
              <w:spacing w:after="0" w:line="125" w:lineRule="exact"/>
              <w:rPr>
                <w:sz w:val="20"/>
                <w:szCs w:val="20"/>
                <w:color w:val="auto"/>
              </w:rPr>
            </w:pPr>
            <w:r>
              <w:rPr>
                <w:rFonts w:ascii="Calibri" w:cs="Calibri" w:eastAsia="Calibri" w:hAnsi="Calibri"/>
                <w:sz w:val="11"/>
                <w:szCs w:val="11"/>
                <w:color w:val="auto"/>
              </w:rPr>
              <w:t>7.3%</w:t>
            </w:r>
          </w:p>
        </w:tc>
        <w:tc>
          <w:tcPr>
            <w:tcW w:w="0" w:type="dxa"/>
            <w:vAlign w:val="bottom"/>
          </w:tcPr>
          <w:p>
            <w:pPr>
              <w:spacing w:after="0"/>
              <w:rPr>
                <w:sz w:val="1"/>
                <w:szCs w:val="1"/>
                <w:color w:val="auto"/>
              </w:rPr>
            </w:pPr>
          </w:p>
        </w:tc>
      </w:tr>
      <w:tr>
        <w:trPr>
          <w:trHeight w:val="146"/>
        </w:trPr>
        <w:tc>
          <w:tcPr>
            <w:tcW w:w="4300" w:type="dxa"/>
            <w:vAlign w:val="bottom"/>
            <w:tcBorders>
              <w:left w:val="single" w:sz="8" w:color="auto"/>
              <w:right w:val="single" w:sz="8" w:color="auto"/>
            </w:tcBorders>
          </w:tcPr>
          <w:p>
            <w:pPr>
              <w:ind w:left="180"/>
              <w:spacing w:after="0" w:line="146" w:lineRule="exact"/>
              <w:rPr>
                <w:sz w:val="20"/>
                <w:szCs w:val="20"/>
                <w:color w:val="auto"/>
              </w:rPr>
            </w:pPr>
            <w:r>
              <w:rPr>
                <w:rFonts w:ascii="Calibri" w:cs="Calibri" w:eastAsia="Calibri" w:hAnsi="Calibri"/>
                <w:sz w:val="10"/>
                <w:szCs w:val="10"/>
                <w:color w:val="auto"/>
              </w:rPr>
              <w:t xml:space="preserve">Interest and similar expenses </w:t>
            </w:r>
            <w:r>
              <w:rPr>
                <w:rFonts w:ascii="Calibri" w:cs="Calibri" w:eastAsia="Calibri" w:hAnsi="Calibri"/>
                <w:sz w:val="15"/>
                <w:szCs w:val="15"/>
                <w:color w:val="auto"/>
                <w:vertAlign w:val="superscript"/>
              </w:rPr>
              <w:t>(1)</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(1,002,366)</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(904,173)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(856,286)</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-5.3%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-14.6%</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(2,732,166)</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(2,672,158)</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-2.2%</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180"/>
              <w:spacing w:after="0" w:line="127" w:lineRule="exact"/>
              <w:rPr>
                <w:sz w:val="20"/>
                <w:szCs w:val="20"/>
                <w:color w:val="auto"/>
              </w:rPr>
            </w:pPr>
            <w:r>
              <w:rPr>
                <w:rFonts w:ascii="Calibri" w:cs="Calibri" w:eastAsia="Calibri" w:hAnsi="Calibri"/>
                <w:sz w:val="11"/>
                <w:szCs w:val="11"/>
                <w:b w:val="1"/>
                <w:bCs w:val="1"/>
                <w:color w:val="auto"/>
              </w:rPr>
              <w:t>Net interest, similar income and expenses</w:t>
            </w:r>
          </w:p>
        </w:tc>
        <w:tc>
          <w:tcPr>
            <w:tcW w:w="1000" w:type="dxa"/>
            <w:vAlign w:val="bottom"/>
          </w:tcPr>
          <w:p>
            <w:pPr>
              <w:jc w:val="right"/>
              <w:ind w:right="63"/>
              <w:spacing w:after="0" w:line="127" w:lineRule="exact"/>
              <w:rPr>
                <w:sz w:val="20"/>
                <w:szCs w:val="20"/>
                <w:color w:val="auto"/>
              </w:rPr>
            </w:pPr>
            <w:r>
              <w:rPr>
                <w:rFonts w:ascii="Calibri" w:cs="Calibri" w:eastAsia="Calibri" w:hAnsi="Calibri"/>
                <w:sz w:val="11"/>
                <w:szCs w:val="11"/>
                <w:b w:val="1"/>
                <w:bCs w:val="1"/>
                <w:color w:val="auto"/>
              </w:rPr>
              <w:t>2,447,753</w:t>
            </w:r>
          </w:p>
        </w:tc>
        <w:tc>
          <w:tcPr>
            <w:tcW w:w="1080" w:type="dxa"/>
            <w:vAlign w:val="bottom"/>
          </w:tcPr>
          <w:p>
            <w:pPr>
              <w:jc w:val="right"/>
              <w:ind w:right="205"/>
              <w:spacing w:after="0" w:line="127" w:lineRule="exact"/>
              <w:rPr>
                <w:sz w:val="20"/>
                <w:szCs w:val="20"/>
                <w:color w:val="auto"/>
              </w:rPr>
            </w:pPr>
            <w:r>
              <w:rPr>
                <w:rFonts w:ascii="Calibri" w:cs="Calibri" w:eastAsia="Calibri" w:hAnsi="Calibri"/>
                <w:sz w:val="11"/>
                <w:szCs w:val="11"/>
                <w:b w:val="1"/>
                <w:bCs w:val="1"/>
                <w:color w:val="auto"/>
              </w:rPr>
              <w:t>2,661,783</w:t>
            </w:r>
          </w:p>
        </w:tc>
        <w:tc>
          <w:tcPr>
            <w:tcW w:w="6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b w:val="1"/>
                <w:bCs w:val="1"/>
                <w:color w:val="auto"/>
              </w:rPr>
              <w:t>2,760,592</w:t>
            </w:r>
          </w:p>
        </w:tc>
        <w:tc>
          <w:tcPr>
            <w:tcW w:w="560" w:type="dxa"/>
            <w:vAlign w:val="bottom"/>
          </w:tcPr>
          <w:p>
            <w:pPr>
              <w:jc w:val="right"/>
              <w:spacing w:after="0" w:line="127" w:lineRule="exact"/>
              <w:rPr>
                <w:sz w:val="20"/>
                <w:szCs w:val="20"/>
                <w:color w:val="auto"/>
              </w:rPr>
            </w:pPr>
            <w:r>
              <w:rPr>
                <w:rFonts w:ascii="Calibri" w:cs="Calibri" w:eastAsia="Calibri" w:hAnsi="Calibri"/>
                <w:sz w:val="11"/>
                <w:szCs w:val="11"/>
                <w:b w:val="1"/>
                <w:bCs w:val="1"/>
                <w:color w:val="auto"/>
              </w:rPr>
              <w:t>3.7%</w:t>
            </w:r>
          </w:p>
        </w:tc>
        <w:tc>
          <w:tcPr>
            <w:tcW w:w="6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b w:val="1"/>
                <w:bCs w:val="1"/>
                <w:color w:val="auto"/>
              </w:rPr>
              <w:t>12.8%</w:t>
            </w:r>
          </w:p>
        </w:tc>
        <w:tc>
          <w:tcPr>
            <w:tcW w:w="1220" w:type="dxa"/>
            <w:vAlign w:val="bottom"/>
          </w:tcPr>
          <w:p>
            <w:pPr>
              <w:jc w:val="right"/>
              <w:ind w:right="185"/>
              <w:spacing w:after="0" w:line="127" w:lineRule="exact"/>
              <w:rPr>
                <w:sz w:val="20"/>
                <w:szCs w:val="20"/>
                <w:color w:val="auto"/>
              </w:rPr>
            </w:pPr>
            <w:r>
              <w:rPr>
                <w:rFonts w:ascii="Calibri" w:cs="Calibri" w:eastAsia="Calibri" w:hAnsi="Calibri"/>
                <w:sz w:val="11"/>
                <w:szCs w:val="11"/>
                <w:b w:val="1"/>
                <w:bCs w:val="1"/>
                <w:color w:val="auto"/>
              </w:rPr>
              <w:t>7,246,699</w:t>
            </w:r>
          </w:p>
        </w:tc>
        <w:tc>
          <w:tcPr>
            <w:tcW w:w="7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b w:val="1"/>
                <w:bCs w:val="1"/>
                <w:color w:val="auto"/>
              </w:rPr>
              <w:t>8,033,383</w:t>
            </w:r>
          </w:p>
        </w:tc>
        <w:tc>
          <w:tcPr>
            <w:tcW w:w="94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b w:val="1"/>
                <w:bCs w:val="1"/>
                <w:color w:val="auto"/>
              </w:rPr>
              <w:t>10.9%</w:t>
            </w: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Provision for credit losses on loan portolio</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(733,594)</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(844,236)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(714,464)</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-15.4%</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-2.6%</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(1,923,332)</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(2,216,084)</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15.2%</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Recoveries of writen-of loans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59,331</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64,914</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79,057</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21.8%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33.2%</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160,640</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199,291</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24.1%</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Provision for credit losses on loan portolio, net of recoveries</w:t>
            </w:r>
          </w:p>
        </w:tc>
        <w:tc>
          <w:tcPr>
            <w:tcW w:w="1000" w:type="dxa"/>
            <w:vAlign w:val="bottom"/>
          </w:tcPr>
          <w:p>
            <w:pPr>
              <w:jc w:val="right"/>
              <w:ind w:right="63"/>
              <w:spacing w:after="0"/>
              <w:rPr>
                <w:sz w:val="20"/>
                <w:szCs w:val="20"/>
                <w:color w:val="auto"/>
              </w:rPr>
            </w:pPr>
            <w:r>
              <w:rPr>
                <w:rFonts w:ascii="Calibri" w:cs="Calibri" w:eastAsia="Calibri" w:hAnsi="Calibri"/>
                <w:sz w:val="11"/>
                <w:szCs w:val="11"/>
                <w:b w:val="1"/>
                <w:bCs w:val="1"/>
                <w:color w:val="auto"/>
              </w:rPr>
              <w:t>(674,263)</w:t>
            </w:r>
          </w:p>
        </w:tc>
        <w:tc>
          <w:tcPr>
            <w:tcW w:w="1080" w:type="dxa"/>
            <w:vAlign w:val="bottom"/>
          </w:tcPr>
          <w:p>
            <w:pPr>
              <w:jc w:val="right"/>
              <w:ind w:right="205"/>
              <w:spacing w:after="0"/>
              <w:rPr>
                <w:sz w:val="20"/>
                <w:szCs w:val="20"/>
                <w:color w:val="auto"/>
              </w:rPr>
            </w:pPr>
            <w:r>
              <w:rPr>
                <w:rFonts w:ascii="Calibri" w:cs="Calibri" w:eastAsia="Calibri" w:hAnsi="Calibri"/>
                <w:sz w:val="11"/>
                <w:szCs w:val="11"/>
                <w:b w:val="1"/>
                <w:bCs w:val="1"/>
                <w:color w:val="auto"/>
              </w:rPr>
              <w:t>(779,322)</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(635,407)</w:t>
            </w:r>
          </w:p>
        </w:tc>
        <w:tc>
          <w:tcPr>
            <w:tcW w:w="560" w:type="dxa"/>
            <w:vAlign w:val="bottom"/>
          </w:tcPr>
          <w:p>
            <w:pPr>
              <w:jc w:val="right"/>
              <w:spacing w:after="0"/>
              <w:rPr>
                <w:sz w:val="20"/>
                <w:szCs w:val="20"/>
                <w:color w:val="auto"/>
              </w:rPr>
            </w:pPr>
            <w:r>
              <w:rPr>
                <w:rFonts w:ascii="Calibri" w:cs="Calibri" w:eastAsia="Calibri" w:hAnsi="Calibri"/>
                <w:sz w:val="11"/>
                <w:szCs w:val="11"/>
                <w:b w:val="1"/>
                <w:bCs w:val="1"/>
                <w:color w:val="auto"/>
              </w:rPr>
              <w:t>-18.5%</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-5.8%</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(1,762,692)</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(2,016,793)</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14.4%</w:t>
            </w: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interest, similar income and expenses,</w:t>
            </w:r>
          </w:p>
        </w:tc>
        <w:tc>
          <w:tcPr>
            <w:tcW w:w="1000" w:type="dxa"/>
            <w:vAlign w:val="bottom"/>
            <w:vMerge w:val="restart"/>
          </w:tcPr>
          <w:p>
            <w:pPr>
              <w:jc w:val="right"/>
              <w:ind w:right="63"/>
              <w:spacing w:after="0"/>
              <w:rPr>
                <w:sz w:val="20"/>
                <w:szCs w:val="20"/>
                <w:color w:val="auto"/>
              </w:rPr>
            </w:pPr>
            <w:r>
              <w:rPr>
                <w:rFonts w:ascii="Calibri" w:cs="Calibri" w:eastAsia="Calibri" w:hAnsi="Calibri"/>
                <w:sz w:val="11"/>
                <w:szCs w:val="11"/>
                <w:b w:val="1"/>
                <w:bCs w:val="1"/>
                <w:color w:val="auto"/>
              </w:rPr>
              <w:t>1,773,490</w:t>
            </w:r>
          </w:p>
        </w:tc>
        <w:tc>
          <w:tcPr>
            <w:tcW w:w="1080" w:type="dxa"/>
            <w:vAlign w:val="bottom"/>
            <w:vMerge w:val="restart"/>
          </w:tcPr>
          <w:p>
            <w:pPr>
              <w:jc w:val="right"/>
              <w:ind w:right="205"/>
              <w:spacing w:after="0"/>
              <w:rPr>
                <w:sz w:val="20"/>
                <w:szCs w:val="20"/>
                <w:color w:val="auto"/>
              </w:rPr>
            </w:pPr>
            <w:r>
              <w:rPr>
                <w:rFonts w:ascii="Calibri" w:cs="Calibri" w:eastAsia="Calibri" w:hAnsi="Calibri"/>
                <w:sz w:val="11"/>
                <w:szCs w:val="11"/>
                <w:b w:val="1"/>
                <w:bCs w:val="1"/>
                <w:color w:val="auto"/>
              </w:rPr>
              <w:t>1,882,461</w:t>
            </w:r>
          </w:p>
        </w:tc>
        <w:tc>
          <w:tcPr>
            <w:tcW w:w="6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2,125,185</w:t>
            </w:r>
          </w:p>
        </w:tc>
        <w:tc>
          <w:tcPr>
            <w:tcW w:w="560" w:type="dxa"/>
            <w:vAlign w:val="bottom"/>
            <w:vMerge w:val="restart"/>
          </w:tcPr>
          <w:p>
            <w:pPr>
              <w:jc w:val="right"/>
              <w:spacing w:after="0"/>
              <w:rPr>
                <w:sz w:val="20"/>
                <w:szCs w:val="20"/>
                <w:color w:val="auto"/>
              </w:rPr>
            </w:pPr>
            <w:r>
              <w:rPr>
                <w:rFonts w:ascii="Calibri" w:cs="Calibri" w:eastAsia="Calibri" w:hAnsi="Calibri"/>
                <w:sz w:val="11"/>
                <w:szCs w:val="11"/>
                <w:b w:val="1"/>
                <w:bCs w:val="1"/>
                <w:color w:val="auto"/>
              </w:rPr>
              <w:t>12.9%</w:t>
            </w:r>
          </w:p>
        </w:tc>
        <w:tc>
          <w:tcPr>
            <w:tcW w:w="6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19.8%</w:t>
            </w:r>
          </w:p>
        </w:tc>
        <w:tc>
          <w:tcPr>
            <w:tcW w:w="1220" w:type="dxa"/>
            <w:vAlign w:val="bottom"/>
            <w:vMerge w:val="restart"/>
          </w:tcPr>
          <w:p>
            <w:pPr>
              <w:jc w:val="right"/>
              <w:ind w:right="185"/>
              <w:spacing w:after="0"/>
              <w:rPr>
                <w:sz w:val="20"/>
                <w:szCs w:val="20"/>
                <w:color w:val="auto"/>
              </w:rPr>
            </w:pPr>
            <w:r>
              <w:rPr>
                <w:rFonts w:ascii="Calibri" w:cs="Calibri" w:eastAsia="Calibri" w:hAnsi="Calibri"/>
                <w:sz w:val="11"/>
                <w:szCs w:val="11"/>
                <w:b w:val="1"/>
                <w:bCs w:val="1"/>
                <w:color w:val="auto"/>
              </w:rPr>
              <w:t>5,484,007</w:t>
            </w:r>
          </w:p>
        </w:tc>
        <w:tc>
          <w:tcPr>
            <w:tcW w:w="78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6,016,590</w:t>
            </w:r>
          </w:p>
        </w:tc>
        <w:tc>
          <w:tcPr>
            <w:tcW w:w="94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1"/>
                <w:szCs w:val="11"/>
                <w:b w:val="1"/>
                <w:bCs w:val="1"/>
                <w:color w:val="auto"/>
              </w:rPr>
              <w:t>9.7%</w:t>
            </w:r>
          </w:p>
        </w:tc>
        <w:tc>
          <w:tcPr>
            <w:tcW w:w="0" w:type="dxa"/>
            <w:vAlign w:val="bottom"/>
          </w:tcPr>
          <w:p>
            <w:pPr>
              <w:spacing w:after="0"/>
              <w:rPr>
                <w:sz w:val="1"/>
                <w:szCs w:val="1"/>
                <w:color w:val="auto"/>
              </w:rPr>
            </w:pPr>
          </w:p>
        </w:tc>
      </w:tr>
      <w:tr>
        <w:trPr>
          <w:trHeight w:val="68"/>
        </w:trPr>
        <w:tc>
          <w:tcPr>
            <w:tcW w:w="4300" w:type="dxa"/>
            <w:vAlign w:val="bottom"/>
            <w:tcBorders>
              <w:left w:val="single" w:sz="8" w:color="auto"/>
              <w:right w:val="single" w:sz="8" w:color="auto"/>
            </w:tcBorders>
            <w:vMerge w:val="restart"/>
          </w:tcPr>
          <w:p>
            <w:pPr>
              <w:ind w:left="20"/>
              <w:spacing w:after="0"/>
              <w:rPr>
                <w:sz w:val="20"/>
                <w:szCs w:val="20"/>
                <w:color w:val="auto"/>
              </w:rPr>
            </w:pPr>
            <w:r>
              <w:rPr>
                <w:rFonts w:ascii="Calibri" w:cs="Calibri" w:eastAsia="Calibri" w:hAnsi="Calibri"/>
                <w:sz w:val="11"/>
                <w:szCs w:val="11"/>
                <w:b w:val="1"/>
                <w:bCs w:val="1"/>
                <w:color w:val="auto"/>
              </w:rPr>
              <w:t>afer provision for credit losses on loan portolio</w:t>
            </w:r>
          </w:p>
        </w:tc>
        <w:tc>
          <w:tcPr>
            <w:tcW w:w="10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300" w:type="dxa"/>
            <w:vAlign w:val="bottom"/>
            <w:tcBorders>
              <w:left w:val="single" w:sz="8" w:color="auto"/>
              <w:right w:val="single" w:sz="8" w:color="auto"/>
            </w:tcBorders>
            <w:vMerge w:val="continue"/>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Other income</w:t>
            </w: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Fee income</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757,688</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812,503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879,996</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8.3%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16.1%</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2,179,126</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2,463,962</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13.1%</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Net gain on foreign exchange transactons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238,376</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289,381</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297,478</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2.8%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24.8%</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722,237</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845,918</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17.1%</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Net loss on securites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54,382</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66,080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73,084</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10.6%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34.4%</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117,757</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217,145</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84.4%</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Net gain (loss) from associates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817</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2,647</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3,078</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16.3%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276.7%</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(7,807)</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5,190</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n.a.</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Net gain (loss) on derivatves held for trading</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3,288</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17,151</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13,899</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-19.0%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322.7%</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60,112</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49,776</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-17.2%</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Net gain (loss) from exchange diferences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5,587</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6,109</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(10,324)</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n.a.</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n.a.</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18,239</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4,772</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-73.8%</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Others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52,781</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72,302</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18,406</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-74.5%</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-65.1%</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233,183</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135,045</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-42.1%</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b w:val="1"/>
                <w:bCs w:val="1"/>
                <w:color w:val="auto"/>
              </w:rPr>
              <w:t>Total other income</w:t>
            </w:r>
          </w:p>
        </w:tc>
        <w:tc>
          <w:tcPr>
            <w:tcW w:w="1000" w:type="dxa"/>
            <w:vAlign w:val="bottom"/>
          </w:tcPr>
          <w:p>
            <w:pPr>
              <w:jc w:val="right"/>
              <w:ind w:right="63"/>
              <w:spacing w:after="0"/>
              <w:rPr>
                <w:sz w:val="20"/>
                <w:szCs w:val="20"/>
                <w:color w:val="auto"/>
              </w:rPr>
            </w:pPr>
            <w:r>
              <w:rPr>
                <w:rFonts w:ascii="Calibri" w:cs="Calibri" w:eastAsia="Calibri" w:hAnsi="Calibri"/>
                <w:sz w:val="11"/>
                <w:szCs w:val="11"/>
                <w:b w:val="1"/>
                <w:bCs w:val="1"/>
                <w:color w:val="auto"/>
              </w:rPr>
              <w:t>1,112,919</w:t>
            </w:r>
          </w:p>
        </w:tc>
        <w:tc>
          <w:tcPr>
            <w:tcW w:w="1080" w:type="dxa"/>
            <w:vAlign w:val="bottom"/>
          </w:tcPr>
          <w:p>
            <w:pPr>
              <w:jc w:val="right"/>
              <w:ind w:right="205"/>
              <w:spacing w:after="0"/>
              <w:rPr>
                <w:sz w:val="20"/>
                <w:szCs w:val="20"/>
                <w:color w:val="auto"/>
              </w:rPr>
            </w:pPr>
            <w:r>
              <w:rPr>
                <w:rFonts w:ascii="Calibri" w:cs="Calibri" w:eastAsia="Calibri" w:hAnsi="Calibri"/>
                <w:sz w:val="11"/>
                <w:szCs w:val="11"/>
                <w:b w:val="1"/>
                <w:bCs w:val="1"/>
                <w:color w:val="auto"/>
              </w:rPr>
              <w:t>1,266,173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1,275,617</w:t>
            </w:r>
          </w:p>
        </w:tc>
        <w:tc>
          <w:tcPr>
            <w:tcW w:w="560" w:type="dxa"/>
            <w:vAlign w:val="bottom"/>
          </w:tcPr>
          <w:p>
            <w:pPr>
              <w:jc w:val="right"/>
              <w:spacing w:after="0"/>
              <w:rPr>
                <w:sz w:val="20"/>
                <w:szCs w:val="20"/>
                <w:color w:val="auto"/>
              </w:rPr>
            </w:pPr>
            <w:r>
              <w:rPr>
                <w:rFonts w:ascii="Calibri" w:cs="Calibri" w:eastAsia="Calibri" w:hAnsi="Calibri"/>
                <w:sz w:val="11"/>
                <w:szCs w:val="11"/>
                <w:b w:val="1"/>
                <w:bCs w:val="1"/>
                <w:color w:val="auto"/>
              </w:rPr>
              <w:t>0.7%</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14.6%</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3,322,847</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3,721,808</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12.0%</w:t>
            </w: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Total expenses</w:t>
            </w: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color w:val="auto"/>
              </w:rPr>
              <w:t>Salaries and employee benefts</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(552,835)</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(623,526)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(640,392)</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2.7%</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15.8%</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(1,662,290)</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(1,852,662)</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11.5%</w:t>
            </w:r>
          </w:p>
        </w:tc>
        <w:tc>
          <w:tcPr>
            <w:tcW w:w="0" w:type="dxa"/>
            <w:vAlign w:val="bottom"/>
          </w:tcPr>
          <w:p>
            <w:pPr>
              <w:spacing w:after="0"/>
              <w:rPr>
                <w:sz w:val="1"/>
                <w:szCs w:val="1"/>
                <w:color w:val="auto"/>
              </w:rPr>
            </w:pPr>
          </w:p>
        </w:tc>
      </w:tr>
      <w:tr>
        <w:trPr>
          <w:trHeight w:val="132"/>
        </w:trPr>
        <w:tc>
          <w:tcPr>
            <w:tcW w:w="4300" w:type="dxa"/>
            <w:vAlign w:val="bottom"/>
            <w:tcBorders>
              <w:left w:val="single" w:sz="8" w:color="auto"/>
              <w:right w:val="single" w:sz="8" w:color="auto"/>
            </w:tcBorders>
          </w:tcPr>
          <w:p>
            <w:pPr>
              <w:ind w:left="180"/>
              <w:spacing w:after="0" w:line="132" w:lineRule="exact"/>
              <w:rPr>
                <w:sz w:val="20"/>
                <w:szCs w:val="20"/>
                <w:color w:val="auto"/>
              </w:rPr>
            </w:pPr>
            <w:r>
              <w:rPr>
                <w:rFonts w:ascii="Calibri" w:cs="Calibri" w:eastAsia="Calibri" w:hAnsi="Calibri"/>
                <w:sz w:val="11"/>
                <w:szCs w:val="11"/>
                <w:color w:val="auto"/>
              </w:rPr>
              <w:t>Administratve expenses</w:t>
            </w:r>
          </w:p>
        </w:tc>
        <w:tc>
          <w:tcPr>
            <w:tcW w:w="1000" w:type="dxa"/>
            <w:vAlign w:val="bottom"/>
          </w:tcPr>
          <w:p>
            <w:pPr>
              <w:jc w:val="right"/>
              <w:ind w:right="63"/>
              <w:spacing w:after="0" w:line="132" w:lineRule="exact"/>
              <w:rPr>
                <w:sz w:val="20"/>
                <w:szCs w:val="20"/>
                <w:color w:val="auto"/>
              </w:rPr>
            </w:pPr>
            <w:r>
              <w:rPr>
                <w:rFonts w:ascii="Calibri" w:cs="Calibri" w:eastAsia="Calibri" w:hAnsi="Calibri"/>
                <w:sz w:val="11"/>
                <w:szCs w:val="11"/>
                <w:color w:val="auto"/>
              </w:rPr>
              <w:t>(690,092)</w:t>
            </w:r>
          </w:p>
        </w:tc>
        <w:tc>
          <w:tcPr>
            <w:tcW w:w="1080" w:type="dxa"/>
            <w:vAlign w:val="bottom"/>
          </w:tcPr>
          <w:p>
            <w:pPr>
              <w:jc w:val="right"/>
              <w:ind w:right="205"/>
              <w:spacing w:after="0" w:line="132" w:lineRule="exact"/>
              <w:rPr>
                <w:sz w:val="20"/>
                <w:szCs w:val="20"/>
                <w:color w:val="auto"/>
              </w:rPr>
            </w:pPr>
            <w:r>
              <w:rPr>
                <w:rFonts w:ascii="Calibri" w:cs="Calibri" w:eastAsia="Calibri" w:hAnsi="Calibri"/>
                <w:sz w:val="11"/>
                <w:szCs w:val="11"/>
                <w:color w:val="auto"/>
              </w:rPr>
              <w:t>(708,027)</w:t>
            </w:r>
          </w:p>
        </w:tc>
        <w:tc>
          <w:tcPr>
            <w:tcW w:w="680" w:type="dxa"/>
            <w:vAlign w:val="bottom"/>
            <w:tcBorders>
              <w:right w:val="single" w:sz="8" w:color="auto"/>
            </w:tcBorders>
          </w:tcPr>
          <w:p>
            <w:pPr>
              <w:jc w:val="right"/>
              <w:spacing w:after="0" w:line="132" w:lineRule="exact"/>
              <w:rPr>
                <w:sz w:val="20"/>
                <w:szCs w:val="20"/>
                <w:color w:val="auto"/>
              </w:rPr>
            </w:pPr>
            <w:r>
              <w:rPr>
                <w:rFonts w:ascii="Calibri" w:cs="Calibri" w:eastAsia="Calibri" w:hAnsi="Calibri"/>
                <w:sz w:val="11"/>
                <w:szCs w:val="11"/>
                <w:color w:val="auto"/>
              </w:rPr>
              <w:t>(720,329)</w:t>
            </w:r>
          </w:p>
        </w:tc>
        <w:tc>
          <w:tcPr>
            <w:tcW w:w="560" w:type="dxa"/>
            <w:vAlign w:val="bottom"/>
          </w:tcPr>
          <w:p>
            <w:pPr>
              <w:jc w:val="right"/>
              <w:spacing w:after="0" w:line="132" w:lineRule="exact"/>
              <w:rPr>
                <w:sz w:val="20"/>
                <w:szCs w:val="20"/>
                <w:color w:val="auto"/>
              </w:rPr>
            </w:pPr>
            <w:r>
              <w:rPr>
                <w:rFonts w:ascii="Calibri" w:cs="Calibri" w:eastAsia="Calibri" w:hAnsi="Calibri"/>
                <w:sz w:val="11"/>
                <w:szCs w:val="11"/>
                <w:color w:val="auto"/>
              </w:rPr>
              <w:t>1.7%</w:t>
            </w:r>
          </w:p>
        </w:tc>
        <w:tc>
          <w:tcPr>
            <w:tcW w:w="680" w:type="dxa"/>
            <w:vAlign w:val="bottom"/>
            <w:tcBorders>
              <w:right w:val="single" w:sz="8" w:color="auto"/>
            </w:tcBorders>
          </w:tcPr>
          <w:p>
            <w:pPr>
              <w:jc w:val="right"/>
              <w:spacing w:after="0" w:line="132" w:lineRule="exact"/>
              <w:rPr>
                <w:sz w:val="20"/>
                <w:szCs w:val="20"/>
                <w:color w:val="auto"/>
              </w:rPr>
            </w:pPr>
            <w:r>
              <w:rPr>
                <w:rFonts w:ascii="Calibri" w:cs="Calibri" w:eastAsia="Calibri" w:hAnsi="Calibri"/>
                <w:sz w:val="11"/>
                <w:szCs w:val="11"/>
                <w:color w:val="auto"/>
              </w:rPr>
              <w:t>4.4%</w:t>
            </w:r>
          </w:p>
        </w:tc>
        <w:tc>
          <w:tcPr>
            <w:tcW w:w="1220" w:type="dxa"/>
            <w:vAlign w:val="bottom"/>
          </w:tcPr>
          <w:p>
            <w:pPr>
              <w:jc w:val="right"/>
              <w:ind w:right="185"/>
              <w:spacing w:after="0" w:line="132" w:lineRule="exact"/>
              <w:rPr>
                <w:sz w:val="20"/>
                <w:szCs w:val="20"/>
                <w:color w:val="auto"/>
              </w:rPr>
            </w:pPr>
            <w:r>
              <w:rPr>
                <w:rFonts w:ascii="Calibri" w:cs="Calibri" w:eastAsia="Calibri" w:hAnsi="Calibri"/>
                <w:sz w:val="11"/>
                <w:szCs w:val="11"/>
                <w:color w:val="auto"/>
              </w:rPr>
              <w:t>(1,861,675)</w:t>
            </w:r>
          </w:p>
        </w:tc>
        <w:tc>
          <w:tcPr>
            <w:tcW w:w="780" w:type="dxa"/>
            <w:vAlign w:val="bottom"/>
            <w:tcBorders>
              <w:right w:val="single" w:sz="8" w:color="auto"/>
            </w:tcBorders>
          </w:tcPr>
          <w:p>
            <w:pPr>
              <w:jc w:val="right"/>
              <w:spacing w:after="0" w:line="132" w:lineRule="exact"/>
              <w:rPr>
                <w:sz w:val="20"/>
                <w:szCs w:val="20"/>
                <w:color w:val="auto"/>
              </w:rPr>
            </w:pPr>
            <w:r>
              <w:rPr>
                <w:rFonts w:ascii="Calibri" w:cs="Calibri" w:eastAsia="Calibri" w:hAnsi="Calibri"/>
                <w:sz w:val="11"/>
                <w:szCs w:val="11"/>
                <w:color w:val="auto"/>
              </w:rPr>
              <w:t>(2,050,380)</w:t>
            </w:r>
          </w:p>
        </w:tc>
        <w:tc>
          <w:tcPr>
            <w:tcW w:w="940" w:type="dxa"/>
            <w:vAlign w:val="bottom"/>
            <w:tcBorders>
              <w:right w:val="single" w:sz="8" w:color="auto"/>
            </w:tcBorders>
          </w:tcPr>
          <w:p>
            <w:pPr>
              <w:jc w:val="right"/>
              <w:spacing w:after="0" w:line="132" w:lineRule="exact"/>
              <w:rPr>
                <w:sz w:val="20"/>
                <w:szCs w:val="20"/>
                <w:color w:val="auto"/>
              </w:rPr>
            </w:pPr>
            <w:r>
              <w:rPr>
                <w:rFonts w:ascii="Calibri" w:cs="Calibri" w:eastAsia="Calibri" w:hAnsi="Calibri"/>
                <w:sz w:val="11"/>
                <w:szCs w:val="11"/>
                <w:color w:val="auto"/>
              </w:rPr>
              <w:t>10.1%</w:t>
            </w:r>
          </w:p>
        </w:tc>
        <w:tc>
          <w:tcPr>
            <w:tcW w:w="0" w:type="dxa"/>
            <w:vAlign w:val="bottom"/>
          </w:tcPr>
          <w:p>
            <w:pPr>
              <w:spacing w:after="0"/>
              <w:rPr>
                <w:sz w:val="1"/>
                <w:szCs w:val="1"/>
                <w:color w:val="auto"/>
              </w:rPr>
            </w:pPr>
          </w:p>
        </w:tc>
      </w:tr>
      <w:tr>
        <w:trPr>
          <w:trHeight w:val="146"/>
        </w:trPr>
        <w:tc>
          <w:tcPr>
            <w:tcW w:w="4300" w:type="dxa"/>
            <w:vAlign w:val="bottom"/>
            <w:tcBorders>
              <w:left w:val="single" w:sz="8" w:color="auto"/>
              <w:right w:val="single" w:sz="8" w:color="auto"/>
            </w:tcBorders>
          </w:tcPr>
          <w:p>
            <w:pPr>
              <w:ind w:left="180"/>
              <w:spacing w:after="0" w:line="146" w:lineRule="exact"/>
              <w:rPr>
                <w:sz w:val="20"/>
                <w:szCs w:val="20"/>
                <w:color w:val="auto"/>
              </w:rPr>
            </w:pPr>
            <w:r>
              <w:rPr>
                <w:rFonts w:ascii="Calibri" w:cs="Calibri" w:eastAsia="Calibri" w:hAnsi="Calibri"/>
                <w:sz w:val="10"/>
                <w:szCs w:val="10"/>
                <w:color w:val="auto"/>
              </w:rPr>
              <w:t xml:space="preserve">Depreciaton and amortzaton </w:t>
            </w:r>
            <w:r>
              <w:rPr>
                <w:rFonts w:ascii="Calibri" w:cs="Calibri" w:eastAsia="Calibri" w:hAnsi="Calibri"/>
                <w:sz w:val="15"/>
                <w:szCs w:val="15"/>
                <w:color w:val="auto"/>
                <w:vertAlign w:val="superscript"/>
              </w:rPr>
              <w:t>(2)</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(111,147)</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(117,218)</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(123,740)</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5.6%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11.3%</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(336,680)</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(359,983)</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6.9%</w:t>
            </w:r>
          </w:p>
        </w:tc>
        <w:tc>
          <w:tcPr>
            <w:tcW w:w="0" w:type="dxa"/>
            <w:vAlign w:val="bottom"/>
          </w:tcPr>
          <w:p>
            <w:pPr>
              <w:spacing w:after="0"/>
              <w:rPr>
                <w:sz w:val="1"/>
                <w:szCs w:val="1"/>
                <w:color w:val="auto"/>
              </w:rPr>
            </w:pPr>
          </w:p>
        </w:tc>
      </w:tr>
      <w:tr>
        <w:trPr>
          <w:trHeight w:val="127"/>
        </w:trPr>
        <w:tc>
          <w:tcPr>
            <w:tcW w:w="4300" w:type="dxa"/>
            <w:vAlign w:val="bottom"/>
            <w:tcBorders>
              <w:left w:val="single" w:sz="8" w:color="auto"/>
              <w:right w:val="single" w:sz="8" w:color="auto"/>
            </w:tcBorders>
          </w:tcPr>
          <w:p>
            <w:pPr>
              <w:ind w:left="180"/>
              <w:spacing w:after="0" w:line="127" w:lineRule="exact"/>
              <w:rPr>
                <w:sz w:val="20"/>
                <w:szCs w:val="20"/>
                <w:color w:val="auto"/>
              </w:rPr>
            </w:pPr>
            <w:r>
              <w:rPr>
                <w:rFonts w:ascii="Calibri" w:cs="Calibri" w:eastAsia="Calibri" w:hAnsi="Calibri"/>
                <w:sz w:val="11"/>
                <w:szCs w:val="11"/>
                <w:color w:val="auto"/>
              </w:rPr>
              <w:t>Other expenses</w:t>
            </w:r>
          </w:p>
        </w:tc>
        <w:tc>
          <w:tcPr>
            <w:tcW w:w="1000" w:type="dxa"/>
            <w:vAlign w:val="bottom"/>
          </w:tcPr>
          <w:p>
            <w:pPr>
              <w:jc w:val="right"/>
              <w:ind w:right="63"/>
              <w:spacing w:after="0" w:line="127" w:lineRule="exact"/>
              <w:rPr>
                <w:sz w:val="20"/>
                <w:szCs w:val="20"/>
                <w:color w:val="auto"/>
              </w:rPr>
            </w:pPr>
            <w:r>
              <w:rPr>
                <w:rFonts w:ascii="Calibri" w:cs="Calibri" w:eastAsia="Calibri" w:hAnsi="Calibri"/>
                <w:sz w:val="11"/>
                <w:szCs w:val="11"/>
                <w:color w:val="auto"/>
              </w:rPr>
              <w:t>(65,529)</w:t>
            </w:r>
          </w:p>
        </w:tc>
        <w:tc>
          <w:tcPr>
            <w:tcW w:w="1080" w:type="dxa"/>
            <w:vAlign w:val="bottom"/>
          </w:tcPr>
          <w:p>
            <w:pPr>
              <w:jc w:val="right"/>
              <w:ind w:right="205"/>
              <w:spacing w:after="0" w:line="127" w:lineRule="exact"/>
              <w:rPr>
                <w:sz w:val="20"/>
                <w:szCs w:val="20"/>
                <w:color w:val="auto"/>
              </w:rPr>
            </w:pPr>
            <w:r>
              <w:rPr>
                <w:rFonts w:ascii="Calibri" w:cs="Calibri" w:eastAsia="Calibri" w:hAnsi="Calibri"/>
                <w:sz w:val="11"/>
                <w:szCs w:val="11"/>
                <w:color w:val="auto"/>
              </w:rPr>
              <w:t>(57,643)</w:t>
            </w:r>
          </w:p>
        </w:tc>
        <w:tc>
          <w:tcPr>
            <w:tcW w:w="6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(57,047)</w:t>
            </w:r>
          </w:p>
        </w:tc>
        <w:tc>
          <w:tcPr>
            <w:tcW w:w="560" w:type="dxa"/>
            <w:vAlign w:val="bottom"/>
          </w:tcPr>
          <w:p>
            <w:pPr>
              <w:jc w:val="right"/>
              <w:spacing w:after="0" w:line="127" w:lineRule="exact"/>
              <w:rPr>
                <w:sz w:val="20"/>
                <w:szCs w:val="20"/>
                <w:color w:val="auto"/>
              </w:rPr>
            </w:pPr>
            <w:r>
              <w:rPr>
                <w:rFonts w:ascii="Calibri" w:cs="Calibri" w:eastAsia="Calibri" w:hAnsi="Calibri"/>
                <w:sz w:val="11"/>
                <w:szCs w:val="11"/>
                <w:color w:val="auto"/>
              </w:rPr>
              <w:t>-1.0%</w:t>
            </w:r>
          </w:p>
        </w:tc>
        <w:tc>
          <w:tcPr>
            <w:tcW w:w="6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-12.9%</w:t>
            </w:r>
          </w:p>
        </w:tc>
        <w:tc>
          <w:tcPr>
            <w:tcW w:w="1220" w:type="dxa"/>
            <w:vAlign w:val="bottom"/>
          </w:tcPr>
          <w:p>
            <w:pPr>
              <w:jc w:val="right"/>
              <w:ind w:right="185"/>
              <w:spacing w:after="0" w:line="127" w:lineRule="exact"/>
              <w:rPr>
                <w:sz w:val="20"/>
                <w:szCs w:val="20"/>
                <w:color w:val="auto"/>
              </w:rPr>
            </w:pPr>
            <w:r>
              <w:rPr>
                <w:rFonts w:ascii="Calibri" w:cs="Calibri" w:eastAsia="Calibri" w:hAnsi="Calibri"/>
                <w:sz w:val="11"/>
                <w:szCs w:val="11"/>
                <w:color w:val="auto"/>
              </w:rPr>
              <w:t>(147,288)</w:t>
            </w:r>
          </w:p>
        </w:tc>
        <w:tc>
          <w:tcPr>
            <w:tcW w:w="7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(160,643)</w:t>
            </w:r>
          </w:p>
        </w:tc>
        <w:tc>
          <w:tcPr>
            <w:tcW w:w="94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9.1%</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1"/>
                <w:szCs w:val="11"/>
                <w:b w:val="1"/>
                <w:bCs w:val="1"/>
                <w:color w:val="auto"/>
              </w:rPr>
              <w:t>Total expenses</w:t>
            </w:r>
          </w:p>
        </w:tc>
        <w:tc>
          <w:tcPr>
            <w:tcW w:w="1000" w:type="dxa"/>
            <w:vAlign w:val="bottom"/>
          </w:tcPr>
          <w:p>
            <w:pPr>
              <w:jc w:val="right"/>
              <w:ind w:right="63"/>
              <w:spacing w:after="0"/>
              <w:rPr>
                <w:sz w:val="20"/>
                <w:szCs w:val="20"/>
                <w:color w:val="auto"/>
              </w:rPr>
            </w:pPr>
            <w:r>
              <w:rPr>
                <w:rFonts w:ascii="Calibri" w:cs="Calibri" w:eastAsia="Calibri" w:hAnsi="Calibri"/>
                <w:sz w:val="11"/>
                <w:szCs w:val="11"/>
                <w:b w:val="1"/>
                <w:bCs w:val="1"/>
                <w:color w:val="auto"/>
              </w:rPr>
              <w:t>(1,419,603)</w:t>
            </w:r>
          </w:p>
        </w:tc>
        <w:tc>
          <w:tcPr>
            <w:tcW w:w="1080" w:type="dxa"/>
            <w:vAlign w:val="bottom"/>
          </w:tcPr>
          <w:p>
            <w:pPr>
              <w:jc w:val="right"/>
              <w:ind w:right="205"/>
              <w:spacing w:after="0"/>
              <w:rPr>
                <w:sz w:val="20"/>
                <w:szCs w:val="20"/>
                <w:color w:val="auto"/>
              </w:rPr>
            </w:pPr>
            <w:r>
              <w:rPr>
                <w:rFonts w:ascii="Calibri" w:cs="Calibri" w:eastAsia="Calibri" w:hAnsi="Calibri"/>
                <w:sz w:val="11"/>
                <w:szCs w:val="11"/>
                <w:b w:val="1"/>
                <w:bCs w:val="1"/>
                <w:color w:val="auto"/>
              </w:rPr>
              <w:t>(1,506,414)</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(1,541,508)</w:t>
            </w:r>
          </w:p>
        </w:tc>
        <w:tc>
          <w:tcPr>
            <w:tcW w:w="560" w:type="dxa"/>
            <w:vAlign w:val="bottom"/>
          </w:tcPr>
          <w:p>
            <w:pPr>
              <w:jc w:val="right"/>
              <w:spacing w:after="0"/>
              <w:rPr>
                <w:sz w:val="20"/>
                <w:szCs w:val="20"/>
                <w:color w:val="auto"/>
              </w:rPr>
            </w:pPr>
            <w:r>
              <w:rPr>
                <w:rFonts w:ascii="Calibri" w:cs="Calibri" w:eastAsia="Calibri" w:hAnsi="Calibri"/>
                <w:sz w:val="11"/>
                <w:szCs w:val="11"/>
                <w:b w:val="1"/>
                <w:bCs w:val="1"/>
                <w:color w:val="auto"/>
              </w:rPr>
              <w:t>2.3%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8.6%</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(4,007,933)</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(4,423,668)</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10.4%</w:t>
            </w: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Proft before income tax</w:t>
            </w:r>
          </w:p>
        </w:tc>
        <w:tc>
          <w:tcPr>
            <w:tcW w:w="1000" w:type="dxa"/>
            <w:vAlign w:val="bottom"/>
          </w:tcPr>
          <w:p>
            <w:pPr>
              <w:jc w:val="right"/>
              <w:ind w:right="63"/>
              <w:spacing w:after="0"/>
              <w:rPr>
                <w:sz w:val="20"/>
                <w:szCs w:val="20"/>
                <w:color w:val="auto"/>
              </w:rPr>
            </w:pPr>
            <w:r>
              <w:rPr>
                <w:rFonts w:ascii="Calibri" w:cs="Calibri" w:eastAsia="Calibri" w:hAnsi="Calibri"/>
                <w:sz w:val="11"/>
                <w:szCs w:val="11"/>
                <w:b w:val="1"/>
                <w:bCs w:val="1"/>
                <w:color w:val="auto"/>
              </w:rPr>
              <w:t>1,466,806</w:t>
            </w:r>
          </w:p>
        </w:tc>
        <w:tc>
          <w:tcPr>
            <w:tcW w:w="1080" w:type="dxa"/>
            <w:vAlign w:val="bottom"/>
          </w:tcPr>
          <w:p>
            <w:pPr>
              <w:jc w:val="right"/>
              <w:ind w:right="205"/>
              <w:spacing w:after="0"/>
              <w:rPr>
                <w:sz w:val="20"/>
                <w:szCs w:val="20"/>
                <w:color w:val="auto"/>
              </w:rPr>
            </w:pPr>
            <w:r>
              <w:rPr>
                <w:rFonts w:ascii="Calibri" w:cs="Calibri" w:eastAsia="Calibri" w:hAnsi="Calibri"/>
                <w:sz w:val="11"/>
                <w:szCs w:val="11"/>
                <w:b w:val="1"/>
                <w:bCs w:val="1"/>
                <w:color w:val="auto"/>
              </w:rPr>
              <w:t>1,642,220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1,859,294</w:t>
            </w:r>
          </w:p>
        </w:tc>
        <w:tc>
          <w:tcPr>
            <w:tcW w:w="560" w:type="dxa"/>
            <w:vAlign w:val="bottom"/>
          </w:tcPr>
          <w:p>
            <w:pPr>
              <w:jc w:val="right"/>
              <w:spacing w:after="0"/>
              <w:rPr>
                <w:sz w:val="20"/>
                <w:szCs w:val="20"/>
                <w:color w:val="auto"/>
              </w:rPr>
            </w:pPr>
            <w:r>
              <w:rPr>
                <w:rFonts w:ascii="Calibri" w:cs="Calibri" w:eastAsia="Calibri" w:hAnsi="Calibri"/>
                <w:sz w:val="11"/>
                <w:szCs w:val="11"/>
                <w:b w:val="1"/>
                <w:bCs w:val="1"/>
                <w:color w:val="auto"/>
              </w:rPr>
              <w:t>13.2%</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26.8%</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4,798,921</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5,314,730</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10.7%</w:t>
            </w: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Income tax</w:t>
            </w:r>
          </w:p>
        </w:tc>
        <w:tc>
          <w:tcPr>
            <w:tcW w:w="1000" w:type="dxa"/>
            <w:vAlign w:val="bottom"/>
          </w:tcPr>
          <w:p>
            <w:pPr>
              <w:jc w:val="right"/>
              <w:ind w:right="63"/>
              <w:spacing w:after="0"/>
              <w:rPr>
                <w:sz w:val="20"/>
                <w:szCs w:val="20"/>
                <w:color w:val="auto"/>
              </w:rPr>
            </w:pPr>
            <w:r>
              <w:rPr>
                <w:rFonts w:ascii="Calibri" w:cs="Calibri" w:eastAsia="Calibri" w:hAnsi="Calibri"/>
                <w:sz w:val="11"/>
                <w:szCs w:val="11"/>
                <w:color w:val="auto"/>
              </w:rPr>
              <w:t>(362,413)</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(397,170)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(456,956)</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15.1%</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26.1%</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(1,176,960)</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(1,285,796)</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9.2%</w:t>
            </w:r>
          </w:p>
        </w:tc>
        <w:tc>
          <w:tcPr>
            <w:tcW w:w="0" w:type="dxa"/>
            <w:vAlign w:val="bottom"/>
          </w:tcPr>
          <w:p>
            <w:pPr>
              <w:spacing w:after="0"/>
              <w:rPr>
                <w:sz w:val="1"/>
                <w:szCs w:val="1"/>
                <w:color w:val="auto"/>
              </w:rPr>
            </w:pPr>
          </w:p>
        </w:tc>
      </w:tr>
      <w:tr>
        <w:trPr>
          <w:trHeight w:val="270"/>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proft</w:t>
            </w:r>
          </w:p>
        </w:tc>
        <w:tc>
          <w:tcPr>
            <w:tcW w:w="1000" w:type="dxa"/>
            <w:vAlign w:val="bottom"/>
          </w:tcPr>
          <w:p>
            <w:pPr>
              <w:jc w:val="right"/>
              <w:ind w:right="63"/>
              <w:spacing w:after="0"/>
              <w:rPr>
                <w:sz w:val="20"/>
                <w:szCs w:val="20"/>
                <w:color w:val="auto"/>
              </w:rPr>
            </w:pPr>
            <w:r>
              <w:rPr>
                <w:rFonts w:ascii="Calibri" w:cs="Calibri" w:eastAsia="Calibri" w:hAnsi="Calibri"/>
                <w:sz w:val="11"/>
                <w:szCs w:val="11"/>
                <w:b w:val="1"/>
                <w:bCs w:val="1"/>
                <w:color w:val="auto"/>
              </w:rPr>
              <w:t>1,104,393</w:t>
            </w:r>
          </w:p>
        </w:tc>
        <w:tc>
          <w:tcPr>
            <w:tcW w:w="1080" w:type="dxa"/>
            <w:vAlign w:val="bottom"/>
          </w:tcPr>
          <w:p>
            <w:pPr>
              <w:jc w:val="right"/>
              <w:ind w:right="205"/>
              <w:spacing w:after="0"/>
              <w:rPr>
                <w:sz w:val="20"/>
                <w:szCs w:val="20"/>
                <w:color w:val="auto"/>
              </w:rPr>
            </w:pPr>
            <w:r>
              <w:rPr>
                <w:rFonts w:ascii="Calibri" w:cs="Calibri" w:eastAsia="Calibri" w:hAnsi="Calibri"/>
                <w:sz w:val="11"/>
                <w:szCs w:val="11"/>
                <w:b w:val="1"/>
                <w:bCs w:val="1"/>
                <w:color w:val="auto"/>
              </w:rPr>
              <w:t>1,245,050</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1,402,338</w:t>
            </w:r>
          </w:p>
        </w:tc>
        <w:tc>
          <w:tcPr>
            <w:tcW w:w="560" w:type="dxa"/>
            <w:vAlign w:val="bottom"/>
          </w:tcPr>
          <w:p>
            <w:pPr>
              <w:jc w:val="right"/>
              <w:spacing w:after="0"/>
              <w:rPr>
                <w:sz w:val="20"/>
                <w:szCs w:val="20"/>
                <w:color w:val="auto"/>
              </w:rPr>
            </w:pPr>
            <w:r>
              <w:rPr>
                <w:rFonts w:ascii="Calibri" w:cs="Calibri" w:eastAsia="Calibri" w:hAnsi="Calibri"/>
                <w:sz w:val="11"/>
                <w:szCs w:val="11"/>
                <w:b w:val="1"/>
                <w:bCs w:val="1"/>
                <w:color w:val="auto"/>
              </w:rPr>
              <w:t>12.6%</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27.0%</w:t>
            </w:r>
          </w:p>
        </w:tc>
        <w:tc>
          <w:tcPr>
            <w:tcW w:w="12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3,621,961</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4,028,934</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11.2%</w:t>
            </w:r>
          </w:p>
        </w:tc>
        <w:tc>
          <w:tcPr>
            <w:tcW w:w="0" w:type="dxa"/>
            <w:vAlign w:val="bottom"/>
          </w:tcPr>
          <w:p>
            <w:pPr>
              <w:spacing w:after="0"/>
              <w:rPr>
                <w:sz w:val="1"/>
                <w:szCs w:val="1"/>
                <w:color w:val="auto"/>
              </w:rPr>
            </w:pPr>
          </w:p>
        </w:tc>
      </w:tr>
      <w:tr>
        <w:trPr>
          <w:trHeight w:val="135"/>
        </w:trPr>
        <w:tc>
          <w:tcPr>
            <w:tcW w:w="43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Non-controlling interest</w:t>
            </w:r>
          </w:p>
        </w:tc>
        <w:tc>
          <w:tcPr>
            <w:tcW w:w="1000" w:type="dxa"/>
            <w:vAlign w:val="bottom"/>
          </w:tcPr>
          <w:p>
            <w:pPr>
              <w:jc w:val="right"/>
              <w:ind w:right="63"/>
              <w:spacing w:after="0"/>
              <w:rPr>
                <w:sz w:val="20"/>
                <w:szCs w:val="20"/>
                <w:color w:val="auto"/>
              </w:rPr>
            </w:pPr>
            <w:r>
              <w:rPr>
                <w:rFonts w:ascii="Calibri" w:cs="Calibri" w:eastAsia="Calibri" w:hAnsi="Calibri"/>
                <w:sz w:val="11"/>
                <w:szCs w:val="11"/>
                <w:b w:val="1"/>
                <w:bCs w:val="1"/>
                <w:color w:val="auto"/>
              </w:rPr>
              <w:t>-</w:t>
            </w:r>
          </w:p>
        </w:tc>
        <w:tc>
          <w:tcPr>
            <w:tcW w:w="1080" w:type="dxa"/>
            <w:vAlign w:val="bottom"/>
          </w:tcPr>
          <w:p>
            <w:pPr>
              <w:jc w:val="right"/>
              <w:ind w:right="205"/>
              <w:spacing w:after="0"/>
              <w:rPr>
                <w:sz w:val="20"/>
                <w:szCs w:val="20"/>
                <w:color w:val="auto"/>
              </w:rPr>
            </w:pPr>
            <w:r>
              <w:rPr>
                <w:rFonts w:ascii="Calibri" w:cs="Calibri" w:eastAsia="Calibri" w:hAnsi="Calibri"/>
                <w:sz w:val="11"/>
                <w:szCs w:val="11"/>
                <w:color w:val="auto"/>
              </w:rPr>
              <w:t>-</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w:t>
            </w:r>
          </w:p>
        </w:tc>
        <w:tc>
          <w:tcPr>
            <w:tcW w:w="560" w:type="dxa"/>
            <w:vAlign w:val="bottom"/>
          </w:tcPr>
          <w:p>
            <w:pPr>
              <w:jc w:val="right"/>
              <w:spacing w:after="0"/>
              <w:rPr>
                <w:sz w:val="20"/>
                <w:szCs w:val="20"/>
                <w:color w:val="auto"/>
              </w:rPr>
            </w:pPr>
            <w:r>
              <w:rPr>
                <w:rFonts w:ascii="Calibri" w:cs="Calibri" w:eastAsia="Calibri" w:hAnsi="Calibri"/>
                <w:sz w:val="11"/>
                <w:szCs w:val="11"/>
                <w:color w:val="auto"/>
              </w:rPr>
              <w:t>n.a.</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n.a.</w:t>
            </w:r>
          </w:p>
        </w:tc>
        <w:tc>
          <w:tcPr>
            <w:tcW w:w="1220" w:type="dxa"/>
            <w:vAlign w:val="bottom"/>
          </w:tcPr>
          <w:p>
            <w:pPr>
              <w:jc w:val="right"/>
              <w:ind w:right="185"/>
              <w:spacing w:after="0"/>
              <w:rPr>
                <w:sz w:val="20"/>
                <w:szCs w:val="20"/>
                <w:color w:val="auto"/>
              </w:rPr>
            </w:pPr>
            <w:r>
              <w:rPr>
                <w:rFonts w:ascii="Calibri" w:cs="Calibri" w:eastAsia="Calibri" w:hAnsi="Calibri"/>
                <w:sz w:val="11"/>
                <w:szCs w:val="11"/>
                <w:color w:val="auto"/>
              </w:rPr>
              <w:t>-</w:t>
            </w:r>
          </w:p>
        </w:tc>
        <w:tc>
          <w:tcPr>
            <w:tcW w:w="7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w:t>
            </w:r>
          </w:p>
        </w:tc>
        <w:tc>
          <w:tcPr>
            <w:tcW w:w="9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n.a.</w:t>
            </w:r>
          </w:p>
        </w:tc>
        <w:tc>
          <w:tcPr>
            <w:tcW w:w="0" w:type="dxa"/>
            <w:vAlign w:val="bottom"/>
          </w:tcPr>
          <w:p>
            <w:pPr>
              <w:spacing w:after="0"/>
              <w:rPr>
                <w:sz w:val="1"/>
                <w:szCs w:val="1"/>
                <w:color w:val="auto"/>
              </w:rPr>
            </w:pPr>
          </w:p>
        </w:tc>
      </w:tr>
      <w:tr>
        <w:trPr>
          <w:trHeight w:val="14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proft atributable to BCP</w:t>
            </w:r>
          </w:p>
        </w:tc>
        <w:tc>
          <w:tcPr>
            <w:tcW w:w="1000" w:type="dxa"/>
            <w:vAlign w:val="bottom"/>
            <w:tcBorders>
              <w:bottom w:val="single" w:sz="8" w:color="auto"/>
            </w:tcBorders>
          </w:tcPr>
          <w:p>
            <w:pPr>
              <w:jc w:val="right"/>
              <w:ind w:right="63"/>
              <w:spacing w:after="0"/>
              <w:rPr>
                <w:sz w:val="20"/>
                <w:szCs w:val="20"/>
                <w:color w:val="auto"/>
              </w:rPr>
            </w:pPr>
            <w:r>
              <w:rPr>
                <w:rFonts w:ascii="Calibri" w:cs="Calibri" w:eastAsia="Calibri" w:hAnsi="Calibri"/>
                <w:sz w:val="11"/>
                <w:szCs w:val="11"/>
                <w:b w:val="1"/>
                <w:bCs w:val="1"/>
                <w:color w:val="auto"/>
              </w:rPr>
              <w:t>1,104,393</w:t>
            </w:r>
          </w:p>
        </w:tc>
        <w:tc>
          <w:tcPr>
            <w:tcW w:w="1080" w:type="dxa"/>
            <w:vAlign w:val="bottom"/>
            <w:tcBorders>
              <w:bottom w:val="single" w:sz="8" w:color="auto"/>
            </w:tcBorders>
          </w:tcPr>
          <w:p>
            <w:pPr>
              <w:jc w:val="right"/>
              <w:ind w:right="205"/>
              <w:spacing w:after="0"/>
              <w:rPr>
                <w:sz w:val="20"/>
                <w:szCs w:val="20"/>
                <w:color w:val="auto"/>
              </w:rPr>
            </w:pPr>
            <w:r>
              <w:rPr>
                <w:rFonts w:ascii="Calibri" w:cs="Calibri" w:eastAsia="Calibri" w:hAnsi="Calibri"/>
                <w:sz w:val="11"/>
                <w:szCs w:val="11"/>
                <w:b w:val="1"/>
                <w:bCs w:val="1"/>
                <w:color w:val="auto"/>
              </w:rPr>
              <w:t>1,245,050</w:t>
            </w:r>
          </w:p>
        </w:tc>
        <w:tc>
          <w:tcPr>
            <w:tcW w:w="6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1,402,338</w:t>
            </w:r>
          </w:p>
        </w:tc>
        <w:tc>
          <w:tcPr>
            <w:tcW w:w="560" w:type="dxa"/>
            <w:vAlign w:val="bottom"/>
            <w:tcBorders>
              <w:bottom w:val="single" w:sz="8" w:color="auto"/>
            </w:tcBorders>
          </w:tcPr>
          <w:p>
            <w:pPr>
              <w:jc w:val="right"/>
              <w:spacing w:after="0"/>
              <w:rPr>
                <w:sz w:val="20"/>
                <w:szCs w:val="20"/>
                <w:color w:val="auto"/>
              </w:rPr>
            </w:pPr>
            <w:r>
              <w:rPr>
                <w:rFonts w:ascii="Calibri" w:cs="Calibri" w:eastAsia="Calibri" w:hAnsi="Calibri"/>
                <w:sz w:val="11"/>
                <w:szCs w:val="11"/>
                <w:b w:val="1"/>
                <w:bCs w:val="1"/>
                <w:color w:val="auto"/>
              </w:rPr>
              <w:t>12.6%</w:t>
            </w:r>
          </w:p>
        </w:tc>
        <w:tc>
          <w:tcPr>
            <w:tcW w:w="6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27.0%</w:t>
            </w:r>
          </w:p>
        </w:tc>
        <w:tc>
          <w:tcPr>
            <w:tcW w:w="1220" w:type="dxa"/>
            <w:vAlign w:val="bottom"/>
            <w:tcBorders>
              <w:bottom w:val="single" w:sz="8" w:color="auto"/>
            </w:tcBorders>
          </w:tcPr>
          <w:p>
            <w:pPr>
              <w:jc w:val="right"/>
              <w:ind w:right="185"/>
              <w:spacing w:after="0"/>
              <w:rPr>
                <w:sz w:val="20"/>
                <w:szCs w:val="20"/>
                <w:color w:val="auto"/>
              </w:rPr>
            </w:pPr>
            <w:r>
              <w:rPr>
                <w:rFonts w:ascii="Calibri" w:cs="Calibri" w:eastAsia="Calibri" w:hAnsi="Calibri"/>
                <w:sz w:val="11"/>
                <w:szCs w:val="11"/>
                <w:b w:val="1"/>
                <w:bCs w:val="1"/>
                <w:color w:val="auto"/>
              </w:rPr>
              <w:t>3,621,961</w:t>
            </w:r>
          </w:p>
        </w:tc>
        <w:tc>
          <w:tcPr>
            <w:tcW w:w="7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4,028,934</w:t>
            </w:r>
          </w:p>
        </w:tc>
        <w:tc>
          <w:tcPr>
            <w:tcW w:w="9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b w:val="1"/>
                <w:bCs w:val="1"/>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-4388485</wp:posOffset>
            </wp:positionV>
            <wp:extent cx="108013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59" w:lineRule="exact"/>
        <w:rPr>
          <w:sz w:val="20"/>
          <w:szCs w:val="20"/>
          <w:color w:val="auto"/>
        </w:rPr>
      </w:pPr>
    </w:p>
    <w:p>
      <w:pPr>
        <w:ind w:left="840" w:hanging="184"/>
        <w:spacing w:after="0"/>
        <w:tabs>
          <w:tab w:leader="none" w:pos="840" w:val="left"/>
        </w:tabs>
        <w:numPr>
          <w:ilvl w:val="0"/>
          <w:numId w:val="63"/>
        </w:numPr>
        <w:rPr>
          <w:rFonts w:ascii="Calibri" w:cs="Calibri" w:eastAsia="Calibri" w:hAnsi="Calibri"/>
          <w:sz w:val="12"/>
          <w:szCs w:val="12"/>
          <w:color w:val="auto"/>
        </w:rPr>
      </w:pPr>
      <w:r>
        <w:rPr>
          <w:rFonts w:ascii="Calibri" w:cs="Calibri" w:eastAsia="Calibri" w:hAnsi="Calibri"/>
          <w:sz w:val="12"/>
          <w:szCs w:val="12"/>
          <w:color w:val="auto"/>
        </w:rPr>
        <w:t>Financing expenses related to lease agreements are included according to the applicaton of IFRS 16.</w:t>
      </w:r>
    </w:p>
    <w:p>
      <w:pPr>
        <w:spacing w:after="0" w:line="56" w:lineRule="exact"/>
        <w:rPr>
          <w:rFonts w:ascii="Calibri" w:cs="Calibri" w:eastAsia="Calibri" w:hAnsi="Calibri"/>
          <w:sz w:val="12"/>
          <w:szCs w:val="12"/>
          <w:color w:val="auto"/>
        </w:rPr>
      </w:pPr>
    </w:p>
    <w:p>
      <w:pPr>
        <w:ind w:left="840" w:hanging="184"/>
        <w:spacing w:after="0"/>
        <w:tabs>
          <w:tab w:leader="none" w:pos="840" w:val="left"/>
        </w:tabs>
        <w:numPr>
          <w:ilvl w:val="0"/>
          <w:numId w:val="63"/>
        </w:numPr>
        <w:rPr>
          <w:rFonts w:ascii="Calibri" w:cs="Calibri" w:eastAsia="Calibri" w:hAnsi="Calibri"/>
          <w:sz w:val="12"/>
          <w:szCs w:val="12"/>
          <w:color w:val="auto"/>
        </w:rPr>
      </w:pPr>
      <w:r>
        <w:rPr>
          <w:rFonts w:ascii="Calibri" w:cs="Calibri" w:eastAsia="Calibri" w:hAnsi="Calibri"/>
          <w:sz w:val="12"/>
          <w:szCs w:val="12"/>
          <w:color w:val="auto"/>
        </w:rPr>
        <w:t>The efect of the applicaton of IFRS 16 is included, which corresponds to a greater depreciaton for the asset for right-of-use".</w:t>
      </w:r>
    </w:p>
    <w:p>
      <w:pPr>
        <w:spacing w:after="0" w:line="19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Selected Financial Indicators</w:t>
      </w:r>
    </w:p>
    <w:p>
      <w:pPr>
        <w:spacing w:after="0" w:line="210" w:lineRule="exact"/>
        <w:rPr>
          <w:sz w:val="20"/>
          <w:szCs w:val="20"/>
          <w:color w:val="auto"/>
        </w:rPr>
      </w:pPr>
    </w:p>
    <w:tbl>
      <w:tblPr>
        <w:tblLayout w:type="fixed"/>
        <w:tblInd w:w="590" w:type="dxa"/>
        <w:tblCellMar>
          <w:top w:w="0" w:type="dxa"/>
          <w:left w:w="0" w:type="dxa"/>
          <w:bottom w:w="0" w:type="dxa"/>
          <w:right w:w="0" w:type="dxa"/>
        </w:tblCellMar>
      </w:tblPr>
      <w:tr>
        <w:trPr>
          <w:trHeight w:val="183"/>
        </w:trPr>
        <w:tc>
          <w:tcPr>
            <w:tcW w:w="506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980" w:type="dxa"/>
            <w:vAlign w:val="bottom"/>
            <w:tcBorders>
              <w:top w:val="single" w:sz="8" w:color="auto"/>
            </w:tcBorders>
            <w:shd w:val="clear" w:color="auto" w:fill="33CCCC"/>
          </w:tcPr>
          <w:p>
            <w:pPr>
              <w:spacing w:after="0"/>
              <w:rPr>
                <w:sz w:val="15"/>
                <w:szCs w:val="15"/>
                <w:color w:val="auto"/>
              </w:rPr>
            </w:pPr>
          </w:p>
        </w:tc>
        <w:tc>
          <w:tcPr>
            <w:tcW w:w="102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4"/>
                <w:szCs w:val="14"/>
                <w:color w:val="FFFFFF"/>
              </w:rPr>
              <w:t>Quarter</w:t>
            </w:r>
          </w:p>
        </w:tc>
        <w:tc>
          <w:tcPr>
            <w:tcW w:w="1020" w:type="dxa"/>
            <w:vAlign w:val="bottom"/>
            <w:tcBorders>
              <w:top w:val="single" w:sz="8" w:color="auto"/>
              <w:right w:val="single" w:sz="8" w:color="auto"/>
            </w:tcBorders>
            <w:shd w:val="clear" w:color="auto" w:fill="33CCCC"/>
          </w:tcPr>
          <w:p>
            <w:pPr>
              <w:spacing w:after="0"/>
              <w:rPr>
                <w:sz w:val="15"/>
                <w:szCs w:val="15"/>
                <w:color w:val="auto"/>
              </w:rPr>
            </w:pPr>
          </w:p>
        </w:tc>
        <w:tc>
          <w:tcPr>
            <w:tcW w:w="760" w:type="dxa"/>
            <w:vAlign w:val="bottom"/>
            <w:tcBorders>
              <w:top w:val="single" w:sz="8" w:color="auto"/>
            </w:tcBorders>
            <w:shd w:val="clear" w:color="auto" w:fill="33CCCC"/>
          </w:tcPr>
          <w:p>
            <w:pPr>
              <w:spacing w:after="0"/>
              <w:rPr>
                <w:sz w:val="15"/>
                <w:szCs w:val="15"/>
                <w:color w:val="auto"/>
              </w:rPr>
            </w:pPr>
          </w:p>
        </w:tc>
        <w:tc>
          <w:tcPr>
            <w:tcW w:w="126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4"/>
                <w:szCs w:val="14"/>
                <w:color w:val="FFFFFF"/>
              </w:rPr>
              <w:t>Up tp</w:t>
            </w:r>
          </w:p>
        </w:tc>
      </w:tr>
      <w:tr>
        <w:trPr>
          <w:trHeight w:val="181"/>
        </w:trPr>
        <w:tc>
          <w:tcPr>
            <w:tcW w:w="5060" w:type="dxa"/>
            <w:vAlign w:val="bottom"/>
            <w:tcBorders>
              <w:left w:val="single" w:sz="8" w:color="auto"/>
              <w:right w:val="single" w:sz="8" w:color="auto"/>
            </w:tcBorders>
            <w:shd w:val="clear" w:color="auto" w:fill="33CCCC"/>
          </w:tcPr>
          <w:p>
            <w:pPr>
              <w:spacing w:after="0"/>
              <w:rPr>
                <w:sz w:val="15"/>
                <w:szCs w:val="15"/>
                <w:color w:val="auto"/>
              </w:rPr>
            </w:pPr>
          </w:p>
        </w:tc>
        <w:tc>
          <w:tcPr>
            <w:tcW w:w="980" w:type="dxa"/>
            <w:vAlign w:val="bottom"/>
            <w:shd w:val="clear" w:color="auto" w:fill="33CCCC"/>
          </w:tcPr>
          <w:p>
            <w:pPr>
              <w:jc w:val="center"/>
              <w:spacing w:after="0"/>
              <w:rPr>
                <w:sz w:val="20"/>
                <w:szCs w:val="20"/>
                <w:color w:val="auto"/>
              </w:rPr>
            </w:pPr>
            <w:r>
              <w:rPr>
                <w:rFonts w:ascii="Calibri" w:cs="Calibri" w:eastAsia="Calibri" w:hAnsi="Calibri"/>
                <w:sz w:val="14"/>
                <w:szCs w:val="14"/>
                <w:color w:val="FFFFFF"/>
                <w:w w:val="97"/>
              </w:rPr>
              <w:t>3Q23</w:t>
            </w:r>
          </w:p>
        </w:tc>
        <w:tc>
          <w:tcPr>
            <w:tcW w:w="1020" w:type="dxa"/>
            <w:vAlign w:val="bottom"/>
            <w:shd w:val="clear" w:color="auto" w:fill="33CCCC"/>
          </w:tcPr>
          <w:p>
            <w:pPr>
              <w:jc w:val="center"/>
              <w:spacing w:after="0"/>
              <w:rPr>
                <w:sz w:val="20"/>
                <w:szCs w:val="20"/>
                <w:color w:val="auto"/>
              </w:rPr>
            </w:pPr>
            <w:r>
              <w:rPr>
                <w:rFonts w:ascii="Calibri" w:cs="Calibri" w:eastAsia="Calibri" w:hAnsi="Calibri"/>
                <w:sz w:val="14"/>
                <w:szCs w:val="14"/>
                <w:color w:val="FFFFFF"/>
              </w:rPr>
              <w:t>2Q24</w:t>
            </w:r>
          </w:p>
        </w:tc>
        <w:tc>
          <w:tcPr>
            <w:tcW w:w="1020" w:type="dxa"/>
            <w:vAlign w:val="bottom"/>
            <w:tcBorders>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color w:val="FFFFFF"/>
                <w:w w:val="97"/>
              </w:rPr>
              <w:t>3Q24</w:t>
            </w:r>
          </w:p>
        </w:tc>
        <w:tc>
          <w:tcPr>
            <w:tcW w:w="760" w:type="dxa"/>
            <w:vAlign w:val="bottom"/>
            <w:shd w:val="clear" w:color="auto" w:fill="33CCCC"/>
          </w:tcPr>
          <w:p>
            <w:pPr>
              <w:ind w:left="300"/>
              <w:spacing w:after="0"/>
              <w:rPr>
                <w:sz w:val="20"/>
                <w:szCs w:val="20"/>
                <w:color w:val="auto"/>
              </w:rPr>
            </w:pPr>
            <w:r>
              <w:rPr>
                <w:rFonts w:ascii="Calibri" w:cs="Calibri" w:eastAsia="Calibri" w:hAnsi="Calibri"/>
                <w:sz w:val="14"/>
                <w:szCs w:val="14"/>
                <w:color w:val="FFFFFF"/>
              </w:rPr>
              <w:t>Sep 23</w:t>
            </w:r>
          </w:p>
        </w:tc>
        <w:tc>
          <w:tcPr>
            <w:tcW w:w="1260" w:type="dxa"/>
            <w:vAlign w:val="bottom"/>
            <w:tcBorders>
              <w:right w:val="single" w:sz="8" w:color="auto"/>
            </w:tcBorders>
            <w:shd w:val="clear" w:color="auto" w:fill="33CCCC"/>
          </w:tcPr>
          <w:p>
            <w:pPr>
              <w:ind w:left="540"/>
              <w:spacing w:after="0"/>
              <w:rPr>
                <w:sz w:val="20"/>
                <w:szCs w:val="20"/>
                <w:color w:val="auto"/>
              </w:rPr>
            </w:pPr>
            <w:r>
              <w:rPr>
                <w:rFonts w:ascii="Calibri" w:cs="Calibri" w:eastAsia="Calibri" w:hAnsi="Calibri"/>
                <w:sz w:val="14"/>
                <w:szCs w:val="14"/>
                <w:color w:val="FFFFFF"/>
              </w:rPr>
              <w:t>Sep 24</w:t>
            </w:r>
          </w:p>
        </w:tc>
      </w:tr>
      <w:tr>
        <w:trPr>
          <w:trHeight w:val="156"/>
        </w:trPr>
        <w:tc>
          <w:tcPr>
            <w:tcW w:w="5060" w:type="dxa"/>
            <w:vAlign w:val="bottom"/>
            <w:tcBorders>
              <w:left w:val="single" w:sz="8" w:color="auto"/>
              <w:right w:val="single" w:sz="8" w:color="auto"/>
            </w:tcBorders>
          </w:tcPr>
          <w:p>
            <w:pPr>
              <w:spacing w:after="0" w:line="156" w:lineRule="exact"/>
              <w:rPr>
                <w:sz w:val="20"/>
                <w:szCs w:val="20"/>
                <w:color w:val="auto"/>
              </w:rPr>
            </w:pPr>
            <w:r>
              <w:rPr>
                <w:rFonts w:ascii="Calibri" w:cs="Calibri" w:eastAsia="Calibri" w:hAnsi="Calibri"/>
                <w:sz w:val="14"/>
                <w:szCs w:val="14"/>
                <w:b w:val="1"/>
                <w:bCs w:val="1"/>
                <w:color w:val="auto"/>
              </w:rPr>
              <w:t>Proftability</w:t>
            </w: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r>
      <w:tr>
        <w:trPr>
          <w:trHeight w:val="175"/>
        </w:trPr>
        <w:tc>
          <w:tcPr>
            <w:tcW w:w="506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9"/>
                <w:szCs w:val="19"/>
                <w:color w:val="auto"/>
                <w:vertAlign w:val="subscript"/>
              </w:rPr>
              <w:t>ROAA</w:t>
            </w:r>
            <w:r>
              <w:rPr>
                <w:rFonts w:ascii="Calibri" w:cs="Calibri" w:eastAsia="Calibri" w:hAnsi="Calibri"/>
                <w:sz w:val="10"/>
                <w:szCs w:val="10"/>
                <w:color w:val="auto"/>
              </w:rPr>
              <w:t xml:space="preserve"> (1)(2)</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2.5%</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2.7%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2.9%</w:t>
            </w:r>
          </w:p>
        </w:tc>
        <w:tc>
          <w:tcPr>
            <w:tcW w:w="760" w:type="dxa"/>
            <w:vAlign w:val="bottom"/>
          </w:tcPr>
          <w:p>
            <w:pPr>
              <w:jc w:val="center"/>
              <w:ind w:left="148"/>
              <w:spacing w:after="0"/>
              <w:rPr>
                <w:sz w:val="20"/>
                <w:szCs w:val="20"/>
                <w:color w:val="auto"/>
              </w:rPr>
            </w:pPr>
            <w:r>
              <w:rPr>
                <w:rFonts w:ascii="Calibri" w:cs="Calibri" w:eastAsia="Calibri" w:hAnsi="Calibri"/>
                <w:sz w:val="14"/>
                <w:szCs w:val="14"/>
                <w:color w:val="auto"/>
              </w:rPr>
              <w:t>2.7%</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2.9%</w:t>
            </w:r>
          </w:p>
        </w:tc>
      </w:tr>
      <w:tr>
        <w:trPr>
          <w:trHeight w:val="175"/>
        </w:trPr>
        <w:tc>
          <w:tcPr>
            <w:tcW w:w="506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9"/>
                <w:szCs w:val="19"/>
                <w:color w:val="auto"/>
                <w:vertAlign w:val="subscript"/>
              </w:rPr>
              <w:t>ROAE</w:t>
            </w:r>
            <w:r>
              <w:rPr>
                <w:rFonts w:ascii="Calibri" w:cs="Calibri" w:eastAsia="Calibri" w:hAnsi="Calibri"/>
                <w:sz w:val="10"/>
                <w:szCs w:val="10"/>
                <w:color w:val="auto"/>
              </w:rPr>
              <w:t xml:space="preserve"> (1)(2)</w:t>
            </w:r>
          </w:p>
        </w:tc>
        <w:tc>
          <w:tcPr>
            <w:tcW w:w="980" w:type="dxa"/>
            <w:vAlign w:val="bottom"/>
          </w:tcPr>
          <w:p>
            <w:pPr>
              <w:jc w:val="center"/>
              <w:spacing w:after="0"/>
              <w:rPr>
                <w:sz w:val="20"/>
                <w:szCs w:val="20"/>
                <w:color w:val="auto"/>
              </w:rPr>
            </w:pPr>
            <w:r>
              <w:rPr>
                <w:rFonts w:ascii="Calibri" w:cs="Calibri" w:eastAsia="Calibri" w:hAnsi="Calibri"/>
                <w:sz w:val="14"/>
                <w:szCs w:val="14"/>
                <w:color w:val="auto"/>
                <w:w w:val="97"/>
              </w:rPr>
              <w:t>18.6%</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21.7%</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22.9%</w:t>
            </w:r>
          </w:p>
        </w:tc>
        <w:tc>
          <w:tcPr>
            <w:tcW w:w="760" w:type="dxa"/>
            <w:vAlign w:val="bottom"/>
          </w:tcPr>
          <w:p>
            <w:pPr>
              <w:jc w:val="center"/>
              <w:ind w:left="128"/>
              <w:spacing w:after="0"/>
              <w:rPr>
                <w:sz w:val="20"/>
                <w:szCs w:val="20"/>
                <w:color w:val="auto"/>
              </w:rPr>
            </w:pPr>
            <w:r>
              <w:rPr>
                <w:rFonts w:ascii="Calibri" w:cs="Calibri" w:eastAsia="Calibri" w:hAnsi="Calibri"/>
                <w:sz w:val="14"/>
                <w:szCs w:val="14"/>
                <w:color w:val="auto"/>
              </w:rPr>
              <w:t>20.4%</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21.3%</w:t>
            </w:r>
          </w:p>
        </w:tc>
      </w:tr>
      <w:tr>
        <w:trPr>
          <w:trHeight w:val="175"/>
        </w:trPr>
        <w:tc>
          <w:tcPr>
            <w:tcW w:w="506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2"/>
                <w:szCs w:val="12"/>
                <w:color w:val="auto"/>
              </w:rPr>
              <w:t xml:space="preserve">Net interest margin </w:t>
            </w:r>
            <w:r>
              <w:rPr>
                <w:rFonts w:ascii="Calibri" w:cs="Calibri" w:eastAsia="Calibri" w:hAnsi="Calibri"/>
                <w:sz w:val="19"/>
                <w:szCs w:val="19"/>
                <w:color w:val="auto"/>
                <w:vertAlign w:val="superscript"/>
              </w:rPr>
              <w:t>(1)(2)</w:t>
            </w:r>
          </w:p>
        </w:tc>
        <w:tc>
          <w:tcPr>
            <w:tcW w:w="980" w:type="dxa"/>
            <w:vAlign w:val="bottom"/>
          </w:tcPr>
          <w:p>
            <w:pPr>
              <w:jc w:val="center"/>
              <w:spacing w:after="0"/>
              <w:rPr>
                <w:sz w:val="20"/>
                <w:szCs w:val="20"/>
                <w:color w:val="auto"/>
              </w:rPr>
            </w:pPr>
            <w:r>
              <w:rPr>
                <w:rFonts w:ascii="Calibri" w:cs="Calibri" w:eastAsia="Calibri" w:hAnsi="Calibri"/>
                <w:sz w:val="14"/>
                <w:szCs w:val="14"/>
                <w:color w:val="auto"/>
                <w:w w:val="97"/>
              </w:rPr>
              <w:t>5.77%</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6.08%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6.17%</w:t>
            </w:r>
          </w:p>
        </w:tc>
        <w:tc>
          <w:tcPr>
            <w:tcW w:w="760" w:type="dxa"/>
            <w:vAlign w:val="bottom"/>
          </w:tcPr>
          <w:p>
            <w:pPr>
              <w:jc w:val="center"/>
              <w:ind w:left="128"/>
              <w:spacing w:after="0"/>
              <w:rPr>
                <w:sz w:val="20"/>
                <w:szCs w:val="20"/>
                <w:color w:val="auto"/>
              </w:rPr>
            </w:pPr>
            <w:r>
              <w:rPr>
                <w:rFonts w:ascii="Calibri" w:cs="Calibri" w:eastAsia="Calibri" w:hAnsi="Calibri"/>
                <w:sz w:val="14"/>
                <w:szCs w:val="14"/>
                <w:color w:val="auto"/>
              </w:rPr>
              <w:t>5.62%</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6.0%</w:t>
            </w:r>
          </w:p>
        </w:tc>
      </w:tr>
      <w:tr>
        <w:trPr>
          <w:trHeight w:val="175"/>
        </w:trPr>
        <w:tc>
          <w:tcPr>
            <w:tcW w:w="5060" w:type="dxa"/>
            <w:vAlign w:val="bottom"/>
            <w:tcBorders>
              <w:left w:val="single" w:sz="8" w:color="auto"/>
              <w:right w:val="single" w:sz="8" w:color="auto"/>
            </w:tcBorders>
          </w:tcPr>
          <w:p>
            <w:pPr>
              <w:ind w:left="180"/>
              <w:spacing w:after="0" w:line="175" w:lineRule="exact"/>
              <w:rPr>
                <w:sz w:val="20"/>
                <w:szCs w:val="20"/>
                <w:color w:val="auto"/>
              </w:rPr>
            </w:pPr>
            <w:r>
              <w:rPr>
                <w:rFonts w:ascii="Calibri" w:cs="Calibri" w:eastAsia="Calibri" w:hAnsi="Calibri"/>
                <w:sz w:val="12"/>
                <w:szCs w:val="12"/>
                <w:color w:val="auto"/>
              </w:rPr>
              <w:t xml:space="preserve">Risk-adjusted Net interest margin </w:t>
            </w:r>
            <w:r>
              <w:rPr>
                <w:rFonts w:ascii="Calibri" w:cs="Calibri" w:eastAsia="Calibri" w:hAnsi="Calibri"/>
                <w:sz w:val="19"/>
                <w:szCs w:val="19"/>
                <w:color w:val="auto"/>
                <w:vertAlign w:val="superscript"/>
              </w:rPr>
              <w:t>(1)(2)</w:t>
            </w:r>
          </w:p>
        </w:tc>
        <w:tc>
          <w:tcPr>
            <w:tcW w:w="980" w:type="dxa"/>
            <w:vAlign w:val="bottom"/>
          </w:tcPr>
          <w:p>
            <w:pPr>
              <w:jc w:val="center"/>
              <w:spacing w:after="0"/>
              <w:rPr>
                <w:sz w:val="20"/>
                <w:szCs w:val="20"/>
                <w:color w:val="auto"/>
              </w:rPr>
            </w:pPr>
            <w:r>
              <w:rPr>
                <w:rFonts w:ascii="Calibri" w:cs="Calibri" w:eastAsia="Calibri" w:hAnsi="Calibri"/>
                <w:sz w:val="14"/>
                <w:szCs w:val="14"/>
                <w:color w:val="auto"/>
                <w:w w:val="97"/>
              </w:rPr>
              <w:t>4.18%</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4.30%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4.75%</w:t>
            </w:r>
          </w:p>
        </w:tc>
        <w:tc>
          <w:tcPr>
            <w:tcW w:w="760" w:type="dxa"/>
            <w:vAlign w:val="bottom"/>
          </w:tcPr>
          <w:p>
            <w:pPr>
              <w:jc w:val="center"/>
              <w:ind w:left="128"/>
              <w:spacing w:after="0"/>
              <w:rPr>
                <w:sz w:val="20"/>
                <w:szCs w:val="20"/>
                <w:color w:val="auto"/>
              </w:rPr>
            </w:pPr>
            <w:r>
              <w:rPr>
                <w:rFonts w:ascii="Calibri" w:cs="Calibri" w:eastAsia="Calibri" w:hAnsi="Calibri"/>
                <w:sz w:val="14"/>
                <w:szCs w:val="14"/>
                <w:color w:val="auto"/>
              </w:rPr>
              <w:t>4.25%</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4.5%</w:t>
            </w:r>
          </w:p>
        </w:tc>
      </w:tr>
      <w:tr>
        <w:trPr>
          <w:trHeight w:val="277"/>
        </w:trPr>
        <w:tc>
          <w:tcPr>
            <w:tcW w:w="5060" w:type="dxa"/>
            <w:vAlign w:val="bottom"/>
            <w:tcBorders>
              <w:left w:val="single" w:sz="8" w:color="auto"/>
              <w:right w:val="single" w:sz="8" w:color="auto"/>
            </w:tcBorders>
          </w:tcPr>
          <w:p>
            <w:pPr>
              <w:ind w:left="180"/>
              <w:spacing w:after="0" w:line="277" w:lineRule="exact"/>
              <w:rPr>
                <w:sz w:val="20"/>
                <w:szCs w:val="20"/>
                <w:color w:val="auto"/>
              </w:rPr>
            </w:pPr>
            <w:r>
              <w:rPr>
                <w:rFonts w:ascii="Calibri" w:cs="Calibri" w:eastAsia="Calibri" w:hAnsi="Calibri"/>
                <w:sz w:val="14"/>
                <w:szCs w:val="14"/>
                <w:color w:val="auto"/>
              </w:rPr>
              <w:t xml:space="preserve">Funding cost </w:t>
            </w:r>
            <w:r>
              <w:rPr>
                <w:rFonts w:ascii="Calibri" w:cs="Calibri" w:eastAsia="Calibri" w:hAnsi="Calibri"/>
                <w:sz w:val="23"/>
                <w:szCs w:val="23"/>
                <w:color w:val="auto"/>
                <w:vertAlign w:val="superscript"/>
              </w:rPr>
              <w:t>(1)(2)(3)</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2.7%</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2.3%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2.2%</w:t>
            </w:r>
          </w:p>
        </w:tc>
        <w:tc>
          <w:tcPr>
            <w:tcW w:w="760" w:type="dxa"/>
            <w:vAlign w:val="bottom"/>
          </w:tcPr>
          <w:p>
            <w:pPr>
              <w:jc w:val="center"/>
              <w:ind w:left="128"/>
              <w:spacing w:after="0"/>
              <w:rPr>
                <w:sz w:val="20"/>
                <w:szCs w:val="20"/>
                <w:color w:val="auto"/>
              </w:rPr>
            </w:pPr>
            <w:r>
              <w:rPr>
                <w:rFonts w:ascii="Calibri" w:cs="Calibri" w:eastAsia="Calibri" w:hAnsi="Calibri"/>
                <w:sz w:val="14"/>
                <w:szCs w:val="14"/>
                <w:color w:val="auto"/>
              </w:rPr>
              <w:t>2.40%</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2.3%</w:t>
            </w:r>
          </w:p>
        </w:tc>
      </w:tr>
      <w:tr>
        <w:trPr>
          <w:trHeight w:val="249"/>
        </w:trPr>
        <w:tc>
          <w:tcPr>
            <w:tcW w:w="50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4"/>
                <w:szCs w:val="14"/>
                <w:b w:val="1"/>
                <w:bCs w:val="1"/>
                <w:color w:val="auto"/>
              </w:rPr>
              <w:t>Loan portolio quality</w:t>
            </w: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175"/>
        </w:trPr>
        <w:tc>
          <w:tcPr>
            <w:tcW w:w="50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4"/>
                <w:szCs w:val="14"/>
                <w:color w:val="auto"/>
              </w:rPr>
              <w:t>Internal overdue rato</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4.4%</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4.1%</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4.1%</w:t>
            </w:r>
          </w:p>
        </w:tc>
        <w:tc>
          <w:tcPr>
            <w:tcW w:w="760" w:type="dxa"/>
            <w:vAlign w:val="bottom"/>
          </w:tcPr>
          <w:p>
            <w:pPr>
              <w:jc w:val="center"/>
              <w:ind w:left="148"/>
              <w:spacing w:after="0"/>
              <w:rPr>
                <w:sz w:val="20"/>
                <w:szCs w:val="20"/>
                <w:color w:val="auto"/>
              </w:rPr>
            </w:pPr>
            <w:r>
              <w:rPr>
                <w:rFonts w:ascii="Calibri" w:cs="Calibri" w:eastAsia="Calibri" w:hAnsi="Calibri"/>
                <w:sz w:val="14"/>
                <w:szCs w:val="14"/>
                <w:color w:val="auto"/>
              </w:rPr>
              <w:t>4.4%</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4.1%</w:t>
            </w:r>
          </w:p>
        </w:tc>
      </w:tr>
      <w:tr>
        <w:trPr>
          <w:trHeight w:val="175"/>
        </w:trPr>
        <w:tc>
          <w:tcPr>
            <w:tcW w:w="50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4"/>
                <w:szCs w:val="14"/>
                <w:color w:val="auto"/>
              </w:rPr>
              <w:t>NPL rato</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6.1%</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6.0%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5.7%</w:t>
            </w:r>
          </w:p>
        </w:tc>
        <w:tc>
          <w:tcPr>
            <w:tcW w:w="760" w:type="dxa"/>
            <w:vAlign w:val="bottom"/>
          </w:tcPr>
          <w:p>
            <w:pPr>
              <w:jc w:val="center"/>
              <w:ind w:left="148"/>
              <w:spacing w:after="0"/>
              <w:rPr>
                <w:sz w:val="20"/>
                <w:szCs w:val="20"/>
                <w:color w:val="auto"/>
              </w:rPr>
            </w:pPr>
            <w:r>
              <w:rPr>
                <w:rFonts w:ascii="Calibri" w:cs="Calibri" w:eastAsia="Calibri" w:hAnsi="Calibri"/>
                <w:sz w:val="14"/>
                <w:szCs w:val="14"/>
                <w:color w:val="auto"/>
              </w:rPr>
              <w:t>6.1%</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5.7%</w:t>
            </w:r>
          </w:p>
        </w:tc>
      </w:tr>
      <w:tr>
        <w:trPr>
          <w:trHeight w:val="175"/>
        </w:trPr>
        <w:tc>
          <w:tcPr>
            <w:tcW w:w="50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4"/>
                <w:szCs w:val="14"/>
                <w:color w:val="auto"/>
              </w:rPr>
              <w:t>Coverage rato of IOLs</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124.9%</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138.5%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140.6%</w:t>
            </w:r>
          </w:p>
        </w:tc>
        <w:tc>
          <w:tcPr>
            <w:tcW w:w="760" w:type="dxa"/>
            <w:vAlign w:val="bottom"/>
          </w:tcPr>
          <w:p>
            <w:pPr>
              <w:jc w:val="center"/>
              <w:ind w:left="148"/>
              <w:spacing w:after="0"/>
              <w:rPr>
                <w:sz w:val="20"/>
                <w:szCs w:val="20"/>
                <w:color w:val="auto"/>
              </w:rPr>
            </w:pPr>
            <w:r>
              <w:rPr>
                <w:rFonts w:ascii="Calibri" w:cs="Calibri" w:eastAsia="Calibri" w:hAnsi="Calibri"/>
                <w:sz w:val="14"/>
                <w:szCs w:val="14"/>
                <w:color w:val="auto"/>
              </w:rPr>
              <w:t>124.9%</w:t>
            </w:r>
          </w:p>
        </w:tc>
        <w:tc>
          <w:tcPr>
            <w:tcW w:w="126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4"/>
                <w:szCs w:val="14"/>
                <w:color w:val="auto"/>
              </w:rPr>
              <w:t>140.6%</w:t>
            </w:r>
          </w:p>
        </w:tc>
      </w:tr>
      <w:tr>
        <w:trPr>
          <w:trHeight w:val="176"/>
        </w:trPr>
        <w:tc>
          <w:tcPr>
            <w:tcW w:w="50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4"/>
                <w:szCs w:val="14"/>
                <w:color w:val="auto"/>
              </w:rPr>
              <w:t>Coverage rato of NPLs</w:t>
            </w:r>
          </w:p>
        </w:tc>
        <w:tc>
          <w:tcPr>
            <w:tcW w:w="980" w:type="dxa"/>
            <w:vAlign w:val="bottom"/>
          </w:tcPr>
          <w:p>
            <w:pPr>
              <w:jc w:val="center"/>
              <w:spacing w:after="0"/>
              <w:rPr>
                <w:sz w:val="20"/>
                <w:szCs w:val="20"/>
                <w:color w:val="auto"/>
              </w:rPr>
            </w:pPr>
            <w:r>
              <w:rPr>
                <w:rFonts w:ascii="Calibri" w:cs="Calibri" w:eastAsia="Calibri" w:hAnsi="Calibri"/>
                <w:sz w:val="14"/>
                <w:szCs w:val="14"/>
                <w:color w:val="auto"/>
                <w:w w:val="97"/>
              </w:rPr>
              <w:t>89.3%</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93.3%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97.2%</w:t>
            </w:r>
          </w:p>
        </w:tc>
        <w:tc>
          <w:tcPr>
            <w:tcW w:w="760" w:type="dxa"/>
            <w:vAlign w:val="bottom"/>
          </w:tcPr>
          <w:p>
            <w:pPr>
              <w:jc w:val="center"/>
              <w:ind w:left="128"/>
              <w:spacing w:after="0"/>
              <w:rPr>
                <w:sz w:val="20"/>
                <w:szCs w:val="20"/>
                <w:color w:val="auto"/>
              </w:rPr>
            </w:pPr>
            <w:r>
              <w:rPr>
                <w:rFonts w:ascii="Calibri" w:cs="Calibri" w:eastAsia="Calibri" w:hAnsi="Calibri"/>
                <w:sz w:val="14"/>
                <w:szCs w:val="14"/>
                <w:color w:val="auto"/>
              </w:rPr>
              <w:t>89.3%</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97.2%</w:t>
            </w:r>
          </w:p>
        </w:tc>
      </w:tr>
      <w:tr>
        <w:trPr>
          <w:trHeight w:val="277"/>
        </w:trPr>
        <w:tc>
          <w:tcPr>
            <w:tcW w:w="5060" w:type="dxa"/>
            <w:vAlign w:val="bottom"/>
            <w:tcBorders>
              <w:left w:val="single" w:sz="8" w:color="auto"/>
              <w:right w:val="single" w:sz="8" w:color="auto"/>
            </w:tcBorders>
          </w:tcPr>
          <w:p>
            <w:pPr>
              <w:ind w:left="180"/>
              <w:spacing w:after="0" w:line="278" w:lineRule="exact"/>
              <w:rPr>
                <w:sz w:val="20"/>
                <w:szCs w:val="20"/>
                <w:color w:val="auto"/>
              </w:rPr>
            </w:pPr>
            <w:r>
              <w:rPr>
                <w:rFonts w:ascii="Calibri" w:cs="Calibri" w:eastAsia="Calibri" w:hAnsi="Calibri"/>
                <w:sz w:val="14"/>
                <w:szCs w:val="14"/>
                <w:color w:val="auto"/>
              </w:rPr>
              <w:t xml:space="preserve">Cost of risk </w:t>
            </w:r>
            <w:r>
              <w:rPr>
                <w:rFonts w:ascii="Calibri" w:cs="Calibri" w:eastAsia="Calibri" w:hAnsi="Calibri"/>
                <w:sz w:val="23"/>
                <w:szCs w:val="23"/>
                <w:color w:val="auto"/>
                <w:vertAlign w:val="superscript"/>
              </w:rPr>
              <w:t>(4)</w:t>
            </w:r>
          </w:p>
        </w:tc>
        <w:tc>
          <w:tcPr>
            <w:tcW w:w="980" w:type="dxa"/>
            <w:vAlign w:val="bottom"/>
          </w:tcPr>
          <w:p>
            <w:pPr>
              <w:jc w:val="center"/>
              <w:spacing w:after="0"/>
              <w:rPr>
                <w:sz w:val="20"/>
                <w:szCs w:val="20"/>
                <w:color w:val="auto"/>
              </w:rPr>
            </w:pPr>
            <w:r>
              <w:rPr>
                <w:rFonts w:ascii="Calibri" w:cs="Calibri" w:eastAsia="Calibri" w:hAnsi="Calibri"/>
                <w:sz w:val="14"/>
                <w:szCs w:val="14"/>
                <w:color w:val="auto"/>
              </w:rPr>
              <w:t>2.3%</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2.6%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2.1%</w:t>
            </w:r>
          </w:p>
        </w:tc>
        <w:tc>
          <w:tcPr>
            <w:tcW w:w="760" w:type="dxa"/>
            <w:vAlign w:val="bottom"/>
          </w:tcPr>
          <w:p>
            <w:pPr>
              <w:jc w:val="center"/>
              <w:ind w:left="148"/>
              <w:spacing w:after="0"/>
              <w:rPr>
                <w:sz w:val="20"/>
                <w:szCs w:val="20"/>
                <w:color w:val="auto"/>
              </w:rPr>
            </w:pPr>
            <w:r>
              <w:rPr>
                <w:rFonts w:ascii="Calibri" w:cs="Calibri" w:eastAsia="Calibri" w:hAnsi="Calibri"/>
                <w:sz w:val="14"/>
                <w:szCs w:val="14"/>
                <w:color w:val="auto"/>
              </w:rPr>
              <w:t>1.9%</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2.3%</w:t>
            </w:r>
          </w:p>
        </w:tc>
      </w:tr>
      <w:tr>
        <w:trPr>
          <w:trHeight w:val="249"/>
        </w:trPr>
        <w:tc>
          <w:tcPr>
            <w:tcW w:w="5060" w:type="dxa"/>
            <w:vAlign w:val="bottom"/>
            <w:tcBorders>
              <w:left w:val="single" w:sz="8" w:color="auto"/>
              <w:right w:val="single" w:sz="8" w:color="auto"/>
            </w:tcBorders>
          </w:tcPr>
          <w:p>
            <w:pPr>
              <w:spacing w:after="0"/>
              <w:rPr>
                <w:sz w:val="20"/>
                <w:szCs w:val="20"/>
                <w:color w:val="auto"/>
              </w:rPr>
            </w:pPr>
            <w:r>
              <w:rPr>
                <w:rFonts w:ascii="Calibri" w:cs="Calibri" w:eastAsia="Calibri" w:hAnsi="Calibri"/>
                <w:sz w:val="14"/>
                <w:szCs w:val="14"/>
                <w:b w:val="1"/>
                <w:bCs w:val="1"/>
                <w:color w:val="auto"/>
              </w:rPr>
              <w:t>Operatng efciency</w:t>
            </w: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176"/>
        </w:trPr>
        <w:tc>
          <w:tcPr>
            <w:tcW w:w="5060" w:type="dxa"/>
            <w:vAlign w:val="bottom"/>
            <w:tcBorders>
              <w:left w:val="single" w:sz="8" w:color="auto"/>
              <w:right w:val="single" w:sz="8" w:color="auto"/>
            </w:tcBorders>
          </w:tcPr>
          <w:p>
            <w:pPr>
              <w:ind w:left="180"/>
              <w:spacing w:after="0" w:line="176" w:lineRule="exact"/>
              <w:rPr>
                <w:sz w:val="20"/>
                <w:szCs w:val="20"/>
                <w:color w:val="auto"/>
              </w:rPr>
            </w:pPr>
            <w:r>
              <w:rPr>
                <w:rFonts w:ascii="Calibri" w:cs="Calibri" w:eastAsia="Calibri" w:hAnsi="Calibri"/>
                <w:sz w:val="12"/>
                <w:szCs w:val="12"/>
                <w:color w:val="auto"/>
              </w:rPr>
              <w:t xml:space="preserve">Operatng expenses / Total income </w:t>
            </w:r>
            <w:r>
              <w:rPr>
                <w:rFonts w:ascii="Calibri" w:cs="Calibri" w:eastAsia="Calibri" w:hAnsi="Calibri"/>
                <w:sz w:val="19"/>
                <w:szCs w:val="19"/>
                <w:color w:val="auto"/>
                <w:vertAlign w:val="superscript"/>
              </w:rPr>
              <w:t>(5)</w:t>
            </w:r>
          </w:p>
        </w:tc>
        <w:tc>
          <w:tcPr>
            <w:tcW w:w="980" w:type="dxa"/>
            <w:vAlign w:val="bottom"/>
          </w:tcPr>
          <w:p>
            <w:pPr>
              <w:jc w:val="center"/>
              <w:spacing w:after="0"/>
              <w:rPr>
                <w:sz w:val="20"/>
                <w:szCs w:val="20"/>
                <w:color w:val="auto"/>
              </w:rPr>
            </w:pPr>
            <w:r>
              <w:rPr>
                <w:rFonts w:ascii="Calibri" w:cs="Calibri" w:eastAsia="Calibri" w:hAnsi="Calibri"/>
                <w:sz w:val="14"/>
                <w:szCs w:val="14"/>
                <w:color w:val="auto"/>
                <w:w w:val="97"/>
              </w:rPr>
              <w:t>39.2%</w:t>
            </w:r>
          </w:p>
        </w:tc>
        <w:tc>
          <w:tcPr>
            <w:tcW w:w="1020" w:type="dxa"/>
            <w:vAlign w:val="bottom"/>
          </w:tcPr>
          <w:p>
            <w:pPr>
              <w:jc w:val="center"/>
              <w:spacing w:after="0"/>
              <w:rPr>
                <w:sz w:val="20"/>
                <w:szCs w:val="20"/>
                <w:color w:val="auto"/>
              </w:rPr>
            </w:pPr>
            <w:r>
              <w:rPr>
                <w:rFonts w:ascii="Calibri" w:cs="Calibri" w:eastAsia="Calibri" w:hAnsi="Calibri"/>
                <w:sz w:val="14"/>
                <w:szCs w:val="14"/>
                <w:color w:val="auto"/>
              </w:rPr>
              <w:t>38.2%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37.6%</w:t>
            </w:r>
          </w:p>
        </w:tc>
        <w:tc>
          <w:tcPr>
            <w:tcW w:w="760" w:type="dxa"/>
            <w:vAlign w:val="bottom"/>
          </w:tcPr>
          <w:p>
            <w:pPr>
              <w:jc w:val="center"/>
              <w:ind w:left="128"/>
              <w:spacing w:after="0"/>
              <w:rPr>
                <w:sz w:val="20"/>
                <w:szCs w:val="20"/>
                <w:color w:val="auto"/>
              </w:rPr>
            </w:pPr>
            <w:r>
              <w:rPr>
                <w:rFonts w:ascii="Calibri" w:cs="Calibri" w:eastAsia="Calibri" w:hAnsi="Calibri"/>
                <w:sz w:val="14"/>
                <w:szCs w:val="14"/>
                <w:color w:val="auto"/>
              </w:rPr>
              <w:t>37.8%</w:t>
            </w:r>
          </w:p>
        </w:tc>
        <w:tc>
          <w:tcPr>
            <w:tcW w:w="1260" w:type="dxa"/>
            <w:vAlign w:val="bottom"/>
            <w:tcBorders>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37.4%</w:t>
            </w:r>
          </w:p>
        </w:tc>
      </w:tr>
      <w:tr>
        <w:trPr>
          <w:trHeight w:val="195"/>
        </w:trPr>
        <w:tc>
          <w:tcPr>
            <w:tcW w:w="5060" w:type="dxa"/>
            <w:vAlign w:val="bottom"/>
            <w:tcBorders>
              <w:left w:val="single" w:sz="8" w:color="auto"/>
              <w:bottom w:val="single" w:sz="8" w:color="auto"/>
              <w:right w:val="single" w:sz="8" w:color="auto"/>
            </w:tcBorders>
          </w:tcPr>
          <w:p>
            <w:pPr>
              <w:ind w:left="180"/>
              <w:spacing w:after="0" w:line="195" w:lineRule="exact"/>
              <w:rPr>
                <w:sz w:val="20"/>
                <w:szCs w:val="20"/>
                <w:color w:val="auto"/>
              </w:rPr>
            </w:pPr>
            <w:r>
              <w:rPr>
                <w:rFonts w:ascii="Calibri" w:cs="Calibri" w:eastAsia="Calibri" w:hAnsi="Calibri"/>
                <w:sz w:val="13"/>
                <w:szCs w:val="13"/>
                <w:color w:val="auto"/>
              </w:rPr>
              <w:t xml:space="preserve">Operatng expenses / Total average assets </w:t>
            </w:r>
            <w:r>
              <w:rPr>
                <w:rFonts w:ascii="Calibri" w:cs="Calibri" w:eastAsia="Calibri" w:hAnsi="Calibri"/>
                <w:sz w:val="21"/>
                <w:szCs w:val="21"/>
                <w:color w:val="auto"/>
                <w:vertAlign w:val="superscript"/>
              </w:rPr>
              <w:t>(1)(2)(5)</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3.0%</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3.1%</w:t>
            </w:r>
          </w:p>
        </w:tc>
        <w:tc>
          <w:tcPr>
            <w:tcW w:w="10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3.1%</w:t>
            </w:r>
          </w:p>
        </w:tc>
        <w:tc>
          <w:tcPr>
            <w:tcW w:w="760" w:type="dxa"/>
            <w:vAlign w:val="bottom"/>
            <w:tcBorders>
              <w:bottom w:val="single" w:sz="8" w:color="auto"/>
            </w:tcBorders>
          </w:tcPr>
          <w:p>
            <w:pPr>
              <w:jc w:val="center"/>
              <w:ind w:left="148"/>
              <w:spacing w:after="0"/>
              <w:rPr>
                <w:sz w:val="20"/>
                <w:szCs w:val="20"/>
                <w:color w:val="auto"/>
              </w:rPr>
            </w:pPr>
            <w:r>
              <w:rPr>
                <w:rFonts w:ascii="Calibri" w:cs="Calibri" w:eastAsia="Calibri" w:hAnsi="Calibri"/>
                <w:sz w:val="14"/>
                <w:szCs w:val="14"/>
                <w:color w:val="auto"/>
              </w:rPr>
              <w:t>2.8%</w:t>
            </w:r>
          </w:p>
        </w:tc>
        <w:tc>
          <w:tcPr>
            <w:tcW w:w="1260" w:type="dxa"/>
            <w:vAlign w:val="bottom"/>
            <w:tcBorders>
              <w:bottom w:val="single" w:sz="8" w:color="auto"/>
              <w:right w:val="single" w:sz="8" w:color="auto"/>
            </w:tcBorders>
          </w:tcPr>
          <w:p>
            <w:pPr>
              <w:jc w:val="center"/>
              <w:ind w:left="148"/>
              <w:spacing w:after="0"/>
              <w:rPr>
                <w:sz w:val="20"/>
                <w:szCs w:val="20"/>
                <w:color w:val="auto"/>
              </w:rPr>
            </w:pPr>
            <w:r>
              <w:rPr>
                <w:rFonts w:ascii="Calibri" w:cs="Calibri" w:eastAsia="Calibri" w:hAnsi="Calibri"/>
                <w:sz w:val="14"/>
                <w:szCs w:val="14"/>
                <w:color w:val="auto"/>
              </w:rPr>
              <w:t>3.1%</w:t>
            </w:r>
          </w:p>
        </w:tc>
      </w:tr>
    </w:tbl>
    <w:p>
      <w:pPr>
        <w:spacing w:after="0" w:line="187"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(1)Ratos are annualized.</w:t>
      </w:r>
    </w:p>
    <w:p>
      <w:pPr>
        <w:spacing w:after="0" w:line="32"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(2)Averages are determined as the average of period-beginning and period-ending balances.</w:t>
      </w:r>
    </w:p>
    <w:p>
      <w:pPr>
        <w:spacing w:after="0" w:line="33" w:lineRule="exact"/>
        <w:rPr>
          <w:sz w:val="20"/>
          <w:szCs w:val="20"/>
          <w:color w:val="auto"/>
        </w:rPr>
      </w:pPr>
    </w:p>
    <w:p>
      <w:pPr>
        <w:ind w:left="820" w:right="160" w:hanging="161"/>
        <w:spacing w:after="0" w:line="245" w:lineRule="auto"/>
        <w:rPr>
          <w:sz w:val="20"/>
          <w:szCs w:val="20"/>
          <w:color w:val="auto"/>
        </w:rPr>
      </w:pPr>
      <w:r>
        <w:rPr>
          <w:rFonts w:ascii="Calibri" w:cs="Calibri" w:eastAsia="Calibri" w:hAnsi="Calibri"/>
          <w:sz w:val="14"/>
          <w:szCs w:val="14"/>
          <w:color w:val="auto"/>
        </w:rPr>
        <w:t>(3)The funding costs difers from previously reported due to a methodology change in the denominator, which no longer includes the following accounts: acceptances outstanding, reserves for property and casualty claims, reserve for unearned premiums, reinsurance payable and other liabilites.</w:t>
      </w:r>
    </w:p>
    <w:p>
      <w:pPr>
        <w:spacing w:after="0" w:line="1"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(4)Cost of risk: Annualized provision for loan losses / Total loans.</w:t>
      </w:r>
    </w:p>
    <w:p>
      <w:pPr>
        <w:spacing w:after="0" w:line="33" w:lineRule="exact"/>
        <w:rPr>
          <w:sz w:val="20"/>
          <w:szCs w:val="20"/>
          <w:color w:val="auto"/>
        </w:rPr>
      </w:pPr>
    </w:p>
    <w:p>
      <w:pPr>
        <w:ind w:left="820" w:right="180" w:hanging="161"/>
        <w:spacing w:after="0" w:line="245" w:lineRule="auto"/>
        <w:rPr>
          <w:sz w:val="20"/>
          <w:szCs w:val="20"/>
          <w:color w:val="auto"/>
        </w:rPr>
      </w:pPr>
      <w:r>
        <w:rPr>
          <w:rFonts w:ascii="Calibri" w:cs="Calibri" w:eastAsia="Calibri" w:hAnsi="Calibri"/>
          <w:sz w:val="14"/>
          <w:szCs w:val="14"/>
          <w:color w:val="auto"/>
        </w:rPr>
        <w:t>(5)Total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38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12.6.5. BCP Bolivia</w:t>
      </w: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560" w:type="dxa"/>
            <w:vAlign w:val="bottom"/>
            <w:tcBorders>
              <w:top w:val="single" w:sz="8" w:color="auto"/>
              <w:left w:val="single" w:sz="8" w:color="auto"/>
              <w:right w:val="single" w:sz="8" w:color="auto"/>
            </w:tcBorders>
            <w:shd w:val="clear" w:color="auto" w:fill="2AD2C9"/>
          </w:tcPr>
          <w:p>
            <w:pPr>
              <w:spacing w:after="0"/>
              <w:rPr>
                <w:sz w:val="14"/>
                <w:szCs w:val="14"/>
                <w:color w:val="auto"/>
              </w:rPr>
            </w:pPr>
          </w:p>
        </w:tc>
        <w:tc>
          <w:tcPr>
            <w:tcW w:w="1520" w:type="dxa"/>
            <w:vAlign w:val="bottom"/>
            <w:tcBorders>
              <w:top w:val="single" w:sz="8" w:color="auto"/>
            </w:tcBorders>
            <w:shd w:val="clear" w:color="auto" w:fill="2AD2C9"/>
          </w:tcPr>
          <w:p>
            <w:pPr>
              <w:spacing w:after="0"/>
              <w:rPr>
                <w:sz w:val="14"/>
                <w:szCs w:val="14"/>
                <w:color w:val="auto"/>
              </w:rPr>
            </w:pPr>
          </w:p>
        </w:tc>
        <w:tc>
          <w:tcPr>
            <w:tcW w:w="1540" w:type="dxa"/>
            <w:vAlign w:val="bottom"/>
            <w:tcBorders>
              <w:top w:val="single" w:sz="8" w:color="auto"/>
            </w:tcBorders>
            <w:shd w:val="clear" w:color="auto" w:fill="2AD2C9"/>
          </w:tcPr>
          <w:p>
            <w:pPr>
              <w:jc w:val="center"/>
              <w:spacing w:after="0"/>
              <w:rPr>
                <w:sz w:val="20"/>
                <w:szCs w:val="20"/>
                <w:color w:val="auto"/>
              </w:rPr>
            </w:pPr>
            <w:r>
              <w:rPr>
                <w:rFonts w:ascii="Calibri" w:cs="Calibri" w:eastAsia="Calibri" w:hAnsi="Calibri"/>
                <w:sz w:val="13"/>
                <w:szCs w:val="13"/>
                <w:b w:val="1"/>
                <w:bCs w:val="1"/>
                <w:color w:val="FFFFFF"/>
                <w:w w:val="95"/>
              </w:rPr>
              <w:t>As of</w:t>
            </w:r>
          </w:p>
        </w:tc>
        <w:tc>
          <w:tcPr>
            <w:tcW w:w="1540" w:type="dxa"/>
            <w:vAlign w:val="bottom"/>
            <w:tcBorders>
              <w:top w:val="single" w:sz="8" w:color="auto"/>
              <w:right w:val="single" w:sz="8" w:color="auto"/>
            </w:tcBorders>
            <w:shd w:val="clear" w:color="auto" w:fill="2AD2C9"/>
          </w:tcPr>
          <w:p>
            <w:pPr>
              <w:spacing w:after="0"/>
              <w:rPr>
                <w:sz w:val="14"/>
                <w:szCs w:val="14"/>
                <w:color w:val="auto"/>
              </w:rPr>
            </w:pPr>
          </w:p>
        </w:tc>
        <w:tc>
          <w:tcPr>
            <w:tcW w:w="720" w:type="dxa"/>
            <w:vAlign w:val="bottom"/>
            <w:tcBorders>
              <w:top w:val="single" w:sz="8" w:color="auto"/>
            </w:tcBorders>
            <w:shd w:val="clear" w:color="auto" w:fill="2AD2C9"/>
          </w:tcPr>
          <w:p>
            <w:pPr>
              <w:spacing w:after="0"/>
              <w:rPr>
                <w:sz w:val="14"/>
                <w:szCs w:val="14"/>
                <w:color w:val="auto"/>
              </w:rPr>
            </w:pPr>
          </w:p>
        </w:tc>
        <w:tc>
          <w:tcPr>
            <w:tcW w:w="1360" w:type="dxa"/>
            <w:vAlign w:val="bottom"/>
            <w:tcBorders>
              <w:top w:val="single" w:sz="8" w:color="auto"/>
              <w:right w:val="single" w:sz="8" w:color="auto"/>
            </w:tcBorders>
            <w:shd w:val="clear" w:color="auto" w:fill="2AD2C9"/>
          </w:tcPr>
          <w:p>
            <w:pPr>
              <w:ind w:left="60"/>
              <w:spacing w:after="0"/>
              <w:rPr>
                <w:sz w:val="20"/>
                <w:szCs w:val="20"/>
                <w:color w:val="auto"/>
              </w:rPr>
            </w:pPr>
            <w:r>
              <w:rPr>
                <w:rFonts w:ascii="Calibri" w:cs="Calibri" w:eastAsia="Calibri" w:hAnsi="Calibri"/>
                <w:sz w:val="13"/>
                <w:szCs w:val="13"/>
                <w:b w:val="1"/>
                <w:bCs w:val="1"/>
                <w:color w:val="FFFFFF"/>
              </w:rPr>
              <w:t>% change</w:t>
            </w:r>
          </w:p>
        </w:tc>
      </w:tr>
      <w:tr>
        <w:trPr>
          <w:trHeight w:val="176"/>
        </w:trPr>
        <w:tc>
          <w:tcPr>
            <w:tcW w:w="4560" w:type="dxa"/>
            <w:vAlign w:val="bottom"/>
            <w:tcBorders>
              <w:left w:val="single" w:sz="8" w:color="auto"/>
              <w:right w:val="single" w:sz="8" w:color="auto"/>
            </w:tcBorders>
            <w:shd w:val="clear" w:color="auto" w:fill="33CCCC"/>
          </w:tcPr>
          <w:p>
            <w:pPr>
              <w:spacing w:after="0"/>
              <w:rPr>
                <w:sz w:val="15"/>
                <w:szCs w:val="15"/>
                <w:color w:val="auto"/>
              </w:rPr>
            </w:pPr>
          </w:p>
        </w:tc>
        <w:tc>
          <w:tcPr>
            <w:tcW w:w="1520" w:type="dxa"/>
            <w:vAlign w:val="bottom"/>
            <w:shd w:val="clear" w:color="auto" w:fill="33CCCC"/>
          </w:tcPr>
          <w:p>
            <w:pPr>
              <w:ind w:left="560"/>
              <w:spacing w:after="0"/>
              <w:rPr>
                <w:sz w:val="20"/>
                <w:szCs w:val="20"/>
                <w:color w:val="auto"/>
              </w:rPr>
            </w:pPr>
            <w:r>
              <w:rPr>
                <w:rFonts w:ascii="Calibri" w:cs="Calibri" w:eastAsia="Calibri" w:hAnsi="Calibri"/>
                <w:sz w:val="14"/>
                <w:szCs w:val="14"/>
                <w:color w:val="FFFFFF"/>
              </w:rPr>
              <w:t>Sep 23</w:t>
            </w:r>
          </w:p>
        </w:tc>
        <w:tc>
          <w:tcPr>
            <w:tcW w:w="1540" w:type="dxa"/>
            <w:vAlign w:val="bottom"/>
            <w:shd w:val="clear" w:color="auto" w:fill="33CCCC"/>
          </w:tcPr>
          <w:p>
            <w:pPr>
              <w:jc w:val="center"/>
              <w:spacing w:after="0"/>
              <w:rPr>
                <w:sz w:val="20"/>
                <w:szCs w:val="20"/>
                <w:color w:val="auto"/>
              </w:rPr>
            </w:pPr>
            <w:r>
              <w:rPr>
                <w:rFonts w:ascii="Calibri" w:cs="Calibri" w:eastAsia="Calibri" w:hAnsi="Calibri"/>
                <w:sz w:val="14"/>
                <w:szCs w:val="14"/>
                <w:color w:val="FFFFFF"/>
              </w:rPr>
              <w:t>Jun 24</w:t>
            </w:r>
          </w:p>
        </w:tc>
        <w:tc>
          <w:tcPr>
            <w:tcW w:w="1540" w:type="dxa"/>
            <w:vAlign w:val="bottom"/>
            <w:tcBorders>
              <w:right w:val="single" w:sz="8" w:color="auto"/>
            </w:tcBorders>
            <w:shd w:val="clear" w:color="auto" w:fill="33CCCC"/>
          </w:tcPr>
          <w:p>
            <w:pPr>
              <w:ind w:left="560"/>
              <w:spacing w:after="0"/>
              <w:rPr>
                <w:sz w:val="20"/>
                <w:szCs w:val="20"/>
                <w:color w:val="auto"/>
              </w:rPr>
            </w:pPr>
            <w:r>
              <w:rPr>
                <w:rFonts w:ascii="Calibri" w:cs="Calibri" w:eastAsia="Calibri" w:hAnsi="Calibri"/>
                <w:sz w:val="14"/>
                <w:szCs w:val="14"/>
                <w:color w:val="FFFFFF"/>
              </w:rPr>
              <w:t>Sep 24</w:t>
            </w:r>
          </w:p>
        </w:tc>
        <w:tc>
          <w:tcPr>
            <w:tcW w:w="720" w:type="dxa"/>
            <w:vAlign w:val="bottom"/>
            <w:shd w:val="clear" w:color="auto" w:fill="33CCCC"/>
          </w:tcPr>
          <w:p>
            <w:pPr>
              <w:jc w:val="center"/>
              <w:ind w:left="177"/>
              <w:spacing w:after="0"/>
              <w:rPr>
                <w:sz w:val="20"/>
                <w:szCs w:val="20"/>
                <w:color w:val="auto"/>
              </w:rPr>
            </w:pPr>
            <w:r>
              <w:rPr>
                <w:rFonts w:ascii="Calibri" w:cs="Calibri" w:eastAsia="Calibri" w:hAnsi="Calibri"/>
                <w:sz w:val="14"/>
                <w:szCs w:val="14"/>
                <w:color w:val="FFFFFF"/>
              </w:rPr>
              <w:t>QoQ</w:t>
            </w:r>
          </w:p>
        </w:tc>
        <w:tc>
          <w:tcPr>
            <w:tcW w:w="1360" w:type="dxa"/>
            <w:vAlign w:val="bottom"/>
            <w:tcBorders>
              <w:right w:val="single" w:sz="8" w:color="auto"/>
            </w:tcBorders>
            <w:shd w:val="clear" w:color="auto" w:fill="33CCCC"/>
          </w:tcPr>
          <w:p>
            <w:pPr>
              <w:ind w:left="700"/>
              <w:spacing w:after="0"/>
              <w:rPr>
                <w:sz w:val="20"/>
                <w:szCs w:val="20"/>
                <w:color w:val="auto"/>
              </w:rPr>
            </w:pPr>
            <w:r>
              <w:rPr>
                <w:rFonts w:ascii="Calibri" w:cs="Calibri" w:eastAsia="Calibri" w:hAnsi="Calibri"/>
                <w:sz w:val="14"/>
                <w:szCs w:val="14"/>
                <w:color w:val="FFFFFF"/>
              </w:rPr>
              <w:t>YoY</w:t>
            </w:r>
          </w:p>
        </w:tc>
      </w:tr>
      <w:tr>
        <w:trPr>
          <w:trHeight w:val="138"/>
        </w:trPr>
        <w:tc>
          <w:tcPr>
            <w:tcW w:w="4560" w:type="dxa"/>
            <w:vAlign w:val="bottom"/>
            <w:tcBorders>
              <w:left w:val="single" w:sz="8" w:color="auto"/>
              <w:right w:val="single" w:sz="8" w:color="auto"/>
            </w:tcBorders>
          </w:tcPr>
          <w:p>
            <w:pPr>
              <w:ind w:left="20"/>
              <w:spacing w:after="0" w:line="138" w:lineRule="exact"/>
              <w:rPr>
                <w:sz w:val="20"/>
                <w:szCs w:val="20"/>
                <w:color w:val="auto"/>
              </w:rPr>
            </w:pPr>
            <w:r>
              <w:rPr>
                <w:rFonts w:ascii="Calibri" w:cs="Calibri" w:eastAsia="Calibri" w:hAnsi="Calibri"/>
                <w:sz w:val="13"/>
                <w:szCs w:val="13"/>
                <w:b w:val="1"/>
                <w:bCs w:val="1"/>
                <w:color w:val="auto"/>
              </w:rPr>
              <w:t>ASSETS</w:t>
            </w:r>
          </w:p>
        </w:tc>
        <w:tc>
          <w:tcPr>
            <w:tcW w:w="1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Cash and due from banks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2,514,710</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2,385,328</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2,215,684</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-7.1%</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w w:val="93"/>
              </w:rPr>
              <w:t>-11.9%</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Investments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1,530,566</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1,495,591</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1,405,967</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-6.0%</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-8.1%</w:t>
            </w:r>
          </w:p>
        </w:tc>
      </w:tr>
      <w:tr>
        <w:trPr>
          <w:trHeight w:val="149"/>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Loans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9,598,393</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10,228,586</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8"/>
              </w:rPr>
              <w:t>9,829,567</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b w:val="1"/>
                <w:bCs w:val="1"/>
                <w:color w:val="auto"/>
                <w:w w:val="92"/>
              </w:rPr>
              <w:t>-3.9%</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9"/>
              </w:rPr>
              <w:t>2.4%</w:t>
            </w:r>
          </w:p>
        </w:tc>
      </w:tr>
      <w:tr>
        <w:trPr>
          <w:trHeight w:val="148"/>
        </w:trPr>
        <w:tc>
          <w:tcPr>
            <w:tcW w:w="456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Current</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9,299,719</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9,891,230</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9,504,083</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-3.9%</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2.2%</w:t>
            </w:r>
          </w:p>
        </w:tc>
      </w:tr>
      <w:tr>
        <w:trPr>
          <w:trHeight w:val="148"/>
        </w:trPr>
        <w:tc>
          <w:tcPr>
            <w:tcW w:w="456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Internal overdue loans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251,779</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282,934</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270,433</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-4.4%</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7.4%</w:t>
            </w:r>
          </w:p>
        </w:tc>
      </w:tr>
      <w:tr>
        <w:trPr>
          <w:trHeight w:val="148"/>
        </w:trPr>
        <w:tc>
          <w:tcPr>
            <w:tcW w:w="456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Refnanced loans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46,895</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54,422</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9"/>
              </w:rPr>
              <w:t>55,051</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3"/>
              </w:rPr>
              <w:t>1.2%</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w w:val="92"/>
              </w:rPr>
              <w:t>17.4%</w:t>
            </w:r>
          </w:p>
        </w:tc>
      </w:tr>
      <w:tr>
        <w:trPr>
          <w:trHeight w:val="148"/>
        </w:trPr>
        <w:tc>
          <w:tcPr>
            <w:tcW w:w="456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Less - allowance for loan losses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(377,842)</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(365,686)</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(357,720)</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-2.2%</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-5.3%</w:t>
            </w:r>
          </w:p>
        </w:tc>
      </w:tr>
      <w:tr>
        <w:trPr>
          <w:trHeight w:val="149"/>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Loans, net</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8"/>
              </w:rPr>
              <w:t>9,220,551</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9,862,900</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8"/>
              </w:rPr>
              <w:t>9,471,846</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b w:val="1"/>
                <w:bCs w:val="1"/>
                <w:color w:val="auto"/>
                <w:w w:val="92"/>
              </w:rPr>
              <w:t>-4.0%</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9"/>
              </w:rPr>
              <w:t>2.7%</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Property, furniture and equipment, net</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65,194</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67,289</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130,797</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8"/>
              </w:rPr>
              <w:t>94.4%</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w w:val="97"/>
              </w:rPr>
              <w:t>100.6%</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assets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270,614</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370,700</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264,972</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8"/>
              </w:rPr>
              <w:t>-28.5%</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-2.1%</w:t>
            </w:r>
          </w:p>
        </w:tc>
      </w:tr>
      <w:tr>
        <w:trPr>
          <w:trHeight w:val="148"/>
        </w:trPr>
        <w:tc>
          <w:tcPr>
            <w:tcW w:w="4560" w:type="dxa"/>
            <w:vAlign w:val="bottom"/>
            <w:tcBorders>
              <w:left w:val="single" w:sz="8" w:color="auto"/>
              <w:right w:val="single" w:sz="8" w:color="auto"/>
            </w:tcBorders>
          </w:tcPr>
          <w:p>
            <w:pPr>
              <w:ind w:left="1980"/>
              <w:spacing w:after="0" w:line="149" w:lineRule="exact"/>
              <w:rPr>
                <w:sz w:val="20"/>
                <w:szCs w:val="20"/>
                <w:color w:val="auto"/>
              </w:rPr>
            </w:pPr>
            <w:r>
              <w:rPr>
                <w:rFonts w:ascii="Calibri" w:cs="Calibri" w:eastAsia="Calibri" w:hAnsi="Calibri"/>
                <w:sz w:val="13"/>
                <w:szCs w:val="13"/>
                <w:b w:val="1"/>
                <w:bCs w:val="1"/>
                <w:color w:val="auto"/>
              </w:rPr>
              <w:t>Total assets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13,601,635</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14,181,808</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7"/>
              </w:rPr>
              <w:t>13,489,266</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b w:val="1"/>
                <w:bCs w:val="1"/>
                <w:color w:val="auto"/>
                <w:w w:val="92"/>
              </w:rPr>
              <w:t>-4.9%</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9"/>
              </w:rPr>
              <w:t>-0.8%</w:t>
            </w:r>
          </w:p>
        </w:tc>
      </w:tr>
      <w:tr>
        <w:trPr>
          <w:trHeight w:val="297"/>
        </w:trPr>
        <w:tc>
          <w:tcPr>
            <w:tcW w:w="45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LIABILITIES AND NET EQUITY</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Deposits and obligatons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4"/>
              </w:rPr>
              <w:t>11,422,221</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7"/>
              </w:rPr>
              <w:t>12,327,706</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7"/>
              </w:rPr>
              <w:t>11,704,551</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-5.1%</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2.5%</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Due to banks and correspondents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91,033</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9"/>
              </w:rPr>
              <w:t>-</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4"/>
              </w:rPr>
              <w:t>2,032</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rPr>
              <w:t>n.a.</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w w:val="93"/>
              </w:rPr>
              <w:t>-97.8%</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Bonds and subordinated debt</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3"/>
              </w:rPr>
              <w:t>162,809</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167,652</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162,042</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-3.3%</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rPr>
              <w:t>-0.5%</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liabilites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1,035,890</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color w:val="auto"/>
                <w:w w:val="98"/>
              </w:rPr>
              <w:t>703,718</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651,779</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color w:val="auto"/>
                <w:w w:val="94"/>
              </w:rPr>
              <w:t>-7.4%</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color w:val="auto"/>
                <w:w w:val="93"/>
              </w:rPr>
              <w:t>-37.1%</w:t>
            </w:r>
          </w:p>
        </w:tc>
      </w:tr>
      <w:tr>
        <w:trPr>
          <w:trHeight w:val="148"/>
        </w:trPr>
        <w:tc>
          <w:tcPr>
            <w:tcW w:w="456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Total liabilites</w:t>
            </w:r>
          </w:p>
        </w:tc>
        <w:tc>
          <w:tcPr>
            <w:tcW w:w="152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4"/>
              </w:rPr>
              <w:t>12,711,953</w:t>
            </w:r>
          </w:p>
        </w:tc>
        <w:tc>
          <w:tcPr>
            <w:tcW w:w="154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13,199,076</w:t>
            </w:r>
          </w:p>
        </w:tc>
        <w:tc>
          <w:tcPr>
            <w:tcW w:w="154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7"/>
              </w:rPr>
              <w:t>12,520,404</w:t>
            </w:r>
          </w:p>
        </w:tc>
        <w:tc>
          <w:tcPr>
            <w:tcW w:w="720" w:type="dxa"/>
            <w:vAlign w:val="bottom"/>
          </w:tcPr>
          <w:p>
            <w:pPr>
              <w:jc w:val="center"/>
              <w:ind w:left="177"/>
              <w:spacing w:after="0" w:line="149" w:lineRule="exact"/>
              <w:rPr>
                <w:sz w:val="20"/>
                <w:szCs w:val="20"/>
                <w:color w:val="auto"/>
              </w:rPr>
            </w:pPr>
            <w:r>
              <w:rPr>
                <w:rFonts w:ascii="Calibri" w:cs="Calibri" w:eastAsia="Calibri" w:hAnsi="Calibri"/>
                <w:sz w:val="13"/>
                <w:szCs w:val="13"/>
                <w:b w:val="1"/>
                <w:bCs w:val="1"/>
                <w:color w:val="auto"/>
                <w:w w:val="92"/>
              </w:rPr>
              <w:t>-5.1%</w:t>
            </w:r>
          </w:p>
        </w:tc>
        <w:tc>
          <w:tcPr>
            <w:tcW w:w="1360" w:type="dxa"/>
            <w:vAlign w:val="bottom"/>
            <w:tcBorders>
              <w:right w:val="single" w:sz="8" w:color="auto"/>
            </w:tcBorders>
          </w:tcPr>
          <w:p>
            <w:pPr>
              <w:jc w:val="center"/>
              <w:ind w:left="157"/>
              <w:spacing w:after="0" w:line="149" w:lineRule="exact"/>
              <w:rPr>
                <w:sz w:val="20"/>
                <w:szCs w:val="20"/>
                <w:color w:val="auto"/>
              </w:rPr>
            </w:pPr>
            <w:r>
              <w:rPr>
                <w:rFonts w:ascii="Calibri" w:cs="Calibri" w:eastAsia="Calibri" w:hAnsi="Calibri"/>
                <w:sz w:val="13"/>
                <w:szCs w:val="13"/>
                <w:b w:val="1"/>
                <w:bCs w:val="1"/>
                <w:color w:val="auto"/>
                <w:w w:val="99"/>
              </w:rPr>
              <w:t>-1.5%</w:t>
            </w:r>
          </w:p>
        </w:tc>
      </w:tr>
      <w:tr>
        <w:trPr>
          <w:trHeight w:val="297"/>
        </w:trPr>
        <w:tc>
          <w:tcPr>
            <w:tcW w:w="45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equity</w:t>
            </w:r>
          </w:p>
        </w:tc>
        <w:tc>
          <w:tcPr>
            <w:tcW w:w="1520" w:type="dxa"/>
            <w:vAlign w:val="bottom"/>
          </w:tcPr>
          <w:p>
            <w:pPr>
              <w:jc w:val="center"/>
              <w:spacing w:after="0"/>
              <w:rPr>
                <w:sz w:val="20"/>
                <w:szCs w:val="20"/>
                <w:color w:val="auto"/>
              </w:rPr>
            </w:pPr>
            <w:r>
              <w:rPr>
                <w:rFonts w:ascii="Calibri" w:cs="Calibri" w:eastAsia="Calibri" w:hAnsi="Calibri"/>
                <w:sz w:val="13"/>
                <w:szCs w:val="13"/>
                <w:b w:val="1"/>
                <w:bCs w:val="1"/>
                <w:color w:val="auto"/>
                <w:w w:val="93"/>
              </w:rPr>
              <w:t>889,682</w:t>
            </w:r>
          </w:p>
        </w:tc>
        <w:tc>
          <w:tcPr>
            <w:tcW w:w="154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982,732</w:t>
            </w:r>
          </w:p>
        </w:tc>
        <w:tc>
          <w:tcPr>
            <w:tcW w:w="15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7"/>
              </w:rPr>
              <w:t>968,862</w:t>
            </w:r>
          </w:p>
        </w:tc>
        <w:tc>
          <w:tcPr>
            <w:tcW w:w="720" w:type="dxa"/>
            <w:vAlign w:val="bottom"/>
          </w:tcPr>
          <w:p>
            <w:pPr>
              <w:jc w:val="center"/>
              <w:ind w:left="177"/>
              <w:spacing w:after="0"/>
              <w:rPr>
                <w:sz w:val="20"/>
                <w:szCs w:val="20"/>
                <w:color w:val="auto"/>
              </w:rPr>
            </w:pPr>
            <w:r>
              <w:rPr>
                <w:rFonts w:ascii="Calibri" w:cs="Calibri" w:eastAsia="Calibri" w:hAnsi="Calibri"/>
                <w:sz w:val="13"/>
                <w:szCs w:val="13"/>
                <w:b w:val="1"/>
                <w:bCs w:val="1"/>
                <w:color w:val="auto"/>
                <w:w w:val="92"/>
              </w:rPr>
              <w:t>-1.4%</w:t>
            </w:r>
          </w:p>
        </w:tc>
        <w:tc>
          <w:tcPr>
            <w:tcW w:w="1360" w:type="dxa"/>
            <w:vAlign w:val="bottom"/>
            <w:tcBorders>
              <w:right w:val="single" w:sz="8" w:color="auto"/>
            </w:tcBorders>
          </w:tcPr>
          <w:p>
            <w:pPr>
              <w:jc w:val="center"/>
              <w:ind w:left="157"/>
              <w:spacing w:after="0"/>
              <w:rPr>
                <w:sz w:val="20"/>
                <w:szCs w:val="20"/>
                <w:color w:val="auto"/>
              </w:rPr>
            </w:pPr>
            <w:r>
              <w:rPr>
                <w:rFonts w:ascii="Calibri" w:cs="Calibri" w:eastAsia="Calibri" w:hAnsi="Calibri"/>
                <w:sz w:val="13"/>
                <w:szCs w:val="13"/>
                <w:b w:val="1"/>
                <w:bCs w:val="1"/>
                <w:color w:val="auto"/>
                <w:w w:val="99"/>
              </w:rPr>
              <w:t>8.9%</w:t>
            </w:r>
          </w:p>
        </w:tc>
      </w:tr>
      <w:tr>
        <w:trPr>
          <w:trHeight w:val="302"/>
        </w:trPr>
        <w:tc>
          <w:tcPr>
            <w:tcW w:w="45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LIABILITIES AND NET EQUITY</w:t>
            </w:r>
          </w:p>
        </w:tc>
        <w:tc>
          <w:tcPr>
            <w:tcW w:w="152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4"/>
              </w:rPr>
              <w:t>13,601,635</w:t>
            </w:r>
          </w:p>
        </w:tc>
        <w:tc>
          <w:tcPr>
            <w:tcW w:w="154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7"/>
              </w:rPr>
              <w:t>14,181,808</w:t>
            </w:r>
          </w:p>
        </w:tc>
        <w:tc>
          <w:tcPr>
            <w:tcW w:w="15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7"/>
              </w:rPr>
              <w:t>13,489,266</w:t>
            </w:r>
          </w:p>
        </w:tc>
        <w:tc>
          <w:tcPr>
            <w:tcW w:w="720" w:type="dxa"/>
            <w:vAlign w:val="bottom"/>
            <w:tcBorders>
              <w:bottom w:val="single" w:sz="8" w:color="auto"/>
            </w:tcBorders>
          </w:tcPr>
          <w:p>
            <w:pPr>
              <w:jc w:val="center"/>
              <w:ind w:left="177"/>
              <w:spacing w:after="0"/>
              <w:rPr>
                <w:sz w:val="20"/>
                <w:szCs w:val="20"/>
                <w:color w:val="auto"/>
              </w:rPr>
            </w:pPr>
            <w:r>
              <w:rPr>
                <w:rFonts w:ascii="Calibri" w:cs="Calibri" w:eastAsia="Calibri" w:hAnsi="Calibri"/>
                <w:sz w:val="13"/>
                <w:szCs w:val="13"/>
                <w:b w:val="1"/>
                <w:bCs w:val="1"/>
                <w:color w:val="auto"/>
                <w:w w:val="92"/>
              </w:rPr>
              <w:t>-4.9%</w:t>
            </w:r>
          </w:p>
        </w:tc>
        <w:tc>
          <w:tcPr>
            <w:tcW w:w="1360" w:type="dxa"/>
            <w:vAlign w:val="bottom"/>
            <w:tcBorders>
              <w:bottom w:val="single" w:sz="8" w:color="auto"/>
              <w:right w:val="single" w:sz="8" w:color="auto"/>
            </w:tcBorders>
          </w:tcPr>
          <w:p>
            <w:pPr>
              <w:jc w:val="center"/>
              <w:ind w:left="157"/>
              <w:spacing w:after="0"/>
              <w:rPr>
                <w:sz w:val="20"/>
                <w:szCs w:val="20"/>
                <w:color w:val="auto"/>
              </w:rPr>
            </w:pPr>
            <w:r>
              <w:rPr>
                <w:rFonts w:ascii="Calibri" w:cs="Calibri" w:eastAsia="Calibri" w:hAnsi="Calibri"/>
                <w:sz w:val="13"/>
                <w:szCs w:val="13"/>
                <w:b w:val="1"/>
                <w:bCs w:val="1"/>
                <w:color w:val="auto"/>
                <w:w w:val="99"/>
              </w:rPr>
              <w:t>-0.8%</w:t>
            </w:r>
          </w:p>
        </w:tc>
      </w:tr>
    </w:tbl>
    <w:p>
      <w:pPr>
        <w:spacing w:after="0" w:line="182" w:lineRule="exact"/>
        <w:rPr>
          <w:sz w:val="20"/>
          <w:szCs w:val="20"/>
          <w:color w:val="auto"/>
        </w:rPr>
      </w:pPr>
    </w:p>
    <w:p>
      <w:pPr>
        <w:ind w:left="4920"/>
        <w:spacing w:after="0"/>
        <w:rPr>
          <w:sz w:val="20"/>
          <w:szCs w:val="20"/>
          <w:color w:val="auto"/>
        </w:rPr>
      </w:pPr>
      <w:r>
        <w:rPr>
          <w:rFonts w:ascii="Calibri" w:cs="Calibri" w:eastAsia="Calibri" w:hAnsi="Calibri"/>
          <w:sz w:val="16"/>
          <w:szCs w:val="16"/>
          <w:b w:val="1"/>
          <w:bCs w:val="1"/>
          <w:color w:val="auto"/>
        </w:rPr>
        <w:t>Statement of Income</w:t>
      </w:r>
    </w:p>
    <w:p>
      <w:pPr>
        <w:spacing w:after="0" w:line="7" w:lineRule="exact"/>
        <w:rPr>
          <w:sz w:val="20"/>
          <w:szCs w:val="20"/>
          <w:color w:val="auto"/>
        </w:rPr>
      </w:pPr>
    </w:p>
    <w:p>
      <w:pPr>
        <w:ind w:left="4940"/>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2020" w:type="dxa"/>
            <w:vAlign w:val="bottom"/>
            <w:tcBorders>
              <w:top w:val="single" w:sz="8" w:color="auto"/>
              <w:left w:val="single" w:sz="8" w:color="auto"/>
              <w:right w:val="single" w:sz="8" w:color="2AD2C9"/>
            </w:tcBorders>
            <w:shd w:val="clear" w:color="auto" w:fill="2AD2C9"/>
          </w:tcPr>
          <w:p>
            <w:pPr>
              <w:spacing w:after="0"/>
              <w:rPr>
                <w:sz w:val="12"/>
                <w:szCs w:val="12"/>
                <w:color w:val="auto"/>
              </w:rPr>
            </w:pPr>
          </w:p>
        </w:tc>
        <w:tc>
          <w:tcPr>
            <w:tcW w:w="1180" w:type="dxa"/>
            <w:vAlign w:val="bottom"/>
            <w:tcBorders>
              <w:top w:val="single" w:sz="8" w:color="auto"/>
              <w:right w:val="single" w:sz="8" w:color="auto"/>
            </w:tcBorders>
            <w:shd w:val="clear" w:color="auto" w:fill="2AD2C9"/>
          </w:tcPr>
          <w:p>
            <w:pPr>
              <w:spacing w:after="0"/>
              <w:rPr>
                <w:sz w:val="12"/>
                <w:szCs w:val="12"/>
                <w:color w:val="auto"/>
              </w:rPr>
            </w:pPr>
          </w:p>
        </w:tc>
        <w:tc>
          <w:tcPr>
            <w:tcW w:w="960" w:type="dxa"/>
            <w:vAlign w:val="bottom"/>
            <w:tcBorders>
              <w:top w:val="single" w:sz="8" w:color="auto"/>
            </w:tcBorders>
            <w:shd w:val="clear" w:color="auto" w:fill="2AD2C9"/>
          </w:tcPr>
          <w:p>
            <w:pPr>
              <w:spacing w:after="0"/>
              <w:rPr>
                <w:sz w:val="12"/>
                <w:szCs w:val="12"/>
                <w:color w:val="auto"/>
              </w:rPr>
            </w:pPr>
          </w:p>
        </w:tc>
        <w:tc>
          <w:tcPr>
            <w:tcW w:w="1020" w:type="dxa"/>
            <w:vAlign w:val="bottom"/>
            <w:tcBorders>
              <w:top w:val="single" w:sz="8" w:color="auto"/>
              <w:right w:val="single" w:sz="8" w:color="2AD2C9"/>
            </w:tcBorders>
            <w:shd w:val="clear" w:color="auto" w:fill="2AD2C9"/>
          </w:tcPr>
          <w:p>
            <w:pPr>
              <w:ind w:left="380"/>
              <w:spacing w:after="0"/>
              <w:rPr>
                <w:sz w:val="20"/>
                <w:szCs w:val="20"/>
                <w:color w:val="auto"/>
              </w:rPr>
            </w:pPr>
            <w:r>
              <w:rPr>
                <w:rFonts w:ascii="Calibri" w:cs="Calibri" w:eastAsia="Calibri" w:hAnsi="Calibri"/>
                <w:sz w:val="11"/>
                <w:szCs w:val="11"/>
                <w:b w:val="1"/>
                <w:bCs w:val="1"/>
                <w:color w:val="FFFFFF"/>
              </w:rPr>
              <w:t>Quarter</w:t>
            </w:r>
          </w:p>
        </w:tc>
        <w:tc>
          <w:tcPr>
            <w:tcW w:w="1080" w:type="dxa"/>
            <w:vAlign w:val="bottom"/>
            <w:tcBorders>
              <w:top w:val="single" w:sz="8" w:color="auto"/>
              <w:right w:val="single" w:sz="8" w:color="auto"/>
            </w:tcBorders>
            <w:shd w:val="clear" w:color="auto" w:fill="2AD2C9"/>
          </w:tcPr>
          <w:p>
            <w:pPr>
              <w:spacing w:after="0"/>
              <w:rPr>
                <w:sz w:val="12"/>
                <w:szCs w:val="12"/>
                <w:color w:val="auto"/>
              </w:rPr>
            </w:pPr>
          </w:p>
        </w:tc>
        <w:tc>
          <w:tcPr>
            <w:tcW w:w="740" w:type="dxa"/>
            <w:vAlign w:val="bottom"/>
            <w:tcBorders>
              <w:top w:val="single" w:sz="8" w:color="auto"/>
            </w:tcBorders>
            <w:shd w:val="clear" w:color="auto" w:fill="2AD2C9"/>
          </w:tcPr>
          <w:p>
            <w:pPr>
              <w:spacing w:after="0"/>
              <w:rPr>
                <w:sz w:val="12"/>
                <w:szCs w:val="12"/>
                <w:color w:val="auto"/>
              </w:rPr>
            </w:pPr>
          </w:p>
        </w:tc>
        <w:tc>
          <w:tcPr>
            <w:tcW w:w="960" w:type="dxa"/>
            <w:vAlign w:val="bottom"/>
            <w:tcBorders>
              <w:top w:val="single" w:sz="8" w:color="auto"/>
            </w:tcBorders>
            <w:gridSpan w:val="2"/>
            <w:shd w:val="clear" w:color="auto" w:fill="2AD2C9"/>
          </w:tcPr>
          <w:p>
            <w:pPr>
              <w:ind w:left="40"/>
              <w:spacing w:after="0"/>
              <w:rPr>
                <w:sz w:val="20"/>
                <w:szCs w:val="20"/>
                <w:color w:val="auto"/>
              </w:rPr>
            </w:pPr>
            <w:r>
              <w:rPr>
                <w:rFonts w:ascii="Calibri" w:cs="Calibri" w:eastAsia="Calibri" w:hAnsi="Calibri"/>
                <w:sz w:val="11"/>
                <w:szCs w:val="11"/>
                <w:b w:val="1"/>
                <w:bCs w:val="1"/>
                <w:color w:val="FFFFFF"/>
              </w:rPr>
              <w:t>% change</w:t>
            </w:r>
          </w:p>
        </w:tc>
        <w:tc>
          <w:tcPr>
            <w:tcW w:w="300" w:type="dxa"/>
            <w:vAlign w:val="bottom"/>
            <w:tcBorders>
              <w:top w:val="single" w:sz="8" w:color="auto"/>
              <w:right w:val="single" w:sz="8" w:color="auto"/>
            </w:tcBorders>
            <w:shd w:val="clear" w:color="auto" w:fill="2AD2C9"/>
          </w:tcPr>
          <w:p>
            <w:pPr>
              <w:spacing w:after="0"/>
              <w:rPr>
                <w:sz w:val="12"/>
                <w:szCs w:val="12"/>
                <w:color w:val="auto"/>
              </w:rPr>
            </w:pPr>
          </w:p>
        </w:tc>
        <w:tc>
          <w:tcPr>
            <w:tcW w:w="1160" w:type="dxa"/>
            <w:vAlign w:val="bottom"/>
            <w:tcBorders>
              <w:top w:val="single" w:sz="8" w:color="auto"/>
            </w:tcBorders>
            <w:gridSpan w:val="2"/>
            <w:shd w:val="clear" w:color="auto" w:fill="2AD2C9"/>
          </w:tcPr>
          <w:p>
            <w:pPr>
              <w:ind w:left="800"/>
              <w:spacing w:after="0"/>
              <w:rPr>
                <w:sz w:val="20"/>
                <w:szCs w:val="20"/>
                <w:color w:val="auto"/>
              </w:rPr>
            </w:pPr>
            <w:r>
              <w:rPr>
                <w:rFonts w:ascii="Calibri" w:cs="Calibri" w:eastAsia="Calibri" w:hAnsi="Calibri"/>
                <w:sz w:val="11"/>
                <w:szCs w:val="11"/>
                <w:b w:val="1"/>
                <w:bCs w:val="1"/>
                <w:color w:val="FFFFFF"/>
              </w:rPr>
              <w:t>Up to</w:t>
            </w:r>
          </w:p>
        </w:tc>
        <w:tc>
          <w:tcPr>
            <w:tcW w:w="560" w:type="dxa"/>
            <w:vAlign w:val="bottom"/>
            <w:tcBorders>
              <w:top w:val="single" w:sz="8" w:color="auto"/>
            </w:tcBorders>
            <w:shd w:val="clear" w:color="auto" w:fill="2AD2C9"/>
          </w:tcPr>
          <w:p>
            <w:pPr>
              <w:spacing w:after="0"/>
              <w:rPr>
                <w:sz w:val="12"/>
                <w:szCs w:val="12"/>
                <w:color w:val="auto"/>
              </w:rPr>
            </w:pPr>
          </w:p>
        </w:tc>
        <w:tc>
          <w:tcPr>
            <w:tcW w:w="160" w:type="dxa"/>
            <w:vAlign w:val="bottom"/>
            <w:tcBorders>
              <w:top w:val="single" w:sz="8" w:color="auto"/>
              <w:right w:val="single" w:sz="8" w:color="auto"/>
            </w:tcBorders>
            <w:shd w:val="clear" w:color="auto" w:fill="2AD2C9"/>
          </w:tcPr>
          <w:p>
            <w:pPr>
              <w:spacing w:after="0"/>
              <w:rPr>
                <w:sz w:val="12"/>
                <w:szCs w:val="12"/>
                <w:color w:val="auto"/>
              </w:rPr>
            </w:pPr>
          </w:p>
        </w:tc>
        <w:tc>
          <w:tcPr>
            <w:tcW w:w="11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Calibri" w:cs="Calibri" w:eastAsia="Calibri" w:hAnsi="Calibri"/>
                <w:sz w:val="11"/>
                <w:szCs w:val="11"/>
                <w:b w:val="1"/>
                <w:bCs w:val="1"/>
                <w:color w:val="FFFFFF"/>
                <w:w w:val="99"/>
              </w:rPr>
              <w:t>% Change</w:t>
            </w:r>
          </w:p>
        </w:tc>
      </w:tr>
      <w:tr>
        <w:trPr>
          <w:trHeight w:val="143"/>
        </w:trPr>
        <w:tc>
          <w:tcPr>
            <w:tcW w:w="2020" w:type="dxa"/>
            <w:vAlign w:val="bottom"/>
            <w:tcBorders>
              <w:left w:val="single" w:sz="8" w:color="auto"/>
              <w:right w:val="single" w:sz="8" w:color="2AD2C9"/>
            </w:tcBorders>
            <w:shd w:val="clear" w:color="auto" w:fill="2AD2C9"/>
          </w:tcPr>
          <w:p>
            <w:pPr>
              <w:spacing w:after="0"/>
              <w:rPr>
                <w:sz w:val="12"/>
                <w:szCs w:val="12"/>
                <w:color w:val="auto"/>
              </w:rPr>
            </w:pPr>
          </w:p>
        </w:tc>
        <w:tc>
          <w:tcPr>
            <w:tcW w:w="1180" w:type="dxa"/>
            <w:vAlign w:val="bottom"/>
            <w:tcBorders>
              <w:right w:val="single" w:sz="8" w:color="auto"/>
            </w:tcBorders>
            <w:shd w:val="clear" w:color="auto" w:fill="2AD2C9"/>
          </w:tcPr>
          <w:p>
            <w:pPr>
              <w:spacing w:after="0"/>
              <w:rPr>
                <w:sz w:val="12"/>
                <w:szCs w:val="12"/>
                <w:color w:val="auto"/>
              </w:rPr>
            </w:pPr>
          </w:p>
        </w:tc>
        <w:tc>
          <w:tcPr>
            <w:tcW w:w="960" w:type="dxa"/>
            <w:vAlign w:val="bottom"/>
            <w:shd w:val="clear" w:color="auto" w:fill="2AD2C9"/>
          </w:tcPr>
          <w:p>
            <w:pPr>
              <w:jc w:val="center"/>
              <w:spacing w:after="0" w:line="129" w:lineRule="exact"/>
              <w:rPr>
                <w:sz w:val="20"/>
                <w:szCs w:val="20"/>
                <w:color w:val="auto"/>
              </w:rPr>
            </w:pPr>
            <w:r>
              <w:rPr>
                <w:rFonts w:ascii="Calibri" w:cs="Calibri" w:eastAsia="Calibri" w:hAnsi="Calibri"/>
                <w:sz w:val="11"/>
                <w:szCs w:val="11"/>
                <w:b w:val="1"/>
                <w:bCs w:val="1"/>
                <w:color w:val="FFFFFF"/>
                <w:w w:val="98"/>
              </w:rPr>
              <w:t>3Q23</w:t>
            </w:r>
          </w:p>
        </w:tc>
        <w:tc>
          <w:tcPr>
            <w:tcW w:w="1020" w:type="dxa"/>
            <w:vAlign w:val="bottom"/>
            <w:tcBorders>
              <w:right w:val="single" w:sz="8" w:color="2AD2C9"/>
            </w:tcBorders>
            <w:shd w:val="clear" w:color="auto" w:fill="2AD2C9"/>
          </w:tcPr>
          <w:p>
            <w:pPr>
              <w:jc w:val="center"/>
              <w:ind w:left="35"/>
              <w:spacing w:after="0" w:line="129" w:lineRule="exact"/>
              <w:rPr>
                <w:sz w:val="20"/>
                <w:szCs w:val="20"/>
                <w:color w:val="auto"/>
              </w:rPr>
            </w:pPr>
            <w:r>
              <w:rPr>
                <w:rFonts w:ascii="Calibri" w:cs="Calibri" w:eastAsia="Calibri" w:hAnsi="Calibri"/>
                <w:sz w:val="11"/>
                <w:szCs w:val="11"/>
                <w:b w:val="1"/>
                <w:bCs w:val="1"/>
                <w:color w:val="FFFFFF"/>
                <w:w w:val="98"/>
              </w:rPr>
              <w:t>2Q24</w:t>
            </w:r>
          </w:p>
        </w:tc>
        <w:tc>
          <w:tcPr>
            <w:tcW w:w="1080" w:type="dxa"/>
            <w:vAlign w:val="bottom"/>
            <w:tcBorders>
              <w:right w:val="single" w:sz="8" w:color="auto"/>
            </w:tcBorders>
            <w:shd w:val="clear" w:color="auto" w:fill="2AD2C9"/>
          </w:tcPr>
          <w:p>
            <w:pPr>
              <w:jc w:val="center"/>
              <w:spacing w:after="0" w:line="129" w:lineRule="exact"/>
              <w:rPr>
                <w:sz w:val="20"/>
                <w:szCs w:val="20"/>
                <w:color w:val="auto"/>
              </w:rPr>
            </w:pPr>
            <w:r>
              <w:rPr>
                <w:rFonts w:ascii="Calibri" w:cs="Calibri" w:eastAsia="Calibri" w:hAnsi="Calibri"/>
                <w:sz w:val="11"/>
                <w:szCs w:val="11"/>
                <w:b w:val="1"/>
                <w:bCs w:val="1"/>
                <w:color w:val="FFFFFF"/>
                <w:w w:val="98"/>
              </w:rPr>
              <w:t>3Q24</w:t>
            </w:r>
          </w:p>
        </w:tc>
        <w:tc>
          <w:tcPr>
            <w:tcW w:w="740" w:type="dxa"/>
            <w:vAlign w:val="bottom"/>
            <w:shd w:val="clear" w:color="auto" w:fill="2AD2C9"/>
          </w:tcPr>
          <w:p>
            <w:pPr>
              <w:jc w:val="center"/>
              <w:ind w:left="176"/>
              <w:spacing w:after="0" w:line="129" w:lineRule="exact"/>
              <w:rPr>
                <w:sz w:val="20"/>
                <w:szCs w:val="20"/>
                <w:color w:val="auto"/>
              </w:rPr>
            </w:pPr>
            <w:r>
              <w:rPr>
                <w:rFonts w:ascii="Calibri" w:cs="Calibri" w:eastAsia="Calibri" w:hAnsi="Calibri"/>
                <w:sz w:val="11"/>
                <w:szCs w:val="11"/>
                <w:b w:val="1"/>
                <w:bCs w:val="1"/>
                <w:color w:val="FFFFFF"/>
              </w:rPr>
              <w:t>QoQ</w:t>
            </w:r>
          </w:p>
        </w:tc>
        <w:tc>
          <w:tcPr>
            <w:tcW w:w="160" w:type="dxa"/>
            <w:vAlign w:val="bottom"/>
            <w:tcBorders>
              <w:right w:val="single" w:sz="8" w:color="2AD2C9"/>
            </w:tcBorders>
            <w:shd w:val="clear" w:color="auto" w:fill="2AD2C9"/>
          </w:tcPr>
          <w:p>
            <w:pPr>
              <w:spacing w:after="0"/>
              <w:rPr>
                <w:sz w:val="12"/>
                <w:szCs w:val="12"/>
                <w:color w:val="auto"/>
              </w:rPr>
            </w:pPr>
          </w:p>
        </w:tc>
        <w:tc>
          <w:tcPr>
            <w:tcW w:w="800" w:type="dxa"/>
            <w:vAlign w:val="bottom"/>
            <w:shd w:val="clear" w:color="auto" w:fill="2AD2C9"/>
          </w:tcPr>
          <w:p>
            <w:pPr>
              <w:ind w:left="500"/>
              <w:spacing w:after="0" w:line="129" w:lineRule="exact"/>
              <w:rPr>
                <w:sz w:val="20"/>
                <w:szCs w:val="20"/>
                <w:color w:val="auto"/>
              </w:rPr>
            </w:pPr>
            <w:r>
              <w:rPr>
                <w:rFonts w:ascii="Calibri" w:cs="Calibri" w:eastAsia="Calibri" w:hAnsi="Calibri"/>
                <w:sz w:val="11"/>
                <w:szCs w:val="11"/>
                <w:b w:val="1"/>
                <w:bCs w:val="1"/>
                <w:color w:val="FFFFFF"/>
              </w:rPr>
              <w:t>YoY</w:t>
            </w:r>
          </w:p>
        </w:tc>
        <w:tc>
          <w:tcPr>
            <w:tcW w:w="300" w:type="dxa"/>
            <w:vAlign w:val="bottom"/>
            <w:tcBorders>
              <w:right w:val="single" w:sz="8" w:color="auto"/>
            </w:tcBorders>
            <w:shd w:val="clear" w:color="auto" w:fill="2AD2C9"/>
          </w:tcPr>
          <w:p>
            <w:pPr>
              <w:spacing w:after="0"/>
              <w:rPr>
                <w:sz w:val="12"/>
                <w:szCs w:val="12"/>
                <w:color w:val="auto"/>
              </w:rPr>
            </w:pPr>
          </w:p>
        </w:tc>
        <w:tc>
          <w:tcPr>
            <w:tcW w:w="1160" w:type="dxa"/>
            <w:vAlign w:val="bottom"/>
            <w:gridSpan w:val="2"/>
            <w:shd w:val="clear" w:color="auto" w:fill="2AD2C9"/>
          </w:tcPr>
          <w:p>
            <w:pPr>
              <w:ind w:left="400"/>
              <w:spacing w:after="0" w:line="129" w:lineRule="exact"/>
              <w:rPr>
                <w:sz w:val="20"/>
                <w:szCs w:val="20"/>
                <w:color w:val="auto"/>
              </w:rPr>
            </w:pPr>
            <w:r>
              <w:rPr>
                <w:rFonts w:ascii="Calibri" w:cs="Calibri" w:eastAsia="Calibri" w:hAnsi="Calibri"/>
                <w:sz w:val="11"/>
                <w:szCs w:val="11"/>
                <w:b w:val="1"/>
                <w:bCs w:val="1"/>
                <w:color w:val="FFFFFF"/>
              </w:rPr>
              <w:t>Sep 23</w:t>
            </w:r>
          </w:p>
        </w:tc>
        <w:tc>
          <w:tcPr>
            <w:tcW w:w="560" w:type="dxa"/>
            <w:vAlign w:val="bottom"/>
            <w:shd w:val="clear" w:color="auto" w:fill="2AD2C9"/>
          </w:tcPr>
          <w:p>
            <w:pPr>
              <w:ind w:left="180"/>
              <w:spacing w:after="0" w:line="129" w:lineRule="exact"/>
              <w:rPr>
                <w:sz w:val="20"/>
                <w:szCs w:val="20"/>
                <w:color w:val="auto"/>
              </w:rPr>
            </w:pPr>
            <w:r>
              <w:rPr>
                <w:rFonts w:ascii="Calibri" w:cs="Calibri" w:eastAsia="Calibri" w:hAnsi="Calibri"/>
                <w:sz w:val="11"/>
                <w:szCs w:val="11"/>
                <w:b w:val="1"/>
                <w:bCs w:val="1"/>
                <w:color w:val="FFFFFF"/>
              </w:rPr>
              <w:t>Sep 24</w:t>
            </w:r>
          </w:p>
        </w:tc>
        <w:tc>
          <w:tcPr>
            <w:tcW w:w="160" w:type="dxa"/>
            <w:vAlign w:val="bottom"/>
            <w:tcBorders>
              <w:right w:val="single" w:sz="8" w:color="auto"/>
            </w:tcBorders>
            <w:shd w:val="clear" w:color="auto" w:fill="2AD2C9"/>
          </w:tcPr>
          <w:p>
            <w:pPr>
              <w:spacing w:after="0"/>
              <w:rPr>
                <w:sz w:val="12"/>
                <w:szCs w:val="12"/>
                <w:color w:val="auto"/>
              </w:rPr>
            </w:pPr>
          </w:p>
        </w:tc>
        <w:tc>
          <w:tcPr>
            <w:tcW w:w="1100" w:type="dxa"/>
            <w:vAlign w:val="bottom"/>
            <w:tcBorders>
              <w:right w:val="single" w:sz="8" w:color="auto"/>
            </w:tcBorders>
            <w:shd w:val="clear" w:color="auto" w:fill="2AD2C9"/>
          </w:tcPr>
          <w:p>
            <w:pPr>
              <w:jc w:val="center"/>
              <w:spacing w:after="0" w:line="129" w:lineRule="exact"/>
              <w:rPr>
                <w:sz w:val="20"/>
                <w:szCs w:val="20"/>
                <w:color w:val="auto"/>
              </w:rPr>
            </w:pPr>
            <w:r>
              <w:rPr>
                <w:rFonts w:ascii="Calibri" w:cs="Calibri" w:eastAsia="Calibri" w:hAnsi="Calibri"/>
                <w:sz w:val="11"/>
                <w:szCs w:val="11"/>
                <w:b w:val="1"/>
                <w:bCs w:val="1"/>
                <w:color w:val="FFFFFF"/>
                <w:w w:val="96"/>
              </w:rPr>
              <w:t>Sep 24 / Sep 23</w:t>
            </w:r>
          </w:p>
        </w:tc>
      </w:tr>
      <w:tr>
        <w:trPr>
          <w:trHeight w:val="127"/>
        </w:trPr>
        <w:tc>
          <w:tcPr>
            <w:tcW w:w="2020" w:type="dxa"/>
            <w:vAlign w:val="bottom"/>
            <w:tcBorders>
              <w:lef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Net interest income</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Calibri" w:cs="Calibri" w:eastAsia="Calibri" w:hAnsi="Calibri"/>
                <w:sz w:val="11"/>
                <w:szCs w:val="11"/>
                <w:color w:val="auto"/>
                <w:w w:val="97"/>
              </w:rPr>
              <w:t>83,228</w:t>
            </w:r>
          </w:p>
        </w:tc>
        <w:tc>
          <w:tcPr>
            <w:tcW w:w="1020" w:type="dxa"/>
            <w:vAlign w:val="bottom"/>
          </w:tcPr>
          <w:p>
            <w:pPr>
              <w:jc w:val="center"/>
              <w:ind w:left="15"/>
              <w:spacing w:after="0" w:line="127" w:lineRule="exact"/>
              <w:rPr>
                <w:sz w:val="20"/>
                <w:szCs w:val="20"/>
                <w:color w:val="auto"/>
              </w:rPr>
            </w:pPr>
            <w:r>
              <w:rPr>
                <w:rFonts w:ascii="Calibri" w:cs="Calibri" w:eastAsia="Calibri" w:hAnsi="Calibri"/>
                <w:sz w:val="11"/>
                <w:szCs w:val="11"/>
                <w:color w:val="auto"/>
                <w:w w:val="97"/>
              </w:rPr>
              <w:t>91,049</w:t>
            </w:r>
          </w:p>
        </w:tc>
        <w:tc>
          <w:tcPr>
            <w:tcW w:w="108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87,688</w:t>
            </w:r>
          </w:p>
        </w:tc>
        <w:tc>
          <w:tcPr>
            <w:tcW w:w="740" w:type="dxa"/>
            <w:vAlign w:val="bottom"/>
          </w:tcPr>
          <w:p>
            <w:pPr>
              <w:jc w:val="center"/>
              <w:ind w:left="176"/>
              <w:spacing w:after="0" w:line="127" w:lineRule="exact"/>
              <w:rPr>
                <w:sz w:val="20"/>
                <w:szCs w:val="20"/>
                <w:color w:val="auto"/>
              </w:rPr>
            </w:pPr>
            <w:r>
              <w:rPr>
                <w:rFonts w:ascii="Calibri" w:cs="Calibri" w:eastAsia="Calibri" w:hAnsi="Calibri"/>
                <w:sz w:val="11"/>
                <w:szCs w:val="11"/>
                <w:color w:val="auto"/>
              </w:rPr>
              <w:t>-3.7%</w:t>
            </w:r>
          </w:p>
        </w:tc>
        <w:tc>
          <w:tcPr>
            <w:tcW w:w="960" w:type="dxa"/>
            <w:vAlign w:val="bottom"/>
            <w:gridSpan w:val="2"/>
          </w:tcPr>
          <w:p>
            <w:pPr>
              <w:jc w:val="center"/>
              <w:ind w:left="486"/>
              <w:spacing w:after="0" w:line="127" w:lineRule="exact"/>
              <w:rPr>
                <w:sz w:val="20"/>
                <w:szCs w:val="20"/>
                <w:color w:val="auto"/>
              </w:rPr>
            </w:pPr>
            <w:r>
              <w:rPr>
                <w:rFonts w:ascii="Calibri" w:cs="Calibri" w:eastAsia="Calibri" w:hAnsi="Calibri"/>
                <w:sz w:val="11"/>
                <w:szCs w:val="11"/>
                <w:color w:val="auto"/>
              </w:rPr>
              <w:t>5.4%</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line="127" w:lineRule="exact"/>
              <w:rPr>
                <w:sz w:val="20"/>
                <w:szCs w:val="20"/>
                <w:color w:val="auto"/>
              </w:rPr>
            </w:pPr>
            <w:r>
              <w:rPr>
                <w:rFonts w:ascii="Calibri" w:cs="Calibri" w:eastAsia="Calibri" w:hAnsi="Calibri"/>
                <w:sz w:val="11"/>
                <w:szCs w:val="11"/>
                <w:color w:val="auto"/>
                <w:w w:val="93"/>
              </w:rPr>
              <w:t>248,178</w:t>
            </w:r>
          </w:p>
        </w:tc>
        <w:tc>
          <w:tcPr>
            <w:tcW w:w="180" w:type="dxa"/>
            <w:vAlign w:val="bottom"/>
          </w:tcPr>
          <w:p>
            <w:pPr>
              <w:spacing w:after="0"/>
              <w:rPr>
                <w:sz w:val="11"/>
                <w:szCs w:val="11"/>
                <w:color w:val="auto"/>
              </w:rPr>
            </w:pPr>
          </w:p>
        </w:tc>
        <w:tc>
          <w:tcPr>
            <w:tcW w:w="560" w:type="dxa"/>
            <w:vAlign w:val="bottom"/>
          </w:tcPr>
          <w:p>
            <w:pPr>
              <w:jc w:val="center"/>
              <w:ind w:left="23"/>
              <w:spacing w:after="0" w:line="127" w:lineRule="exact"/>
              <w:rPr>
                <w:sz w:val="20"/>
                <w:szCs w:val="20"/>
                <w:color w:val="auto"/>
              </w:rPr>
            </w:pPr>
            <w:r>
              <w:rPr>
                <w:rFonts w:ascii="Calibri" w:cs="Calibri" w:eastAsia="Calibri" w:hAnsi="Calibri"/>
                <w:sz w:val="11"/>
                <w:szCs w:val="11"/>
                <w:color w:val="auto"/>
                <w:w w:val="99"/>
              </w:rPr>
              <w:t>265,584</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1"/>
              </w:rPr>
              <w:t>7.0%</w:t>
            </w:r>
          </w:p>
        </w:tc>
      </w:tr>
      <w:tr>
        <w:trPr>
          <w:trHeight w:val="129"/>
        </w:trPr>
        <w:tc>
          <w:tcPr>
            <w:tcW w:w="2020" w:type="dxa"/>
            <w:vAlign w:val="bottom"/>
            <w:tcBorders>
              <w:lef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Provision for loan losses, net of recoveries</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Calibri" w:cs="Calibri" w:eastAsia="Calibri" w:hAnsi="Calibri"/>
                <w:sz w:val="11"/>
                <w:szCs w:val="11"/>
                <w:color w:val="auto"/>
                <w:w w:val="96"/>
              </w:rPr>
              <w:t>(11,497)</w:t>
            </w:r>
          </w:p>
        </w:tc>
        <w:tc>
          <w:tcPr>
            <w:tcW w:w="1020" w:type="dxa"/>
            <w:vAlign w:val="bottom"/>
          </w:tcPr>
          <w:p>
            <w:pPr>
              <w:jc w:val="center"/>
              <w:ind w:left="15"/>
              <w:spacing w:after="0" w:line="129" w:lineRule="exact"/>
              <w:rPr>
                <w:sz w:val="20"/>
                <w:szCs w:val="20"/>
                <w:color w:val="auto"/>
              </w:rPr>
            </w:pPr>
            <w:r>
              <w:rPr>
                <w:rFonts w:ascii="Calibri" w:cs="Calibri" w:eastAsia="Calibri" w:hAnsi="Calibri"/>
                <w:sz w:val="11"/>
                <w:szCs w:val="11"/>
                <w:color w:val="auto"/>
              </w:rPr>
              <w:t>(23,466)</w:t>
            </w:r>
          </w:p>
        </w:tc>
        <w:tc>
          <w:tcPr>
            <w:tcW w:w="108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6"/>
              </w:rPr>
              <w:t>(10,542)</w:t>
            </w:r>
          </w:p>
        </w:tc>
        <w:tc>
          <w:tcPr>
            <w:tcW w:w="740" w:type="dxa"/>
            <w:vAlign w:val="bottom"/>
          </w:tcPr>
          <w:p>
            <w:pPr>
              <w:jc w:val="center"/>
              <w:ind w:left="176"/>
              <w:spacing w:after="0" w:line="129" w:lineRule="exact"/>
              <w:rPr>
                <w:sz w:val="20"/>
                <w:szCs w:val="20"/>
                <w:color w:val="auto"/>
              </w:rPr>
            </w:pPr>
            <w:r>
              <w:rPr>
                <w:rFonts w:ascii="Calibri" w:cs="Calibri" w:eastAsia="Calibri" w:hAnsi="Calibri"/>
                <w:sz w:val="11"/>
                <w:szCs w:val="11"/>
                <w:color w:val="auto"/>
                <w:w w:val="97"/>
              </w:rPr>
              <w:t>-55.1%</w:t>
            </w:r>
          </w:p>
        </w:tc>
        <w:tc>
          <w:tcPr>
            <w:tcW w:w="960" w:type="dxa"/>
            <w:vAlign w:val="bottom"/>
            <w:gridSpan w:val="2"/>
          </w:tcPr>
          <w:p>
            <w:pPr>
              <w:jc w:val="center"/>
              <w:ind w:left="466"/>
              <w:spacing w:after="0" w:line="129" w:lineRule="exact"/>
              <w:rPr>
                <w:sz w:val="20"/>
                <w:szCs w:val="20"/>
                <w:color w:val="auto"/>
              </w:rPr>
            </w:pPr>
            <w:r>
              <w:rPr>
                <w:rFonts w:ascii="Calibri" w:cs="Calibri" w:eastAsia="Calibri" w:hAnsi="Calibri"/>
                <w:sz w:val="11"/>
                <w:szCs w:val="11"/>
                <w:color w:val="auto"/>
                <w:w w:val="95"/>
              </w:rPr>
              <w:t>-8.3%</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line="129" w:lineRule="exact"/>
              <w:rPr>
                <w:sz w:val="20"/>
                <w:szCs w:val="20"/>
                <w:color w:val="auto"/>
              </w:rPr>
            </w:pPr>
            <w:r>
              <w:rPr>
                <w:rFonts w:ascii="Calibri" w:cs="Calibri" w:eastAsia="Calibri" w:hAnsi="Calibri"/>
                <w:sz w:val="11"/>
                <w:szCs w:val="11"/>
                <w:color w:val="auto"/>
              </w:rPr>
              <w:t>(10,510)</w:t>
            </w:r>
          </w:p>
        </w:tc>
        <w:tc>
          <w:tcPr>
            <w:tcW w:w="180" w:type="dxa"/>
            <w:vAlign w:val="bottom"/>
          </w:tcPr>
          <w:p>
            <w:pPr>
              <w:spacing w:after="0"/>
              <w:rPr>
                <w:sz w:val="11"/>
                <w:szCs w:val="11"/>
                <w:color w:val="auto"/>
              </w:rPr>
            </w:pPr>
          </w:p>
        </w:tc>
        <w:tc>
          <w:tcPr>
            <w:tcW w:w="560" w:type="dxa"/>
            <w:vAlign w:val="bottom"/>
          </w:tcPr>
          <w:p>
            <w:pPr>
              <w:jc w:val="center"/>
              <w:ind w:left="23"/>
              <w:spacing w:after="0" w:line="129" w:lineRule="exact"/>
              <w:rPr>
                <w:sz w:val="20"/>
                <w:szCs w:val="20"/>
                <w:color w:val="auto"/>
              </w:rPr>
            </w:pPr>
            <w:r>
              <w:rPr>
                <w:rFonts w:ascii="Calibri" w:cs="Calibri" w:eastAsia="Calibri" w:hAnsi="Calibri"/>
                <w:sz w:val="11"/>
                <w:szCs w:val="11"/>
                <w:color w:val="auto"/>
                <w:w w:val="96"/>
              </w:rPr>
              <w:t>(48,661)</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6"/>
              </w:rPr>
              <w:t>363.0%</w:t>
            </w:r>
          </w:p>
        </w:tc>
      </w:tr>
      <w:tr>
        <w:trPr>
          <w:trHeight w:val="135"/>
        </w:trPr>
        <w:tc>
          <w:tcPr>
            <w:tcW w:w="202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interest income afer provisions</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rPr>
                <w:sz w:val="20"/>
                <w:szCs w:val="20"/>
                <w:color w:val="auto"/>
              </w:rPr>
            </w:pPr>
            <w:r>
              <w:rPr>
                <w:rFonts w:ascii="Calibri" w:cs="Calibri" w:eastAsia="Calibri" w:hAnsi="Calibri"/>
                <w:sz w:val="11"/>
                <w:szCs w:val="11"/>
                <w:b w:val="1"/>
                <w:bCs w:val="1"/>
                <w:color w:val="auto"/>
                <w:w w:val="97"/>
              </w:rPr>
              <w:t>71,731</w:t>
            </w:r>
          </w:p>
        </w:tc>
        <w:tc>
          <w:tcPr>
            <w:tcW w:w="1020" w:type="dxa"/>
            <w:vAlign w:val="bottom"/>
          </w:tcPr>
          <w:p>
            <w:pPr>
              <w:jc w:val="center"/>
              <w:ind w:left="15"/>
              <w:spacing w:after="0"/>
              <w:rPr>
                <w:sz w:val="20"/>
                <w:szCs w:val="20"/>
                <w:color w:val="auto"/>
              </w:rPr>
            </w:pPr>
            <w:r>
              <w:rPr>
                <w:rFonts w:ascii="Calibri" w:cs="Calibri" w:eastAsia="Calibri" w:hAnsi="Calibri"/>
                <w:sz w:val="11"/>
                <w:szCs w:val="11"/>
                <w:b w:val="1"/>
                <w:bCs w:val="1"/>
                <w:color w:val="auto"/>
                <w:w w:val="97"/>
              </w:rPr>
              <w:t>67,583</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7"/>
              </w:rPr>
              <w:t>77,146</w:t>
            </w:r>
          </w:p>
        </w:tc>
        <w:tc>
          <w:tcPr>
            <w:tcW w:w="740" w:type="dxa"/>
            <w:vAlign w:val="bottom"/>
          </w:tcPr>
          <w:p>
            <w:pPr>
              <w:jc w:val="center"/>
              <w:ind w:left="176"/>
              <w:spacing w:after="0"/>
              <w:rPr>
                <w:sz w:val="20"/>
                <w:szCs w:val="20"/>
                <w:color w:val="auto"/>
              </w:rPr>
            </w:pPr>
            <w:r>
              <w:rPr>
                <w:rFonts w:ascii="Calibri" w:cs="Calibri" w:eastAsia="Calibri" w:hAnsi="Calibri"/>
                <w:sz w:val="11"/>
                <w:szCs w:val="11"/>
                <w:b w:val="1"/>
                <w:bCs w:val="1"/>
                <w:color w:val="auto"/>
                <w:w w:val="93"/>
              </w:rPr>
              <w:t>14.2%</w:t>
            </w:r>
          </w:p>
        </w:tc>
        <w:tc>
          <w:tcPr>
            <w:tcW w:w="960" w:type="dxa"/>
            <w:vAlign w:val="bottom"/>
            <w:gridSpan w:val="2"/>
          </w:tcPr>
          <w:p>
            <w:pPr>
              <w:jc w:val="center"/>
              <w:ind w:left="486"/>
              <w:spacing w:after="0"/>
              <w:rPr>
                <w:sz w:val="20"/>
                <w:szCs w:val="20"/>
                <w:color w:val="auto"/>
              </w:rPr>
            </w:pPr>
            <w:r>
              <w:rPr>
                <w:rFonts w:ascii="Calibri" w:cs="Calibri" w:eastAsia="Calibri" w:hAnsi="Calibri"/>
                <w:sz w:val="11"/>
                <w:szCs w:val="11"/>
                <w:b w:val="1"/>
                <w:bCs w:val="1"/>
                <w:color w:val="auto"/>
                <w:w w:val="99"/>
              </w:rPr>
              <w:t>7.5%</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rPr>
                <w:sz w:val="20"/>
                <w:szCs w:val="20"/>
                <w:color w:val="auto"/>
              </w:rPr>
            </w:pPr>
            <w:r>
              <w:rPr>
                <w:rFonts w:ascii="Calibri" w:cs="Calibri" w:eastAsia="Calibri" w:hAnsi="Calibri"/>
                <w:sz w:val="11"/>
                <w:szCs w:val="11"/>
                <w:b w:val="1"/>
                <w:bCs w:val="1"/>
                <w:color w:val="auto"/>
                <w:w w:val="93"/>
              </w:rPr>
              <w:t>237,668</w:t>
            </w:r>
          </w:p>
        </w:tc>
        <w:tc>
          <w:tcPr>
            <w:tcW w:w="180" w:type="dxa"/>
            <w:vAlign w:val="bottom"/>
          </w:tcPr>
          <w:p>
            <w:pPr>
              <w:spacing w:after="0"/>
              <w:rPr>
                <w:sz w:val="11"/>
                <w:szCs w:val="11"/>
                <w:color w:val="auto"/>
              </w:rPr>
            </w:pPr>
          </w:p>
        </w:tc>
        <w:tc>
          <w:tcPr>
            <w:tcW w:w="560" w:type="dxa"/>
            <w:vAlign w:val="bottom"/>
          </w:tcPr>
          <w:p>
            <w:pPr>
              <w:jc w:val="center"/>
              <w:ind w:left="23"/>
              <w:spacing w:after="0"/>
              <w:rPr>
                <w:sz w:val="20"/>
                <w:szCs w:val="20"/>
                <w:color w:val="auto"/>
              </w:rPr>
            </w:pPr>
            <w:r>
              <w:rPr>
                <w:rFonts w:ascii="Calibri" w:cs="Calibri" w:eastAsia="Calibri" w:hAnsi="Calibri"/>
                <w:sz w:val="11"/>
                <w:szCs w:val="11"/>
                <w:b w:val="1"/>
                <w:bCs w:val="1"/>
                <w:color w:val="auto"/>
                <w:w w:val="99"/>
              </w:rPr>
              <w:t>216,923</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4"/>
              </w:rPr>
              <w:t>-8.7%</w:t>
            </w:r>
          </w:p>
        </w:tc>
      </w:tr>
      <w:tr>
        <w:trPr>
          <w:trHeight w:val="135"/>
        </w:trPr>
        <w:tc>
          <w:tcPr>
            <w:tcW w:w="202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Non-fnancial income</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rPr>
                <w:sz w:val="20"/>
                <w:szCs w:val="20"/>
                <w:color w:val="auto"/>
              </w:rPr>
            </w:pPr>
            <w:r>
              <w:rPr>
                <w:rFonts w:ascii="Calibri" w:cs="Calibri" w:eastAsia="Calibri" w:hAnsi="Calibri"/>
                <w:sz w:val="11"/>
                <w:szCs w:val="11"/>
                <w:color w:val="auto"/>
                <w:w w:val="97"/>
              </w:rPr>
              <w:t>59,534</w:t>
            </w:r>
          </w:p>
        </w:tc>
        <w:tc>
          <w:tcPr>
            <w:tcW w:w="1020" w:type="dxa"/>
            <w:vAlign w:val="bottom"/>
          </w:tcPr>
          <w:p>
            <w:pPr>
              <w:jc w:val="center"/>
              <w:ind w:left="15"/>
              <w:spacing w:after="0"/>
              <w:rPr>
                <w:sz w:val="20"/>
                <w:szCs w:val="20"/>
                <w:color w:val="auto"/>
              </w:rPr>
            </w:pPr>
            <w:r>
              <w:rPr>
                <w:rFonts w:ascii="Calibri" w:cs="Calibri" w:eastAsia="Calibri" w:hAnsi="Calibri"/>
                <w:sz w:val="11"/>
                <w:szCs w:val="11"/>
                <w:color w:val="auto"/>
                <w:w w:val="97"/>
              </w:rPr>
              <w:t>91,766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36,365</w:t>
            </w:r>
          </w:p>
        </w:tc>
        <w:tc>
          <w:tcPr>
            <w:tcW w:w="740" w:type="dxa"/>
            <w:vAlign w:val="bottom"/>
          </w:tcPr>
          <w:p>
            <w:pPr>
              <w:jc w:val="center"/>
              <w:ind w:left="176"/>
              <w:spacing w:after="0"/>
              <w:rPr>
                <w:sz w:val="20"/>
                <w:szCs w:val="20"/>
                <w:color w:val="auto"/>
              </w:rPr>
            </w:pPr>
            <w:r>
              <w:rPr>
                <w:rFonts w:ascii="Calibri" w:cs="Calibri" w:eastAsia="Calibri" w:hAnsi="Calibri"/>
                <w:sz w:val="11"/>
                <w:szCs w:val="11"/>
                <w:color w:val="auto"/>
                <w:w w:val="97"/>
              </w:rPr>
              <w:t>-60.4%</w:t>
            </w:r>
          </w:p>
        </w:tc>
        <w:tc>
          <w:tcPr>
            <w:tcW w:w="960" w:type="dxa"/>
            <w:vAlign w:val="bottom"/>
            <w:gridSpan w:val="2"/>
          </w:tcPr>
          <w:p>
            <w:pPr>
              <w:jc w:val="center"/>
              <w:ind w:left="486"/>
              <w:spacing w:after="0"/>
              <w:rPr>
                <w:sz w:val="20"/>
                <w:szCs w:val="20"/>
                <w:color w:val="auto"/>
              </w:rPr>
            </w:pPr>
            <w:r>
              <w:rPr>
                <w:rFonts w:ascii="Calibri" w:cs="Calibri" w:eastAsia="Calibri" w:hAnsi="Calibri"/>
                <w:sz w:val="11"/>
                <w:szCs w:val="11"/>
                <w:color w:val="auto"/>
                <w:w w:val="97"/>
              </w:rPr>
              <w:t>-38.9%</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rPr>
                <w:sz w:val="20"/>
                <w:szCs w:val="20"/>
                <w:color w:val="auto"/>
              </w:rPr>
            </w:pPr>
            <w:r>
              <w:rPr>
                <w:rFonts w:ascii="Calibri" w:cs="Calibri" w:eastAsia="Calibri" w:hAnsi="Calibri"/>
                <w:sz w:val="11"/>
                <w:szCs w:val="11"/>
                <w:color w:val="auto"/>
                <w:w w:val="93"/>
              </w:rPr>
              <w:t>162,291</w:t>
            </w:r>
          </w:p>
        </w:tc>
        <w:tc>
          <w:tcPr>
            <w:tcW w:w="180" w:type="dxa"/>
            <w:vAlign w:val="bottom"/>
          </w:tcPr>
          <w:p>
            <w:pPr>
              <w:spacing w:after="0"/>
              <w:rPr>
                <w:sz w:val="11"/>
                <w:szCs w:val="11"/>
                <w:color w:val="auto"/>
              </w:rPr>
            </w:pPr>
          </w:p>
        </w:tc>
        <w:tc>
          <w:tcPr>
            <w:tcW w:w="560" w:type="dxa"/>
            <w:vAlign w:val="bottom"/>
          </w:tcPr>
          <w:p>
            <w:pPr>
              <w:jc w:val="center"/>
              <w:ind w:left="23"/>
              <w:spacing w:after="0"/>
              <w:rPr>
                <w:sz w:val="20"/>
                <w:szCs w:val="20"/>
                <w:color w:val="auto"/>
              </w:rPr>
            </w:pPr>
            <w:r>
              <w:rPr>
                <w:rFonts w:ascii="Calibri" w:cs="Calibri" w:eastAsia="Calibri" w:hAnsi="Calibri"/>
                <w:sz w:val="11"/>
                <w:szCs w:val="11"/>
                <w:color w:val="auto"/>
                <w:w w:val="99"/>
              </w:rPr>
              <w:t>190,878</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17.6%</w:t>
            </w:r>
          </w:p>
        </w:tc>
      </w:tr>
      <w:tr>
        <w:trPr>
          <w:trHeight w:val="135"/>
        </w:trPr>
        <w:tc>
          <w:tcPr>
            <w:tcW w:w="202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Total expenses</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rPr>
                <w:sz w:val="20"/>
                <w:szCs w:val="20"/>
                <w:color w:val="auto"/>
              </w:rPr>
            </w:pPr>
            <w:r>
              <w:rPr>
                <w:rFonts w:ascii="Calibri" w:cs="Calibri" w:eastAsia="Calibri" w:hAnsi="Calibri"/>
                <w:sz w:val="11"/>
                <w:szCs w:val="11"/>
                <w:color w:val="auto"/>
                <w:w w:val="96"/>
              </w:rPr>
              <w:t>(91,972)</w:t>
            </w:r>
          </w:p>
        </w:tc>
        <w:tc>
          <w:tcPr>
            <w:tcW w:w="1020" w:type="dxa"/>
            <w:vAlign w:val="bottom"/>
          </w:tcPr>
          <w:p>
            <w:pPr>
              <w:jc w:val="center"/>
              <w:ind w:left="15"/>
              <w:spacing w:after="0"/>
              <w:rPr>
                <w:sz w:val="20"/>
                <w:szCs w:val="20"/>
                <w:color w:val="auto"/>
              </w:rPr>
            </w:pPr>
            <w:r>
              <w:rPr>
                <w:rFonts w:ascii="Calibri" w:cs="Calibri" w:eastAsia="Calibri" w:hAnsi="Calibri"/>
                <w:sz w:val="11"/>
                <w:szCs w:val="11"/>
                <w:color w:val="auto"/>
              </w:rPr>
              <w:t>(98,349)</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6"/>
              </w:rPr>
              <w:t>(77,107)</w:t>
            </w:r>
          </w:p>
        </w:tc>
        <w:tc>
          <w:tcPr>
            <w:tcW w:w="740" w:type="dxa"/>
            <w:vAlign w:val="bottom"/>
          </w:tcPr>
          <w:p>
            <w:pPr>
              <w:jc w:val="center"/>
              <w:ind w:left="176"/>
              <w:spacing w:after="0"/>
              <w:rPr>
                <w:sz w:val="20"/>
                <w:szCs w:val="20"/>
                <w:color w:val="auto"/>
              </w:rPr>
            </w:pPr>
            <w:r>
              <w:rPr>
                <w:rFonts w:ascii="Calibri" w:cs="Calibri" w:eastAsia="Calibri" w:hAnsi="Calibri"/>
                <w:sz w:val="11"/>
                <w:szCs w:val="11"/>
                <w:color w:val="auto"/>
                <w:w w:val="97"/>
              </w:rPr>
              <w:t>-21.6%</w:t>
            </w:r>
          </w:p>
        </w:tc>
        <w:tc>
          <w:tcPr>
            <w:tcW w:w="960" w:type="dxa"/>
            <w:vAlign w:val="bottom"/>
            <w:gridSpan w:val="2"/>
          </w:tcPr>
          <w:p>
            <w:pPr>
              <w:jc w:val="center"/>
              <w:ind w:left="486"/>
              <w:spacing w:after="0"/>
              <w:rPr>
                <w:sz w:val="20"/>
                <w:szCs w:val="20"/>
                <w:color w:val="auto"/>
              </w:rPr>
            </w:pPr>
            <w:r>
              <w:rPr>
                <w:rFonts w:ascii="Calibri" w:cs="Calibri" w:eastAsia="Calibri" w:hAnsi="Calibri"/>
                <w:sz w:val="11"/>
                <w:szCs w:val="11"/>
                <w:color w:val="auto"/>
                <w:w w:val="97"/>
              </w:rPr>
              <w:t>-16.2%</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rPr>
                <w:sz w:val="20"/>
                <w:szCs w:val="20"/>
                <w:color w:val="auto"/>
              </w:rPr>
            </w:pPr>
            <w:r>
              <w:rPr>
                <w:rFonts w:ascii="Calibri" w:cs="Calibri" w:eastAsia="Calibri" w:hAnsi="Calibri"/>
                <w:sz w:val="11"/>
                <w:szCs w:val="11"/>
                <w:color w:val="auto"/>
                <w:w w:val="97"/>
              </w:rPr>
              <w:t>(277,082)</w:t>
            </w:r>
          </w:p>
        </w:tc>
        <w:tc>
          <w:tcPr>
            <w:tcW w:w="180" w:type="dxa"/>
            <w:vAlign w:val="bottom"/>
          </w:tcPr>
          <w:p>
            <w:pPr>
              <w:spacing w:after="0"/>
              <w:rPr>
                <w:sz w:val="11"/>
                <w:szCs w:val="11"/>
                <w:color w:val="auto"/>
              </w:rPr>
            </w:pPr>
          </w:p>
        </w:tc>
        <w:tc>
          <w:tcPr>
            <w:tcW w:w="560" w:type="dxa"/>
            <w:vAlign w:val="bottom"/>
          </w:tcPr>
          <w:p>
            <w:pPr>
              <w:jc w:val="center"/>
              <w:ind w:left="43"/>
              <w:spacing w:after="0"/>
              <w:rPr>
                <w:sz w:val="20"/>
                <w:szCs w:val="20"/>
                <w:color w:val="auto"/>
              </w:rPr>
            </w:pPr>
            <w:r>
              <w:rPr>
                <w:rFonts w:ascii="Calibri" w:cs="Calibri" w:eastAsia="Calibri" w:hAnsi="Calibri"/>
                <w:sz w:val="11"/>
                <w:szCs w:val="11"/>
                <w:color w:val="auto"/>
                <w:w w:val="97"/>
              </w:rPr>
              <w:t>(276,876)</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-0.1%</w:t>
            </w:r>
          </w:p>
        </w:tc>
      </w:tr>
      <w:tr>
        <w:trPr>
          <w:trHeight w:val="135"/>
        </w:trPr>
        <w:tc>
          <w:tcPr>
            <w:tcW w:w="202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Translaton result</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rPr>
                <w:sz w:val="20"/>
                <w:szCs w:val="20"/>
                <w:color w:val="auto"/>
              </w:rPr>
            </w:pPr>
            <w:r>
              <w:rPr>
                <w:rFonts w:ascii="Calibri" w:cs="Calibri" w:eastAsia="Calibri" w:hAnsi="Calibri"/>
                <w:sz w:val="11"/>
                <w:szCs w:val="11"/>
                <w:color w:val="auto"/>
              </w:rPr>
              <w:t>(30)</w:t>
            </w:r>
          </w:p>
        </w:tc>
        <w:tc>
          <w:tcPr>
            <w:tcW w:w="1020" w:type="dxa"/>
            <w:vAlign w:val="bottom"/>
          </w:tcPr>
          <w:p>
            <w:pPr>
              <w:jc w:val="center"/>
              <w:ind w:left="15"/>
              <w:spacing w:after="0"/>
              <w:rPr>
                <w:sz w:val="20"/>
                <w:szCs w:val="20"/>
                <w:color w:val="auto"/>
              </w:rPr>
            </w:pPr>
            <w:r>
              <w:rPr>
                <w:rFonts w:ascii="Calibri" w:cs="Calibri" w:eastAsia="Calibri" w:hAnsi="Calibri"/>
                <w:sz w:val="11"/>
                <w:szCs w:val="11"/>
                <w:color w:val="auto"/>
                <w:w w:val="93"/>
              </w:rPr>
              <w:t>(236)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849</w:t>
            </w:r>
          </w:p>
        </w:tc>
        <w:tc>
          <w:tcPr>
            <w:tcW w:w="740" w:type="dxa"/>
            <w:vAlign w:val="bottom"/>
          </w:tcPr>
          <w:p>
            <w:pPr>
              <w:jc w:val="center"/>
              <w:ind w:left="176"/>
              <w:spacing w:after="0"/>
              <w:rPr>
                <w:sz w:val="20"/>
                <w:szCs w:val="20"/>
                <w:color w:val="auto"/>
              </w:rPr>
            </w:pPr>
            <w:r>
              <w:rPr>
                <w:rFonts w:ascii="Calibri" w:cs="Calibri" w:eastAsia="Calibri" w:hAnsi="Calibri"/>
                <w:sz w:val="11"/>
                <w:szCs w:val="11"/>
                <w:color w:val="auto"/>
              </w:rPr>
              <w:t>n.a.</w:t>
            </w:r>
          </w:p>
        </w:tc>
        <w:tc>
          <w:tcPr>
            <w:tcW w:w="160" w:type="dxa"/>
            <w:vAlign w:val="bottom"/>
          </w:tcPr>
          <w:p>
            <w:pPr>
              <w:spacing w:after="0"/>
              <w:rPr>
                <w:sz w:val="11"/>
                <w:szCs w:val="11"/>
                <w:color w:val="auto"/>
              </w:rPr>
            </w:pPr>
          </w:p>
        </w:tc>
        <w:tc>
          <w:tcPr>
            <w:tcW w:w="800" w:type="dxa"/>
            <w:vAlign w:val="bottom"/>
          </w:tcPr>
          <w:p>
            <w:pPr>
              <w:ind w:left="500"/>
              <w:spacing w:after="0"/>
              <w:rPr>
                <w:sz w:val="20"/>
                <w:szCs w:val="20"/>
                <w:color w:val="auto"/>
              </w:rPr>
            </w:pPr>
            <w:r>
              <w:rPr>
                <w:rFonts w:ascii="Calibri" w:cs="Calibri" w:eastAsia="Calibri" w:hAnsi="Calibri"/>
                <w:sz w:val="11"/>
                <w:szCs w:val="11"/>
                <w:color w:val="auto"/>
              </w:rPr>
              <w:t>n.a.</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rPr>
                <w:sz w:val="20"/>
                <w:szCs w:val="20"/>
                <w:color w:val="auto"/>
              </w:rPr>
            </w:pPr>
            <w:r>
              <w:rPr>
                <w:rFonts w:ascii="Calibri" w:cs="Calibri" w:eastAsia="Calibri" w:hAnsi="Calibri"/>
                <w:sz w:val="11"/>
                <w:szCs w:val="11"/>
                <w:color w:val="auto"/>
                <w:w w:val="93"/>
              </w:rPr>
              <w:t>(140)</w:t>
            </w:r>
          </w:p>
        </w:tc>
        <w:tc>
          <w:tcPr>
            <w:tcW w:w="180" w:type="dxa"/>
            <w:vAlign w:val="bottom"/>
          </w:tcPr>
          <w:p>
            <w:pPr>
              <w:spacing w:after="0"/>
              <w:rPr>
                <w:sz w:val="11"/>
                <w:szCs w:val="11"/>
                <w:color w:val="auto"/>
              </w:rPr>
            </w:pPr>
          </w:p>
        </w:tc>
        <w:tc>
          <w:tcPr>
            <w:tcW w:w="560" w:type="dxa"/>
            <w:vAlign w:val="bottom"/>
          </w:tcPr>
          <w:p>
            <w:pPr>
              <w:jc w:val="center"/>
              <w:ind w:left="23"/>
              <w:spacing w:after="0"/>
              <w:rPr>
                <w:sz w:val="20"/>
                <w:szCs w:val="20"/>
                <w:color w:val="auto"/>
              </w:rPr>
            </w:pPr>
            <w:r>
              <w:rPr>
                <w:rFonts w:ascii="Calibri" w:cs="Calibri" w:eastAsia="Calibri" w:hAnsi="Calibri"/>
                <w:sz w:val="11"/>
                <w:szCs w:val="11"/>
                <w:color w:val="auto"/>
                <w:w w:val="95"/>
              </w:rPr>
              <w:t>450</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6"/>
              </w:rPr>
              <w:t>n.a.</w:t>
            </w:r>
          </w:p>
        </w:tc>
      </w:tr>
      <w:tr>
        <w:trPr>
          <w:trHeight w:val="135"/>
        </w:trPr>
        <w:tc>
          <w:tcPr>
            <w:tcW w:w="202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Income taxes</w:t>
            </w:r>
          </w:p>
        </w:tc>
        <w:tc>
          <w:tcPr>
            <w:tcW w:w="1180" w:type="dxa"/>
            <w:vAlign w:val="bottom"/>
            <w:tcBorders>
              <w:right w:val="single" w:sz="8" w:color="auto"/>
            </w:tcBorders>
          </w:tcPr>
          <w:p>
            <w:pPr>
              <w:spacing w:after="0"/>
              <w:rPr>
                <w:sz w:val="11"/>
                <w:szCs w:val="11"/>
                <w:color w:val="auto"/>
              </w:rPr>
            </w:pPr>
          </w:p>
        </w:tc>
        <w:tc>
          <w:tcPr>
            <w:tcW w:w="960" w:type="dxa"/>
            <w:vAlign w:val="bottom"/>
          </w:tcPr>
          <w:p>
            <w:pPr>
              <w:jc w:val="center"/>
              <w:spacing w:after="0"/>
              <w:rPr>
                <w:sz w:val="20"/>
                <w:szCs w:val="20"/>
                <w:color w:val="auto"/>
              </w:rPr>
            </w:pPr>
            <w:r>
              <w:rPr>
                <w:rFonts w:ascii="Calibri" w:cs="Calibri" w:eastAsia="Calibri" w:hAnsi="Calibri"/>
                <w:sz w:val="11"/>
                <w:szCs w:val="11"/>
                <w:color w:val="auto"/>
                <w:w w:val="96"/>
              </w:rPr>
              <w:t>(18,203)</w:t>
            </w:r>
          </w:p>
        </w:tc>
        <w:tc>
          <w:tcPr>
            <w:tcW w:w="1020" w:type="dxa"/>
            <w:vAlign w:val="bottom"/>
          </w:tcPr>
          <w:p>
            <w:pPr>
              <w:jc w:val="center"/>
              <w:ind w:left="15"/>
              <w:spacing w:after="0"/>
              <w:rPr>
                <w:sz w:val="20"/>
                <w:szCs w:val="20"/>
                <w:color w:val="auto"/>
              </w:rPr>
            </w:pPr>
            <w:r>
              <w:rPr>
                <w:rFonts w:ascii="Calibri" w:cs="Calibri" w:eastAsia="Calibri" w:hAnsi="Calibri"/>
                <w:sz w:val="11"/>
                <w:szCs w:val="11"/>
                <w:color w:val="auto"/>
              </w:rPr>
              <w:t>(27,726)</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6"/>
              </w:rPr>
              <w:t>(20,638)</w:t>
            </w:r>
          </w:p>
        </w:tc>
        <w:tc>
          <w:tcPr>
            <w:tcW w:w="740" w:type="dxa"/>
            <w:vAlign w:val="bottom"/>
          </w:tcPr>
          <w:p>
            <w:pPr>
              <w:jc w:val="center"/>
              <w:ind w:left="176"/>
              <w:spacing w:after="0"/>
              <w:rPr>
                <w:sz w:val="20"/>
                <w:szCs w:val="20"/>
                <w:color w:val="auto"/>
              </w:rPr>
            </w:pPr>
            <w:r>
              <w:rPr>
                <w:rFonts w:ascii="Calibri" w:cs="Calibri" w:eastAsia="Calibri" w:hAnsi="Calibri"/>
                <w:sz w:val="11"/>
                <w:szCs w:val="11"/>
                <w:color w:val="auto"/>
                <w:w w:val="97"/>
              </w:rPr>
              <w:t>-25.6%</w:t>
            </w:r>
          </w:p>
        </w:tc>
        <w:tc>
          <w:tcPr>
            <w:tcW w:w="960" w:type="dxa"/>
            <w:vAlign w:val="bottom"/>
            <w:gridSpan w:val="2"/>
          </w:tcPr>
          <w:p>
            <w:pPr>
              <w:jc w:val="center"/>
              <w:ind w:left="466"/>
              <w:spacing w:after="0"/>
              <w:rPr>
                <w:sz w:val="20"/>
                <w:szCs w:val="20"/>
                <w:color w:val="auto"/>
              </w:rPr>
            </w:pPr>
            <w:r>
              <w:rPr>
                <w:rFonts w:ascii="Calibri" w:cs="Calibri" w:eastAsia="Calibri" w:hAnsi="Calibri"/>
                <w:sz w:val="11"/>
                <w:szCs w:val="11"/>
                <w:color w:val="auto"/>
              </w:rPr>
              <w:t>13.4%</w:t>
            </w:r>
          </w:p>
        </w:tc>
        <w:tc>
          <w:tcPr>
            <w:tcW w:w="300" w:type="dxa"/>
            <w:vAlign w:val="bottom"/>
            <w:tcBorders>
              <w:right w:val="single" w:sz="8" w:color="auto"/>
            </w:tcBorders>
          </w:tcPr>
          <w:p>
            <w:pPr>
              <w:spacing w:after="0"/>
              <w:rPr>
                <w:sz w:val="11"/>
                <w:szCs w:val="11"/>
                <w:color w:val="auto"/>
              </w:rPr>
            </w:pPr>
          </w:p>
        </w:tc>
        <w:tc>
          <w:tcPr>
            <w:tcW w:w="980" w:type="dxa"/>
            <w:vAlign w:val="bottom"/>
          </w:tcPr>
          <w:p>
            <w:pPr>
              <w:jc w:val="center"/>
              <w:ind w:left="64"/>
              <w:spacing w:after="0"/>
              <w:rPr>
                <w:sz w:val="20"/>
                <w:szCs w:val="20"/>
                <w:color w:val="auto"/>
              </w:rPr>
            </w:pPr>
            <w:r>
              <w:rPr>
                <w:rFonts w:ascii="Calibri" w:cs="Calibri" w:eastAsia="Calibri" w:hAnsi="Calibri"/>
                <w:sz w:val="11"/>
                <w:szCs w:val="11"/>
                <w:color w:val="auto"/>
              </w:rPr>
              <w:t>(59,337)</w:t>
            </w:r>
          </w:p>
        </w:tc>
        <w:tc>
          <w:tcPr>
            <w:tcW w:w="180" w:type="dxa"/>
            <w:vAlign w:val="bottom"/>
          </w:tcPr>
          <w:p>
            <w:pPr>
              <w:spacing w:after="0"/>
              <w:rPr>
                <w:sz w:val="11"/>
                <w:szCs w:val="11"/>
                <w:color w:val="auto"/>
              </w:rPr>
            </w:pPr>
          </w:p>
        </w:tc>
        <w:tc>
          <w:tcPr>
            <w:tcW w:w="560" w:type="dxa"/>
            <w:vAlign w:val="bottom"/>
          </w:tcPr>
          <w:p>
            <w:pPr>
              <w:jc w:val="center"/>
              <w:ind w:left="23"/>
              <w:spacing w:after="0"/>
              <w:rPr>
                <w:sz w:val="20"/>
                <w:szCs w:val="20"/>
                <w:color w:val="auto"/>
              </w:rPr>
            </w:pPr>
            <w:r>
              <w:rPr>
                <w:rFonts w:ascii="Calibri" w:cs="Calibri" w:eastAsia="Calibri" w:hAnsi="Calibri"/>
                <w:sz w:val="11"/>
                <w:szCs w:val="11"/>
                <w:color w:val="auto"/>
                <w:w w:val="96"/>
              </w:rPr>
              <w:t>(61,365)</w:t>
            </w:r>
          </w:p>
        </w:tc>
        <w:tc>
          <w:tcPr>
            <w:tcW w:w="1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1"/>
              </w:rPr>
              <w:t>3.4%</w:t>
            </w:r>
          </w:p>
        </w:tc>
      </w:tr>
      <w:tr>
        <w:trPr>
          <w:trHeight w:val="143"/>
        </w:trPr>
        <w:tc>
          <w:tcPr>
            <w:tcW w:w="202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income</w:t>
            </w:r>
          </w:p>
        </w:tc>
        <w:tc>
          <w:tcPr>
            <w:tcW w:w="11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7"/>
              </w:rPr>
              <w:t>21,060</w:t>
            </w:r>
          </w:p>
        </w:tc>
        <w:tc>
          <w:tcPr>
            <w:tcW w:w="1020" w:type="dxa"/>
            <w:vAlign w:val="bottom"/>
            <w:tcBorders>
              <w:bottom w:val="single" w:sz="8" w:color="auto"/>
            </w:tcBorders>
          </w:tcPr>
          <w:p>
            <w:pPr>
              <w:jc w:val="center"/>
              <w:ind w:left="15"/>
              <w:spacing w:after="0"/>
              <w:rPr>
                <w:sz w:val="20"/>
                <w:szCs w:val="20"/>
                <w:color w:val="auto"/>
              </w:rPr>
            </w:pPr>
            <w:r>
              <w:rPr>
                <w:rFonts w:ascii="Calibri" w:cs="Calibri" w:eastAsia="Calibri" w:hAnsi="Calibri"/>
                <w:sz w:val="11"/>
                <w:szCs w:val="11"/>
                <w:b w:val="1"/>
                <w:bCs w:val="1"/>
                <w:color w:val="auto"/>
                <w:w w:val="97"/>
              </w:rPr>
              <w:t>33,038</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7"/>
              </w:rPr>
              <w:t>16,615</w:t>
            </w:r>
          </w:p>
        </w:tc>
        <w:tc>
          <w:tcPr>
            <w:tcW w:w="740" w:type="dxa"/>
            <w:vAlign w:val="bottom"/>
            <w:tcBorders>
              <w:bottom w:val="single" w:sz="8" w:color="auto"/>
            </w:tcBorders>
          </w:tcPr>
          <w:p>
            <w:pPr>
              <w:jc w:val="center"/>
              <w:ind w:left="176"/>
              <w:spacing w:after="0"/>
              <w:rPr>
                <w:sz w:val="20"/>
                <w:szCs w:val="20"/>
                <w:color w:val="auto"/>
              </w:rPr>
            </w:pPr>
            <w:r>
              <w:rPr>
                <w:rFonts w:ascii="Calibri" w:cs="Calibri" w:eastAsia="Calibri" w:hAnsi="Calibri"/>
                <w:sz w:val="11"/>
                <w:szCs w:val="11"/>
                <w:b w:val="1"/>
                <w:bCs w:val="1"/>
                <w:color w:val="auto"/>
                <w:w w:val="96"/>
              </w:rPr>
              <w:t>-49.7%</w:t>
            </w:r>
          </w:p>
        </w:tc>
        <w:tc>
          <w:tcPr>
            <w:tcW w:w="960" w:type="dxa"/>
            <w:vAlign w:val="bottom"/>
            <w:tcBorders>
              <w:bottom w:val="single" w:sz="8" w:color="auto"/>
            </w:tcBorders>
            <w:gridSpan w:val="2"/>
          </w:tcPr>
          <w:p>
            <w:pPr>
              <w:jc w:val="center"/>
              <w:ind w:left="486"/>
              <w:spacing w:after="0"/>
              <w:rPr>
                <w:sz w:val="20"/>
                <w:szCs w:val="20"/>
                <w:color w:val="auto"/>
              </w:rPr>
            </w:pPr>
            <w:r>
              <w:rPr>
                <w:rFonts w:ascii="Calibri" w:cs="Calibri" w:eastAsia="Calibri" w:hAnsi="Calibri"/>
                <w:sz w:val="11"/>
                <w:szCs w:val="11"/>
                <w:b w:val="1"/>
                <w:bCs w:val="1"/>
                <w:color w:val="auto"/>
                <w:w w:val="96"/>
              </w:rPr>
              <w:t>-21.1%</w:t>
            </w:r>
          </w:p>
        </w:tc>
        <w:tc>
          <w:tcPr>
            <w:tcW w:w="30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jc w:val="center"/>
              <w:ind w:left="64"/>
              <w:spacing w:after="0"/>
              <w:rPr>
                <w:sz w:val="20"/>
                <w:szCs w:val="20"/>
                <w:color w:val="auto"/>
              </w:rPr>
            </w:pPr>
            <w:r>
              <w:rPr>
                <w:rFonts w:ascii="Calibri" w:cs="Calibri" w:eastAsia="Calibri" w:hAnsi="Calibri"/>
                <w:sz w:val="11"/>
                <w:szCs w:val="11"/>
                <w:b w:val="1"/>
                <w:bCs w:val="1"/>
                <w:color w:val="auto"/>
                <w:w w:val="97"/>
              </w:rPr>
              <w:t>63,400</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left="43"/>
              <w:spacing w:after="0"/>
              <w:rPr>
                <w:sz w:val="20"/>
                <w:szCs w:val="20"/>
                <w:color w:val="auto"/>
              </w:rPr>
            </w:pPr>
            <w:r>
              <w:rPr>
                <w:rFonts w:ascii="Calibri" w:cs="Calibri" w:eastAsia="Calibri" w:hAnsi="Calibri"/>
                <w:sz w:val="11"/>
                <w:szCs w:val="11"/>
                <w:b w:val="1"/>
                <w:bCs w:val="1"/>
                <w:color w:val="auto"/>
                <w:w w:val="97"/>
              </w:rPr>
              <w:t>70,010</w:t>
            </w:r>
          </w:p>
        </w:tc>
        <w:tc>
          <w:tcPr>
            <w:tcW w:w="16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10.4%</w:t>
            </w:r>
          </w:p>
        </w:tc>
      </w:tr>
      <w:tr>
        <w:trPr>
          <w:trHeight w:val="391"/>
        </w:trPr>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40" w:type="dxa"/>
            <w:vAlign w:val="bottom"/>
            <w:gridSpan w:val="3"/>
          </w:tcPr>
          <w:p>
            <w:pPr>
              <w:ind w:left="520"/>
              <w:spacing w:after="0"/>
              <w:rPr>
                <w:sz w:val="20"/>
                <w:szCs w:val="20"/>
                <w:color w:val="auto"/>
              </w:rPr>
            </w:pPr>
            <w:r>
              <w:rPr>
                <w:rFonts w:ascii="Calibri" w:cs="Calibri" w:eastAsia="Calibri" w:hAnsi="Calibri"/>
                <w:sz w:val="16"/>
                <w:szCs w:val="16"/>
                <w:b w:val="1"/>
                <w:bCs w:val="1"/>
                <w:color w:val="auto"/>
              </w:rPr>
              <w:t>Selected Financial Indicators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2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spacing w:after="0"/>
              <w:rPr>
                <w:sz w:val="20"/>
                <w:szCs w:val="20"/>
                <w:color w:val="auto"/>
              </w:rPr>
            </w:pPr>
          </w:p>
        </w:tc>
      </w:tr>
      <w:tr>
        <w:trPr>
          <w:trHeight w:val="163"/>
        </w:trPr>
        <w:tc>
          <w:tcPr>
            <w:tcW w:w="2020" w:type="dxa"/>
            <w:vAlign w:val="bottom"/>
            <w:tcBorders>
              <w:left w:val="single" w:sz="8" w:color="auto"/>
              <w:right w:val="single" w:sz="8" w:color="auto"/>
            </w:tcBorders>
            <w:shd w:val="clear" w:color="auto" w:fill="33CCCC"/>
          </w:tcPr>
          <w:p>
            <w:pPr>
              <w:spacing w:after="0"/>
              <w:rPr>
                <w:sz w:val="14"/>
                <w:szCs w:val="14"/>
                <w:color w:val="auto"/>
              </w:rPr>
            </w:pPr>
          </w:p>
        </w:tc>
        <w:tc>
          <w:tcPr>
            <w:tcW w:w="1180" w:type="dxa"/>
            <w:vAlign w:val="bottom"/>
            <w:tcBorders>
              <w:right w:val="single" w:sz="8" w:color="33CCCC"/>
            </w:tcBorders>
            <w:shd w:val="clear" w:color="auto" w:fill="33CCCC"/>
          </w:tcPr>
          <w:p>
            <w:pPr>
              <w:spacing w:after="0"/>
              <w:rPr>
                <w:sz w:val="14"/>
                <w:szCs w:val="14"/>
                <w:color w:val="auto"/>
              </w:rPr>
            </w:pPr>
          </w:p>
        </w:tc>
        <w:tc>
          <w:tcPr>
            <w:tcW w:w="960" w:type="dxa"/>
            <w:vAlign w:val="bottom"/>
            <w:shd w:val="clear" w:color="auto" w:fill="33CCCC"/>
          </w:tcPr>
          <w:p>
            <w:pPr>
              <w:ind w:left="160"/>
              <w:spacing w:after="0" w:line="164" w:lineRule="exact"/>
              <w:rPr>
                <w:sz w:val="20"/>
                <w:szCs w:val="20"/>
                <w:color w:val="auto"/>
              </w:rPr>
            </w:pPr>
            <w:r>
              <w:rPr>
                <w:rFonts w:ascii="Calibri" w:cs="Calibri" w:eastAsia="Calibri" w:hAnsi="Calibri"/>
                <w:sz w:val="14"/>
                <w:szCs w:val="14"/>
                <w:color w:val="FFFFFF"/>
              </w:rPr>
              <w:t>Quarter</w:t>
            </w:r>
          </w:p>
        </w:tc>
        <w:tc>
          <w:tcPr>
            <w:tcW w:w="1020" w:type="dxa"/>
            <w:vAlign w:val="bottom"/>
            <w:tcBorders>
              <w:right w:val="single" w:sz="8" w:color="auto"/>
            </w:tcBorders>
            <w:shd w:val="clear" w:color="auto" w:fill="33CCCC"/>
          </w:tcPr>
          <w:p>
            <w:pPr>
              <w:spacing w:after="0"/>
              <w:rPr>
                <w:sz w:val="14"/>
                <w:szCs w:val="14"/>
                <w:color w:val="auto"/>
              </w:rPr>
            </w:pPr>
          </w:p>
        </w:tc>
        <w:tc>
          <w:tcPr>
            <w:tcW w:w="1820" w:type="dxa"/>
            <w:vAlign w:val="bottom"/>
            <w:gridSpan w:val="2"/>
            <w:shd w:val="clear" w:color="auto" w:fill="33CCCC"/>
          </w:tcPr>
          <w:p>
            <w:pPr>
              <w:ind w:left="700"/>
              <w:spacing w:after="0" w:line="164" w:lineRule="exact"/>
              <w:rPr>
                <w:sz w:val="20"/>
                <w:szCs w:val="20"/>
                <w:color w:val="auto"/>
              </w:rPr>
            </w:pPr>
            <w:r>
              <w:rPr>
                <w:rFonts w:ascii="Calibri" w:cs="Calibri" w:eastAsia="Calibri" w:hAnsi="Calibri"/>
                <w:sz w:val="14"/>
                <w:szCs w:val="14"/>
                <w:color w:val="FFFFFF"/>
              </w:rPr>
              <w:t>% change</w:t>
            </w:r>
          </w:p>
        </w:tc>
        <w:tc>
          <w:tcPr>
            <w:tcW w:w="160" w:type="dxa"/>
            <w:vAlign w:val="bottom"/>
            <w:tcBorders>
              <w:right w:val="single" w:sz="8" w:color="auto"/>
            </w:tcBorders>
            <w:shd w:val="clear" w:color="auto" w:fill="33CCCC"/>
          </w:tcPr>
          <w:p>
            <w:pPr>
              <w:spacing w:after="0"/>
              <w:rPr>
                <w:sz w:val="14"/>
                <w:szCs w:val="14"/>
                <w:color w:val="auto"/>
              </w:rPr>
            </w:pPr>
          </w:p>
        </w:tc>
        <w:tc>
          <w:tcPr>
            <w:tcW w:w="800" w:type="dxa"/>
            <w:vAlign w:val="bottom"/>
            <w:shd w:val="clear" w:color="auto" w:fill="33CCCC"/>
          </w:tcPr>
          <w:p>
            <w:pPr>
              <w:spacing w:after="0"/>
              <w:rPr>
                <w:sz w:val="14"/>
                <w:szCs w:val="14"/>
                <w:color w:val="auto"/>
              </w:rPr>
            </w:pPr>
          </w:p>
        </w:tc>
        <w:tc>
          <w:tcPr>
            <w:tcW w:w="1280" w:type="dxa"/>
            <w:vAlign w:val="bottom"/>
            <w:tcBorders>
              <w:right w:val="single" w:sz="8" w:color="auto"/>
            </w:tcBorders>
            <w:gridSpan w:val="2"/>
            <w:shd w:val="clear" w:color="auto" w:fill="33CCCC"/>
          </w:tcPr>
          <w:p>
            <w:pPr>
              <w:ind w:left="60"/>
              <w:spacing w:after="0" w:line="164" w:lineRule="exact"/>
              <w:rPr>
                <w:sz w:val="20"/>
                <w:szCs w:val="20"/>
                <w:color w:val="auto"/>
              </w:rPr>
            </w:pPr>
            <w:r>
              <w:rPr>
                <w:rFonts w:ascii="Calibri" w:cs="Calibri" w:eastAsia="Calibri" w:hAnsi="Calibri"/>
                <w:sz w:val="14"/>
                <w:szCs w:val="14"/>
                <w:color w:val="FFFFFF"/>
              </w:rPr>
              <w:t>Up to</w:t>
            </w:r>
          </w:p>
        </w:tc>
        <w:tc>
          <w:tcPr>
            <w:tcW w:w="180" w:type="dxa"/>
            <w:vAlign w:val="bottom"/>
            <w:shd w:val="clear" w:color="auto" w:fill="33CCCC"/>
          </w:tcPr>
          <w:p>
            <w:pPr>
              <w:spacing w:after="0"/>
              <w:rPr>
                <w:sz w:val="14"/>
                <w:szCs w:val="14"/>
                <w:color w:val="auto"/>
              </w:rPr>
            </w:pPr>
          </w:p>
        </w:tc>
        <w:tc>
          <w:tcPr>
            <w:tcW w:w="1820" w:type="dxa"/>
            <w:vAlign w:val="bottom"/>
            <w:tcBorders>
              <w:right w:val="single" w:sz="8" w:color="auto"/>
            </w:tcBorders>
            <w:gridSpan w:val="3"/>
            <w:shd w:val="clear" w:color="auto" w:fill="33CCCC"/>
          </w:tcPr>
          <w:p>
            <w:pPr>
              <w:jc w:val="center"/>
              <w:ind w:right="146"/>
              <w:spacing w:after="0" w:line="164" w:lineRule="exact"/>
              <w:rPr>
                <w:sz w:val="20"/>
                <w:szCs w:val="20"/>
                <w:color w:val="auto"/>
              </w:rPr>
            </w:pPr>
            <w:r>
              <w:rPr>
                <w:rFonts w:ascii="Calibri" w:cs="Calibri" w:eastAsia="Calibri" w:hAnsi="Calibri"/>
                <w:sz w:val="14"/>
                <w:szCs w:val="14"/>
                <w:color w:val="FFFFFF"/>
              </w:rPr>
              <w:t>% Change</w:t>
            </w:r>
          </w:p>
        </w:tc>
      </w:tr>
      <w:tr>
        <w:trPr>
          <w:trHeight w:val="181"/>
        </w:trPr>
        <w:tc>
          <w:tcPr>
            <w:tcW w:w="2020" w:type="dxa"/>
            <w:vAlign w:val="bottom"/>
            <w:tcBorders>
              <w:left w:val="single" w:sz="8" w:color="auto"/>
              <w:right w:val="single" w:sz="8" w:color="auto"/>
            </w:tcBorders>
            <w:shd w:val="clear" w:color="auto" w:fill="33CCCC"/>
          </w:tcPr>
          <w:p>
            <w:pPr>
              <w:spacing w:after="0"/>
              <w:rPr>
                <w:sz w:val="15"/>
                <w:szCs w:val="15"/>
                <w:color w:val="auto"/>
              </w:rPr>
            </w:pPr>
          </w:p>
        </w:tc>
        <w:tc>
          <w:tcPr>
            <w:tcW w:w="1180" w:type="dxa"/>
            <w:vAlign w:val="bottom"/>
            <w:tcBorders>
              <w:right w:val="single" w:sz="8" w:color="33CCCC"/>
            </w:tcBorders>
            <w:shd w:val="clear" w:color="auto" w:fill="33CCCC"/>
          </w:tcPr>
          <w:p>
            <w:pPr>
              <w:jc w:val="center"/>
              <w:spacing w:after="0"/>
              <w:rPr>
                <w:sz w:val="20"/>
                <w:szCs w:val="20"/>
                <w:color w:val="auto"/>
              </w:rPr>
            </w:pPr>
            <w:r>
              <w:rPr>
                <w:rFonts w:ascii="Calibri" w:cs="Calibri" w:eastAsia="Calibri" w:hAnsi="Calibri"/>
                <w:sz w:val="14"/>
                <w:szCs w:val="14"/>
                <w:color w:val="FFFFFF"/>
              </w:rPr>
              <w:t>3Q23</w:t>
            </w:r>
          </w:p>
        </w:tc>
        <w:tc>
          <w:tcPr>
            <w:tcW w:w="960" w:type="dxa"/>
            <w:vAlign w:val="bottom"/>
            <w:shd w:val="clear" w:color="auto" w:fill="33CCCC"/>
          </w:tcPr>
          <w:p>
            <w:pPr>
              <w:jc w:val="center"/>
              <w:ind w:right="15"/>
              <w:spacing w:after="0"/>
              <w:rPr>
                <w:sz w:val="20"/>
                <w:szCs w:val="20"/>
                <w:color w:val="auto"/>
              </w:rPr>
            </w:pPr>
            <w:r>
              <w:rPr>
                <w:rFonts w:ascii="Calibri" w:cs="Calibri" w:eastAsia="Calibri" w:hAnsi="Calibri"/>
                <w:sz w:val="14"/>
                <w:szCs w:val="14"/>
                <w:color w:val="FFFFFF"/>
              </w:rPr>
              <w:t>2Q24</w:t>
            </w:r>
          </w:p>
        </w:tc>
        <w:tc>
          <w:tcPr>
            <w:tcW w:w="1020" w:type="dxa"/>
            <w:vAlign w:val="bottom"/>
            <w:tcBorders>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color w:val="FFFFFF"/>
              </w:rPr>
              <w:t>3Q24</w:t>
            </w:r>
          </w:p>
        </w:tc>
        <w:tc>
          <w:tcPr>
            <w:tcW w:w="1080" w:type="dxa"/>
            <w:vAlign w:val="bottom"/>
            <w:tcBorders>
              <w:right w:val="single" w:sz="8" w:color="33CCCC"/>
            </w:tcBorders>
            <w:shd w:val="clear" w:color="auto" w:fill="33CCCC"/>
          </w:tcPr>
          <w:p>
            <w:pPr>
              <w:jc w:val="center"/>
              <w:ind w:right="15"/>
              <w:spacing w:after="0"/>
              <w:rPr>
                <w:sz w:val="20"/>
                <w:szCs w:val="20"/>
                <w:color w:val="auto"/>
              </w:rPr>
            </w:pPr>
            <w:r>
              <w:rPr>
                <w:rFonts w:ascii="Calibri" w:cs="Calibri" w:eastAsia="Calibri" w:hAnsi="Calibri"/>
                <w:sz w:val="14"/>
                <w:szCs w:val="14"/>
                <w:color w:val="FFFFFF"/>
              </w:rPr>
              <w:t>QoQ</w:t>
            </w:r>
          </w:p>
        </w:tc>
        <w:tc>
          <w:tcPr>
            <w:tcW w:w="740" w:type="dxa"/>
            <w:vAlign w:val="bottom"/>
            <w:shd w:val="clear" w:color="auto" w:fill="33CCCC"/>
          </w:tcPr>
          <w:p>
            <w:pPr>
              <w:jc w:val="center"/>
              <w:spacing w:after="0"/>
              <w:rPr>
                <w:sz w:val="20"/>
                <w:szCs w:val="20"/>
                <w:color w:val="auto"/>
              </w:rPr>
            </w:pPr>
            <w:r>
              <w:rPr>
                <w:rFonts w:ascii="Calibri" w:cs="Calibri" w:eastAsia="Calibri" w:hAnsi="Calibri"/>
                <w:sz w:val="14"/>
                <w:szCs w:val="14"/>
                <w:color w:val="FFFFFF"/>
                <w:w w:val="94"/>
              </w:rPr>
              <w:t>YoY</w:t>
            </w:r>
          </w:p>
        </w:tc>
        <w:tc>
          <w:tcPr>
            <w:tcW w:w="160" w:type="dxa"/>
            <w:vAlign w:val="bottom"/>
            <w:tcBorders>
              <w:right w:val="single" w:sz="8" w:color="auto"/>
            </w:tcBorders>
            <w:shd w:val="clear" w:color="auto" w:fill="33CCCC"/>
          </w:tcPr>
          <w:p>
            <w:pPr>
              <w:spacing w:after="0"/>
              <w:rPr>
                <w:sz w:val="15"/>
                <w:szCs w:val="15"/>
                <w:color w:val="auto"/>
              </w:rPr>
            </w:pPr>
          </w:p>
        </w:tc>
        <w:tc>
          <w:tcPr>
            <w:tcW w:w="800" w:type="dxa"/>
            <w:vAlign w:val="bottom"/>
            <w:shd w:val="clear" w:color="auto" w:fill="33CCCC"/>
          </w:tcPr>
          <w:p>
            <w:pPr>
              <w:ind w:left="300"/>
              <w:spacing w:after="0"/>
              <w:rPr>
                <w:sz w:val="20"/>
                <w:szCs w:val="20"/>
                <w:color w:val="auto"/>
              </w:rPr>
            </w:pPr>
            <w:r>
              <w:rPr>
                <w:rFonts w:ascii="Calibri" w:cs="Calibri" w:eastAsia="Calibri" w:hAnsi="Calibri"/>
                <w:sz w:val="14"/>
                <w:szCs w:val="14"/>
                <w:color w:val="FFFFFF"/>
              </w:rPr>
              <w:t>Sep 23</w:t>
            </w:r>
          </w:p>
        </w:tc>
        <w:tc>
          <w:tcPr>
            <w:tcW w:w="300" w:type="dxa"/>
            <w:vAlign w:val="bottom"/>
            <w:tcBorders>
              <w:right w:val="single" w:sz="8" w:color="33CCCC"/>
            </w:tcBorders>
            <w:shd w:val="clear" w:color="auto" w:fill="33CCCC"/>
          </w:tcPr>
          <w:p>
            <w:pPr>
              <w:spacing w:after="0"/>
              <w:rPr>
                <w:sz w:val="15"/>
                <w:szCs w:val="15"/>
                <w:color w:val="auto"/>
              </w:rPr>
            </w:pPr>
          </w:p>
        </w:tc>
        <w:tc>
          <w:tcPr>
            <w:tcW w:w="980" w:type="dxa"/>
            <w:vAlign w:val="bottom"/>
            <w:tcBorders>
              <w:right w:val="single" w:sz="8" w:color="auto"/>
            </w:tcBorders>
            <w:shd w:val="clear" w:color="auto" w:fill="33CCCC"/>
          </w:tcPr>
          <w:p>
            <w:pPr>
              <w:ind w:left="240"/>
              <w:spacing w:after="0"/>
              <w:rPr>
                <w:sz w:val="20"/>
                <w:szCs w:val="20"/>
                <w:color w:val="auto"/>
              </w:rPr>
            </w:pPr>
            <w:r>
              <w:rPr>
                <w:rFonts w:ascii="Calibri" w:cs="Calibri" w:eastAsia="Calibri" w:hAnsi="Calibri"/>
                <w:sz w:val="14"/>
                <w:szCs w:val="14"/>
                <w:color w:val="FFFFFF"/>
              </w:rPr>
              <w:t>Sep 24</w:t>
            </w:r>
          </w:p>
        </w:tc>
        <w:tc>
          <w:tcPr>
            <w:tcW w:w="180" w:type="dxa"/>
            <w:vAlign w:val="bottom"/>
            <w:shd w:val="clear" w:color="auto" w:fill="33CCCC"/>
          </w:tcPr>
          <w:p>
            <w:pPr>
              <w:spacing w:after="0"/>
              <w:rPr>
                <w:sz w:val="15"/>
                <w:szCs w:val="15"/>
                <w:color w:val="auto"/>
              </w:rPr>
            </w:pPr>
          </w:p>
        </w:tc>
        <w:tc>
          <w:tcPr>
            <w:tcW w:w="1820" w:type="dxa"/>
            <w:vAlign w:val="bottom"/>
            <w:tcBorders>
              <w:right w:val="single" w:sz="8" w:color="auto"/>
            </w:tcBorders>
            <w:gridSpan w:val="3"/>
            <w:shd w:val="clear" w:color="auto" w:fill="33CCCC"/>
          </w:tcPr>
          <w:p>
            <w:pPr>
              <w:jc w:val="center"/>
              <w:ind w:right="146"/>
              <w:spacing w:after="0"/>
              <w:rPr>
                <w:sz w:val="20"/>
                <w:szCs w:val="20"/>
                <w:color w:val="auto"/>
              </w:rPr>
            </w:pPr>
            <w:r>
              <w:rPr>
                <w:rFonts w:ascii="Calibri" w:cs="Calibri" w:eastAsia="Calibri" w:hAnsi="Calibri"/>
                <w:sz w:val="14"/>
                <w:szCs w:val="14"/>
                <w:color w:val="FFFFFF"/>
              </w:rPr>
              <w:t>Sep 24 / Sep 23</w:t>
            </w:r>
          </w:p>
        </w:tc>
      </w:tr>
      <w:tr>
        <w:trPr>
          <w:trHeight w:val="161"/>
        </w:trPr>
        <w:tc>
          <w:tcPr>
            <w:tcW w:w="2020" w:type="dxa"/>
            <w:vAlign w:val="bottom"/>
            <w:tcBorders>
              <w:left w:val="single" w:sz="8" w:color="auto"/>
              <w:right w:val="single" w:sz="8" w:color="auto"/>
            </w:tcBorders>
          </w:tcPr>
          <w:p>
            <w:pPr>
              <w:ind w:left="20"/>
              <w:spacing w:after="0" w:line="161" w:lineRule="exact"/>
              <w:rPr>
                <w:sz w:val="20"/>
                <w:szCs w:val="20"/>
                <w:color w:val="auto"/>
              </w:rPr>
            </w:pPr>
            <w:r>
              <w:rPr>
                <w:rFonts w:ascii="Calibri" w:cs="Calibri" w:eastAsia="Calibri" w:hAnsi="Calibri"/>
                <w:sz w:val="14"/>
                <w:szCs w:val="14"/>
                <w:color w:val="auto"/>
              </w:rPr>
              <w:t>Efciency rato</w:t>
            </w:r>
          </w:p>
        </w:tc>
        <w:tc>
          <w:tcPr>
            <w:tcW w:w="1180" w:type="dxa"/>
            <w:vAlign w:val="bottom"/>
          </w:tcPr>
          <w:p>
            <w:pPr>
              <w:jc w:val="center"/>
              <w:spacing w:after="0" w:line="161" w:lineRule="exact"/>
              <w:rPr>
                <w:sz w:val="20"/>
                <w:szCs w:val="20"/>
                <w:color w:val="auto"/>
              </w:rPr>
            </w:pPr>
            <w:r>
              <w:rPr>
                <w:rFonts w:ascii="Calibri" w:cs="Calibri" w:eastAsia="Calibri" w:hAnsi="Calibri"/>
                <w:sz w:val="14"/>
                <w:szCs w:val="14"/>
                <w:color w:val="auto"/>
              </w:rPr>
              <w:t>65.3%</w:t>
            </w:r>
          </w:p>
        </w:tc>
        <w:tc>
          <w:tcPr>
            <w:tcW w:w="960" w:type="dxa"/>
            <w:vAlign w:val="bottom"/>
          </w:tcPr>
          <w:p>
            <w:pPr>
              <w:jc w:val="center"/>
              <w:ind w:right="15"/>
              <w:spacing w:after="0" w:line="161" w:lineRule="exact"/>
              <w:rPr>
                <w:sz w:val="20"/>
                <w:szCs w:val="20"/>
                <w:color w:val="auto"/>
              </w:rPr>
            </w:pPr>
            <w:r>
              <w:rPr>
                <w:rFonts w:ascii="Calibri" w:cs="Calibri" w:eastAsia="Calibri" w:hAnsi="Calibri"/>
                <w:sz w:val="14"/>
                <w:szCs w:val="14"/>
                <w:color w:val="auto"/>
              </w:rPr>
              <w:t>58.2%</w:t>
            </w:r>
          </w:p>
        </w:tc>
        <w:tc>
          <w:tcPr>
            <w:tcW w:w="102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80.3%</w:t>
            </w:r>
          </w:p>
        </w:tc>
        <w:tc>
          <w:tcPr>
            <w:tcW w:w="1080" w:type="dxa"/>
            <w:vAlign w:val="bottom"/>
          </w:tcPr>
          <w:p>
            <w:pPr>
              <w:jc w:val="center"/>
              <w:ind w:right="15"/>
              <w:spacing w:after="0" w:line="161" w:lineRule="exact"/>
              <w:rPr>
                <w:sz w:val="20"/>
                <w:szCs w:val="20"/>
                <w:color w:val="auto"/>
              </w:rPr>
            </w:pPr>
            <w:r>
              <w:rPr>
                <w:rFonts w:ascii="Calibri" w:cs="Calibri" w:eastAsia="Calibri" w:hAnsi="Calibri"/>
                <w:sz w:val="14"/>
                <w:szCs w:val="14"/>
                <w:color w:val="auto"/>
              </w:rPr>
              <w:t>2209 bps</w:t>
            </w:r>
          </w:p>
        </w:tc>
        <w:tc>
          <w:tcPr>
            <w:tcW w:w="740" w:type="dxa"/>
            <w:vAlign w:val="bottom"/>
          </w:tcPr>
          <w:p>
            <w:pPr>
              <w:jc w:val="center"/>
              <w:spacing w:after="0" w:line="161" w:lineRule="exact"/>
              <w:rPr>
                <w:sz w:val="20"/>
                <w:szCs w:val="20"/>
                <w:color w:val="auto"/>
              </w:rPr>
            </w:pPr>
            <w:r>
              <w:rPr>
                <w:rFonts w:ascii="Calibri" w:cs="Calibri" w:eastAsia="Calibri" w:hAnsi="Calibri"/>
                <w:sz w:val="14"/>
                <w:szCs w:val="14"/>
                <w:color w:val="auto"/>
              </w:rPr>
              <w:t>1496 bps</w:t>
            </w:r>
          </w:p>
        </w:tc>
        <w:tc>
          <w:tcPr>
            <w:tcW w:w="160" w:type="dxa"/>
            <w:vAlign w:val="bottom"/>
            <w:tcBorders>
              <w:right w:val="single" w:sz="8" w:color="auto"/>
            </w:tcBorders>
          </w:tcPr>
          <w:p>
            <w:pPr>
              <w:spacing w:after="0"/>
              <w:rPr>
                <w:sz w:val="14"/>
                <w:szCs w:val="14"/>
                <w:color w:val="auto"/>
              </w:rPr>
            </w:pPr>
          </w:p>
        </w:tc>
        <w:tc>
          <w:tcPr>
            <w:tcW w:w="800" w:type="dxa"/>
            <w:vAlign w:val="bottom"/>
          </w:tcPr>
          <w:p>
            <w:pPr>
              <w:jc w:val="right"/>
              <w:ind w:right="55"/>
              <w:spacing w:after="0" w:line="161" w:lineRule="exact"/>
              <w:rPr>
                <w:sz w:val="20"/>
                <w:szCs w:val="20"/>
                <w:color w:val="auto"/>
              </w:rPr>
            </w:pPr>
            <w:r>
              <w:rPr>
                <w:rFonts w:ascii="Calibri" w:cs="Calibri" w:eastAsia="Calibri" w:hAnsi="Calibri"/>
                <w:sz w:val="14"/>
                <w:szCs w:val="14"/>
                <w:color w:val="auto"/>
              </w:rPr>
              <w:t>62.1%</w:t>
            </w:r>
          </w:p>
        </w:tc>
        <w:tc>
          <w:tcPr>
            <w:tcW w:w="1280" w:type="dxa"/>
            <w:vAlign w:val="bottom"/>
            <w:tcBorders>
              <w:right w:val="single" w:sz="8" w:color="auto"/>
            </w:tcBorders>
            <w:gridSpan w:val="2"/>
          </w:tcPr>
          <w:p>
            <w:pPr>
              <w:ind w:left="540"/>
              <w:spacing w:after="0" w:line="161" w:lineRule="exact"/>
              <w:rPr>
                <w:sz w:val="20"/>
                <w:szCs w:val="20"/>
                <w:color w:val="auto"/>
              </w:rPr>
            </w:pPr>
            <w:r>
              <w:rPr>
                <w:rFonts w:ascii="Calibri" w:cs="Calibri" w:eastAsia="Calibri" w:hAnsi="Calibri"/>
                <w:sz w:val="14"/>
                <w:szCs w:val="14"/>
                <w:color w:val="auto"/>
              </w:rPr>
              <w:t>64.3%</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706"/>
              <w:spacing w:after="0" w:line="161" w:lineRule="exact"/>
              <w:rPr>
                <w:sz w:val="20"/>
                <w:szCs w:val="20"/>
                <w:color w:val="auto"/>
              </w:rPr>
            </w:pPr>
            <w:r>
              <w:rPr>
                <w:rFonts w:ascii="Calibri" w:cs="Calibri" w:eastAsia="Calibri" w:hAnsi="Calibri"/>
                <w:sz w:val="14"/>
                <w:szCs w:val="14"/>
                <w:color w:val="auto"/>
              </w:rPr>
              <w:t>226 bps</w:t>
            </w:r>
          </w:p>
        </w:tc>
      </w:tr>
      <w:tr>
        <w:trPr>
          <w:trHeight w:val="197"/>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ROAE</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9.7%</w:t>
            </w:r>
          </w:p>
        </w:tc>
        <w:tc>
          <w:tcPr>
            <w:tcW w:w="960" w:type="dxa"/>
            <w:vAlign w:val="bottom"/>
          </w:tcPr>
          <w:p>
            <w:pPr>
              <w:jc w:val="center"/>
              <w:ind w:right="15"/>
              <w:spacing w:after="0"/>
              <w:rPr>
                <w:sz w:val="20"/>
                <w:szCs w:val="20"/>
                <w:color w:val="auto"/>
              </w:rPr>
            </w:pPr>
            <w:r>
              <w:rPr>
                <w:rFonts w:ascii="Calibri" w:cs="Calibri" w:eastAsia="Calibri" w:hAnsi="Calibri"/>
                <w:sz w:val="14"/>
                <w:szCs w:val="14"/>
                <w:color w:val="auto"/>
              </w:rPr>
              <w:t>14.0%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6.8%</w:t>
            </w:r>
          </w:p>
        </w:tc>
        <w:tc>
          <w:tcPr>
            <w:tcW w:w="1080" w:type="dxa"/>
            <w:vAlign w:val="bottom"/>
          </w:tcPr>
          <w:p>
            <w:pPr>
              <w:jc w:val="center"/>
              <w:ind w:right="35"/>
              <w:spacing w:after="0"/>
              <w:rPr>
                <w:sz w:val="20"/>
                <w:szCs w:val="20"/>
                <w:color w:val="auto"/>
              </w:rPr>
            </w:pPr>
            <w:r>
              <w:rPr>
                <w:rFonts w:ascii="Calibri" w:cs="Calibri" w:eastAsia="Calibri" w:hAnsi="Calibri"/>
                <w:sz w:val="14"/>
                <w:szCs w:val="14"/>
                <w:color w:val="auto"/>
              </w:rPr>
              <w:t>-723 bps</w:t>
            </w:r>
          </w:p>
        </w:tc>
        <w:tc>
          <w:tcPr>
            <w:tcW w:w="740" w:type="dxa"/>
            <w:vAlign w:val="bottom"/>
          </w:tcPr>
          <w:p>
            <w:pPr>
              <w:jc w:val="center"/>
              <w:ind w:left="16"/>
              <w:spacing w:after="0"/>
              <w:rPr>
                <w:sz w:val="20"/>
                <w:szCs w:val="20"/>
                <w:color w:val="auto"/>
              </w:rPr>
            </w:pPr>
            <w:r>
              <w:rPr>
                <w:rFonts w:ascii="Calibri" w:cs="Calibri" w:eastAsia="Calibri" w:hAnsi="Calibri"/>
                <w:sz w:val="14"/>
                <w:szCs w:val="14"/>
                <w:color w:val="auto"/>
              </w:rPr>
              <w:t>-285 bps</w:t>
            </w:r>
          </w:p>
        </w:tc>
        <w:tc>
          <w:tcPr>
            <w:tcW w:w="160" w:type="dxa"/>
            <w:vAlign w:val="bottom"/>
            <w:tcBorders>
              <w:right w:val="single" w:sz="8" w:color="auto"/>
            </w:tcBorders>
          </w:tcPr>
          <w:p>
            <w:pPr>
              <w:spacing w:after="0"/>
              <w:rPr>
                <w:sz w:val="17"/>
                <w:szCs w:val="17"/>
                <w:color w:val="auto"/>
              </w:rPr>
            </w:pPr>
          </w:p>
        </w:tc>
        <w:tc>
          <w:tcPr>
            <w:tcW w:w="800" w:type="dxa"/>
            <w:vAlign w:val="bottom"/>
            <w:tcBorders>
              <w:bottom w:val="single" w:sz="8" w:color="auto"/>
            </w:tcBorders>
          </w:tcPr>
          <w:p>
            <w:pPr>
              <w:jc w:val="right"/>
              <w:ind w:right="95"/>
              <w:spacing w:after="0"/>
              <w:rPr>
                <w:sz w:val="20"/>
                <w:szCs w:val="20"/>
                <w:color w:val="auto"/>
              </w:rPr>
            </w:pPr>
            <w:r>
              <w:rPr>
                <w:rFonts w:ascii="Calibri" w:cs="Calibri" w:eastAsia="Calibri" w:hAnsi="Calibri"/>
                <w:sz w:val="14"/>
                <w:szCs w:val="14"/>
                <w:color w:val="auto"/>
              </w:rPr>
              <w:t>9.7%</w:t>
            </w:r>
          </w:p>
        </w:tc>
        <w:tc>
          <w:tcPr>
            <w:tcW w:w="1280" w:type="dxa"/>
            <w:vAlign w:val="bottom"/>
            <w:tcBorders>
              <w:bottom w:val="single" w:sz="8" w:color="auto"/>
              <w:right w:val="single" w:sz="8" w:color="auto"/>
            </w:tcBorders>
            <w:gridSpan w:val="2"/>
          </w:tcPr>
          <w:p>
            <w:pPr>
              <w:ind w:left="540"/>
              <w:spacing w:after="0"/>
              <w:rPr>
                <w:sz w:val="20"/>
                <w:szCs w:val="20"/>
                <w:color w:val="auto"/>
              </w:rPr>
            </w:pPr>
            <w:r>
              <w:rPr>
                <w:rFonts w:ascii="Calibri" w:cs="Calibri" w:eastAsia="Calibri" w:hAnsi="Calibri"/>
                <w:sz w:val="14"/>
                <w:szCs w:val="14"/>
                <w:color w:val="auto"/>
              </w:rPr>
              <w:t>10.1%</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gridSpan w:val="2"/>
          </w:tcPr>
          <w:p>
            <w:pPr>
              <w:jc w:val="center"/>
              <w:ind w:right="706"/>
              <w:spacing w:after="0"/>
              <w:rPr>
                <w:sz w:val="20"/>
                <w:szCs w:val="20"/>
                <w:color w:val="auto"/>
              </w:rPr>
            </w:pPr>
            <w:r>
              <w:rPr>
                <w:rFonts w:ascii="Calibri" w:cs="Calibri" w:eastAsia="Calibri" w:hAnsi="Calibri"/>
                <w:sz w:val="14"/>
                <w:szCs w:val="14"/>
                <w:color w:val="auto"/>
              </w:rPr>
              <w:t>39 bps</w:t>
            </w:r>
          </w:p>
        </w:tc>
      </w:tr>
      <w:tr>
        <w:trPr>
          <w:trHeight w:val="155"/>
        </w:trPr>
        <w:tc>
          <w:tcPr>
            <w:tcW w:w="2020" w:type="dxa"/>
            <w:vAlign w:val="bottom"/>
            <w:tcBorders>
              <w:left w:val="single" w:sz="8" w:color="auto"/>
              <w:right w:val="single" w:sz="8" w:color="auto"/>
            </w:tcBorders>
          </w:tcPr>
          <w:p>
            <w:pPr>
              <w:ind w:left="20"/>
              <w:spacing w:after="0" w:line="142" w:lineRule="exact"/>
              <w:rPr>
                <w:sz w:val="20"/>
                <w:szCs w:val="20"/>
                <w:color w:val="auto"/>
              </w:rPr>
            </w:pPr>
            <w:r>
              <w:rPr>
                <w:rFonts w:ascii="Calibri" w:cs="Calibri" w:eastAsia="Calibri" w:hAnsi="Calibri"/>
                <w:sz w:val="14"/>
                <w:szCs w:val="14"/>
                <w:color w:val="auto"/>
              </w:rPr>
              <w:t>L/D rato</w:t>
            </w:r>
          </w:p>
        </w:tc>
        <w:tc>
          <w:tcPr>
            <w:tcW w:w="1180" w:type="dxa"/>
            <w:vAlign w:val="bottom"/>
          </w:tcPr>
          <w:p>
            <w:pPr>
              <w:jc w:val="center"/>
              <w:spacing w:after="0" w:line="156" w:lineRule="exact"/>
              <w:rPr>
                <w:sz w:val="20"/>
                <w:szCs w:val="20"/>
                <w:color w:val="auto"/>
              </w:rPr>
            </w:pPr>
            <w:r>
              <w:rPr>
                <w:rFonts w:ascii="Calibri" w:cs="Calibri" w:eastAsia="Calibri" w:hAnsi="Calibri"/>
                <w:sz w:val="14"/>
                <w:szCs w:val="14"/>
                <w:color w:val="auto"/>
              </w:rPr>
              <w:t>84.0%</w:t>
            </w:r>
          </w:p>
        </w:tc>
        <w:tc>
          <w:tcPr>
            <w:tcW w:w="960" w:type="dxa"/>
            <w:vAlign w:val="bottom"/>
          </w:tcPr>
          <w:p>
            <w:pPr>
              <w:jc w:val="center"/>
              <w:ind w:right="15"/>
              <w:spacing w:after="0" w:line="156" w:lineRule="exact"/>
              <w:rPr>
                <w:sz w:val="20"/>
                <w:szCs w:val="20"/>
                <w:color w:val="auto"/>
              </w:rPr>
            </w:pPr>
            <w:r>
              <w:rPr>
                <w:rFonts w:ascii="Calibri" w:cs="Calibri" w:eastAsia="Calibri" w:hAnsi="Calibri"/>
                <w:sz w:val="14"/>
                <w:szCs w:val="14"/>
                <w:color w:val="auto"/>
              </w:rPr>
              <w:t>83.0%</w:t>
            </w:r>
          </w:p>
        </w:tc>
        <w:tc>
          <w:tcPr>
            <w:tcW w:w="102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4"/>
                <w:szCs w:val="14"/>
                <w:color w:val="auto"/>
              </w:rPr>
              <w:t>84.0%</w:t>
            </w:r>
          </w:p>
        </w:tc>
        <w:tc>
          <w:tcPr>
            <w:tcW w:w="1080" w:type="dxa"/>
            <w:vAlign w:val="bottom"/>
          </w:tcPr>
          <w:p>
            <w:pPr>
              <w:jc w:val="center"/>
              <w:ind w:right="35"/>
              <w:spacing w:after="0" w:line="142" w:lineRule="exact"/>
              <w:rPr>
                <w:sz w:val="20"/>
                <w:szCs w:val="20"/>
                <w:color w:val="auto"/>
              </w:rPr>
            </w:pPr>
            <w:r>
              <w:rPr>
                <w:rFonts w:ascii="Calibri" w:cs="Calibri" w:eastAsia="Calibri" w:hAnsi="Calibri"/>
                <w:sz w:val="14"/>
                <w:szCs w:val="14"/>
                <w:color w:val="auto"/>
              </w:rPr>
              <w:t>101 bps</w:t>
            </w:r>
          </w:p>
        </w:tc>
        <w:tc>
          <w:tcPr>
            <w:tcW w:w="740" w:type="dxa"/>
            <w:vAlign w:val="bottom"/>
          </w:tcPr>
          <w:p>
            <w:pPr>
              <w:jc w:val="center"/>
              <w:spacing w:after="0" w:line="142" w:lineRule="exact"/>
              <w:rPr>
                <w:sz w:val="20"/>
                <w:szCs w:val="20"/>
                <w:color w:val="auto"/>
              </w:rPr>
            </w:pPr>
            <w:r>
              <w:rPr>
                <w:rFonts w:ascii="Calibri" w:cs="Calibri" w:eastAsia="Calibri" w:hAnsi="Calibri"/>
                <w:sz w:val="14"/>
                <w:szCs w:val="14"/>
                <w:color w:val="auto"/>
              </w:rPr>
              <w:t>-5 bps</w:t>
            </w:r>
          </w:p>
        </w:tc>
        <w:tc>
          <w:tcPr>
            <w:tcW w:w="16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IOL rato</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2.6%</w:t>
            </w:r>
          </w:p>
        </w:tc>
        <w:tc>
          <w:tcPr>
            <w:tcW w:w="960" w:type="dxa"/>
            <w:vAlign w:val="bottom"/>
          </w:tcPr>
          <w:p>
            <w:pPr>
              <w:jc w:val="center"/>
              <w:ind w:right="15"/>
              <w:spacing w:after="0"/>
              <w:rPr>
                <w:sz w:val="20"/>
                <w:szCs w:val="20"/>
                <w:color w:val="auto"/>
              </w:rPr>
            </w:pPr>
            <w:r>
              <w:rPr>
                <w:rFonts w:ascii="Calibri" w:cs="Calibri" w:eastAsia="Calibri" w:hAnsi="Calibri"/>
                <w:sz w:val="14"/>
                <w:szCs w:val="14"/>
                <w:color w:val="auto"/>
              </w:rPr>
              <w:t>2.8%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2.8%</w:t>
            </w:r>
          </w:p>
        </w:tc>
        <w:tc>
          <w:tcPr>
            <w:tcW w:w="1080" w:type="dxa"/>
            <w:vAlign w:val="bottom"/>
          </w:tcPr>
          <w:p>
            <w:pPr>
              <w:jc w:val="center"/>
              <w:ind w:right="15"/>
              <w:spacing w:after="0"/>
              <w:rPr>
                <w:sz w:val="20"/>
                <w:szCs w:val="20"/>
                <w:color w:val="auto"/>
              </w:rPr>
            </w:pPr>
            <w:r>
              <w:rPr>
                <w:rFonts w:ascii="Calibri" w:cs="Calibri" w:eastAsia="Calibri" w:hAnsi="Calibri"/>
                <w:sz w:val="14"/>
                <w:szCs w:val="14"/>
                <w:color w:val="auto"/>
              </w:rPr>
              <w:t>-2 bps</w:t>
            </w:r>
          </w:p>
        </w:tc>
        <w:tc>
          <w:tcPr>
            <w:tcW w:w="740" w:type="dxa"/>
            <w:vAlign w:val="bottom"/>
          </w:tcPr>
          <w:p>
            <w:pPr>
              <w:jc w:val="center"/>
              <w:ind w:left="16"/>
              <w:spacing w:after="0"/>
              <w:rPr>
                <w:sz w:val="20"/>
                <w:szCs w:val="20"/>
                <w:color w:val="auto"/>
              </w:rPr>
            </w:pPr>
            <w:r>
              <w:rPr>
                <w:rFonts w:ascii="Calibri" w:cs="Calibri" w:eastAsia="Calibri" w:hAnsi="Calibri"/>
                <w:sz w:val="14"/>
                <w:szCs w:val="14"/>
                <w:color w:val="auto"/>
              </w:rPr>
              <w:t>13 bps</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NPL rato</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3.1%</w:t>
            </w:r>
          </w:p>
        </w:tc>
        <w:tc>
          <w:tcPr>
            <w:tcW w:w="960" w:type="dxa"/>
            <w:vAlign w:val="bottom"/>
          </w:tcPr>
          <w:p>
            <w:pPr>
              <w:jc w:val="center"/>
              <w:ind w:right="15"/>
              <w:spacing w:after="0"/>
              <w:rPr>
                <w:sz w:val="20"/>
                <w:szCs w:val="20"/>
                <w:color w:val="auto"/>
              </w:rPr>
            </w:pPr>
            <w:r>
              <w:rPr>
                <w:rFonts w:ascii="Calibri" w:cs="Calibri" w:eastAsia="Calibri" w:hAnsi="Calibri"/>
                <w:sz w:val="14"/>
                <w:szCs w:val="14"/>
                <w:color w:val="auto"/>
              </w:rPr>
              <w:t>3.3%</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3.3%</w:t>
            </w:r>
          </w:p>
        </w:tc>
        <w:tc>
          <w:tcPr>
            <w:tcW w:w="1080" w:type="dxa"/>
            <w:vAlign w:val="bottom"/>
          </w:tcPr>
          <w:p>
            <w:pPr>
              <w:jc w:val="center"/>
              <w:ind w:right="15"/>
              <w:spacing w:after="0"/>
              <w:rPr>
                <w:sz w:val="20"/>
                <w:szCs w:val="20"/>
                <w:color w:val="auto"/>
              </w:rPr>
            </w:pPr>
            <w:r>
              <w:rPr>
                <w:rFonts w:ascii="Calibri" w:cs="Calibri" w:eastAsia="Calibri" w:hAnsi="Calibri"/>
                <w:sz w:val="14"/>
                <w:szCs w:val="14"/>
                <w:color w:val="auto"/>
              </w:rPr>
              <w:t>1 bps</w:t>
            </w:r>
          </w:p>
        </w:tc>
        <w:tc>
          <w:tcPr>
            <w:tcW w:w="740" w:type="dxa"/>
            <w:vAlign w:val="bottom"/>
          </w:tcPr>
          <w:p>
            <w:pPr>
              <w:jc w:val="center"/>
              <w:ind w:left="16"/>
              <w:spacing w:after="0"/>
              <w:rPr>
                <w:sz w:val="20"/>
                <w:szCs w:val="20"/>
                <w:color w:val="auto"/>
              </w:rPr>
            </w:pPr>
            <w:r>
              <w:rPr>
                <w:rFonts w:ascii="Calibri" w:cs="Calibri" w:eastAsia="Calibri" w:hAnsi="Calibri"/>
                <w:sz w:val="14"/>
                <w:szCs w:val="14"/>
                <w:color w:val="auto"/>
              </w:rPr>
              <w:t>20 bps</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Coverage of IOLs</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150.1%</w:t>
            </w:r>
          </w:p>
        </w:tc>
        <w:tc>
          <w:tcPr>
            <w:tcW w:w="960" w:type="dxa"/>
            <w:vAlign w:val="bottom"/>
          </w:tcPr>
          <w:p>
            <w:pPr>
              <w:jc w:val="center"/>
              <w:spacing w:after="0"/>
              <w:rPr>
                <w:sz w:val="20"/>
                <w:szCs w:val="20"/>
                <w:color w:val="auto"/>
              </w:rPr>
            </w:pPr>
            <w:r>
              <w:rPr>
                <w:rFonts w:ascii="Calibri" w:cs="Calibri" w:eastAsia="Calibri" w:hAnsi="Calibri"/>
                <w:sz w:val="14"/>
                <w:szCs w:val="14"/>
                <w:color w:val="auto"/>
              </w:rPr>
              <w:t>129.2%</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132.3%</w:t>
            </w:r>
          </w:p>
        </w:tc>
        <w:tc>
          <w:tcPr>
            <w:tcW w:w="1080" w:type="dxa"/>
            <w:vAlign w:val="bottom"/>
          </w:tcPr>
          <w:p>
            <w:pPr>
              <w:jc w:val="center"/>
              <w:ind w:right="35"/>
              <w:spacing w:after="0"/>
              <w:rPr>
                <w:sz w:val="20"/>
                <w:szCs w:val="20"/>
                <w:color w:val="auto"/>
              </w:rPr>
            </w:pPr>
            <w:r>
              <w:rPr>
                <w:rFonts w:ascii="Calibri" w:cs="Calibri" w:eastAsia="Calibri" w:hAnsi="Calibri"/>
                <w:sz w:val="14"/>
                <w:szCs w:val="14"/>
                <w:color w:val="auto"/>
              </w:rPr>
              <w:t>303 bps</w:t>
            </w:r>
          </w:p>
        </w:tc>
        <w:tc>
          <w:tcPr>
            <w:tcW w:w="740" w:type="dxa"/>
            <w:vAlign w:val="bottom"/>
          </w:tcPr>
          <w:p>
            <w:pPr>
              <w:jc w:val="center"/>
              <w:ind w:left="16"/>
              <w:spacing w:after="0"/>
              <w:rPr>
                <w:sz w:val="20"/>
                <w:szCs w:val="20"/>
                <w:color w:val="auto"/>
              </w:rPr>
            </w:pPr>
            <w:r>
              <w:rPr>
                <w:rFonts w:ascii="Calibri" w:cs="Calibri" w:eastAsia="Calibri" w:hAnsi="Calibri"/>
                <w:sz w:val="14"/>
                <w:szCs w:val="14"/>
                <w:color w:val="auto"/>
              </w:rPr>
              <w:t>-1779 bps</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Coverage of NPLs</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126.5%</w:t>
            </w:r>
          </w:p>
        </w:tc>
        <w:tc>
          <w:tcPr>
            <w:tcW w:w="960" w:type="dxa"/>
            <w:vAlign w:val="bottom"/>
          </w:tcPr>
          <w:p>
            <w:pPr>
              <w:jc w:val="center"/>
              <w:spacing w:after="0"/>
              <w:rPr>
                <w:sz w:val="20"/>
                <w:szCs w:val="20"/>
                <w:color w:val="auto"/>
              </w:rPr>
            </w:pPr>
            <w:r>
              <w:rPr>
                <w:rFonts w:ascii="Calibri" w:cs="Calibri" w:eastAsia="Calibri" w:hAnsi="Calibri"/>
                <w:sz w:val="14"/>
                <w:szCs w:val="14"/>
                <w:color w:val="auto"/>
              </w:rPr>
              <w:t>108.4%</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109.9%</w:t>
            </w:r>
          </w:p>
        </w:tc>
        <w:tc>
          <w:tcPr>
            <w:tcW w:w="1080" w:type="dxa"/>
            <w:vAlign w:val="bottom"/>
          </w:tcPr>
          <w:p>
            <w:pPr>
              <w:jc w:val="center"/>
              <w:ind w:right="35"/>
              <w:spacing w:after="0"/>
              <w:rPr>
                <w:sz w:val="20"/>
                <w:szCs w:val="20"/>
                <w:color w:val="auto"/>
              </w:rPr>
            </w:pPr>
            <w:r>
              <w:rPr>
                <w:rFonts w:ascii="Calibri" w:cs="Calibri" w:eastAsia="Calibri" w:hAnsi="Calibri"/>
                <w:sz w:val="14"/>
                <w:szCs w:val="14"/>
                <w:color w:val="auto"/>
              </w:rPr>
              <w:t>151 bps</w:t>
            </w:r>
          </w:p>
        </w:tc>
        <w:tc>
          <w:tcPr>
            <w:tcW w:w="740" w:type="dxa"/>
            <w:vAlign w:val="bottom"/>
          </w:tcPr>
          <w:p>
            <w:pPr>
              <w:jc w:val="center"/>
              <w:ind w:left="16"/>
              <w:spacing w:after="0"/>
              <w:rPr>
                <w:sz w:val="20"/>
                <w:szCs w:val="20"/>
                <w:color w:val="auto"/>
              </w:rPr>
            </w:pPr>
            <w:r>
              <w:rPr>
                <w:rFonts w:ascii="Calibri" w:cs="Calibri" w:eastAsia="Calibri" w:hAnsi="Calibri"/>
                <w:sz w:val="14"/>
                <w:szCs w:val="14"/>
                <w:color w:val="auto"/>
              </w:rPr>
              <w:t>-1660 bps</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Branches</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46</w:t>
            </w:r>
          </w:p>
        </w:tc>
        <w:tc>
          <w:tcPr>
            <w:tcW w:w="960" w:type="dxa"/>
            <w:vAlign w:val="bottom"/>
          </w:tcPr>
          <w:p>
            <w:pPr>
              <w:jc w:val="center"/>
              <w:spacing w:after="0"/>
              <w:rPr>
                <w:sz w:val="20"/>
                <w:szCs w:val="20"/>
                <w:color w:val="auto"/>
              </w:rPr>
            </w:pPr>
            <w:r>
              <w:rPr>
                <w:rFonts w:ascii="Calibri" w:cs="Calibri" w:eastAsia="Calibri" w:hAnsi="Calibri"/>
                <w:sz w:val="14"/>
                <w:szCs w:val="14"/>
                <w:color w:val="auto"/>
                <w:w w:val="98"/>
              </w:rPr>
              <w:t>46</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46</w:t>
            </w:r>
          </w:p>
        </w:tc>
        <w:tc>
          <w:tcPr>
            <w:tcW w:w="1080" w:type="dxa"/>
            <w:vAlign w:val="bottom"/>
          </w:tcPr>
          <w:p>
            <w:pPr>
              <w:jc w:val="center"/>
              <w:ind w:right="15"/>
              <w:spacing w:after="0"/>
              <w:rPr>
                <w:sz w:val="20"/>
                <w:szCs w:val="20"/>
                <w:color w:val="auto"/>
              </w:rPr>
            </w:pPr>
            <w:r>
              <w:rPr>
                <w:rFonts w:ascii="Calibri" w:cs="Calibri" w:eastAsia="Calibri" w:hAnsi="Calibri"/>
                <w:sz w:val="14"/>
                <w:szCs w:val="14"/>
                <w:color w:val="auto"/>
              </w:rPr>
              <w:t>0.0%</w:t>
            </w:r>
          </w:p>
        </w:tc>
        <w:tc>
          <w:tcPr>
            <w:tcW w:w="740" w:type="dxa"/>
            <w:vAlign w:val="bottom"/>
          </w:tcPr>
          <w:p>
            <w:pPr>
              <w:jc w:val="center"/>
              <w:spacing w:after="0"/>
              <w:rPr>
                <w:sz w:val="20"/>
                <w:szCs w:val="20"/>
                <w:color w:val="auto"/>
              </w:rPr>
            </w:pPr>
            <w:r>
              <w:rPr>
                <w:rFonts w:ascii="Calibri" w:cs="Calibri" w:eastAsia="Calibri" w:hAnsi="Calibri"/>
                <w:sz w:val="14"/>
                <w:szCs w:val="14"/>
                <w:color w:val="auto"/>
              </w:rPr>
              <w:t>0.0%</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Agentes</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1,351</w:t>
            </w:r>
          </w:p>
        </w:tc>
        <w:tc>
          <w:tcPr>
            <w:tcW w:w="960" w:type="dxa"/>
            <w:vAlign w:val="bottom"/>
          </w:tcPr>
          <w:p>
            <w:pPr>
              <w:jc w:val="center"/>
              <w:spacing w:after="0"/>
              <w:rPr>
                <w:sz w:val="20"/>
                <w:szCs w:val="20"/>
                <w:color w:val="auto"/>
              </w:rPr>
            </w:pPr>
            <w:r>
              <w:rPr>
                <w:rFonts w:ascii="Calibri" w:cs="Calibri" w:eastAsia="Calibri" w:hAnsi="Calibri"/>
                <w:sz w:val="14"/>
                <w:szCs w:val="14"/>
                <w:color w:val="auto"/>
              </w:rPr>
              <w:t>1,350</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1,541</w:t>
            </w:r>
          </w:p>
        </w:tc>
        <w:tc>
          <w:tcPr>
            <w:tcW w:w="1080" w:type="dxa"/>
            <w:vAlign w:val="bottom"/>
          </w:tcPr>
          <w:p>
            <w:pPr>
              <w:jc w:val="center"/>
              <w:ind w:right="15"/>
              <w:spacing w:after="0"/>
              <w:rPr>
                <w:sz w:val="20"/>
                <w:szCs w:val="20"/>
                <w:color w:val="auto"/>
              </w:rPr>
            </w:pPr>
            <w:r>
              <w:rPr>
                <w:rFonts w:ascii="Calibri" w:cs="Calibri" w:eastAsia="Calibri" w:hAnsi="Calibri"/>
                <w:sz w:val="14"/>
                <w:szCs w:val="14"/>
                <w:color w:val="auto"/>
              </w:rPr>
              <w:t>14.1%</w:t>
            </w:r>
          </w:p>
        </w:tc>
        <w:tc>
          <w:tcPr>
            <w:tcW w:w="740" w:type="dxa"/>
            <w:vAlign w:val="bottom"/>
          </w:tcPr>
          <w:p>
            <w:pPr>
              <w:jc w:val="center"/>
              <w:spacing w:after="0"/>
              <w:rPr>
                <w:sz w:val="20"/>
                <w:szCs w:val="20"/>
                <w:color w:val="auto"/>
              </w:rPr>
            </w:pPr>
            <w:r>
              <w:rPr>
                <w:rFonts w:ascii="Calibri" w:cs="Calibri" w:eastAsia="Calibri" w:hAnsi="Calibri"/>
                <w:sz w:val="14"/>
                <w:szCs w:val="14"/>
                <w:color w:val="auto"/>
              </w:rPr>
              <w:t>14.1%</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ATMs</w:t>
            </w:r>
          </w:p>
        </w:tc>
        <w:tc>
          <w:tcPr>
            <w:tcW w:w="1180" w:type="dxa"/>
            <w:vAlign w:val="bottom"/>
          </w:tcPr>
          <w:p>
            <w:pPr>
              <w:jc w:val="center"/>
              <w:spacing w:after="0"/>
              <w:rPr>
                <w:sz w:val="20"/>
                <w:szCs w:val="20"/>
                <w:color w:val="auto"/>
              </w:rPr>
            </w:pPr>
            <w:r>
              <w:rPr>
                <w:rFonts w:ascii="Calibri" w:cs="Calibri" w:eastAsia="Calibri" w:hAnsi="Calibri"/>
                <w:sz w:val="14"/>
                <w:szCs w:val="14"/>
                <w:color w:val="auto"/>
                <w:w w:val="93"/>
              </w:rPr>
              <w:t>314</w:t>
            </w:r>
          </w:p>
        </w:tc>
        <w:tc>
          <w:tcPr>
            <w:tcW w:w="960" w:type="dxa"/>
            <w:vAlign w:val="bottom"/>
          </w:tcPr>
          <w:p>
            <w:pPr>
              <w:jc w:val="center"/>
              <w:spacing w:after="0"/>
              <w:rPr>
                <w:sz w:val="20"/>
                <w:szCs w:val="20"/>
                <w:color w:val="auto"/>
              </w:rPr>
            </w:pPr>
            <w:r>
              <w:rPr>
                <w:rFonts w:ascii="Calibri" w:cs="Calibri" w:eastAsia="Calibri" w:hAnsi="Calibri"/>
                <w:sz w:val="14"/>
                <w:szCs w:val="14"/>
                <w:color w:val="auto"/>
              </w:rPr>
              <w:t>315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314</w:t>
            </w:r>
          </w:p>
        </w:tc>
        <w:tc>
          <w:tcPr>
            <w:tcW w:w="1080" w:type="dxa"/>
            <w:vAlign w:val="bottom"/>
          </w:tcPr>
          <w:p>
            <w:pPr>
              <w:jc w:val="center"/>
              <w:ind w:right="15"/>
              <w:spacing w:after="0"/>
              <w:rPr>
                <w:sz w:val="20"/>
                <w:szCs w:val="20"/>
                <w:color w:val="auto"/>
              </w:rPr>
            </w:pPr>
            <w:r>
              <w:rPr>
                <w:rFonts w:ascii="Calibri" w:cs="Calibri" w:eastAsia="Calibri" w:hAnsi="Calibri"/>
                <w:sz w:val="14"/>
                <w:szCs w:val="14"/>
                <w:color w:val="auto"/>
                <w:w w:val="99"/>
              </w:rPr>
              <w:t>-0.3%</w:t>
            </w:r>
          </w:p>
        </w:tc>
        <w:tc>
          <w:tcPr>
            <w:tcW w:w="740" w:type="dxa"/>
            <w:vAlign w:val="bottom"/>
          </w:tcPr>
          <w:p>
            <w:pPr>
              <w:jc w:val="center"/>
              <w:spacing w:after="0"/>
              <w:rPr>
                <w:sz w:val="20"/>
                <w:szCs w:val="20"/>
                <w:color w:val="auto"/>
              </w:rPr>
            </w:pPr>
            <w:r>
              <w:rPr>
                <w:rFonts w:ascii="Calibri" w:cs="Calibri" w:eastAsia="Calibri" w:hAnsi="Calibri"/>
                <w:sz w:val="14"/>
                <w:szCs w:val="14"/>
                <w:color w:val="auto"/>
              </w:rPr>
              <w:t>0.0%</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0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Employees</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1,732</w:t>
            </w:r>
          </w:p>
        </w:tc>
        <w:tc>
          <w:tcPr>
            <w:tcW w:w="960" w:type="dxa"/>
            <w:vAlign w:val="bottom"/>
          </w:tcPr>
          <w:p>
            <w:pPr>
              <w:jc w:val="center"/>
              <w:spacing w:after="0"/>
              <w:rPr>
                <w:sz w:val="20"/>
                <w:szCs w:val="20"/>
                <w:color w:val="auto"/>
              </w:rPr>
            </w:pPr>
            <w:r>
              <w:rPr>
                <w:rFonts w:ascii="Calibri" w:cs="Calibri" w:eastAsia="Calibri" w:hAnsi="Calibri"/>
                <w:sz w:val="14"/>
                <w:szCs w:val="14"/>
                <w:color w:val="auto"/>
              </w:rPr>
              <w:t>1,745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1,791</w:t>
            </w:r>
          </w:p>
        </w:tc>
        <w:tc>
          <w:tcPr>
            <w:tcW w:w="1080" w:type="dxa"/>
            <w:vAlign w:val="bottom"/>
          </w:tcPr>
          <w:p>
            <w:pPr>
              <w:jc w:val="center"/>
              <w:ind w:right="15"/>
              <w:spacing w:after="0"/>
              <w:rPr>
                <w:sz w:val="20"/>
                <w:szCs w:val="20"/>
                <w:color w:val="auto"/>
              </w:rPr>
            </w:pPr>
            <w:r>
              <w:rPr>
                <w:rFonts w:ascii="Calibri" w:cs="Calibri" w:eastAsia="Calibri" w:hAnsi="Calibri"/>
                <w:sz w:val="14"/>
                <w:szCs w:val="14"/>
                <w:color w:val="auto"/>
              </w:rPr>
              <w:t>2.6%</w:t>
            </w:r>
          </w:p>
        </w:tc>
        <w:tc>
          <w:tcPr>
            <w:tcW w:w="740" w:type="dxa"/>
            <w:vAlign w:val="bottom"/>
          </w:tcPr>
          <w:p>
            <w:pPr>
              <w:jc w:val="center"/>
              <w:spacing w:after="0"/>
              <w:rPr>
                <w:sz w:val="20"/>
                <w:szCs w:val="20"/>
                <w:color w:val="auto"/>
              </w:rPr>
            </w:pPr>
            <w:r>
              <w:rPr>
                <w:rFonts w:ascii="Calibri" w:cs="Calibri" w:eastAsia="Calibri" w:hAnsi="Calibri"/>
                <w:sz w:val="14"/>
                <w:szCs w:val="14"/>
                <w:color w:val="auto"/>
              </w:rPr>
              <w:t>3.4%</w:t>
            </w:r>
          </w:p>
        </w:tc>
        <w:tc>
          <w:tcPr>
            <w:tcW w:w="16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3"/>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bl>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5" w:name="page66"/>
    <w:bookmarkEnd w:id="65"/>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12.6.6. Mibanco</w:t>
      </w: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spacing w:after="0" w:line="2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340" w:type="dxa"/>
            <w:vAlign w:val="bottom"/>
            <w:tcBorders>
              <w:top w:val="single" w:sz="8" w:color="auto"/>
              <w:left w:val="single" w:sz="8" w:color="auto"/>
              <w:right w:val="single" w:sz="8" w:color="auto"/>
            </w:tcBorders>
            <w:shd w:val="clear" w:color="auto" w:fill="2AD2C9"/>
          </w:tcPr>
          <w:p>
            <w:pPr>
              <w:spacing w:after="0"/>
              <w:rPr>
                <w:sz w:val="14"/>
                <w:szCs w:val="14"/>
                <w:color w:val="auto"/>
              </w:rPr>
            </w:pPr>
          </w:p>
        </w:tc>
        <w:tc>
          <w:tcPr>
            <w:tcW w:w="1580" w:type="dxa"/>
            <w:vAlign w:val="bottom"/>
            <w:tcBorders>
              <w:top w:val="single" w:sz="8" w:color="auto"/>
            </w:tcBorders>
            <w:shd w:val="clear" w:color="auto" w:fill="2AD2C9"/>
          </w:tcPr>
          <w:p>
            <w:pPr>
              <w:spacing w:after="0"/>
              <w:rPr>
                <w:sz w:val="14"/>
                <w:szCs w:val="14"/>
                <w:color w:val="auto"/>
              </w:rPr>
            </w:pPr>
          </w:p>
        </w:tc>
        <w:tc>
          <w:tcPr>
            <w:tcW w:w="1380" w:type="dxa"/>
            <w:vAlign w:val="bottom"/>
            <w:tcBorders>
              <w:top w:val="single" w:sz="8" w:color="auto"/>
            </w:tcBorders>
            <w:shd w:val="clear" w:color="auto" w:fill="2AD2C9"/>
          </w:tcPr>
          <w:p>
            <w:pPr>
              <w:jc w:val="right"/>
              <w:ind w:right="737"/>
              <w:spacing w:after="0"/>
              <w:rPr>
                <w:sz w:val="20"/>
                <w:szCs w:val="20"/>
                <w:color w:val="auto"/>
              </w:rPr>
            </w:pPr>
            <w:r>
              <w:rPr>
                <w:rFonts w:ascii="Calibri" w:cs="Calibri" w:eastAsia="Calibri" w:hAnsi="Calibri"/>
                <w:sz w:val="13"/>
                <w:szCs w:val="13"/>
                <w:b w:val="1"/>
                <w:bCs w:val="1"/>
                <w:color w:val="FFFFFF"/>
              </w:rPr>
              <w:t>As of</w:t>
            </w:r>
          </w:p>
        </w:tc>
        <w:tc>
          <w:tcPr>
            <w:tcW w:w="1120" w:type="dxa"/>
            <w:vAlign w:val="bottom"/>
            <w:tcBorders>
              <w:top w:val="single" w:sz="8" w:color="auto"/>
              <w:right w:val="single" w:sz="8" w:color="auto"/>
            </w:tcBorders>
            <w:shd w:val="clear" w:color="auto" w:fill="2AD2C9"/>
          </w:tcPr>
          <w:p>
            <w:pPr>
              <w:spacing w:after="0"/>
              <w:rPr>
                <w:sz w:val="14"/>
                <w:szCs w:val="14"/>
                <w:color w:val="auto"/>
              </w:rPr>
            </w:pPr>
          </w:p>
        </w:tc>
        <w:tc>
          <w:tcPr>
            <w:tcW w:w="1180" w:type="dxa"/>
            <w:vAlign w:val="bottom"/>
            <w:tcBorders>
              <w:top w:val="single" w:sz="8" w:color="auto"/>
            </w:tcBorders>
            <w:shd w:val="clear" w:color="auto" w:fill="2AD2C9"/>
          </w:tcPr>
          <w:p>
            <w:pPr>
              <w:ind w:left="660"/>
              <w:spacing w:after="0"/>
              <w:rPr>
                <w:sz w:val="20"/>
                <w:szCs w:val="20"/>
                <w:color w:val="auto"/>
              </w:rPr>
            </w:pPr>
            <w:r>
              <w:rPr>
                <w:rFonts w:ascii="Calibri" w:cs="Calibri" w:eastAsia="Calibri" w:hAnsi="Calibri"/>
                <w:sz w:val="13"/>
                <w:szCs w:val="13"/>
                <w:b w:val="1"/>
                <w:bCs w:val="1"/>
                <w:color w:val="FFFFFF"/>
                <w:w w:val="98"/>
              </w:rPr>
              <w:t>% change</w:t>
            </w:r>
          </w:p>
        </w:tc>
        <w:tc>
          <w:tcPr>
            <w:tcW w:w="640" w:type="dxa"/>
            <w:vAlign w:val="bottom"/>
            <w:tcBorders>
              <w:top w:val="single" w:sz="8" w:color="auto"/>
              <w:right w:val="single" w:sz="8" w:color="auto"/>
            </w:tcBorders>
            <w:shd w:val="clear" w:color="auto" w:fill="2AD2C9"/>
          </w:tcPr>
          <w:p>
            <w:pPr>
              <w:spacing w:after="0"/>
              <w:rPr>
                <w:sz w:val="14"/>
                <w:szCs w:val="14"/>
                <w:color w:val="auto"/>
              </w:rPr>
            </w:pPr>
          </w:p>
        </w:tc>
      </w:tr>
      <w:tr>
        <w:trPr>
          <w:trHeight w:val="148"/>
        </w:trPr>
        <w:tc>
          <w:tcPr>
            <w:tcW w:w="534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1580" w:type="dxa"/>
            <w:vAlign w:val="bottom"/>
            <w:tcBorders>
              <w:bottom w:val="single" w:sz="8" w:color="auto"/>
            </w:tcBorders>
            <w:shd w:val="clear" w:color="auto" w:fill="33CCCC"/>
          </w:tcPr>
          <w:p>
            <w:pPr>
              <w:jc w:val="right"/>
              <w:ind w:right="697"/>
              <w:spacing w:after="0" w:line="149" w:lineRule="exact"/>
              <w:rPr>
                <w:sz w:val="20"/>
                <w:szCs w:val="20"/>
                <w:color w:val="auto"/>
              </w:rPr>
            </w:pPr>
            <w:r>
              <w:rPr>
                <w:rFonts w:ascii="Calibri" w:cs="Calibri" w:eastAsia="Calibri" w:hAnsi="Calibri"/>
                <w:sz w:val="13"/>
                <w:szCs w:val="13"/>
                <w:b w:val="1"/>
                <w:bCs w:val="1"/>
                <w:color w:val="FFFFFF"/>
              </w:rPr>
              <w:t>Sep 23</w:t>
            </w:r>
          </w:p>
        </w:tc>
        <w:tc>
          <w:tcPr>
            <w:tcW w:w="1380" w:type="dxa"/>
            <w:vAlign w:val="bottom"/>
            <w:tcBorders>
              <w:bottom w:val="single" w:sz="8" w:color="auto"/>
            </w:tcBorders>
            <w:shd w:val="clear" w:color="auto" w:fill="33CCCC"/>
          </w:tcPr>
          <w:p>
            <w:pPr>
              <w:jc w:val="right"/>
              <w:ind w:right="717"/>
              <w:spacing w:after="0" w:line="149" w:lineRule="exact"/>
              <w:rPr>
                <w:sz w:val="20"/>
                <w:szCs w:val="20"/>
                <w:color w:val="auto"/>
              </w:rPr>
            </w:pPr>
            <w:r>
              <w:rPr>
                <w:rFonts w:ascii="Calibri" w:cs="Calibri" w:eastAsia="Calibri" w:hAnsi="Calibri"/>
                <w:sz w:val="13"/>
                <w:szCs w:val="13"/>
                <w:b w:val="1"/>
                <w:bCs w:val="1"/>
                <w:color w:val="FFFFFF"/>
              </w:rPr>
              <w:t>Jun 24</w:t>
            </w:r>
          </w:p>
        </w:tc>
        <w:tc>
          <w:tcPr>
            <w:tcW w:w="1120" w:type="dxa"/>
            <w:vAlign w:val="bottom"/>
            <w:tcBorders>
              <w:bottom w:val="single" w:sz="8" w:color="auto"/>
              <w:right w:val="single" w:sz="8" w:color="auto"/>
            </w:tcBorders>
            <w:shd w:val="clear" w:color="auto" w:fill="33CCCC"/>
          </w:tcPr>
          <w:p>
            <w:pPr>
              <w:jc w:val="right"/>
              <w:ind w:right="457"/>
              <w:spacing w:after="0" w:line="149" w:lineRule="exact"/>
              <w:rPr>
                <w:sz w:val="20"/>
                <w:szCs w:val="20"/>
                <w:color w:val="auto"/>
              </w:rPr>
            </w:pPr>
            <w:r>
              <w:rPr>
                <w:rFonts w:ascii="Calibri" w:cs="Calibri" w:eastAsia="Calibri" w:hAnsi="Calibri"/>
                <w:sz w:val="13"/>
                <w:szCs w:val="13"/>
                <w:b w:val="1"/>
                <w:bCs w:val="1"/>
                <w:color w:val="FFFFFF"/>
              </w:rPr>
              <w:t>Sep 24</w:t>
            </w:r>
          </w:p>
        </w:tc>
        <w:tc>
          <w:tcPr>
            <w:tcW w:w="1180" w:type="dxa"/>
            <w:vAlign w:val="bottom"/>
            <w:tcBorders>
              <w:bottom w:val="single" w:sz="8" w:color="auto"/>
            </w:tcBorders>
            <w:shd w:val="clear" w:color="auto" w:fill="33CCCC"/>
          </w:tcPr>
          <w:p>
            <w:pPr>
              <w:ind w:left="380"/>
              <w:spacing w:after="0" w:line="149" w:lineRule="exact"/>
              <w:rPr>
                <w:sz w:val="20"/>
                <w:szCs w:val="20"/>
                <w:color w:val="auto"/>
              </w:rPr>
            </w:pPr>
            <w:r>
              <w:rPr>
                <w:rFonts w:ascii="Calibri" w:cs="Calibri" w:eastAsia="Calibri" w:hAnsi="Calibri"/>
                <w:sz w:val="13"/>
                <w:szCs w:val="13"/>
                <w:b w:val="1"/>
                <w:bCs w:val="1"/>
                <w:color w:val="FFFFFF"/>
              </w:rPr>
              <w:t>QoQ</w:t>
            </w:r>
          </w:p>
        </w:tc>
        <w:tc>
          <w:tcPr>
            <w:tcW w:w="640" w:type="dxa"/>
            <w:vAlign w:val="bottom"/>
            <w:tcBorders>
              <w:bottom w:val="single" w:sz="8" w:color="auto"/>
              <w:right w:val="single" w:sz="8" w:color="auto"/>
            </w:tcBorders>
            <w:shd w:val="clear" w:color="auto" w:fill="33CCCC"/>
          </w:tcPr>
          <w:p>
            <w:pPr>
              <w:ind w:left="120"/>
              <w:spacing w:after="0" w:line="149" w:lineRule="exact"/>
              <w:rPr>
                <w:sz w:val="20"/>
                <w:szCs w:val="20"/>
                <w:color w:val="auto"/>
              </w:rPr>
            </w:pPr>
            <w:r>
              <w:rPr>
                <w:rFonts w:ascii="Calibri" w:cs="Calibri" w:eastAsia="Calibri" w:hAnsi="Calibri"/>
                <w:sz w:val="13"/>
                <w:szCs w:val="13"/>
                <w:b w:val="1"/>
                <w:bCs w:val="1"/>
                <w:color w:val="FFFFFF"/>
              </w:rPr>
              <w:t>YoY</w:t>
            </w:r>
          </w:p>
        </w:tc>
      </w:tr>
      <w:tr>
        <w:trPr>
          <w:trHeight w:val="132"/>
        </w:trPr>
        <w:tc>
          <w:tcPr>
            <w:tcW w:w="53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3"/>
                <w:szCs w:val="13"/>
                <w:b w:val="1"/>
                <w:bCs w:val="1"/>
                <w:color w:val="auto"/>
              </w:rPr>
              <w:t>ASSETS</w:t>
            </w:r>
          </w:p>
        </w:tc>
        <w:tc>
          <w:tcPr>
            <w:tcW w:w="1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Cash and due from banks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1,618,194</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1,017,485</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1,590,356</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w w:val="92"/>
              </w:rPr>
              <w:t>56.3%</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4"/>
              </w:rPr>
              <w:t>-1.7%</w:t>
            </w: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Investments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1,789,628</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3,220,179</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3,094,635</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-3.9%</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72.9%</w:t>
            </w: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Total loans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13,562,314</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12,705,605</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12,118,953</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b w:val="1"/>
                <w:bCs w:val="1"/>
                <w:color w:val="auto"/>
                <w:w w:val="99"/>
              </w:rPr>
              <w:t>-4.6%</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b w:val="1"/>
                <w:bCs w:val="1"/>
                <w:color w:val="auto"/>
                <w:w w:val="97"/>
              </w:rPr>
              <w:t>-10.6%</w:t>
            </w:r>
          </w:p>
        </w:tc>
      </w:tr>
      <w:tr>
        <w:trPr>
          <w:trHeight w:val="149"/>
        </w:trPr>
        <w:tc>
          <w:tcPr>
            <w:tcW w:w="534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Current</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12,622,778</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11,672,954</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11,168,560</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-4.3%</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-11.5%</w:t>
            </w:r>
          </w:p>
        </w:tc>
      </w:tr>
      <w:tr>
        <w:trPr>
          <w:trHeight w:val="148"/>
        </w:trPr>
        <w:tc>
          <w:tcPr>
            <w:tcW w:w="534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Internal overdue loans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845,479</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934,676</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846,455</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-9.4%</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3"/>
              </w:rPr>
              <w:t>0.1%</w:t>
            </w:r>
          </w:p>
        </w:tc>
      </w:tr>
      <w:tr>
        <w:trPr>
          <w:trHeight w:val="148"/>
        </w:trPr>
        <w:tc>
          <w:tcPr>
            <w:tcW w:w="534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Refnanced</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94,057</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97,975</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103,938</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6.1%</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10.5%</w:t>
            </w:r>
          </w:p>
        </w:tc>
      </w:tr>
      <w:tr>
        <w:trPr>
          <w:trHeight w:val="148"/>
        </w:trPr>
        <w:tc>
          <w:tcPr>
            <w:tcW w:w="5340" w:type="dxa"/>
            <w:vAlign w:val="bottom"/>
            <w:tcBorders>
              <w:left w:val="single" w:sz="8" w:color="auto"/>
              <w:right w:val="single" w:sz="8" w:color="auto"/>
            </w:tcBorders>
          </w:tcPr>
          <w:p>
            <w:pPr>
              <w:ind w:left="180"/>
              <w:spacing w:after="0" w:line="149" w:lineRule="exact"/>
              <w:rPr>
                <w:sz w:val="20"/>
                <w:szCs w:val="20"/>
                <w:color w:val="auto"/>
              </w:rPr>
            </w:pPr>
            <w:r>
              <w:rPr>
                <w:rFonts w:ascii="Calibri" w:cs="Calibri" w:eastAsia="Calibri" w:hAnsi="Calibri"/>
                <w:sz w:val="13"/>
                <w:szCs w:val="13"/>
                <w:color w:val="auto"/>
              </w:rPr>
              <w:t>Allowance for loan losses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(1,031,937)</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(984,286)</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(940,310)</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-4.5%</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4"/>
              </w:rPr>
              <w:t>-8.9%</w:t>
            </w: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Net loans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12,530,377</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11,721,319</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11,178,643</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b w:val="1"/>
                <w:bCs w:val="1"/>
                <w:color w:val="auto"/>
                <w:w w:val="99"/>
              </w:rPr>
              <w:t>-4.6%</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b w:val="1"/>
                <w:bCs w:val="1"/>
                <w:color w:val="auto"/>
                <w:w w:val="97"/>
              </w:rPr>
              <w:t>-10.8%</w:t>
            </w: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Property, plant and equipment, net</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131,899</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132,122</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132,430</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0.2%</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3"/>
              </w:rPr>
              <w:t>0.4%</w:t>
            </w:r>
          </w:p>
        </w:tc>
      </w:tr>
      <w:tr>
        <w:trPr>
          <w:trHeight w:val="149"/>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assets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709,774</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890,770</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795,856</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w w:val="93"/>
              </w:rPr>
              <w:t>-10.7%</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12.1%</w:t>
            </w:r>
          </w:p>
        </w:tc>
      </w:tr>
      <w:tr>
        <w:trPr>
          <w:trHeight w:val="148"/>
        </w:trPr>
        <w:tc>
          <w:tcPr>
            <w:tcW w:w="5340" w:type="dxa"/>
            <w:vAlign w:val="bottom"/>
            <w:tcBorders>
              <w:left w:val="single" w:sz="8" w:color="auto"/>
              <w:right w:val="single" w:sz="8" w:color="auto"/>
            </w:tcBorders>
          </w:tcPr>
          <w:p>
            <w:pPr>
              <w:ind w:left="2360"/>
              <w:spacing w:after="0" w:line="149" w:lineRule="exact"/>
              <w:rPr>
                <w:sz w:val="20"/>
                <w:szCs w:val="20"/>
                <w:color w:val="auto"/>
              </w:rPr>
            </w:pPr>
            <w:r>
              <w:rPr>
                <w:rFonts w:ascii="Calibri" w:cs="Calibri" w:eastAsia="Calibri" w:hAnsi="Calibri"/>
                <w:sz w:val="13"/>
                <w:szCs w:val="13"/>
                <w:b w:val="1"/>
                <w:bCs w:val="1"/>
                <w:color w:val="auto"/>
              </w:rPr>
              <w:t>Total assets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16,779,872</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16,981,875</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16,791,920</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b w:val="1"/>
                <w:bCs w:val="1"/>
                <w:color w:val="auto"/>
                <w:w w:val="99"/>
              </w:rPr>
              <w:t>-1.1%</w:t>
            </w:r>
          </w:p>
        </w:tc>
        <w:tc>
          <w:tcPr>
            <w:tcW w:w="640" w:type="dxa"/>
            <w:vAlign w:val="bottom"/>
            <w:tcBorders>
              <w:right w:val="single" w:sz="8" w:color="auto"/>
            </w:tcBorders>
          </w:tcPr>
          <w:p>
            <w:pPr>
              <w:jc w:val="center"/>
              <w:ind w:right="157"/>
              <w:spacing w:after="0" w:line="149" w:lineRule="exact"/>
              <w:rPr>
                <w:sz w:val="20"/>
                <w:szCs w:val="20"/>
                <w:color w:val="auto"/>
              </w:rPr>
            </w:pPr>
            <w:r>
              <w:rPr>
                <w:rFonts w:ascii="Calibri" w:cs="Calibri" w:eastAsia="Calibri" w:hAnsi="Calibri"/>
                <w:sz w:val="13"/>
                <w:szCs w:val="13"/>
                <w:b w:val="1"/>
                <w:bCs w:val="1"/>
                <w:color w:val="auto"/>
                <w:w w:val="99"/>
              </w:rPr>
              <w:t>0.1%</w:t>
            </w:r>
          </w:p>
        </w:tc>
      </w:tr>
      <w:tr>
        <w:trPr>
          <w:trHeight w:val="297"/>
        </w:trPr>
        <w:tc>
          <w:tcPr>
            <w:tcW w:w="5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LIABILITIES AND NET SHAREHOLDERS' EQUITY</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Deposits and obligatons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10,036,767</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10,531,506</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10,800,163</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2.6%</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3"/>
              </w:rPr>
              <w:t>7.6%</w:t>
            </w:r>
          </w:p>
        </w:tc>
      </w:tr>
      <w:tr>
        <w:trPr>
          <w:trHeight w:val="149"/>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Due to banks and correspondents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2,466,913</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2,107,877</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1,958,657</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rPr>
              <w:t>-7.1%</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-20.6%</w:t>
            </w: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Bonds and subordinated debt</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701,233</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572,626</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306,113</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w w:val="93"/>
              </w:rPr>
              <w:t>-46.5%</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-56.3%</w:t>
            </w:r>
          </w:p>
        </w:tc>
      </w:tr>
      <w:tr>
        <w:trPr>
          <w:trHeight w:val="148"/>
        </w:trPr>
        <w:tc>
          <w:tcPr>
            <w:tcW w:w="534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liabilites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644,094</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color w:val="auto"/>
              </w:rPr>
              <w:t>1,097,220</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983,614</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color w:val="auto"/>
                <w:w w:val="93"/>
              </w:rPr>
              <w:t>-10.4%</w:t>
            </w:r>
          </w:p>
        </w:tc>
        <w:tc>
          <w:tcPr>
            <w:tcW w:w="64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8"/>
              </w:rPr>
              <w:t>52.7%</w:t>
            </w:r>
          </w:p>
        </w:tc>
      </w:tr>
      <w:tr>
        <w:trPr>
          <w:trHeight w:val="148"/>
        </w:trPr>
        <w:tc>
          <w:tcPr>
            <w:tcW w:w="5340" w:type="dxa"/>
            <w:vAlign w:val="bottom"/>
            <w:tcBorders>
              <w:left w:val="single" w:sz="8" w:color="auto"/>
              <w:right w:val="single" w:sz="8" w:color="auto"/>
            </w:tcBorders>
          </w:tcPr>
          <w:p>
            <w:pPr>
              <w:ind w:left="2300"/>
              <w:spacing w:after="0" w:line="149" w:lineRule="exact"/>
              <w:rPr>
                <w:sz w:val="20"/>
                <w:szCs w:val="20"/>
                <w:color w:val="auto"/>
              </w:rPr>
            </w:pPr>
            <w:r>
              <w:rPr>
                <w:rFonts w:ascii="Calibri" w:cs="Calibri" w:eastAsia="Calibri" w:hAnsi="Calibri"/>
                <w:sz w:val="13"/>
                <w:szCs w:val="13"/>
                <w:b w:val="1"/>
                <w:bCs w:val="1"/>
                <w:color w:val="auto"/>
              </w:rPr>
              <w:t>Total liabilites</w:t>
            </w:r>
          </w:p>
        </w:tc>
        <w:tc>
          <w:tcPr>
            <w:tcW w:w="15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13,849,007</w:t>
            </w:r>
          </w:p>
        </w:tc>
        <w:tc>
          <w:tcPr>
            <w:tcW w:w="138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14,309,229</w:t>
            </w:r>
          </w:p>
        </w:tc>
        <w:tc>
          <w:tcPr>
            <w:tcW w:w="11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b w:val="1"/>
                <w:bCs w:val="1"/>
                <w:color w:val="auto"/>
              </w:rPr>
              <w:t>14,048,547</w:t>
            </w:r>
          </w:p>
        </w:tc>
        <w:tc>
          <w:tcPr>
            <w:tcW w:w="1180" w:type="dxa"/>
            <w:vAlign w:val="bottom"/>
          </w:tcPr>
          <w:p>
            <w:pPr>
              <w:jc w:val="center"/>
              <w:ind w:right="137"/>
              <w:spacing w:after="0" w:line="149" w:lineRule="exact"/>
              <w:rPr>
                <w:sz w:val="20"/>
                <w:szCs w:val="20"/>
                <w:color w:val="auto"/>
              </w:rPr>
            </w:pPr>
            <w:r>
              <w:rPr>
                <w:rFonts w:ascii="Calibri" w:cs="Calibri" w:eastAsia="Calibri" w:hAnsi="Calibri"/>
                <w:sz w:val="13"/>
                <w:szCs w:val="13"/>
                <w:b w:val="1"/>
                <w:bCs w:val="1"/>
                <w:color w:val="auto"/>
                <w:w w:val="99"/>
              </w:rPr>
              <w:t>-1.8%</w:t>
            </w:r>
          </w:p>
        </w:tc>
        <w:tc>
          <w:tcPr>
            <w:tcW w:w="640" w:type="dxa"/>
            <w:vAlign w:val="bottom"/>
            <w:tcBorders>
              <w:right w:val="single" w:sz="8" w:color="auto"/>
            </w:tcBorders>
          </w:tcPr>
          <w:p>
            <w:pPr>
              <w:jc w:val="center"/>
              <w:ind w:right="157"/>
              <w:spacing w:after="0" w:line="149" w:lineRule="exact"/>
              <w:rPr>
                <w:sz w:val="20"/>
                <w:szCs w:val="20"/>
                <w:color w:val="auto"/>
              </w:rPr>
            </w:pPr>
            <w:r>
              <w:rPr>
                <w:rFonts w:ascii="Calibri" w:cs="Calibri" w:eastAsia="Calibri" w:hAnsi="Calibri"/>
                <w:sz w:val="13"/>
                <w:szCs w:val="13"/>
                <w:b w:val="1"/>
                <w:bCs w:val="1"/>
                <w:color w:val="auto"/>
                <w:w w:val="99"/>
              </w:rPr>
              <w:t>1.4%</w:t>
            </w:r>
          </w:p>
        </w:tc>
      </w:tr>
      <w:tr>
        <w:trPr>
          <w:trHeight w:val="297"/>
        </w:trPr>
        <w:tc>
          <w:tcPr>
            <w:tcW w:w="5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equity</w:t>
            </w:r>
          </w:p>
        </w:tc>
        <w:tc>
          <w:tcPr>
            <w:tcW w:w="1580" w:type="dxa"/>
            <w:vAlign w:val="bottom"/>
          </w:tcPr>
          <w:p>
            <w:pPr>
              <w:jc w:val="right"/>
              <w:ind w:right="197"/>
              <w:spacing w:after="0"/>
              <w:rPr>
                <w:sz w:val="20"/>
                <w:szCs w:val="20"/>
                <w:color w:val="auto"/>
              </w:rPr>
            </w:pPr>
            <w:r>
              <w:rPr>
                <w:rFonts w:ascii="Calibri" w:cs="Calibri" w:eastAsia="Calibri" w:hAnsi="Calibri"/>
                <w:sz w:val="13"/>
                <w:szCs w:val="13"/>
                <w:b w:val="1"/>
                <w:bCs w:val="1"/>
                <w:color w:val="auto"/>
              </w:rPr>
              <w:t>2,930,865</w:t>
            </w:r>
          </w:p>
        </w:tc>
        <w:tc>
          <w:tcPr>
            <w:tcW w:w="1380" w:type="dxa"/>
            <w:vAlign w:val="bottom"/>
          </w:tcPr>
          <w:p>
            <w:pPr>
              <w:jc w:val="right"/>
              <w:ind w:right="197"/>
              <w:spacing w:after="0"/>
              <w:rPr>
                <w:sz w:val="20"/>
                <w:szCs w:val="20"/>
                <w:color w:val="auto"/>
              </w:rPr>
            </w:pPr>
            <w:r>
              <w:rPr>
                <w:rFonts w:ascii="Calibri" w:cs="Calibri" w:eastAsia="Calibri" w:hAnsi="Calibri"/>
                <w:sz w:val="13"/>
                <w:szCs w:val="13"/>
                <w:b w:val="1"/>
                <w:bCs w:val="1"/>
                <w:color w:val="auto"/>
              </w:rPr>
              <w:t>2,672,646</w:t>
            </w:r>
          </w:p>
        </w:tc>
        <w:tc>
          <w:tcPr>
            <w:tcW w:w="112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2,743,373</w:t>
            </w:r>
          </w:p>
        </w:tc>
        <w:tc>
          <w:tcPr>
            <w:tcW w:w="1180" w:type="dxa"/>
            <w:vAlign w:val="bottom"/>
          </w:tcPr>
          <w:p>
            <w:pPr>
              <w:jc w:val="center"/>
              <w:ind w:right="137"/>
              <w:spacing w:after="0"/>
              <w:rPr>
                <w:sz w:val="20"/>
                <w:szCs w:val="20"/>
                <w:color w:val="auto"/>
              </w:rPr>
            </w:pPr>
            <w:r>
              <w:rPr>
                <w:rFonts w:ascii="Calibri" w:cs="Calibri" w:eastAsia="Calibri" w:hAnsi="Calibri"/>
                <w:sz w:val="13"/>
                <w:szCs w:val="13"/>
                <w:b w:val="1"/>
                <w:bCs w:val="1"/>
                <w:color w:val="auto"/>
                <w:w w:val="99"/>
              </w:rPr>
              <w:t>2.6%</w:t>
            </w:r>
          </w:p>
        </w:tc>
        <w:tc>
          <w:tcPr>
            <w:tcW w:w="640" w:type="dxa"/>
            <w:vAlign w:val="bottom"/>
            <w:tcBorders>
              <w:right w:val="single" w:sz="8" w:color="auto"/>
            </w:tcBorders>
          </w:tcPr>
          <w:p>
            <w:pPr>
              <w:jc w:val="center"/>
              <w:ind w:right="157"/>
              <w:spacing w:after="0"/>
              <w:rPr>
                <w:sz w:val="20"/>
                <w:szCs w:val="20"/>
                <w:color w:val="auto"/>
              </w:rPr>
            </w:pPr>
            <w:r>
              <w:rPr>
                <w:rFonts w:ascii="Calibri" w:cs="Calibri" w:eastAsia="Calibri" w:hAnsi="Calibri"/>
                <w:sz w:val="13"/>
                <w:szCs w:val="13"/>
                <w:b w:val="1"/>
                <w:bCs w:val="1"/>
                <w:color w:val="auto"/>
                <w:w w:val="99"/>
              </w:rPr>
              <w:t>-6.4%</w:t>
            </w:r>
          </w:p>
        </w:tc>
      </w:tr>
      <w:tr>
        <w:trPr>
          <w:trHeight w:val="302"/>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LIABILITIES AND NET SHAREHOLDERS' EQUITY</w:t>
            </w:r>
          </w:p>
        </w:tc>
        <w:tc>
          <w:tcPr>
            <w:tcW w:w="1580" w:type="dxa"/>
            <w:vAlign w:val="bottom"/>
            <w:tcBorders>
              <w:bottom w:val="single" w:sz="8" w:color="auto"/>
            </w:tcBorders>
          </w:tcPr>
          <w:p>
            <w:pPr>
              <w:jc w:val="right"/>
              <w:ind w:right="197"/>
              <w:spacing w:after="0"/>
              <w:rPr>
                <w:sz w:val="20"/>
                <w:szCs w:val="20"/>
                <w:color w:val="auto"/>
              </w:rPr>
            </w:pPr>
            <w:r>
              <w:rPr>
                <w:rFonts w:ascii="Calibri" w:cs="Calibri" w:eastAsia="Calibri" w:hAnsi="Calibri"/>
                <w:sz w:val="13"/>
                <w:szCs w:val="13"/>
                <w:b w:val="1"/>
                <w:bCs w:val="1"/>
                <w:color w:val="auto"/>
              </w:rPr>
              <w:t>16,779,872</w:t>
            </w:r>
          </w:p>
        </w:tc>
        <w:tc>
          <w:tcPr>
            <w:tcW w:w="1380" w:type="dxa"/>
            <w:vAlign w:val="bottom"/>
            <w:tcBorders>
              <w:bottom w:val="single" w:sz="8" w:color="auto"/>
            </w:tcBorders>
          </w:tcPr>
          <w:p>
            <w:pPr>
              <w:jc w:val="right"/>
              <w:ind w:right="197"/>
              <w:spacing w:after="0"/>
              <w:rPr>
                <w:sz w:val="20"/>
                <w:szCs w:val="20"/>
                <w:color w:val="auto"/>
              </w:rPr>
            </w:pPr>
            <w:r>
              <w:rPr>
                <w:rFonts w:ascii="Calibri" w:cs="Calibri" w:eastAsia="Calibri" w:hAnsi="Calibri"/>
                <w:sz w:val="13"/>
                <w:szCs w:val="13"/>
                <w:b w:val="1"/>
                <w:bCs w:val="1"/>
                <w:color w:val="auto"/>
              </w:rPr>
              <w:t>16,981,875</w:t>
            </w:r>
          </w:p>
        </w:tc>
        <w:tc>
          <w:tcPr>
            <w:tcW w:w="112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16,791,920</w:t>
            </w:r>
          </w:p>
        </w:tc>
        <w:tc>
          <w:tcPr>
            <w:tcW w:w="1180" w:type="dxa"/>
            <w:vAlign w:val="bottom"/>
            <w:tcBorders>
              <w:bottom w:val="single" w:sz="8" w:color="auto"/>
            </w:tcBorders>
          </w:tcPr>
          <w:p>
            <w:pPr>
              <w:jc w:val="center"/>
              <w:ind w:right="137"/>
              <w:spacing w:after="0"/>
              <w:rPr>
                <w:sz w:val="20"/>
                <w:szCs w:val="20"/>
                <w:color w:val="auto"/>
              </w:rPr>
            </w:pPr>
            <w:r>
              <w:rPr>
                <w:rFonts w:ascii="Calibri" w:cs="Calibri" w:eastAsia="Calibri" w:hAnsi="Calibri"/>
                <w:sz w:val="13"/>
                <w:szCs w:val="13"/>
                <w:b w:val="1"/>
                <w:bCs w:val="1"/>
                <w:color w:val="auto"/>
                <w:w w:val="99"/>
              </w:rPr>
              <w:t>-1.1%</w:t>
            </w:r>
          </w:p>
        </w:tc>
        <w:tc>
          <w:tcPr>
            <w:tcW w:w="640" w:type="dxa"/>
            <w:vAlign w:val="bottom"/>
            <w:tcBorders>
              <w:bottom w:val="single" w:sz="8" w:color="auto"/>
              <w:right w:val="single" w:sz="8" w:color="auto"/>
            </w:tcBorders>
          </w:tcPr>
          <w:p>
            <w:pPr>
              <w:jc w:val="center"/>
              <w:ind w:right="157"/>
              <w:spacing w:after="0"/>
              <w:rPr>
                <w:sz w:val="20"/>
                <w:szCs w:val="20"/>
                <w:color w:val="auto"/>
              </w:rPr>
            </w:pPr>
            <w:r>
              <w:rPr>
                <w:rFonts w:ascii="Calibri" w:cs="Calibri" w:eastAsia="Calibri" w:hAnsi="Calibri"/>
                <w:sz w:val="13"/>
                <w:szCs w:val="13"/>
                <w:b w:val="1"/>
                <w:bCs w:val="1"/>
                <w:color w:val="auto"/>
                <w:w w:val="99"/>
              </w:rPr>
              <w:t>0.1%</w:t>
            </w:r>
          </w:p>
        </w:tc>
      </w:tr>
    </w:tbl>
    <w:p>
      <w:pPr>
        <w:spacing w:after="0" w:line="182" w:lineRule="exact"/>
        <w:rPr>
          <w:sz w:val="20"/>
          <w:szCs w:val="20"/>
          <w:color w:val="auto"/>
        </w:rPr>
      </w:pPr>
    </w:p>
    <w:p>
      <w:pPr>
        <w:ind w:left="4920"/>
        <w:spacing w:after="0"/>
        <w:rPr>
          <w:sz w:val="20"/>
          <w:szCs w:val="20"/>
          <w:color w:val="auto"/>
        </w:rPr>
      </w:pPr>
      <w:r>
        <w:rPr>
          <w:rFonts w:ascii="Calibri" w:cs="Calibri" w:eastAsia="Calibri" w:hAnsi="Calibri"/>
          <w:sz w:val="16"/>
          <w:szCs w:val="16"/>
          <w:b w:val="1"/>
          <w:bCs w:val="1"/>
          <w:color w:val="auto"/>
        </w:rPr>
        <w:t>Statement of Income</w:t>
      </w:r>
    </w:p>
    <w:p>
      <w:pPr>
        <w:spacing w:after="0" w:line="7" w:lineRule="exact"/>
        <w:rPr>
          <w:sz w:val="20"/>
          <w:szCs w:val="20"/>
          <w:color w:val="auto"/>
        </w:rPr>
      </w:pPr>
    </w:p>
    <w:p>
      <w:pPr>
        <w:ind w:left="4940"/>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4080" w:type="dxa"/>
            <w:vAlign w:val="bottom"/>
            <w:tcBorders>
              <w:top w:val="single" w:sz="8" w:color="auto"/>
              <w:left w:val="single" w:sz="8" w:color="auto"/>
              <w:right w:val="single" w:sz="8" w:color="auto"/>
            </w:tcBorders>
          </w:tcPr>
          <w:p>
            <w:pPr>
              <w:spacing w:after="0"/>
              <w:rPr>
                <w:sz w:val="11"/>
                <w:szCs w:val="11"/>
                <w:color w:val="auto"/>
              </w:rPr>
            </w:pPr>
          </w:p>
        </w:tc>
        <w:tc>
          <w:tcPr>
            <w:tcW w:w="1000" w:type="dxa"/>
            <w:vAlign w:val="bottom"/>
            <w:tcBorders>
              <w:top w:val="single" w:sz="8" w:color="auto"/>
            </w:tcBorders>
            <w:shd w:val="clear" w:color="auto" w:fill="33CCCC"/>
          </w:tcPr>
          <w:p>
            <w:pPr>
              <w:spacing w:after="0"/>
              <w:rPr>
                <w:sz w:val="11"/>
                <w:szCs w:val="11"/>
                <w:color w:val="auto"/>
              </w:rPr>
            </w:pPr>
          </w:p>
        </w:tc>
        <w:tc>
          <w:tcPr>
            <w:tcW w:w="10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7"/>
              </w:rPr>
              <w:t>Quarter</w:t>
            </w:r>
          </w:p>
        </w:tc>
        <w:tc>
          <w:tcPr>
            <w:tcW w:w="1060" w:type="dxa"/>
            <w:vAlign w:val="bottom"/>
            <w:tcBorders>
              <w:top w:val="single" w:sz="8" w:color="auto"/>
              <w:right w:val="single" w:sz="8" w:color="33CCCC"/>
            </w:tcBorders>
            <w:shd w:val="clear" w:color="auto" w:fill="33CCCC"/>
          </w:tcPr>
          <w:p>
            <w:pPr>
              <w:spacing w:after="0"/>
              <w:rPr>
                <w:sz w:val="11"/>
                <w:szCs w:val="11"/>
                <w:color w:val="auto"/>
              </w:rPr>
            </w:pPr>
          </w:p>
        </w:tc>
        <w:tc>
          <w:tcPr>
            <w:tcW w:w="560" w:type="dxa"/>
            <w:vAlign w:val="bottom"/>
            <w:tcBorders>
              <w:top w:val="single" w:sz="8" w:color="auto"/>
            </w:tcBorders>
            <w:shd w:val="clear" w:color="auto" w:fill="33CCCC"/>
          </w:tcPr>
          <w:p>
            <w:pPr>
              <w:spacing w:after="0"/>
              <w:rPr>
                <w:sz w:val="11"/>
                <w:szCs w:val="11"/>
                <w:color w:val="auto"/>
              </w:rPr>
            </w:pPr>
          </w:p>
        </w:tc>
        <w:tc>
          <w:tcPr>
            <w:tcW w:w="980" w:type="dxa"/>
            <w:vAlign w:val="bottom"/>
            <w:tcBorders>
              <w:top w:val="single" w:sz="8" w:color="auto"/>
              <w:right w:val="single" w:sz="8" w:color="33CCCC"/>
            </w:tcBorders>
            <w:shd w:val="clear" w:color="auto" w:fill="33CCCC"/>
          </w:tcPr>
          <w:p>
            <w:pPr>
              <w:spacing w:after="0"/>
              <w:rPr>
                <w:sz w:val="20"/>
                <w:szCs w:val="20"/>
                <w:color w:val="auto"/>
              </w:rPr>
            </w:pPr>
            <w:r>
              <w:rPr>
                <w:rFonts w:ascii="Calibri" w:cs="Calibri" w:eastAsia="Calibri" w:hAnsi="Calibri"/>
                <w:sz w:val="10"/>
                <w:szCs w:val="10"/>
                <w:b w:val="1"/>
                <w:bCs w:val="1"/>
                <w:color w:val="FFFFFF"/>
              </w:rPr>
              <w:t>% change</w:t>
            </w:r>
          </w:p>
        </w:tc>
        <w:tc>
          <w:tcPr>
            <w:tcW w:w="600" w:type="dxa"/>
            <w:vAlign w:val="bottom"/>
            <w:tcBorders>
              <w:top w:val="single" w:sz="8" w:color="auto"/>
            </w:tcBorders>
            <w:shd w:val="clear" w:color="auto" w:fill="33CCCC"/>
          </w:tcPr>
          <w:p>
            <w:pPr>
              <w:spacing w:after="0"/>
              <w:rPr>
                <w:sz w:val="11"/>
                <w:szCs w:val="11"/>
                <w:color w:val="auto"/>
              </w:rPr>
            </w:pPr>
          </w:p>
        </w:tc>
        <w:tc>
          <w:tcPr>
            <w:tcW w:w="940" w:type="dxa"/>
            <w:vAlign w:val="bottom"/>
            <w:tcBorders>
              <w:top w:val="single" w:sz="8" w:color="auto"/>
              <w:right w:val="single" w:sz="8" w:color="33CCCC"/>
            </w:tcBorders>
            <w:shd w:val="clear" w:color="auto" w:fill="33CCCC"/>
          </w:tcPr>
          <w:p>
            <w:pPr>
              <w:ind w:left="40"/>
              <w:spacing w:after="0"/>
              <w:rPr>
                <w:sz w:val="20"/>
                <w:szCs w:val="20"/>
                <w:color w:val="auto"/>
              </w:rPr>
            </w:pPr>
            <w:r>
              <w:rPr>
                <w:rFonts w:ascii="Calibri" w:cs="Calibri" w:eastAsia="Calibri" w:hAnsi="Calibri"/>
                <w:sz w:val="10"/>
                <w:szCs w:val="10"/>
                <w:b w:val="1"/>
                <w:bCs w:val="1"/>
                <w:color w:val="FFFFFF"/>
              </w:rPr>
              <w:t>Up to</w:t>
            </w:r>
          </w:p>
        </w:tc>
        <w:tc>
          <w:tcPr>
            <w:tcW w:w="9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 Change</w:t>
            </w:r>
          </w:p>
        </w:tc>
        <w:tc>
          <w:tcPr>
            <w:tcW w:w="0" w:type="dxa"/>
            <w:vAlign w:val="bottom"/>
          </w:tcPr>
          <w:p>
            <w:pPr>
              <w:spacing w:after="0"/>
              <w:rPr>
                <w:sz w:val="1"/>
                <w:szCs w:val="1"/>
                <w:color w:val="auto"/>
              </w:rPr>
            </w:pPr>
          </w:p>
        </w:tc>
      </w:tr>
      <w:tr>
        <w:trPr>
          <w:trHeight w:val="121"/>
        </w:trPr>
        <w:tc>
          <w:tcPr>
            <w:tcW w:w="4080" w:type="dxa"/>
            <w:vAlign w:val="bottom"/>
            <w:tcBorders>
              <w:left w:val="single" w:sz="8" w:color="auto"/>
              <w:bottom w:val="single" w:sz="8" w:color="auto"/>
              <w:right w:val="single" w:sz="8" w:color="auto"/>
            </w:tcBorders>
          </w:tcPr>
          <w:p>
            <w:pPr>
              <w:spacing w:after="0"/>
              <w:rPr>
                <w:sz w:val="10"/>
                <w:szCs w:val="10"/>
                <w:color w:val="auto"/>
              </w:rPr>
            </w:pPr>
          </w:p>
        </w:tc>
        <w:tc>
          <w:tcPr>
            <w:tcW w:w="1000" w:type="dxa"/>
            <w:vAlign w:val="bottom"/>
            <w:tcBorders>
              <w:bottom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w w:val="99"/>
              </w:rPr>
              <w:t>3Q23</w:t>
            </w:r>
          </w:p>
        </w:tc>
        <w:tc>
          <w:tcPr>
            <w:tcW w:w="1040" w:type="dxa"/>
            <w:vAlign w:val="bottom"/>
            <w:tcBorders>
              <w:bottom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w w:val="99"/>
              </w:rPr>
              <w:t>2Q24</w:t>
            </w:r>
          </w:p>
        </w:tc>
        <w:tc>
          <w:tcPr>
            <w:tcW w:w="1060" w:type="dxa"/>
            <w:vAlign w:val="bottom"/>
            <w:tcBorders>
              <w:bottom w:val="single" w:sz="8" w:color="auto"/>
              <w:right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w w:val="99"/>
              </w:rPr>
              <w:t>3Q24</w:t>
            </w:r>
          </w:p>
        </w:tc>
        <w:tc>
          <w:tcPr>
            <w:tcW w:w="560" w:type="dxa"/>
            <w:vAlign w:val="bottom"/>
            <w:tcBorders>
              <w:bottom w:val="single" w:sz="8" w:color="auto"/>
            </w:tcBorders>
            <w:shd w:val="clear" w:color="auto" w:fill="33CCCC"/>
          </w:tcPr>
          <w:p>
            <w:pPr>
              <w:jc w:val="center"/>
              <w:ind w:left="131"/>
              <w:spacing w:after="0" w:line="116" w:lineRule="exact"/>
              <w:rPr>
                <w:sz w:val="20"/>
                <w:szCs w:val="20"/>
                <w:color w:val="auto"/>
              </w:rPr>
            </w:pPr>
            <w:r>
              <w:rPr>
                <w:rFonts w:ascii="Calibri" w:cs="Calibri" w:eastAsia="Calibri" w:hAnsi="Calibri"/>
                <w:sz w:val="10"/>
                <w:szCs w:val="10"/>
                <w:b w:val="1"/>
                <w:bCs w:val="1"/>
                <w:color w:val="FFFFFF"/>
                <w:w w:val="93"/>
              </w:rPr>
              <w:t>QoQ</w:t>
            </w:r>
          </w:p>
        </w:tc>
        <w:tc>
          <w:tcPr>
            <w:tcW w:w="980" w:type="dxa"/>
            <w:vAlign w:val="bottom"/>
            <w:tcBorders>
              <w:bottom w:val="single" w:sz="8" w:color="auto"/>
              <w:right w:val="single" w:sz="8" w:color="auto"/>
            </w:tcBorders>
            <w:shd w:val="clear" w:color="auto" w:fill="33CCCC"/>
          </w:tcPr>
          <w:p>
            <w:pPr>
              <w:jc w:val="center"/>
              <w:ind w:left="131"/>
              <w:spacing w:after="0" w:line="116" w:lineRule="exact"/>
              <w:rPr>
                <w:sz w:val="20"/>
                <w:szCs w:val="20"/>
                <w:color w:val="auto"/>
              </w:rPr>
            </w:pPr>
            <w:r>
              <w:rPr>
                <w:rFonts w:ascii="Calibri" w:cs="Calibri" w:eastAsia="Calibri" w:hAnsi="Calibri"/>
                <w:sz w:val="10"/>
                <w:szCs w:val="10"/>
                <w:b w:val="1"/>
                <w:bCs w:val="1"/>
                <w:color w:val="FFFFFF"/>
              </w:rPr>
              <w:t>YoY</w:t>
            </w:r>
          </w:p>
        </w:tc>
        <w:tc>
          <w:tcPr>
            <w:tcW w:w="600" w:type="dxa"/>
            <w:vAlign w:val="bottom"/>
            <w:tcBorders>
              <w:bottom w:val="single" w:sz="8" w:color="auto"/>
            </w:tcBorders>
            <w:shd w:val="clear" w:color="auto" w:fill="33CCCC"/>
          </w:tcPr>
          <w:p>
            <w:pPr>
              <w:ind w:left="240"/>
              <w:spacing w:after="0" w:line="116" w:lineRule="exact"/>
              <w:rPr>
                <w:sz w:val="20"/>
                <w:szCs w:val="20"/>
                <w:color w:val="auto"/>
              </w:rPr>
            </w:pPr>
            <w:r>
              <w:rPr>
                <w:rFonts w:ascii="Calibri" w:cs="Calibri" w:eastAsia="Calibri" w:hAnsi="Calibri"/>
                <w:sz w:val="10"/>
                <w:szCs w:val="10"/>
                <w:b w:val="1"/>
                <w:bCs w:val="1"/>
                <w:color w:val="FFFFFF"/>
              </w:rPr>
              <w:t>Sep 23</w:t>
            </w:r>
          </w:p>
        </w:tc>
        <w:tc>
          <w:tcPr>
            <w:tcW w:w="940" w:type="dxa"/>
            <w:vAlign w:val="bottom"/>
            <w:tcBorders>
              <w:bottom w:val="single" w:sz="8" w:color="auto"/>
              <w:right w:val="single" w:sz="8" w:color="auto"/>
            </w:tcBorders>
            <w:shd w:val="clear" w:color="auto" w:fill="33CCCC"/>
          </w:tcPr>
          <w:p>
            <w:pPr>
              <w:ind w:left="400"/>
              <w:spacing w:after="0" w:line="116" w:lineRule="exact"/>
              <w:rPr>
                <w:sz w:val="20"/>
                <w:szCs w:val="20"/>
                <w:color w:val="auto"/>
              </w:rPr>
            </w:pPr>
            <w:r>
              <w:rPr>
                <w:rFonts w:ascii="Calibri" w:cs="Calibri" w:eastAsia="Calibri" w:hAnsi="Calibri"/>
                <w:sz w:val="10"/>
                <w:szCs w:val="10"/>
                <w:b w:val="1"/>
                <w:bCs w:val="1"/>
                <w:color w:val="FFFFFF"/>
              </w:rPr>
              <w:t>Sep 24</w:t>
            </w:r>
          </w:p>
        </w:tc>
        <w:tc>
          <w:tcPr>
            <w:tcW w:w="980" w:type="dxa"/>
            <w:vAlign w:val="bottom"/>
            <w:tcBorders>
              <w:bottom w:val="single" w:sz="8" w:color="auto"/>
              <w:right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rPr>
              <w:t>Sep 24 / Sep 23</w:t>
            </w:r>
          </w:p>
        </w:tc>
        <w:tc>
          <w:tcPr>
            <w:tcW w:w="0" w:type="dxa"/>
            <w:vAlign w:val="bottom"/>
          </w:tcPr>
          <w:p>
            <w:pPr>
              <w:spacing w:after="0"/>
              <w:rPr>
                <w:sz w:val="1"/>
                <w:szCs w:val="1"/>
                <w:color w:val="auto"/>
              </w:rPr>
            </w:pPr>
          </w:p>
        </w:tc>
      </w:tr>
      <w:tr>
        <w:trPr>
          <w:trHeight w:val="109"/>
        </w:trPr>
        <w:tc>
          <w:tcPr>
            <w:tcW w:w="408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0"/>
                <w:szCs w:val="10"/>
                <w:color w:val="auto"/>
              </w:rPr>
              <w:t>Net interest income</w:t>
            </w:r>
          </w:p>
        </w:tc>
        <w:tc>
          <w:tcPr>
            <w:tcW w:w="1000" w:type="dxa"/>
            <w:vAlign w:val="bottom"/>
          </w:tcPr>
          <w:p>
            <w:pPr>
              <w:jc w:val="center"/>
              <w:spacing w:after="0" w:line="109" w:lineRule="exact"/>
              <w:rPr>
                <w:sz w:val="20"/>
                <w:szCs w:val="20"/>
                <w:color w:val="auto"/>
              </w:rPr>
            </w:pPr>
            <w:r>
              <w:rPr>
                <w:rFonts w:ascii="Calibri" w:cs="Calibri" w:eastAsia="Calibri" w:hAnsi="Calibri"/>
                <w:sz w:val="10"/>
                <w:szCs w:val="10"/>
                <w:color w:val="auto"/>
                <w:w w:val="97"/>
              </w:rPr>
              <w:t>560,302</w:t>
            </w:r>
          </w:p>
        </w:tc>
        <w:tc>
          <w:tcPr>
            <w:tcW w:w="1040" w:type="dxa"/>
            <w:vAlign w:val="bottom"/>
          </w:tcPr>
          <w:p>
            <w:pPr>
              <w:jc w:val="center"/>
              <w:spacing w:after="0" w:line="109" w:lineRule="exact"/>
              <w:rPr>
                <w:sz w:val="20"/>
                <w:szCs w:val="20"/>
                <w:color w:val="auto"/>
              </w:rPr>
            </w:pPr>
            <w:r>
              <w:rPr>
                <w:rFonts w:ascii="Calibri" w:cs="Calibri" w:eastAsia="Calibri" w:hAnsi="Calibri"/>
                <w:sz w:val="10"/>
                <w:szCs w:val="10"/>
                <w:color w:val="auto"/>
                <w:w w:val="97"/>
              </w:rPr>
              <w:t>556,858</w:t>
            </w:r>
          </w:p>
        </w:tc>
        <w:tc>
          <w:tcPr>
            <w:tcW w:w="10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0"/>
                <w:szCs w:val="10"/>
                <w:color w:val="auto"/>
                <w:w w:val="97"/>
              </w:rPr>
              <w:t>562,421</w:t>
            </w:r>
          </w:p>
        </w:tc>
        <w:tc>
          <w:tcPr>
            <w:tcW w:w="560" w:type="dxa"/>
            <w:vAlign w:val="bottom"/>
          </w:tcPr>
          <w:p>
            <w:pPr>
              <w:jc w:val="center"/>
              <w:ind w:left="151"/>
              <w:spacing w:after="0" w:line="109" w:lineRule="exact"/>
              <w:rPr>
                <w:sz w:val="20"/>
                <w:szCs w:val="20"/>
                <w:color w:val="auto"/>
              </w:rPr>
            </w:pPr>
            <w:r>
              <w:rPr>
                <w:rFonts w:ascii="Calibri" w:cs="Calibri" w:eastAsia="Calibri" w:hAnsi="Calibri"/>
                <w:sz w:val="10"/>
                <w:szCs w:val="10"/>
                <w:color w:val="auto"/>
              </w:rPr>
              <w:t>1.0%</w:t>
            </w:r>
          </w:p>
        </w:tc>
        <w:tc>
          <w:tcPr>
            <w:tcW w:w="980" w:type="dxa"/>
            <w:vAlign w:val="bottom"/>
            <w:tcBorders>
              <w:right w:val="single" w:sz="8" w:color="auto"/>
            </w:tcBorders>
          </w:tcPr>
          <w:p>
            <w:pPr>
              <w:jc w:val="center"/>
              <w:ind w:left="131"/>
              <w:spacing w:after="0" w:line="109" w:lineRule="exact"/>
              <w:rPr>
                <w:sz w:val="20"/>
                <w:szCs w:val="20"/>
                <w:color w:val="auto"/>
              </w:rPr>
            </w:pPr>
            <w:r>
              <w:rPr>
                <w:rFonts w:ascii="Calibri" w:cs="Calibri" w:eastAsia="Calibri" w:hAnsi="Calibri"/>
                <w:sz w:val="10"/>
                <w:szCs w:val="10"/>
                <w:color w:val="auto"/>
              </w:rPr>
              <w:t>0.4%</w:t>
            </w:r>
          </w:p>
        </w:tc>
        <w:tc>
          <w:tcPr>
            <w:tcW w:w="600" w:type="dxa"/>
            <w:vAlign w:val="bottom"/>
          </w:tcPr>
          <w:p>
            <w:pPr>
              <w:jc w:val="center"/>
              <w:ind w:left="111"/>
              <w:spacing w:after="0" w:line="109" w:lineRule="exact"/>
              <w:rPr>
                <w:sz w:val="20"/>
                <w:szCs w:val="20"/>
                <w:color w:val="auto"/>
              </w:rPr>
            </w:pPr>
            <w:r>
              <w:rPr>
                <w:rFonts w:ascii="Calibri" w:cs="Calibri" w:eastAsia="Calibri" w:hAnsi="Calibri"/>
                <w:sz w:val="10"/>
                <w:szCs w:val="10"/>
                <w:color w:val="auto"/>
                <w:w w:val="98"/>
              </w:rPr>
              <w:t>1,621,945</w:t>
            </w:r>
          </w:p>
        </w:tc>
        <w:tc>
          <w:tcPr>
            <w:tcW w:w="940" w:type="dxa"/>
            <w:vAlign w:val="bottom"/>
            <w:tcBorders>
              <w:right w:val="single" w:sz="8" w:color="auto"/>
            </w:tcBorders>
          </w:tcPr>
          <w:p>
            <w:pPr>
              <w:jc w:val="center"/>
              <w:ind w:left="91"/>
              <w:spacing w:after="0" w:line="109" w:lineRule="exact"/>
              <w:rPr>
                <w:sz w:val="20"/>
                <w:szCs w:val="20"/>
                <w:color w:val="auto"/>
              </w:rPr>
            </w:pPr>
            <w:r>
              <w:rPr>
                <w:rFonts w:ascii="Calibri" w:cs="Calibri" w:eastAsia="Calibri" w:hAnsi="Calibri"/>
                <w:sz w:val="10"/>
                <w:szCs w:val="10"/>
                <w:color w:val="auto"/>
                <w:w w:val="98"/>
              </w:rPr>
              <w:t>1,665,550</w:t>
            </w:r>
          </w:p>
        </w:tc>
        <w:tc>
          <w:tcPr>
            <w:tcW w:w="9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0"/>
                <w:szCs w:val="10"/>
                <w:color w:val="auto"/>
              </w:rPr>
              <w:t>2.7%</w:t>
            </w:r>
          </w:p>
        </w:tc>
        <w:tc>
          <w:tcPr>
            <w:tcW w:w="0" w:type="dxa"/>
            <w:vAlign w:val="bottom"/>
          </w:tcPr>
          <w:p>
            <w:pPr>
              <w:spacing w:after="0"/>
              <w:rPr>
                <w:sz w:val="1"/>
                <w:szCs w:val="1"/>
                <w:color w:val="auto"/>
              </w:rPr>
            </w:pPr>
          </w:p>
        </w:tc>
      </w:tr>
      <w:tr>
        <w:trPr>
          <w:trHeight w:val="116"/>
        </w:trPr>
        <w:tc>
          <w:tcPr>
            <w:tcW w:w="4080" w:type="dxa"/>
            <w:vAlign w:val="bottom"/>
            <w:tcBorders>
              <w:left w:val="single" w:sz="8" w:color="auto"/>
              <w:right w:val="single" w:sz="8" w:color="auto"/>
            </w:tcBorders>
          </w:tcPr>
          <w:p>
            <w:pPr>
              <w:ind w:left="20"/>
              <w:spacing w:after="0" w:line="116" w:lineRule="exact"/>
              <w:rPr>
                <w:sz w:val="20"/>
                <w:szCs w:val="20"/>
                <w:color w:val="auto"/>
              </w:rPr>
            </w:pPr>
            <w:r>
              <w:rPr>
                <w:rFonts w:ascii="Calibri" w:cs="Calibri" w:eastAsia="Calibri" w:hAnsi="Calibri"/>
                <w:sz w:val="10"/>
                <w:szCs w:val="10"/>
                <w:color w:val="auto"/>
              </w:rPr>
              <w:t>Provision for loan losses, net of recoveries</w:t>
            </w:r>
          </w:p>
        </w:tc>
        <w:tc>
          <w:tcPr>
            <w:tcW w:w="1000" w:type="dxa"/>
            <w:vAlign w:val="bottom"/>
          </w:tcPr>
          <w:p>
            <w:pPr>
              <w:jc w:val="center"/>
              <w:spacing w:after="0" w:line="116" w:lineRule="exact"/>
              <w:rPr>
                <w:sz w:val="20"/>
                <w:szCs w:val="20"/>
                <w:color w:val="auto"/>
              </w:rPr>
            </w:pPr>
            <w:r>
              <w:rPr>
                <w:rFonts w:ascii="Calibri" w:cs="Calibri" w:eastAsia="Calibri" w:hAnsi="Calibri"/>
                <w:sz w:val="10"/>
                <w:szCs w:val="10"/>
                <w:color w:val="auto"/>
                <w:w w:val="97"/>
              </w:rPr>
              <w:t>(201,899)</w:t>
            </w:r>
          </w:p>
        </w:tc>
        <w:tc>
          <w:tcPr>
            <w:tcW w:w="1040" w:type="dxa"/>
            <w:vAlign w:val="bottom"/>
          </w:tcPr>
          <w:p>
            <w:pPr>
              <w:jc w:val="center"/>
              <w:spacing w:after="0" w:line="116" w:lineRule="exact"/>
              <w:rPr>
                <w:sz w:val="20"/>
                <w:szCs w:val="20"/>
                <w:color w:val="auto"/>
              </w:rPr>
            </w:pPr>
            <w:r>
              <w:rPr>
                <w:rFonts w:ascii="Calibri" w:cs="Calibri" w:eastAsia="Calibri" w:hAnsi="Calibri"/>
                <w:sz w:val="10"/>
                <w:szCs w:val="10"/>
                <w:color w:val="auto"/>
                <w:w w:val="97"/>
              </w:rPr>
              <w:t>(242,774)</w:t>
            </w:r>
          </w:p>
        </w:tc>
        <w:tc>
          <w:tcPr>
            <w:tcW w:w="106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color w:val="auto"/>
                <w:w w:val="97"/>
              </w:rPr>
              <w:t>(192,435)</w:t>
            </w:r>
          </w:p>
        </w:tc>
        <w:tc>
          <w:tcPr>
            <w:tcW w:w="560" w:type="dxa"/>
            <w:vAlign w:val="bottom"/>
          </w:tcPr>
          <w:p>
            <w:pPr>
              <w:jc w:val="center"/>
              <w:ind w:left="151"/>
              <w:spacing w:after="0" w:line="116" w:lineRule="exact"/>
              <w:rPr>
                <w:sz w:val="20"/>
                <w:szCs w:val="20"/>
                <w:color w:val="auto"/>
              </w:rPr>
            </w:pPr>
            <w:r>
              <w:rPr>
                <w:rFonts w:ascii="Calibri" w:cs="Calibri" w:eastAsia="Calibri" w:hAnsi="Calibri"/>
                <w:sz w:val="10"/>
                <w:szCs w:val="10"/>
                <w:color w:val="auto"/>
              </w:rPr>
              <w:t>-20.7%</w:t>
            </w:r>
          </w:p>
        </w:tc>
        <w:tc>
          <w:tcPr>
            <w:tcW w:w="980" w:type="dxa"/>
            <w:vAlign w:val="bottom"/>
            <w:tcBorders>
              <w:right w:val="single" w:sz="8" w:color="auto"/>
            </w:tcBorders>
          </w:tcPr>
          <w:p>
            <w:pPr>
              <w:jc w:val="center"/>
              <w:ind w:left="131"/>
              <w:spacing w:after="0" w:line="116" w:lineRule="exact"/>
              <w:rPr>
                <w:sz w:val="20"/>
                <w:szCs w:val="20"/>
                <w:color w:val="auto"/>
              </w:rPr>
            </w:pPr>
            <w:r>
              <w:rPr>
                <w:rFonts w:ascii="Calibri" w:cs="Calibri" w:eastAsia="Calibri" w:hAnsi="Calibri"/>
                <w:sz w:val="10"/>
                <w:szCs w:val="10"/>
                <w:color w:val="auto"/>
              </w:rPr>
              <w:t>-4.7%</w:t>
            </w:r>
          </w:p>
        </w:tc>
        <w:tc>
          <w:tcPr>
            <w:tcW w:w="600" w:type="dxa"/>
            <w:vAlign w:val="bottom"/>
          </w:tcPr>
          <w:p>
            <w:pPr>
              <w:jc w:val="center"/>
              <w:ind w:left="91"/>
              <w:spacing w:after="0" w:line="116" w:lineRule="exact"/>
              <w:rPr>
                <w:sz w:val="20"/>
                <w:szCs w:val="20"/>
                <w:color w:val="auto"/>
              </w:rPr>
            </w:pPr>
            <w:r>
              <w:rPr>
                <w:rFonts w:ascii="Calibri" w:cs="Calibri" w:eastAsia="Calibri" w:hAnsi="Calibri"/>
                <w:sz w:val="10"/>
                <w:szCs w:val="10"/>
                <w:color w:val="auto"/>
                <w:w w:val="97"/>
              </w:rPr>
              <w:t>(613,783)</w:t>
            </w:r>
          </w:p>
        </w:tc>
        <w:tc>
          <w:tcPr>
            <w:tcW w:w="940" w:type="dxa"/>
            <w:vAlign w:val="bottom"/>
            <w:tcBorders>
              <w:right w:val="single" w:sz="8" w:color="auto"/>
            </w:tcBorders>
          </w:tcPr>
          <w:p>
            <w:pPr>
              <w:jc w:val="center"/>
              <w:ind w:left="71"/>
              <w:spacing w:after="0" w:line="116" w:lineRule="exact"/>
              <w:rPr>
                <w:sz w:val="20"/>
                <w:szCs w:val="20"/>
                <w:color w:val="auto"/>
              </w:rPr>
            </w:pPr>
            <w:r>
              <w:rPr>
                <w:rFonts w:ascii="Calibri" w:cs="Calibri" w:eastAsia="Calibri" w:hAnsi="Calibri"/>
                <w:sz w:val="10"/>
                <w:szCs w:val="10"/>
                <w:color w:val="auto"/>
                <w:w w:val="97"/>
              </w:rPr>
              <w:t>(585,934)</w:t>
            </w:r>
          </w:p>
        </w:tc>
        <w:tc>
          <w:tcPr>
            <w:tcW w:w="98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color w:val="auto"/>
              </w:rPr>
              <w:t>-4.5%</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interest income afer provisions</w:t>
            </w:r>
          </w:p>
        </w:tc>
        <w:tc>
          <w:tcPr>
            <w:tcW w:w="1000" w:type="dxa"/>
            <w:vAlign w:val="bottom"/>
          </w:tcPr>
          <w:p>
            <w:pPr>
              <w:jc w:val="center"/>
              <w:spacing w:after="0"/>
              <w:rPr>
                <w:sz w:val="20"/>
                <w:szCs w:val="20"/>
                <w:color w:val="auto"/>
              </w:rPr>
            </w:pPr>
            <w:r>
              <w:rPr>
                <w:rFonts w:ascii="Calibri" w:cs="Calibri" w:eastAsia="Calibri" w:hAnsi="Calibri"/>
                <w:sz w:val="10"/>
                <w:szCs w:val="10"/>
                <w:color w:val="auto"/>
                <w:w w:val="97"/>
              </w:rPr>
              <w:t>358,403</w:t>
            </w:r>
          </w:p>
        </w:tc>
        <w:tc>
          <w:tcPr>
            <w:tcW w:w="1040" w:type="dxa"/>
            <w:vAlign w:val="bottom"/>
          </w:tcPr>
          <w:p>
            <w:pPr>
              <w:jc w:val="center"/>
              <w:spacing w:after="0"/>
              <w:rPr>
                <w:sz w:val="20"/>
                <w:szCs w:val="20"/>
                <w:color w:val="auto"/>
              </w:rPr>
            </w:pPr>
            <w:r>
              <w:rPr>
                <w:rFonts w:ascii="Calibri" w:cs="Calibri" w:eastAsia="Calibri" w:hAnsi="Calibri"/>
                <w:sz w:val="10"/>
                <w:szCs w:val="10"/>
                <w:color w:val="auto"/>
                <w:w w:val="97"/>
              </w:rPr>
              <w:t>314,084</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7"/>
              </w:rPr>
              <w:t>369,986</w:t>
            </w:r>
          </w:p>
        </w:tc>
        <w:tc>
          <w:tcPr>
            <w:tcW w:w="560" w:type="dxa"/>
            <w:vAlign w:val="bottom"/>
          </w:tcPr>
          <w:p>
            <w:pPr>
              <w:jc w:val="center"/>
              <w:ind w:left="151"/>
              <w:spacing w:after="0"/>
              <w:rPr>
                <w:sz w:val="20"/>
                <w:szCs w:val="20"/>
                <w:color w:val="auto"/>
              </w:rPr>
            </w:pPr>
            <w:r>
              <w:rPr>
                <w:rFonts w:ascii="Calibri" w:cs="Calibri" w:eastAsia="Calibri" w:hAnsi="Calibri"/>
                <w:sz w:val="10"/>
                <w:szCs w:val="10"/>
                <w:color w:val="auto"/>
                <w:w w:val="96"/>
              </w:rPr>
              <w:t>17.8%</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3.2%</w:t>
            </w:r>
          </w:p>
        </w:tc>
        <w:tc>
          <w:tcPr>
            <w:tcW w:w="600" w:type="dxa"/>
            <w:vAlign w:val="bottom"/>
          </w:tcPr>
          <w:p>
            <w:pPr>
              <w:jc w:val="center"/>
              <w:ind w:left="111"/>
              <w:spacing w:after="0"/>
              <w:rPr>
                <w:sz w:val="20"/>
                <w:szCs w:val="20"/>
                <w:color w:val="auto"/>
              </w:rPr>
            </w:pPr>
            <w:r>
              <w:rPr>
                <w:rFonts w:ascii="Calibri" w:cs="Calibri" w:eastAsia="Calibri" w:hAnsi="Calibri"/>
                <w:sz w:val="10"/>
                <w:szCs w:val="10"/>
                <w:color w:val="auto"/>
                <w:w w:val="98"/>
              </w:rPr>
              <w:t>1,008,162</w:t>
            </w:r>
          </w:p>
        </w:tc>
        <w:tc>
          <w:tcPr>
            <w:tcW w:w="940" w:type="dxa"/>
            <w:vAlign w:val="bottom"/>
            <w:tcBorders>
              <w:right w:val="single" w:sz="8" w:color="auto"/>
            </w:tcBorders>
          </w:tcPr>
          <w:p>
            <w:pPr>
              <w:jc w:val="center"/>
              <w:ind w:left="91"/>
              <w:spacing w:after="0"/>
              <w:rPr>
                <w:sz w:val="20"/>
                <w:szCs w:val="20"/>
                <w:color w:val="auto"/>
              </w:rPr>
            </w:pPr>
            <w:r>
              <w:rPr>
                <w:rFonts w:ascii="Calibri" w:cs="Calibri" w:eastAsia="Calibri" w:hAnsi="Calibri"/>
                <w:sz w:val="10"/>
                <w:szCs w:val="10"/>
                <w:color w:val="auto"/>
                <w:w w:val="98"/>
              </w:rPr>
              <w:t>1,079,616</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7.1%</w:t>
            </w:r>
          </w:p>
        </w:tc>
        <w:tc>
          <w:tcPr>
            <w:tcW w:w="0" w:type="dxa"/>
            <w:vAlign w:val="bottom"/>
          </w:tcPr>
          <w:p>
            <w:pPr>
              <w:spacing w:after="0"/>
              <w:rPr>
                <w:sz w:val="1"/>
                <w:szCs w:val="1"/>
                <w:color w:val="auto"/>
              </w:rPr>
            </w:pPr>
          </w:p>
        </w:tc>
      </w:tr>
      <w:tr>
        <w:trPr>
          <w:trHeight w:val="121"/>
        </w:trPr>
        <w:tc>
          <w:tcPr>
            <w:tcW w:w="4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Non-fnancial income</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32,441</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26,399</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30,861</w:t>
            </w:r>
          </w:p>
        </w:tc>
        <w:tc>
          <w:tcPr>
            <w:tcW w:w="560" w:type="dxa"/>
            <w:vAlign w:val="bottom"/>
          </w:tcPr>
          <w:p>
            <w:pPr>
              <w:jc w:val="center"/>
              <w:ind w:left="151"/>
              <w:spacing w:after="0"/>
              <w:rPr>
                <w:sz w:val="20"/>
                <w:szCs w:val="20"/>
                <w:color w:val="auto"/>
              </w:rPr>
            </w:pPr>
            <w:r>
              <w:rPr>
                <w:rFonts w:ascii="Calibri" w:cs="Calibri" w:eastAsia="Calibri" w:hAnsi="Calibri"/>
                <w:sz w:val="10"/>
                <w:szCs w:val="10"/>
                <w:color w:val="auto"/>
                <w:w w:val="96"/>
              </w:rPr>
              <w:t>16.9%</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-4.9%</w:t>
            </w:r>
          </w:p>
        </w:tc>
        <w:tc>
          <w:tcPr>
            <w:tcW w:w="600" w:type="dxa"/>
            <w:vAlign w:val="bottom"/>
          </w:tcPr>
          <w:p>
            <w:pPr>
              <w:jc w:val="center"/>
              <w:ind w:left="111"/>
              <w:spacing w:after="0"/>
              <w:rPr>
                <w:sz w:val="20"/>
                <w:szCs w:val="20"/>
                <w:color w:val="auto"/>
              </w:rPr>
            </w:pPr>
            <w:r>
              <w:rPr>
                <w:rFonts w:ascii="Calibri" w:cs="Calibri" w:eastAsia="Calibri" w:hAnsi="Calibri"/>
                <w:sz w:val="10"/>
                <w:szCs w:val="10"/>
                <w:color w:val="auto"/>
                <w:w w:val="97"/>
              </w:rPr>
              <w:t>109,028</w:t>
            </w:r>
          </w:p>
        </w:tc>
        <w:tc>
          <w:tcPr>
            <w:tcW w:w="940" w:type="dxa"/>
            <w:vAlign w:val="bottom"/>
            <w:tcBorders>
              <w:right w:val="single" w:sz="8" w:color="auto"/>
            </w:tcBorders>
          </w:tcPr>
          <w:p>
            <w:pPr>
              <w:jc w:val="center"/>
              <w:ind w:left="91"/>
              <w:spacing w:after="0"/>
              <w:rPr>
                <w:sz w:val="20"/>
                <w:szCs w:val="20"/>
                <w:color w:val="auto"/>
              </w:rPr>
            </w:pPr>
            <w:r>
              <w:rPr>
                <w:rFonts w:ascii="Calibri" w:cs="Calibri" w:eastAsia="Calibri" w:hAnsi="Calibri"/>
                <w:sz w:val="10"/>
                <w:szCs w:val="10"/>
                <w:color w:val="auto"/>
              </w:rPr>
              <w:t>97,947</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-10.2%</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Total expenses</w:t>
            </w:r>
          </w:p>
        </w:tc>
        <w:tc>
          <w:tcPr>
            <w:tcW w:w="1000" w:type="dxa"/>
            <w:vAlign w:val="bottom"/>
          </w:tcPr>
          <w:p>
            <w:pPr>
              <w:jc w:val="center"/>
              <w:spacing w:after="0"/>
              <w:rPr>
                <w:sz w:val="20"/>
                <w:szCs w:val="20"/>
                <w:color w:val="auto"/>
              </w:rPr>
            </w:pPr>
            <w:r>
              <w:rPr>
                <w:rFonts w:ascii="Calibri" w:cs="Calibri" w:eastAsia="Calibri" w:hAnsi="Calibri"/>
                <w:sz w:val="10"/>
                <w:szCs w:val="10"/>
                <w:color w:val="auto"/>
                <w:w w:val="97"/>
              </w:rPr>
              <w:t>(314,071)</w:t>
            </w:r>
          </w:p>
        </w:tc>
        <w:tc>
          <w:tcPr>
            <w:tcW w:w="1040" w:type="dxa"/>
            <w:vAlign w:val="bottom"/>
          </w:tcPr>
          <w:p>
            <w:pPr>
              <w:jc w:val="center"/>
              <w:spacing w:after="0"/>
              <w:rPr>
                <w:sz w:val="20"/>
                <w:szCs w:val="20"/>
                <w:color w:val="auto"/>
              </w:rPr>
            </w:pPr>
            <w:r>
              <w:rPr>
                <w:rFonts w:ascii="Calibri" w:cs="Calibri" w:eastAsia="Calibri" w:hAnsi="Calibri"/>
                <w:sz w:val="10"/>
                <w:szCs w:val="10"/>
                <w:color w:val="auto"/>
                <w:w w:val="97"/>
              </w:rPr>
              <w:t>(301,850)</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7"/>
              </w:rPr>
              <w:t>(320,796)</w:t>
            </w:r>
          </w:p>
        </w:tc>
        <w:tc>
          <w:tcPr>
            <w:tcW w:w="560" w:type="dxa"/>
            <w:vAlign w:val="bottom"/>
          </w:tcPr>
          <w:p>
            <w:pPr>
              <w:jc w:val="center"/>
              <w:ind w:left="151"/>
              <w:spacing w:after="0"/>
              <w:rPr>
                <w:sz w:val="20"/>
                <w:szCs w:val="20"/>
                <w:color w:val="auto"/>
              </w:rPr>
            </w:pPr>
            <w:r>
              <w:rPr>
                <w:rFonts w:ascii="Calibri" w:cs="Calibri" w:eastAsia="Calibri" w:hAnsi="Calibri"/>
                <w:sz w:val="10"/>
                <w:szCs w:val="10"/>
                <w:color w:val="auto"/>
              </w:rPr>
              <w:t>6.3%</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2.1%</w:t>
            </w:r>
          </w:p>
        </w:tc>
        <w:tc>
          <w:tcPr>
            <w:tcW w:w="600" w:type="dxa"/>
            <w:vAlign w:val="bottom"/>
          </w:tcPr>
          <w:p>
            <w:pPr>
              <w:jc w:val="center"/>
              <w:ind w:left="91"/>
              <w:spacing w:after="0"/>
              <w:rPr>
                <w:sz w:val="20"/>
                <w:szCs w:val="20"/>
                <w:color w:val="auto"/>
              </w:rPr>
            </w:pPr>
            <w:r>
              <w:rPr>
                <w:rFonts w:ascii="Calibri" w:cs="Calibri" w:eastAsia="Calibri" w:hAnsi="Calibri"/>
                <w:sz w:val="10"/>
                <w:szCs w:val="10"/>
                <w:color w:val="auto"/>
                <w:w w:val="97"/>
              </w:rPr>
              <w:t>(923,729)</w:t>
            </w:r>
          </w:p>
        </w:tc>
        <w:tc>
          <w:tcPr>
            <w:tcW w:w="940" w:type="dxa"/>
            <w:vAlign w:val="bottom"/>
            <w:tcBorders>
              <w:right w:val="single" w:sz="8" w:color="auto"/>
            </w:tcBorders>
          </w:tcPr>
          <w:p>
            <w:pPr>
              <w:jc w:val="center"/>
              <w:ind w:left="71"/>
              <w:spacing w:after="0"/>
              <w:rPr>
                <w:sz w:val="20"/>
                <w:szCs w:val="20"/>
                <w:color w:val="auto"/>
              </w:rPr>
            </w:pPr>
            <w:r>
              <w:rPr>
                <w:rFonts w:ascii="Calibri" w:cs="Calibri" w:eastAsia="Calibri" w:hAnsi="Calibri"/>
                <w:sz w:val="10"/>
                <w:szCs w:val="10"/>
                <w:color w:val="auto"/>
                <w:w w:val="97"/>
              </w:rPr>
              <w:t>(934,374)</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w:t>
            </w:r>
          </w:p>
        </w:tc>
        <w:tc>
          <w:tcPr>
            <w:tcW w:w="0" w:type="dxa"/>
            <w:vAlign w:val="bottom"/>
          </w:tcPr>
          <w:p>
            <w:pPr>
              <w:spacing w:after="0"/>
              <w:rPr>
                <w:sz w:val="1"/>
                <w:szCs w:val="1"/>
                <w:color w:val="auto"/>
              </w:rPr>
            </w:pPr>
          </w:p>
        </w:tc>
      </w:tr>
      <w:tr>
        <w:trPr>
          <w:trHeight w:val="121"/>
        </w:trPr>
        <w:tc>
          <w:tcPr>
            <w:tcW w:w="4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Translaton result</w:t>
            </w:r>
          </w:p>
        </w:tc>
        <w:tc>
          <w:tcPr>
            <w:tcW w:w="1000" w:type="dxa"/>
            <w:vAlign w:val="bottom"/>
          </w:tcPr>
          <w:p>
            <w:pPr>
              <w:jc w:val="center"/>
              <w:spacing w:after="0"/>
              <w:rPr>
                <w:sz w:val="20"/>
                <w:szCs w:val="20"/>
                <w:color w:val="auto"/>
              </w:rPr>
            </w:pPr>
            <w:r>
              <w:rPr>
                <w:rFonts w:ascii="Calibri" w:cs="Calibri" w:eastAsia="Calibri" w:hAnsi="Calibri"/>
                <w:sz w:val="10"/>
                <w:szCs w:val="10"/>
                <w:color w:val="auto"/>
                <w:w w:val="93"/>
              </w:rPr>
              <w:t>(714)</w:t>
            </w:r>
          </w:p>
        </w:tc>
        <w:tc>
          <w:tcPr>
            <w:tcW w:w="1040" w:type="dxa"/>
            <w:vAlign w:val="bottom"/>
          </w:tcPr>
          <w:p>
            <w:pPr>
              <w:jc w:val="center"/>
              <w:spacing w:after="0"/>
              <w:rPr>
                <w:sz w:val="20"/>
                <w:szCs w:val="20"/>
                <w:color w:val="auto"/>
              </w:rPr>
            </w:pPr>
            <w:r>
              <w:rPr>
                <w:rFonts w:ascii="Calibri" w:cs="Calibri" w:eastAsia="Calibri" w:hAnsi="Calibri"/>
                <w:sz w:val="10"/>
                <w:szCs w:val="10"/>
                <w:color w:val="auto"/>
                <w:w w:val="98"/>
              </w:rPr>
              <w:t>(85)</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3"/>
              </w:rPr>
              <w:t>(337)</w:t>
            </w:r>
          </w:p>
        </w:tc>
        <w:tc>
          <w:tcPr>
            <w:tcW w:w="560" w:type="dxa"/>
            <w:vAlign w:val="bottom"/>
          </w:tcPr>
          <w:p>
            <w:pPr>
              <w:jc w:val="center"/>
              <w:ind w:left="131"/>
              <w:spacing w:after="0"/>
              <w:rPr>
                <w:sz w:val="20"/>
                <w:szCs w:val="20"/>
                <w:color w:val="auto"/>
              </w:rPr>
            </w:pPr>
            <w:r>
              <w:rPr>
                <w:rFonts w:ascii="Calibri" w:cs="Calibri" w:eastAsia="Calibri" w:hAnsi="Calibri"/>
                <w:sz w:val="10"/>
                <w:szCs w:val="10"/>
                <w:color w:val="auto"/>
              </w:rPr>
              <w:t>296.5%</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-52.8%</w:t>
            </w:r>
          </w:p>
        </w:tc>
        <w:tc>
          <w:tcPr>
            <w:tcW w:w="600" w:type="dxa"/>
            <w:vAlign w:val="bottom"/>
          </w:tcPr>
          <w:p>
            <w:pPr>
              <w:jc w:val="center"/>
              <w:ind w:left="111"/>
              <w:spacing w:after="0"/>
              <w:rPr>
                <w:sz w:val="20"/>
                <w:szCs w:val="20"/>
                <w:color w:val="auto"/>
              </w:rPr>
            </w:pPr>
            <w:r>
              <w:rPr>
                <w:rFonts w:ascii="Calibri" w:cs="Calibri" w:eastAsia="Calibri" w:hAnsi="Calibri"/>
                <w:sz w:val="10"/>
                <w:szCs w:val="10"/>
                <w:color w:val="auto"/>
                <w:w w:val="96"/>
              </w:rPr>
              <w:t>(3,359)</w:t>
            </w:r>
          </w:p>
        </w:tc>
        <w:tc>
          <w:tcPr>
            <w:tcW w:w="940" w:type="dxa"/>
            <w:vAlign w:val="bottom"/>
            <w:tcBorders>
              <w:right w:val="single" w:sz="8" w:color="auto"/>
            </w:tcBorders>
          </w:tcPr>
          <w:p>
            <w:pPr>
              <w:jc w:val="center"/>
              <w:ind w:left="91"/>
              <w:spacing w:after="0"/>
              <w:rPr>
                <w:sz w:val="20"/>
                <w:szCs w:val="20"/>
                <w:color w:val="auto"/>
              </w:rPr>
            </w:pPr>
            <w:r>
              <w:rPr>
                <w:rFonts w:ascii="Calibri" w:cs="Calibri" w:eastAsia="Calibri" w:hAnsi="Calibri"/>
                <w:sz w:val="10"/>
                <w:szCs w:val="10"/>
                <w:color w:val="auto"/>
                <w:w w:val="96"/>
              </w:rPr>
              <w:t>(1,394)</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-58.5%</w:t>
            </w: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color w:val="auto"/>
              </w:rPr>
              <w:t>Income taxes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(15,680)</w:t>
            </w:r>
          </w:p>
        </w:tc>
        <w:tc>
          <w:tcPr>
            <w:tcW w:w="1040" w:type="dxa"/>
            <w:vAlign w:val="bottom"/>
          </w:tcPr>
          <w:p>
            <w:pPr>
              <w:jc w:val="center"/>
              <w:spacing w:after="0"/>
              <w:rPr>
                <w:sz w:val="20"/>
                <w:szCs w:val="20"/>
                <w:color w:val="auto"/>
              </w:rPr>
            </w:pPr>
            <w:r>
              <w:rPr>
                <w:rFonts w:ascii="Calibri" w:cs="Calibri" w:eastAsia="Calibri" w:hAnsi="Calibri"/>
                <w:sz w:val="10"/>
                <w:szCs w:val="10"/>
                <w:color w:val="auto"/>
                <w:w w:val="96"/>
              </w:rPr>
              <w:t>(2,834)</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(15,890)</w:t>
            </w:r>
          </w:p>
        </w:tc>
        <w:tc>
          <w:tcPr>
            <w:tcW w:w="560" w:type="dxa"/>
            <w:vAlign w:val="bottom"/>
          </w:tcPr>
          <w:p>
            <w:pPr>
              <w:jc w:val="center"/>
              <w:ind w:left="131"/>
              <w:spacing w:after="0"/>
              <w:rPr>
                <w:sz w:val="20"/>
                <w:szCs w:val="20"/>
                <w:color w:val="auto"/>
              </w:rPr>
            </w:pPr>
            <w:r>
              <w:rPr>
                <w:rFonts w:ascii="Calibri" w:cs="Calibri" w:eastAsia="Calibri" w:hAnsi="Calibri"/>
                <w:sz w:val="10"/>
                <w:szCs w:val="10"/>
                <w:color w:val="auto"/>
              </w:rPr>
              <w:t>460.7%</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1.3%</w:t>
            </w:r>
          </w:p>
        </w:tc>
        <w:tc>
          <w:tcPr>
            <w:tcW w:w="600" w:type="dxa"/>
            <w:vAlign w:val="bottom"/>
          </w:tcPr>
          <w:p>
            <w:pPr>
              <w:jc w:val="center"/>
              <w:ind w:left="91"/>
              <w:spacing w:after="0"/>
              <w:rPr>
                <w:sz w:val="20"/>
                <w:szCs w:val="20"/>
                <w:color w:val="auto"/>
              </w:rPr>
            </w:pPr>
            <w:r>
              <w:rPr>
                <w:rFonts w:ascii="Calibri" w:cs="Calibri" w:eastAsia="Calibri" w:hAnsi="Calibri"/>
                <w:sz w:val="10"/>
                <w:szCs w:val="10"/>
                <w:color w:val="auto"/>
              </w:rPr>
              <w:t>(40,222)</w:t>
            </w:r>
          </w:p>
        </w:tc>
        <w:tc>
          <w:tcPr>
            <w:tcW w:w="940" w:type="dxa"/>
            <w:vAlign w:val="bottom"/>
            <w:tcBorders>
              <w:right w:val="single" w:sz="8" w:color="auto"/>
            </w:tcBorders>
          </w:tcPr>
          <w:p>
            <w:pPr>
              <w:jc w:val="center"/>
              <w:ind w:left="71"/>
              <w:spacing w:after="0"/>
              <w:rPr>
                <w:sz w:val="20"/>
                <w:szCs w:val="20"/>
                <w:color w:val="auto"/>
              </w:rPr>
            </w:pPr>
            <w:r>
              <w:rPr>
                <w:rFonts w:ascii="Calibri" w:cs="Calibri" w:eastAsia="Calibri" w:hAnsi="Calibri"/>
                <w:sz w:val="10"/>
                <w:szCs w:val="10"/>
                <w:color w:val="auto"/>
              </w:rPr>
              <w:t>(49,684)</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23.5%</w:t>
            </w:r>
          </w:p>
        </w:tc>
        <w:tc>
          <w:tcPr>
            <w:tcW w:w="0" w:type="dxa"/>
            <w:vAlign w:val="bottom"/>
          </w:tcPr>
          <w:p>
            <w:pPr>
              <w:spacing w:after="0"/>
              <w:rPr>
                <w:sz w:val="1"/>
                <w:szCs w:val="1"/>
                <w:color w:val="auto"/>
              </w:rPr>
            </w:pPr>
          </w:p>
        </w:tc>
      </w:tr>
      <w:tr>
        <w:trPr>
          <w:trHeight w:val="13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Net income</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60,379</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35,714</w:t>
            </w:r>
          </w:p>
        </w:tc>
        <w:tc>
          <w:tcPr>
            <w:tcW w:w="10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63,824</w:t>
            </w:r>
          </w:p>
        </w:tc>
        <w:tc>
          <w:tcPr>
            <w:tcW w:w="560" w:type="dxa"/>
            <w:vAlign w:val="bottom"/>
            <w:tcBorders>
              <w:bottom w:val="single" w:sz="8" w:color="auto"/>
            </w:tcBorders>
          </w:tcPr>
          <w:p>
            <w:pPr>
              <w:jc w:val="center"/>
              <w:ind w:left="151"/>
              <w:spacing w:after="0"/>
              <w:rPr>
                <w:sz w:val="20"/>
                <w:szCs w:val="20"/>
                <w:color w:val="auto"/>
              </w:rPr>
            </w:pPr>
            <w:r>
              <w:rPr>
                <w:rFonts w:ascii="Calibri" w:cs="Calibri" w:eastAsia="Calibri" w:hAnsi="Calibri"/>
                <w:sz w:val="10"/>
                <w:szCs w:val="10"/>
                <w:color w:val="auto"/>
                <w:w w:val="96"/>
              </w:rPr>
              <w:t>78.7%</w:t>
            </w:r>
          </w:p>
        </w:tc>
        <w:tc>
          <w:tcPr>
            <w:tcW w:w="980" w:type="dxa"/>
            <w:vAlign w:val="bottom"/>
            <w:tcBorders>
              <w:bottom w:val="single" w:sz="8" w:color="auto"/>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5.7%</w:t>
            </w:r>
          </w:p>
        </w:tc>
        <w:tc>
          <w:tcPr>
            <w:tcW w:w="600" w:type="dxa"/>
            <w:vAlign w:val="bottom"/>
            <w:tcBorders>
              <w:bottom w:val="single" w:sz="8" w:color="auto"/>
            </w:tcBorders>
          </w:tcPr>
          <w:p>
            <w:pPr>
              <w:jc w:val="center"/>
              <w:ind w:left="111"/>
              <w:spacing w:after="0"/>
              <w:rPr>
                <w:sz w:val="20"/>
                <w:szCs w:val="20"/>
                <w:color w:val="auto"/>
              </w:rPr>
            </w:pPr>
            <w:r>
              <w:rPr>
                <w:rFonts w:ascii="Calibri" w:cs="Calibri" w:eastAsia="Calibri" w:hAnsi="Calibri"/>
                <w:sz w:val="10"/>
                <w:szCs w:val="10"/>
                <w:color w:val="auto"/>
                <w:w w:val="97"/>
              </w:rPr>
              <w:t>149,880</w:t>
            </w:r>
          </w:p>
        </w:tc>
        <w:tc>
          <w:tcPr>
            <w:tcW w:w="940" w:type="dxa"/>
            <w:vAlign w:val="bottom"/>
            <w:tcBorders>
              <w:bottom w:val="single" w:sz="8" w:color="auto"/>
              <w:right w:val="single" w:sz="8" w:color="auto"/>
            </w:tcBorders>
          </w:tcPr>
          <w:p>
            <w:pPr>
              <w:jc w:val="center"/>
              <w:ind w:left="91"/>
              <w:spacing w:after="0"/>
              <w:rPr>
                <w:sz w:val="20"/>
                <w:szCs w:val="20"/>
                <w:color w:val="auto"/>
              </w:rPr>
            </w:pPr>
            <w:r>
              <w:rPr>
                <w:rFonts w:ascii="Calibri" w:cs="Calibri" w:eastAsia="Calibri" w:hAnsi="Calibri"/>
                <w:sz w:val="10"/>
                <w:szCs w:val="10"/>
                <w:color w:val="auto"/>
                <w:w w:val="97"/>
              </w:rPr>
              <w:t>192,111</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w w:val="96"/>
              </w:rPr>
              <w:t>28.2%</w:t>
            </w:r>
          </w:p>
        </w:tc>
        <w:tc>
          <w:tcPr>
            <w:tcW w:w="0" w:type="dxa"/>
            <w:vAlign w:val="bottom"/>
          </w:tcPr>
          <w:p>
            <w:pPr>
              <w:spacing w:after="0"/>
              <w:rPr>
                <w:sz w:val="1"/>
                <w:szCs w:val="1"/>
                <w:color w:val="auto"/>
              </w:rPr>
            </w:pPr>
          </w:p>
        </w:tc>
      </w:tr>
      <w:tr>
        <w:trPr>
          <w:trHeight w:val="378"/>
        </w:trPr>
        <w:tc>
          <w:tcPr>
            <w:tcW w:w="4080" w:type="dxa"/>
            <w:vAlign w:val="bottom"/>
          </w:tcPr>
          <w:p>
            <w:pPr>
              <w:spacing w:after="0"/>
              <w:rPr>
                <w:sz w:val="24"/>
                <w:szCs w:val="24"/>
                <w:color w:val="auto"/>
              </w:rPr>
            </w:pPr>
          </w:p>
        </w:tc>
        <w:tc>
          <w:tcPr>
            <w:tcW w:w="3100" w:type="dxa"/>
            <w:vAlign w:val="bottom"/>
            <w:gridSpan w:val="3"/>
          </w:tcPr>
          <w:p>
            <w:pPr>
              <w:jc w:val="center"/>
              <w:spacing w:after="0"/>
              <w:rPr>
                <w:sz w:val="20"/>
                <w:szCs w:val="20"/>
                <w:color w:val="auto"/>
              </w:rPr>
            </w:pPr>
            <w:r>
              <w:rPr>
                <w:rFonts w:ascii="Calibri" w:cs="Calibri" w:eastAsia="Calibri" w:hAnsi="Calibri"/>
                <w:sz w:val="16"/>
                <w:szCs w:val="16"/>
                <w:b w:val="1"/>
                <w:bCs w:val="1"/>
                <w:color w:val="auto"/>
              </w:rPr>
              <w:t>Selected Financial Indicators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tcPr>
          <w:p>
            <w:pPr>
              <w:spacing w:after="0"/>
              <w:rPr>
                <w:sz w:val="9"/>
                <w:szCs w:val="9"/>
                <w:color w:val="auto"/>
              </w:rPr>
            </w:pPr>
          </w:p>
        </w:tc>
        <w:tc>
          <w:tcPr>
            <w:tcW w:w="1000" w:type="dxa"/>
            <w:vAlign w:val="bottom"/>
            <w:shd w:val="clear" w:color="auto" w:fill="33CCCC"/>
          </w:tcPr>
          <w:p>
            <w:pPr>
              <w:spacing w:after="0"/>
              <w:rPr>
                <w:sz w:val="9"/>
                <w:szCs w:val="9"/>
                <w:color w:val="auto"/>
              </w:rPr>
            </w:pPr>
          </w:p>
        </w:tc>
        <w:tc>
          <w:tcPr>
            <w:tcW w:w="1040" w:type="dxa"/>
            <w:vAlign w:val="bottom"/>
            <w:shd w:val="clear" w:color="auto" w:fill="33CCCC"/>
          </w:tcPr>
          <w:p>
            <w:pPr>
              <w:jc w:val="center"/>
              <w:spacing w:after="0" w:line="104" w:lineRule="exact"/>
              <w:rPr>
                <w:sz w:val="20"/>
                <w:szCs w:val="20"/>
                <w:color w:val="auto"/>
              </w:rPr>
            </w:pPr>
            <w:r>
              <w:rPr>
                <w:rFonts w:ascii="Calibri" w:cs="Calibri" w:eastAsia="Calibri" w:hAnsi="Calibri"/>
                <w:sz w:val="10"/>
                <w:szCs w:val="10"/>
                <w:b w:val="1"/>
                <w:bCs w:val="1"/>
                <w:color w:val="FFFFFF"/>
                <w:w w:val="97"/>
              </w:rPr>
              <w:t>Quarter</w:t>
            </w:r>
          </w:p>
        </w:tc>
        <w:tc>
          <w:tcPr>
            <w:tcW w:w="1060" w:type="dxa"/>
            <w:vAlign w:val="bottom"/>
            <w:tcBorders>
              <w:right w:val="single" w:sz="8" w:color="auto"/>
            </w:tcBorders>
            <w:shd w:val="clear" w:color="auto" w:fill="33CCCC"/>
          </w:tcPr>
          <w:p>
            <w:pPr>
              <w:spacing w:after="0"/>
              <w:rPr>
                <w:sz w:val="9"/>
                <w:szCs w:val="9"/>
                <w:color w:val="auto"/>
              </w:rPr>
            </w:pPr>
          </w:p>
        </w:tc>
        <w:tc>
          <w:tcPr>
            <w:tcW w:w="560" w:type="dxa"/>
            <w:vAlign w:val="bottom"/>
            <w:shd w:val="clear" w:color="auto" w:fill="33CCCC"/>
          </w:tcPr>
          <w:p>
            <w:pPr>
              <w:spacing w:after="0"/>
              <w:rPr>
                <w:sz w:val="9"/>
                <w:szCs w:val="9"/>
                <w:color w:val="auto"/>
              </w:rPr>
            </w:pPr>
          </w:p>
        </w:tc>
        <w:tc>
          <w:tcPr>
            <w:tcW w:w="980" w:type="dxa"/>
            <w:vAlign w:val="bottom"/>
            <w:tcBorders>
              <w:right w:val="single" w:sz="8" w:color="auto"/>
            </w:tcBorders>
            <w:shd w:val="clear" w:color="auto" w:fill="33CCCC"/>
          </w:tcPr>
          <w:p>
            <w:pPr>
              <w:spacing w:after="0" w:line="104" w:lineRule="exact"/>
              <w:rPr>
                <w:sz w:val="20"/>
                <w:szCs w:val="20"/>
                <w:color w:val="auto"/>
              </w:rPr>
            </w:pPr>
            <w:r>
              <w:rPr>
                <w:rFonts w:ascii="Calibri" w:cs="Calibri" w:eastAsia="Calibri" w:hAnsi="Calibri"/>
                <w:sz w:val="10"/>
                <w:szCs w:val="10"/>
                <w:b w:val="1"/>
                <w:bCs w:val="1"/>
                <w:color w:val="FFFFFF"/>
              </w:rPr>
              <w:t>% change</w:t>
            </w:r>
          </w:p>
        </w:tc>
        <w:tc>
          <w:tcPr>
            <w:tcW w:w="600" w:type="dxa"/>
            <w:vAlign w:val="bottom"/>
            <w:shd w:val="clear" w:color="auto" w:fill="33CCCC"/>
          </w:tcPr>
          <w:p>
            <w:pPr>
              <w:spacing w:after="0"/>
              <w:rPr>
                <w:sz w:val="9"/>
                <w:szCs w:val="9"/>
                <w:color w:val="auto"/>
              </w:rPr>
            </w:pPr>
          </w:p>
        </w:tc>
        <w:tc>
          <w:tcPr>
            <w:tcW w:w="940" w:type="dxa"/>
            <w:vAlign w:val="bottom"/>
            <w:tcBorders>
              <w:right w:val="single" w:sz="8" w:color="auto"/>
            </w:tcBorders>
            <w:shd w:val="clear" w:color="auto" w:fill="33CCCC"/>
          </w:tcPr>
          <w:p>
            <w:pPr>
              <w:ind w:left="40"/>
              <w:spacing w:after="0" w:line="104" w:lineRule="exact"/>
              <w:rPr>
                <w:sz w:val="20"/>
                <w:szCs w:val="20"/>
                <w:color w:val="auto"/>
              </w:rPr>
            </w:pPr>
            <w:r>
              <w:rPr>
                <w:rFonts w:ascii="Calibri" w:cs="Calibri" w:eastAsia="Calibri" w:hAnsi="Calibri"/>
                <w:sz w:val="10"/>
                <w:szCs w:val="10"/>
                <w:b w:val="1"/>
                <w:bCs w:val="1"/>
                <w:color w:val="FFFFFF"/>
              </w:rPr>
              <w:t>Up to</w:t>
            </w:r>
          </w:p>
        </w:tc>
        <w:tc>
          <w:tcPr>
            <w:tcW w:w="980" w:type="dxa"/>
            <w:vAlign w:val="bottom"/>
            <w:tcBorders>
              <w:right w:val="single" w:sz="8" w:color="auto"/>
            </w:tcBorders>
            <w:shd w:val="clear" w:color="auto" w:fill="33CCCC"/>
          </w:tcPr>
          <w:p>
            <w:pPr>
              <w:jc w:val="center"/>
              <w:spacing w:after="0" w:line="104" w:lineRule="exact"/>
              <w:rPr>
                <w:sz w:val="20"/>
                <w:szCs w:val="20"/>
                <w:color w:val="auto"/>
              </w:rPr>
            </w:pPr>
            <w:r>
              <w:rPr>
                <w:rFonts w:ascii="Calibri" w:cs="Calibri" w:eastAsia="Calibri" w:hAnsi="Calibri"/>
                <w:sz w:val="10"/>
                <w:szCs w:val="10"/>
                <w:b w:val="1"/>
                <w:bCs w:val="1"/>
                <w:color w:val="FFFFFF"/>
                <w:w w:val="99"/>
              </w:rPr>
              <w:t>% Change</w:t>
            </w:r>
          </w:p>
        </w:tc>
        <w:tc>
          <w:tcPr>
            <w:tcW w:w="0" w:type="dxa"/>
            <w:vAlign w:val="bottom"/>
          </w:tcPr>
          <w:p>
            <w:pPr>
              <w:spacing w:after="0"/>
              <w:rPr>
                <w:sz w:val="1"/>
                <w:szCs w:val="1"/>
                <w:color w:val="auto"/>
              </w:rPr>
            </w:pPr>
          </w:p>
        </w:tc>
      </w:tr>
      <w:tr>
        <w:trPr>
          <w:trHeight w:val="146"/>
        </w:trPr>
        <w:tc>
          <w:tcPr>
            <w:tcW w:w="4080" w:type="dxa"/>
            <w:vAlign w:val="bottom"/>
            <w:tcBorders>
              <w:right w:val="single" w:sz="8" w:color="auto"/>
            </w:tcBorders>
          </w:tcPr>
          <w:p>
            <w:pPr>
              <w:spacing w:after="0"/>
              <w:rPr>
                <w:sz w:val="12"/>
                <w:szCs w:val="12"/>
                <w:color w:val="auto"/>
              </w:rPr>
            </w:pPr>
          </w:p>
        </w:tc>
        <w:tc>
          <w:tcPr>
            <w:tcW w:w="1000" w:type="dxa"/>
            <w:vAlign w:val="bottom"/>
            <w:tcBorders>
              <w:bottom w:val="single" w:sz="8" w:color="33CCCC"/>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w w:val="99"/>
              </w:rPr>
              <w:t>3Q23</w:t>
            </w:r>
          </w:p>
        </w:tc>
        <w:tc>
          <w:tcPr>
            <w:tcW w:w="1040" w:type="dxa"/>
            <w:vAlign w:val="bottom"/>
            <w:tcBorders>
              <w:bottom w:val="single" w:sz="8" w:color="33CCCC"/>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w w:val="99"/>
              </w:rPr>
              <w:t>2Q24</w:t>
            </w:r>
          </w:p>
        </w:tc>
        <w:tc>
          <w:tcPr>
            <w:tcW w:w="1060" w:type="dxa"/>
            <w:vAlign w:val="bottom"/>
            <w:tcBorders>
              <w:bottom w:val="single" w:sz="8" w:color="33CCCC"/>
              <w:right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w w:val="99"/>
              </w:rPr>
              <w:t>3Q24</w:t>
            </w:r>
          </w:p>
        </w:tc>
        <w:tc>
          <w:tcPr>
            <w:tcW w:w="560" w:type="dxa"/>
            <w:vAlign w:val="bottom"/>
            <w:tcBorders>
              <w:bottom w:val="single" w:sz="8" w:color="33CCCC"/>
            </w:tcBorders>
            <w:shd w:val="clear" w:color="auto" w:fill="33CCCC"/>
          </w:tcPr>
          <w:p>
            <w:pPr>
              <w:jc w:val="center"/>
              <w:ind w:left="131"/>
              <w:spacing w:after="0" w:line="116" w:lineRule="exact"/>
              <w:rPr>
                <w:sz w:val="20"/>
                <w:szCs w:val="20"/>
                <w:color w:val="auto"/>
              </w:rPr>
            </w:pPr>
            <w:r>
              <w:rPr>
                <w:rFonts w:ascii="Calibri" w:cs="Calibri" w:eastAsia="Calibri" w:hAnsi="Calibri"/>
                <w:sz w:val="10"/>
                <w:szCs w:val="10"/>
                <w:b w:val="1"/>
                <w:bCs w:val="1"/>
                <w:color w:val="FFFFFF"/>
                <w:w w:val="93"/>
              </w:rPr>
              <w:t>QoQ</w:t>
            </w:r>
          </w:p>
        </w:tc>
        <w:tc>
          <w:tcPr>
            <w:tcW w:w="980" w:type="dxa"/>
            <w:vAlign w:val="bottom"/>
            <w:tcBorders>
              <w:bottom w:val="single" w:sz="8" w:color="33CCCC"/>
              <w:right w:val="single" w:sz="8" w:color="auto"/>
            </w:tcBorders>
            <w:shd w:val="clear" w:color="auto" w:fill="33CCCC"/>
          </w:tcPr>
          <w:p>
            <w:pPr>
              <w:jc w:val="center"/>
              <w:ind w:left="131"/>
              <w:spacing w:after="0" w:line="116" w:lineRule="exact"/>
              <w:rPr>
                <w:sz w:val="20"/>
                <w:szCs w:val="20"/>
                <w:color w:val="auto"/>
              </w:rPr>
            </w:pPr>
            <w:r>
              <w:rPr>
                <w:rFonts w:ascii="Calibri" w:cs="Calibri" w:eastAsia="Calibri" w:hAnsi="Calibri"/>
                <w:sz w:val="10"/>
                <w:szCs w:val="10"/>
                <w:b w:val="1"/>
                <w:bCs w:val="1"/>
                <w:color w:val="FFFFFF"/>
              </w:rPr>
              <w:t>YoY</w:t>
            </w:r>
          </w:p>
        </w:tc>
        <w:tc>
          <w:tcPr>
            <w:tcW w:w="600" w:type="dxa"/>
            <w:vAlign w:val="bottom"/>
            <w:tcBorders>
              <w:bottom w:val="single" w:sz="8" w:color="33CCCC"/>
            </w:tcBorders>
            <w:shd w:val="clear" w:color="auto" w:fill="33CCCC"/>
          </w:tcPr>
          <w:p>
            <w:pPr>
              <w:ind w:left="240"/>
              <w:spacing w:after="0" w:line="116" w:lineRule="exact"/>
              <w:rPr>
                <w:sz w:val="20"/>
                <w:szCs w:val="20"/>
                <w:color w:val="auto"/>
              </w:rPr>
            </w:pPr>
            <w:r>
              <w:rPr>
                <w:rFonts w:ascii="Calibri" w:cs="Calibri" w:eastAsia="Calibri" w:hAnsi="Calibri"/>
                <w:sz w:val="10"/>
                <w:szCs w:val="10"/>
                <w:b w:val="1"/>
                <w:bCs w:val="1"/>
                <w:color w:val="FFFFFF"/>
              </w:rPr>
              <w:t>Sep 23</w:t>
            </w:r>
          </w:p>
        </w:tc>
        <w:tc>
          <w:tcPr>
            <w:tcW w:w="940" w:type="dxa"/>
            <w:vAlign w:val="bottom"/>
            <w:tcBorders>
              <w:bottom w:val="single" w:sz="8" w:color="33CCCC"/>
              <w:right w:val="single" w:sz="8" w:color="auto"/>
            </w:tcBorders>
            <w:shd w:val="clear" w:color="auto" w:fill="33CCCC"/>
          </w:tcPr>
          <w:p>
            <w:pPr>
              <w:ind w:left="400"/>
              <w:spacing w:after="0" w:line="116" w:lineRule="exact"/>
              <w:rPr>
                <w:sz w:val="20"/>
                <w:szCs w:val="20"/>
                <w:color w:val="auto"/>
              </w:rPr>
            </w:pPr>
            <w:r>
              <w:rPr>
                <w:rFonts w:ascii="Calibri" w:cs="Calibri" w:eastAsia="Calibri" w:hAnsi="Calibri"/>
                <w:sz w:val="10"/>
                <w:szCs w:val="10"/>
                <w:b w:val="1"/>
                <w:bCs w:val="1"/>
                <w:color w:val="FFFFFF"/>
              </w:rPr>
              <w:t>Sep 24</w:t>
            </w:r>
          </w:p>
        </w:tc>
        <w:tc>
          <w:tcPr>
            <w:tcW w:w="980" w:type="dxa"/>
            <w:vAlign w:val="bottom"/>
            <w:tcBorders>
              <w:bottom w:val="single" w:sz="8" w:color="33CCCC"/>
              <w:right w:val="single" w:sz="8" w:color="auto"/>
            </w:tcBorders>
            <w:shd w:val="clear" w:color="auto" w:fill="33CCCC"/>
          </w:tcPr>
          <w:p>
            <w:pPr>
              <w:jc w:val="center"/>
              <w:spacing w:after="0" w:line="116" w:lineRule="exact"/>
              <w:rPr>
                <w:sz w:val="20"/>
                <w:szCs w:val="20"/>
                <w:color w:val="auto"/>
              </w:rPr>
            </w:pPr>
            <w:r>
              <w:rPr>
                <w:rFonts w:ascii="Calibri" w:cs="Calibri" w:eastAsia="Calibri" w:hAnsi="Calibri"/>
                <w:sz w:val="10"/>
                <w:szCs w:val="10"/>
                <w:b w:val="1"/>
                <w:bCs w:val="1"/>
                <w:color w:val="FFFFFF"/>
              </w:rPr>
              <w:t>Sep 24 / Sep 23</w:t>
            </w:r>
          </w:p>
        </w:tc>
        <w:tc>
          <w:tcPr>
            <w:tcW w:w="0" w:type="dxa"/>
            <w:vAlign w:val="bottom"/>
          </w:tcPr>
          <w:p>
            <w:pPr>
              <w:spacing w:after="0"/>
              <w:rPr>
                <w:sz w:val="1"/>
                <w:szCs w:val="1"/>
                <w:color w:val="auto"/>
              </w:rPr>
            </w:pPr>
          </w:p>
        </w:tc>
      </w:tr>
      <w:tr>
        <w:trPr>
          <w:trHeight w:val="104"/>
        </w:trPr>
        <w:tc>
          <w:tcPr>
            <w:tcW w:w="4080" w:type="dxa"/>
            <w:vAlign w:val="bottom"/>
            <w:tcBorders>
              <w:top w:val="single" w:sz="8" w:color="auto"/>
              <w:right w:val="single" w:sz="8" w:color="auto"/>
            </w:tcBorders>
          </w:tcPr>
          <w:p>
            <w:pPr>
              <w:ind w:left="20"/>
              <w:spacing w:after="0" w:line="104" w:lineRule="exact"/>
              <w:rPr>
                <w:sz w:val="20"/>
                <w:szCs w:val="20"/>
                <w:color w:val="auto"/>
              </w:rPr>
            </w:pPr>
            <w:r>
              <w:rPr>
                <w:rFonts w:ascii="Calibri" w:cs="Calibri" w:eastAsia="Calibri" w:hAnsi="Calibri"/>
                <w:sz w:val="10"/>
                <w:szCs w:val="10"/>
                <w:color w:val="auto"/>
              </w:rPr>
              <w:t>Efciency rato</w:t>
            </w:r>
          </w:p>
        </w:tc>
        <w:tc>
          <w:tcPr>
            <w:tcW w:w="1000" w:type="dxa"/>
            <w:vAlign w:val="bottom"/>
            <w:tcBorders>
              <w:top w:val="single" w:sz="8" w:color="auto"/>
            </w:tcBorders>
          </w:tcPr>
          <w:p>
            <w:pPr>
              <w:jc w:val="center"/>
              <w:spacing w:after="0" w:line="104" w:lineRule="exact"/>
              <w:rPr>
                <w:sz w:val="20"/>
                <w:szCs w:val="20"/>
                <w:color w:val="auto"/>
              </w:rPr>
            </w:pPr>
            <w:r>
              <w:rPr>
                <w:rFonts w:ascii="Calibri" w:cs="Calibri" w:eastAsia="Calibri" w:hAnsi="Calibri"/>
                <w:sz w:val="10"/>
                <w:szCs w:val="10"/>
                <w:color w:val="auto"/>
                <w:w w:val="96"/>
              </w:rPr>
              <w:t>51.4%</w:t>
            </w:r>
          </w:p>
        </w:tc>
        <w:tc>
          <w:tcPr>
            <w:tcW w:w="1040" w:type="dxa"/>
            <w:vAlign w:val="bottom"/>
            <w:tcBorders>
              <w:top w:val="single" w:sz="8" w:color="auto"/>
            </w:tcBorders>
          </w:tcPr>
          <w:p>
            <w:pPr>
              <w:jc w:val="center"/>
              <w:spacing w:after="0" w:line="104" w:lineRule="exact"/>
              <w:rPr>
                <w:sz w:val="20"/>
                <w:szCs w:val="20"/>
                <w:color w:val="auto"/>
              </w:rPr>
            </w:pPr>
            <w:r>
              <w:rPr>
                <w:rFonts w:ascii="Calibri" w:cs="Calibri" w:eastAsia="Calibri" w:hAnsi="Calibri"/>
                <w:sz w:val="10"/>
                <w:szCs w:val="10"/>
                <w:color w:val="auto"/>
                <w:w w:val="96"/>
              </w:rPr>
              <w:t>51.0%</w:t>
            </w:r>
          </w:p>
        </w:tc>
        <w:tc>
          <w:tcPr>
            <w:tcW w:w="1060" w:type="dxa"/>
            <w:vAlign w:val="bottom"/>
            <w:tcBorders>
              <w:top w:val="single" w:sz="8" w:color="auto"/>
              <w:right w:val="single" w:sz="8" w:color="auto"/>
            </w:tcBorders>
          </w:tcPr>
          <w:p>
            <w:pPr>
              <w:jc w:val="center"/>
              <w:spacing w:after="0" w:line="104" w:lineRule="exact"/>
              <w:rPr>
                <w:sz w:val="20"/>
                <w:szCs w:val="20"/>
                <w:color w:val="auto"/>
              </w:rPr>
            </w:pPr>
            <w:r>
              <w:rPr>
                <w:rFonts w:ascii="Calibri" w:cs="Calibri" w:eastAsia="Calibri" w:hAnsi="Calibri"/>
                <w:sz w:val="10"/>
                <w:szCs w:val="10"/>
                <w:color w:val="auto"/>
                <w:w w:val="96"/>
              </w:rPr>
              <w:t>54.2%</w:t>
            </w:r>
          </w:p>
        </w:tc>
        <w:tc>
          <w:tcPr>
            <w:tcW w:w="560" w:type="dxa"/>
            <w:vAlign w:val="bottom"/>
            <w:tcBorders>
              <w:top w:val="single" w:sz="8" w:color="auto"/>
            </w:tcBorders>
          </w:tcPr>
          <w:p>
            <w:pPr>
              <w:jc w:val="center"/>
              <w:ind w:left="151"/>
              <w:spacing w:after="0" w:line="104" w:lineRule="exact"/>
              <w:rPr>
                <w:sz w:val="20"/>
                <w:szCs w:val="20"/>
                <w:color w:val="auto"/>
              </w:rPr>
            </w:pPr>
            <w:r>
              <w:rPr>
                <w:rFonts w:ascii="Calibri" w:cs="Calibri" w:eastAsia="Calibri" w:hAnsi="Calibri"/>
                <w:sz w:val="10"/>
                <w:szCs w:val="10"/>
                <w:color w:val="auto"/>
              </w:rPr>
              <w:t>319 bps</w:t>
            </w:r>
          </w:p>
        </w:tc>
        <w:tc>
          <w:tcPr>
            <w:tcW w:w="980" w:type="dxa"/>
            <w:vAlign w:val="bottom"/>
            <w:tcBorders>
              <w:top w:val="single" w:sz="8" w:color="auto"/>
              <w:right w:val="single" w:sz="8" w:color="auto"/>
            </w:tcBorders>
          </w:tcPr>
          <w:p>
            <w:pPr>
              <w:jc w:val="center"/>
              <w:ind w:left="131"/>
              <w:spacing w:after="0" w:line="104" w:lineRule="exact"/>
              <w:rPr>
                <w:sz w:val="20"/>
                <w:szCs w:val="20"/>
                <w:color w:val="auto"/>
              </w:rPr>
            </w:pPr>
            <w:r>
              <w:rPr>
                <w:rFonts w:ascii="Calibri" w:cs="Calibri" w:eastAsia="Calibri" w:hAnsi="Calibri"/>
                <w:sz w:val="10"/>
                <w:szCs w:val="10"/>
                <w:color w:val="auto"/>
              </w:rPr>
              <w:t>282 bps</w:t>
            </w:r>
          </w:p>
        </w:tc>
        <w:tc>
          <w:tcPr>
            <w:tcW w:w="600" w:type="dxa"/>
            <w:vAlign w:val="bottom"/>
            <w:tcBorders>
              <w:top w:val="single" w:sz="8" w:color="auto"/>
            </w:tcBorders>
          </w:tcPr>
          <w:p>
            <w:pPr>
              <w:jc w:val="center"/>
              <w:ind w:left="111"/>
              <w:spacing w:after="0" w:line="104" w:lineRule="exact"/>
              <w:rPr>
                <w:sz w:val="20"/>
                <w:szCs w:val="20"/>
                <w:color w:val="auto"/>
              </w:rPr>
            </w:pPr>
            <w:r>
              <w:rPr>
                <w:rFonts w:ascii="Calibri" w:cs="Calibri" w:eastAsia="Calibri" w:hAnsi="Calibri"/>
                <w:sz w:val="10"/>
                <w:szCs w:val="10"/>
                <w:color w:val="auto"/>
                <w:w w:val="96"/>
              </w:rPr>
              <w:t>52.6%</w:t>
            </w:r>
          </w:p>
        </w:tc>
        <w:tc>
          <w:tcPr>
            <w:tcW w:w="940" w:type="dxa"/>
            <w:vAlign w:val="bottom"/>
            <w:tcBorders>
              <w:top w:val="single" w:sz="8" w:color="auto"/>
              <w:right w:val="single" w:sz="8" w:color="auto"/>
            </w:tcBorders>
          </w:tcPr>
          <w:p>
            <w:pPr>
              <w:jc w:val="center"/>
              <w:ind w:left="91"/>
              <w:spacing w:after="0" w:line="104" w:lineRule="exact"/>
              <w:rPr>
                <w:sz w:val="20"/>
                <w:szCs w:val="20"/>
                <w:color w:val="auto"/>
              </w:rPr>
            </w:pPr>
            <w:r>
              <w:rPr>
                <w:rFonts w:ascii="Calibri" w:cs="Calibri" w:eastAsia="Calibri" w:hAnsi="Calibri"/>
                <w:sz w:val="10"/>
                <w:szCs w:val="10"/>
                <w:color w:val="auto"/>
                <w:w w:val="96"/>
              </w:rPr>
              <w:t>52.8%</w:t>
            </w:r>
          </w:p>
        </w:tc>
        <w:tc>
          <w:tcPr>
            <w:tcW w:w="980" w:type="dxa"/>
            <w:vAlign w:val="bottom"/>
            <w:tcBorders>
              <w:top w:val="single" w:sz="8" w:color="auto"/>
              <w:right w:val="single" w:sz="8" w:color="auto"/>
            </w:tcBorders>
          </w:tcPr>
          <w:p>
            <w:pPr>
              <w:jc w:val="center"/>
              <w:spacing w:after="0" w:line="104" w:lineRule="exact"/>
              <w:rPr>
                <w:sz w:val="20"/>
                <w:szCs w:val="20"/>
                <w:color w:val="auto"/>
              </w:rPr>
            </w:pPr>
            <w:r>
              <w:rPr>
                <w:rFonts w:ascii="Calibri" w:cs="Calibri" w:eastAsia="Calibri" w:hAnsi="Calibri"/>
                <w:sz w:val="10"/>
                <w:szCs w:val="10"/>
                <w:color w:val="auto"/>
              </w:rPr>
              <w:t>23 bps</w:t>
            </w:r>
          </w:p>
        </w:tc>
        <w:tc>
          <w:tcPr>
            <w:tcW w:w="0" w:type="dxa"/>
            <w:vAlign w:val="bottom"/>
          </w:tcPr>
          <w:p>
            <w:pPr>
              <w:spacing w:after="0"/>
              <w:rPr>
                <w:sz w:val="1"/>
                <w:szCs w:val="1"/>
                <w:color w:val="auto"/>
              </w:rPr>
            </w:pPr>
          </w:p>
        </w:tc>
      </w:tr>
      <w:tr>
        <w:trPr>
          <w:trHeight w:val="116"/>
        </w:trPr>
        <w:tc>
          <w:tcPr>
            <w:tcW w:w="4080" w:type="dxa"/>
            <w:vAlign w:val="bottom"/>
            <w:tcBorders>
              <w:right w:val="single" w:sz="8" w:color="auto"/>
            </w:tcBorders>
          </w:tcPr>
          <w:p>
            <w:pPr>
              <w:ind w:left="20"/>
              <w:spacing w:after="0" w:line="116" w:lineRule="exact"/>
              <w:rPr>
                <w:sz w:val="20"/>
                <w:szCs w:val="20"/>
                <w:color w:val="auto"/>
              </w:rPr>
            </w:pPr>
            <w:r>
              <w:rPr>
                <w:rFonts w:ascii="Calibri" w:cs="Calibri" w:eastAsia="Calibri" w:hAnsi="Calibri"/>
                <w:sz w:val="10"/>
                <w:szCs w:val="10"/>
                <w:color w:val="auto"/>
              </w:rPr>
              <w:t>ROAE</w:t>
            </w:r>
          </w:p>
        </w:tc>
        <w:tc>
          <w:tcPr>
            <w:tcW w:w="1000" w:type="dxa"/>
            <w:vAlign w:val="bottom"/>
          </w:tcPr>
          <w:p>
            <w:pPr>
              <w:jc w:val="center"/>
              <w:spacing w:after="0" w:line="116" w:lineRule="exact"/>
              <w:rPr>
                <w:sz w:val="20"/>
                <w:szCs w:val="20"/>
                <w:color w:val="auto"/>
              </w:rPr>
            </w:pPr>
            <w:r>
              <w:rPr>
                <w:rFonts w:ascii="Calibri" w:cs="Calibri" w:eastAsia="Calibri" w:hAnsi="Calibri"/>
                <w:sz w:val="10"/>
                <w:szCs w:val="10"/>
                <w:color w:val="auto"/>
              </w:rPr>
              <w:t>8.3%</w:t>
            </w:r>
          </w:p>
        </w:tc>
        <w:tc>
          <w:tcPr>
            <w:tcW w:w="1040" w:type="dxa"/>
            <w:vAlign w:val="bottom"/>
          </w:tcPr>
          <w:p>
            <w:pPr>
              <w:jc w:val="center"/>
              <w:spacing w:after="0" w:line="116" w:lineRule="exact"/>
              <w:rPr>
                <w:sz w:val="20"/>
                <w:szCs w:val="20"/>
                <w:color w:val="auto"/>
              </w:rPr>
            </w:pPr>
            <w:r>
              <w:rPr>
                <w:rFonts w:ascii="Calibri" w:cs="Calibri" w:eastAsia="Calibri" w:hAnsi="Calibri"/>
                <w:sz w:val="10"/>
                <w:szCs w:val="10"/>
                <w:color w:val="auto"/>
              </w:rPr>
              <w:t>5.4%</w:t>
            </w:r>
          </w:p>
        </w:tc>
        <w:tc>
          <w:tcPr>
            <w:tcW w:w="106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color w:val="auto"/>
              </w:rPr>
              <w:t>9.4%</w:t>
            </w:r>
          </w:p>
        </w:tc>
        <w:tc>
          <w:tcPr>
            <w:tcW w:w="560" w:type="dxa"/>
            <w:vAlign w:val="bottom"/>
          </w:tcPr>
          <w:p>
            <w:pPr>
              <w:jc w:val="center"/>
              <w:ind w:left="151"/>
              <w:spacing w:after="0" w:line="116" w:lineRule="exact"/>
              <w:rPr>
                <w:sz w:val="20"/>
                <w:szCs w:val="20"/>
                <w:color w:val="auto"/>
              </w:rPr>
            </w:pPr>
            <w:r>
              <w:rPr>
                <w:rFonts w:ascii="Calibri" w:cs="Calibri" w:eastAsia="Calibri" w:hAnsi="Calibri"/>
                <w:sz w:val="10"/>
                <w:szCs w:val="10"/>
                <w:color w:val="auto"/>
              </w:rPr>
              <w:t>404 bps</w:t>
            </w:r>
          </w:p>
        </w:tc>
        <w:tc>
          <w:tcPr>
            <w:tcW w:w="980" w:type="dxa"/>
            <w:vAlign w:val="bottom"/>
            <w:tcBorders>
              <w:right w:val="single" w:sz="8" w:color="auto"/>
            </w:tcBorders>
          </w:tcPr>
          <w:p>
            <w:pPr>
              <w:jc w:val="center"/>
              <w:ind w:left="131"/>
              <w:spacing w:after="0" w:line="116" w:lineRule="exact"/>
              <w:rPr>
                <w:sz w:val="20"/>
                <w:szCs w:val="20"/>
                <w:color w:val="auto"/>
              </w:rPr>
            </w:pPr>
            <w:r>
              <w:rPr>
                <w:rFonts w:ascii="Calibri" w:cs="Calibri" w:eastAsia="Calibri" w:hAnsi="Calibri"/>
                <w:sz w:val="10"/>
                <w:szCs w:val="10"/>
                <w:color w:val="auto"/>
              </w:rPr>
              <w:t>111 bps</w:t>
            </w:r>
          </w:p>
        </w:tc>
        <w:tc>
          <w:tcPr>
            <w:tcW w:w="600" w:type="dxa"/>
            <w:vAlign w:val="bottom"/>
          </w:tcPr>
          <w:p>
            <w:pPr>
              <w:jc w:val="center"/>
              <w:ind w:left="111"/>
              <w:spacing w:after="0" w:line="116" w:lineRule="exact"/>
              <w:rPr>
                <w:sz w:val="20"/>
                <w:szCs w:val="20"/>
                <w:color w:val="auto"/>
              </w:rPr>
            </w:pPr>
            <w:r>
              <w:rPr>
                <w:rFonts w:ascii="Calibri" w:cs="Calibri" w:eastAsia="Calibri" w:hAnsi="Calibri"/>
                <w:sz w:val="10"/>
                <w:szCs w:val="10"/>
                <w:color w:val="auto"/>
              </w:rPr>
              <w:t>7.0%</w:t>
            </w:r>
          </w:p>
        </w:tc>
        <w:tc>
          <w:tcPr>
            <w:tcW w:w="940" w:type="dxa"/>
            <w:vAlign w:val="bottom"/>
            <w:tcBorders>
              <w:right w:val="single" w:sz="8" w:color="auto"/>
            </w:tcBorders>
          </w:tcPr>
          <w:p>
            <w:pPr>
              <w:jc w:val="center"/>
              <w:ind w:left="91"/>
              <w:spacing w:after="0" w:line="116" w:lineRule="exact"/>
              <w:rPr>
                <w:sz w:val="20"/>
                <w:szCs w:val="20"/>
                <w:color w:val="auto"/>
              </w:rPr>
            </w:pPr>
            <w:r>
              <w:rPr>
                <w:rFonts w:ascii="Calibri" w:cs="Calibri" w:eastAsia="Calibri" w:hAnsi="Calibri"/>
                <w:sz w:val="10"/>
                <w:szCs w:val="10"/>
                <w:color w:val="auto"/>
              </w:rPr>
              <w:t>8.9%</w:t>
            </w:r>
          </w:p>
        </w:tc>
        <w:tc>
          <w:tcPr>
            <w:tcW w:w="980" w:type="dxa"/>
            <w:vAlign w:val="bottom"/>
            <w:tcBorders>
              <w:right w:val="single" w:sz="8" w:color="auto"/>
            </w:tcBorders>
          </w:tcPr>
          <w:p>
            <w:pPr>
              <w:jc w:val="center"/>
              <w:spacing w:after="0" w:line="116" w:lineRule="exact"/>
              <w:rPr>
                <w:sz w:val="20"/>
                <w:szCs w:val="20"/>
                <w:color w:val="auto"/>
              </w:rPr>
            </w:pPr>
            <w:r>
              <w:rPr>
                <w:rFonts w:ascii="Calibri" w:cs="Calibri" w:eastAsia="Calibri" w:hAnsi="Calibri"/>
                <w:sz w:val="10"/>
                <w:szCs w:val="10"/>
                <w:color w:val="auto"/>
              </w:rPr>
              <w:t>193 bps</w:t>
            </w:r>
          </w:p>
        </w:tc>
        <w:tc>
          <w:tcPr>
            <w:tcW w:w="0" w:type="dxa"/>
            <w:vAlign w:val="bottom"/>
          </w:tcPr>
          <w:p>
            <w:pPr>
              <w:spacing w:after="0"/>
              <w:rPr>
                <w:sz w:val="1"/>
                <w:szCs w:val="1"/>
                <w:color w:val="auto"/>
              </w:rPr>
            </w:pPr>
          </w:p>
        </w:tc>
      </w:tr>
      <w:tr>
        <w:trPr>
          <w:trHeight w:val="122"/>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ROAE incl. Goodwill</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7.9%</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5.1%</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9.0%</w:t>
            </w:r>
          </w:p>
        </w:tc>
        <w:tc>
          <w:tcPr>
            <w:tcW w:w="560" w:type="dxa"/>
            <w:vAlign w:val="bottom"/>
          </w:tcPr>
          <w:p>
            <w:pPr>
              <w:jc w:val="center"/>
              <w:ind w:left="151"/>
              <w:spacing w:after="0"/>
              <w:rPr>
                <w:sz w:val="20"/>
                <w:szCs w:val="20"/>
                <w:color w:val="auto"/>
              </w:rPr>
            </w:pPr>
            <w:r>
              <w:rPr>
                <w:rFonts w:ascii="Calibri" w:cs="Calibri" w:eastAsia="Calibri" w:hAnsi="Calibri"/>
                <w:sz w:val="10"/>
                <w:szCs w:val="10"/>
                <w:color w:val="auto"/>
              </w:rPr>
              <w:t>385 bps</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103 bps</w:t>
            </w:r>
          </w:p>
        </w:tc>
        <w:tc>
          <w:tcPr>
            <w:tcW w:w="600" w:type="dxa"/>
            <w:vAlign w:val="bottom"/>
          </w:tcPr>
          <w:p>
            <w:pPr>
              <w:jc w:val="center"/>
              <w:ind w:left="111"/>
              <w:spacing w:after="0"/>
              <w:rPr>
                <w:sz w:val="20"/>
                <w:szCs w:val="20"/>
                <w:color w:val="auto"/>
              </w:rPr>
            </w:pPr>
            <w:r>
              <w:rPr>
                <w:rFonts w:ascii="Calibri" w:cs="Calibri" w:eastAsia="Calibri" w:hAnsi="Calibri"/>
                <w:sz w:val="10"/>
                <w:szCs w:val="10"/>
                <w:color w:val="auto"/>
              </w:rPr>
              <w:t>6.7%</w:t>
            </w:r>
          </w:p>
        </w:tc>
        <w:tc>
          <w:tcPr>
            <w:tcW w:w="940" w:type="dxa"/>
            <w:vAlign w:val="bottom"/>
            <w:tcBorders>
              <w:right w:val="single" w:sz="8" w:color="auto"/>
            </w:tcBorders>
          </w:tcPr>
          <w:p>
            <w:pPr>
              <w:jc w:val="center"/>
              <w:ind w:left="91"/>
              <w:spacing w:after="0"/>
              <w:rPr>
                <w:sz w:val="20"/>
                <w:szCs w:val="20"/>
                <w:color w:val="auto"/>
              </w:rPr>
            </w:pPr>
            <w:r>
              <w:rPr>
                <w:rFonts w:ascii="Calibri" w:cs="Calibri" w:eastAsia="Calibri" w:hAnsi="Calibri"/>
                <w:sz w:val="10"/>
                <w:szCs w:val="10"/>
                <w:color w:val="auto"/>
              </w:rPr>
              <w:t>8.5%</w:t>
            </w:r>
          </w:p>
        </w:tc>
        <w:tc>
          <w:tcPr>
            <w:tcW w:w="9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184 bps</w:t>
            </w:r>
          </w:p>
        </w:tc>
        <w:tc>
          <w:tcPr>
            <w:tcW w:w="0" w:type="dxa"/>
            <w:vAlign w:val="bottom"/>
          </w:tcPr>
          <w:p>
            <w:pPr>
              <w:spacing w:after="0"/>
              <w:rPr>
                <w:sz w:val="1"/>
                <w:szCs w:val="1"/>
                <w:color w:val="auto"/>
              </w:rPr>
            </w:pPr>
          </w:p>
        </w:tc>
      </w:tr>
      <w:tr>
        <w:trPr>
          <w:trHeight w:val="30"/>
        </w:trPr>
        <w:tc>
          <w:tcPr>
            <w:tcW w:w="4080" w:type="dxa"/>
            <w:vAlign w:val="bottom"/>
            <w:tcBorders>
              <w:right w:val="single" w:sz="8" w:color="auto"/>
            </w:tcBorders>
            <w:vMerge w:val="restart"/>
          </w:tcPr>
          <w:p>
            <w:pPr>
              <w:ind w:left="20"/>
              <w:spacing w:after="0"/>
              <w:rPr>
                <w:sz w:val="20"/>
                <w:szCs w:val="20"/>
                <w:color w:val="auto"/>
              </w:rPr>
            </w:pPr>
            <w:r>
              <w:rPr>
                <w:rFonts w:ascii="Calibri" w:cs="Calibri" w:eastAsia="Calibri" w:hAnsi="Calibri"/>
                <w:sz w:val="10"/>
                <w:szCs w:val="10"/>
                <w:color w:val="auto"/>
              </w:rPr>
              <w:t>L/D rato</w:t>
            </w:r>
          </w:p>
        </w:tc>
        <w:tc>
          <w:tcPr>
            <w:tcW w:w="1000" w:type="dxa"/>
            <w:vAlign w:val="bottom"/>
            <w:vMerge w:val="restart"/>
          </w:tcPr>
          <w:p>
            <w:pPr>
              <w:jc w:val="center"/>
              <w:spacing w:after="0"/>
              <w:rPr>
                <w:sz w:val="20"/>
                <w:szCs w:val="20"/>
                <w:color w:val="auto"/>
              </w:rPr>
            </w:pPr>
            <w:r>
              <w:rPr>
                <w:rFonts w:ascii="Calibri" w:cs="Calibri" w:eastAsia="Calibri" w:hAnsi="Calibri"/>
                <w:sz w:val="10"/>
                <w:szCs w:val="10"/>
                <w:color w:val="auto"/>
              </w:rPr>
              <w:t>135.1%</w:t>
            </w:r>
          </w:p>
        </w:tc>
        <w:tc>
          <w:tcPr>
            <w:tcW w:w="1040" w:type="dxa"/>
            <w:vAlign w:val="bottom"/>
            <w:vMerge w:val="restart"/>
          </w:tcPr>
          <w:p>
            <w:pPr>
              <w:jc w:val="center"/>
              <w:spacing w:after="0"/>
              <w:rPr>
                <w:sz w:val="20"/>
                <w:szCs w:val="20"/>
                <w:color w:val="auto"/>
              </w:rPr>
            </w:pPr>
            <w:r>
              <w:rPr>
                <w:rFonts w:ascii="Calibri" w:cs="Calibri" w:eastAsia="Calibri" w:hAnsi="Calibri"/>
                <w:sz w:val="10"/>
                <w:szCs w:val="10"/>
                <w:color w:val="auto"/>
              </w:rPr>
              <w:t>120.6%</w:t>
            </w:r>
          </w:p>
        </w:tc>
        <w:tc>
          <w:tcPr>
            <w:tcW w:w="10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0"/>
                <w:szCs w:val="10"/>
                <w:color w:val="auto"/>
              </w:rPr>
              <w:t>112.2%</w:t>
            </w:r>
          </w:p>
        </w:tc>
        <w:tc>
          <w:tcPr>
            <w:tcW w:w="560" w:type="dxa"/>
            <w:vAlign w:val="bottom"/>
            <w:vMerge w:val="restart"/>
          </w:tcPr>
          <w:p>
            <w:pPr>
              <w:jc w:val="center"/>
              <w:ind w:left="131"/>
              <w:spacing w:after="0"/>
              <w:rPr>
                <w:sz w:val="20"/>
                <w:szCs w:val="20"/>
                <w:color w:val="auto"/>
              </w:rPr>
            </w:pPr>
            <w:r>
              <w:rPr>
                <w:rFonts w:ascii="Calibri" w:cs="Calibri" w:eastAsia="Calibri" w:hAnsi="Calibri"/>
                <w:sz w:val="10"/>
                <w:szCs w:val="10"/>
                <w:color w:val="auto"/>
                <w:w w:val="97"/>
              </w:rPr>
              <w:t>-843 bps</w:t>
            </w:r>
          </w:p>
        </w:tc>
        <w:tc>
          <w:tcPr>
            <w:tcW w:w="980" w:type="dxa"/>
            <w:vAlign w:val="bottom"/>
            <w:tcBorders>
              <w:right w:val="single" w:sz="8" w:color="auto"/>
            </w:tcBorders>
            <w:vMerge w:val="restart"/>
          </w:tcPr>
          <w:p>
            <w:pPr>
              <w:jc w:val="center"/>
              <w:ind w:left="131"/>
              <w:spacing w:after="0"/>
              <w:rPr>
                <w:sz w:val="20"/>
                <w:szCs w:val="20"/>
                <w:color w:val="auto"/>
              </w:rPr>
            </w:pPr>
            <w:r>
              <w:rPr>
                <w:rFonts w:ascii="Calibri" w:cs="Calibri" w:eastAsia="Calibri" w:hAnsi="Calibri"/>
                <w:sz w:val="10"/>
                <w:szCs w:val="10"/>
                <w:color w:val="auto"/>
                <w:w w:val="99"/>
              </w:rPr>
              <w:t>-2292 bps</w:t>
            </w: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080" w:type="dxa"/>
            <w:vAlign w:val="bottom"/>
            <w:tcBorders>
              <w:right w:val="single" w:sz="8" w:color="auto"/>
            </w:tcBorders>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IOL rato</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6.2%</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7.4%</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7.0%</w:t>
            </w:r>
          </w:p>
        </w:tc>
        <w:tc>
          <w:tcPr>
            <w:tcW w:w="560" w:type="dxa"/>
            <w:vAlign w:val="bottom"/>
          </w:tcPr>
          <w:p>
            <w:pPr>
              <w:jc w:val="center"/>
              <w:ind w:left="131"/>
              <w:spacing w:after="0"/>
              <w:rPr>
                <w:sz w:val="20"/>
                <w:szCs w:val="20"/>
                <w:color w:val="auto"/>
              </w:rPr>
            </w:pPr>
            <w:r>
              <w:rPr>
                <w:rFonts w:ascii="Calibri" w:cs="Calibri" w:eastAsia="Calibri" w:hAnsi="Calibri"/>
                <w:sz w:val="10"/>
                <w:szCs w:val="10"/>
                <w:color w:val="auto"/>
              </w:rPr>
              <w:t>-37 bps</w:t>
            </w:r>
          </w:p>
        </w:tc>
        <w:tc>
          <w:tcPr>
            <w:tcW w:w="980" w:type="dxa"/>
            <w:vAlign w:val="bottom"/>
            <w:tcBorders>
              <w:right w:val="single" w:sz="8" w:color="auto"/>
            </w:tcBorders>
          </w:tcPr>
          <w:p>
            <w:pPr>
              <w:jc w:val="center"/>
              <w:ind w:left="111"/>
              <w:spacing w:after="0"/>
              <w:rPr>
                <w:sz w:val="20"/>
                <w:szCs w:val="20"/>
                <w:color w:val="auto"/>
              </w:rPr>
            </w:pPr>
            <w:r>
              <w:rPr>
                <w:rFonts w:ascii="Calibri" w:cs="Calibri" w:eastAsia="Calibri" w:hAnsi="Calibri"/>
                <w:sz w:val="10"/>
                <w:szCs w:val="10"/>
                <w:color w:val="auto"/>
                <w:w w:val="96"/>
              </w:rPr>
              <w:t>75 bps</w:t>
            </w: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NPL rato</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6.9%</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8.1%</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7.8%</w:t>
            </w:r>
          </w:p>
        </w:tc>
        <w:tc>
          <w:tcPr>
            <w:tcW w:w="560" w:type="dxa"/>
            <w:vAlign w:val="bottom"/>
          </w:tcPr>
          <w:p>
            <w:pPr>
              <w:jc w:val="center"/>
              <w:ind w:left="131"/>
              <w:spacing w:after="0"/>
              <w:rPr>
                <w:sz w:val="20"/>
                <w:szCs w:val="20"/>
                <w:color w:val="auto"/>
              </w:rPr>
            </w:pPr>
            <w:r>
              <w:rPr>
                <w:rFonts w:ascii="Calibri" w:cs="Calibri" w:eastAsia="Calibri" w:hAnsi="Calibri"/>
                <w:sz w:val="10"/>
                <w:szCs w:val="10"/>
                <w:color w:val="auto"/>
              </w:rPr>
              <w:t>-29 bps</w:t>
            </w:r>
          </w:p>
        </w:tc>
        <w:tc>
          <w:tcPr>
            <w:tcW w:w="980" w:type="dxa"/>
            <w:vAlign w:val="bottom"/>
            <w:tcBorders>
              <w:right w:val="single" w:sz="8" w:color="auto"/>
            </w:tcBorders>
          </w:tcPr>
          <w:p>
            <w:pPr>
              <w:jc w:val="center"/>
              <w:ind w:left="111"/>
              <w:spacing w:after="0"/>
              <w:rPr>
                <w:sz w:val="20"/>
                <w:szCs w:val="20"/>
                <w:color w:val="auto"/>
              </w:rPr>
            </w:pPr>
            <w:r>
              <w:rPr>
                <w:rFonts w:ascii="Calibri" w:cs="Calibri" w:eastAsia="Calibri" w:hAnsi="Calibri"/>
                <w:sz w:val="10"/>
                <w:szCs w:val="10"/>
                <w:color w:val="auto"/>
                <w:w w:val="96"/>
              </w:rPr>
              <w:t>91 bps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Coverage of IOLs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122.1%</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105.3%</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111.1%</w:t>
            </w:r>
          </w:p>
        </w:tc>
        <w:tc>
          <w:tcPr>
            <w:tcW w:w="560" w:type="dxa"/>
            <w:vAlign w:val="bottom"/>
          </w:tcPr>
          <w:p>
            <w:pPr>
              <w:jc w:val="center"/>
              <w:ind w:left="151"/>
              <w:spacing w:after="0"/>
              <w:rPr>
                <w:sz w:val="20"/>
                <w:szCs w:val="20"/>
                <w:color w:val="auto"/>
              </w:rPr>
            </w:pPr>
            <w:r>
              <w:rPr>
                <w:rFonts w:ascii="Calibri" w:cs="Calibri" w:eastAsia="Calibri" w:hAnsi="Calibri"/>
                <w:sz w:val="10"/>
                <w:szCs w:val="10"/>
                <w:color w:val="auto"/>
              </w:rPr>
              <w:t>578 bps</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w w:val="99"/>
              </w:rPr>
              <w:t>-1097 bps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Coverage of NPLs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109.8%</w:t>
            </w:r>
          </w:p>
        </w:tc>
        <w:tc>
          <w:tcPr>
            <w:tcW w:w="1040" w:type="dxa"/>
            <w:vAlign w:val="bottom"/>
          </w:tcPr>
          <w:p>
            <w:pPr>
              <w:jc w:val="center"/>
              <w:spacing w:after="0"/>
              <w:rPr>
                <w:sz w:val="20"/>
                <w:szCs w:val="20"/>
                <w:color w:val="auto"/>
              </w:rPr>
            </w:pPr>
            <w:r>
              <w:rPr>
                <w:rFonts w:ascii="Calibri" w:cs="Calibri" w:eastAsia="Calibri" w:hAnsi="Calibri"/>
                <w:sz w:val="10"/>
                <w:szCs w:val="10"/>
                <w:color w:val="auto"/>
                <w:w w:val="96"/>
              </w:rPr>
              <w:t>95.3%</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w w:val="96"/>
              </w:rPr>
              <w:t>98.9%</w:t>
            </w:r>
          </w:p>
        </w:tc>
        <w:tc>
          <w:tcPr>
            <w:tcW w:w="560" w:type="dxa"/>
            <w:vAlign w:val="bottom"/>
          </w:tcPr>
          <w:p>
            <w:pPr>
              <w:jc w:val="center"/>
              <w:ind w:left="151"/>
              <w:spacing w:after="0"/>
              <w:rPr>
                <w:sz w:val="20"/>
                <w:szCs w:val="20"/>
                <w:color w:val="auto"/>
              </w:rPr>
            </w:pPr>
            <w:r>
              <w:rPr>
                <w:rFonts w:ascii="Calibri" w:cs="Calibri" w:eastAsia="Calibri" w:hAnsi="Calibri"/>
                <w:sz w:val="10"/>
                <w:szCs w:val="10"/>
                <w:color w:val="auto"/>
              </w:rPr>
              <w:t>362 bps</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w w:val="99"/>
              </w:rPr>
              <w:t>-1090 bps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Branches (1)</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292</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285</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283</w:t>
            </w:r>
          </w:p>
        </w:tc>
        <w:tc>
          <w:tcPr>
            <w:tcW w:w="560" w:type="dxa"/>
            <w:vAlign w:val="bottom"/>
          </w:tcPr>
          <w:p>
            <w:pPr>
              <w:jc w:val="center"/>
              <w:ind w:left="131"/>
              <w:spacing w:after="0"/>
              <w:rPr>
                <w:sz w:val="20"/>
                <w:szCs w:val="20"/>
                <w:color w:val="auto"/>
              </w:rPr>
            </w:pPr>
            <w:r>
              <w:rPr>
                <w:rFonts w:ascii="Calibri" w:cs="Calibri" w:eastAsia="Calibri" w:hAnsi="Calibri"/>
                <w:sz w:val="10"/>
                <w:szCs w:val="10"/>
                <w:color w:val="auto"/>
                <w:w w:val="89"/>
              </w:rPr>
              <w:t>(2)</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(9)</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8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Employees</w:t>
            </w:r>
          </w:p>
        </w:tc>
        <w:tc>
          <w:tcPr>
            <w:tcW w:w="1000" w:type="dxa"/>
            <w:vAlign w:val="bottom"/>
          </w:tcPr>
          <w:p>
            <w:pPr>
              <w:jc w:val="center"/>
              <w:spacing w:after="0"/>
              <w:rPr>
                <w:sz w:val="20"/>
                <w:szCs w:val="20"/>
                <w:color w:val="auto"/>
              </w:rPr>
            </w:pPr>
            <w:r>
              <w:rPr>
                <w:rFonts w:ascii="Calibri" w:cs="Calibri" w:eastAsia="Calibri" w:hAnsi="Calibri"/>
                <w:sz w:val="10"/>
                <w:szCs w:val="10"/>
                <w:color w:val="auto"/>
                <w:w w:val="96"/>
              </w:rPr>
              <w:t>9,940</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10,107</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10,101</w:t>
            </w:r>
          </w:p>
        </w:tc>
        <w:tc>
          <w:tcPr>
            <w:tcW w:w="560" w:type="dxa"/>
            <w:vAlign w:val="bottom"/>
          </w:tcPr>
          <w:p>
            <w:pPr>
              <w:jc w:val="center"/>
              <w:ind w:left="131"/>
              <w:spacing w:after="0"/>
              <w:rPr>
                <w:sz w:val="20"/>
                <w:szCs w:val="20"/>
                <w:color w:val="auto"/>
              </w:rPr>
            </w:pPr>
            <w:r>
              <w:rPr>
                <w:rFonts w:ascii="Calibri" w:cs="Calibri" w:eastAsia="Calibri" w:hAnsi="Calibri"/>
                <w:sz w:val="10"/>
                <w:szCs w:val="10"/>
                <w:color w:val="auto"/>
                <w:w w:val="89"/>
              </w:rPr>
              <w:t>(6)</w:t>
            </w:r>
          </w:p>
        </w:tc>
        <w:tc>
          <w:tcPr>
            <w:tcW w:w="980" w:type="dxa"/>
            <w:vAlign w:val="bottom"/>
            <w:tcBorders>
              <w:right w:val="single" w:sz="8" w:color="auto"/>
            </w:tcBorders>
          </w:tcPr>
          <w:p>
            <w:pPr>
              <w:jc w:val="center"/>
              <w:ind w:left="131"/>
              <w:spacing w:after="0"/>
              <w:rPr>
                <w:sz w:val="20"/>
                <w:szCs w:val="20"/>
                <w:color w:val="auto"/>
              </w:rPr>
            </w:pPr>
            <w:r>
              <w:rPr>
                <w:rFonts w:ascii="Calibri" w:cs="Calibri" w:eastAsia="Calibri" w:hAnsi="Calibri"/>
                <w:sz w:val="10"/>
                <w:szCs w:val="10"/>
                <w:color w:val="auto"/>
              </w:rPr>
              <w:t>161</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0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Calibri" w:cs="Calibri" w:eastAsia="Calibri" w:hAnsi="Calibri"/>
          <w:sz w:val="12"/>
          <w:szCs w:val="12"/>
          <w:color w:val="auto"/>
        </w:rPr>
        <w:t>(1) Includes Banco de la Nacion branches, which in September 23 were 36, in June 24 were 36 and in September 24 were 36.</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6" w:name="page67"/>
    <w:bookmarkEnd w:id="66"/>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12.6.7. Prima AFP</w:t>
      </w:r>
    </w:p>
    <w:p>
      <w:pPr>
        <w:spacing w:after="0" w:line="300"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auto"/>
        </w:rPr>
        <w:t>Statement of Financial Positon</w:t>
      </w:r>
    </w:p>
    <w:p>
      <w:pPr>
        <w:spacing w:after="0" w:line="7"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6200" w:type="dxa"/>
            <w:vAlign w:val="bottom"/>
            <w:tcBorders>
              <w:top w:val="single" w:sz="8" w:color="auto"/>
              <w:left w:val="single" w:sz="8" w:color="auto"/>
              <w:right w:val="single" w:sz="8" w:color="auto"/>
            </w:tcBorders>
            <w:shd w:val="clear" w:color="auto" w:fill="33CCCC"/>
          </w:tcPr>
          <w:p>
            <w:pPr>
              <w:spacing w:after="0"/>
              <w:rPr>
                <w:sz w:val="15"/>
                <w:szCs w:val="15"/>
                <w:color w:val="auto"/>
              </w:rPr>
            </w:pPr>
          </w:p>
        </w:tc>
        <w:tc>
          <w:tcPr>
            <w:tcW w:w="1160" w:type="dxa"/>
            <w:vAlign w:val="bottom"/>
            <w:tcBorders>
              <w:top w:val="single" w:sz="8" w:color="auto"/>
            </w:tcBorders>
            <w:shd w:val="clear" w:color="auto" w:fill="33CCCC"/>
          </w:tcPr>
          <w:p>
            <w:pPr>
              <w:spacing w:after="0"/>
              <w:rPr>
                <w:sz w:val="15"/>
                <w:szCs w:val="15"/>
                <w:color w:val="auto"/>
              </w:rPr>
            </w:pPr>
          </w:p>
        </w:tc>
        <w:tc>
          <w:tcPr>
            <w:tcW w:w="1000" w:type="dxa"/>
            <w:vAlign w:val="bottom"/>
            <w:tcBorders>
              <w:top w:val="single" w:sz="8" w:color="auto"/>
            </w:tcBorders>
            <w:shd w:val="clear" w:color="auto" w:fill="33CCCC"/>
          </w:tcPr>
          <w:p>
            <w:pPr>
              <w:jc w:val="right"/>
              <w:ind w:right="453"/>
              <w:spacing w:after="0"/>
              <w:rPr>
                <w:sz w:val="20"/>
                <w:szCs w:val="20"/>
                <w:color w:val="auto"/>
              </w:rPr>
            </w:pPr>
            <w:r>
              <w:rPr>
                <w:rFonts w:ascii="Calibri" w:cs="Calibri" w:eastAsia="Calibri" w:hAnsi="Calibri"/>
                <w:sz w:val="13"/>
                <w:szCs w:val="13"/>
                <w:b w:val="1"/>
                <w:bCs w:val="1"/>
                <w:color w:val="FFFFFF"/>
              </w:rPr>
              <w:t>As of</w:t>
            </w:r>
          </w:p>
        </w:tc>
        <w:tc>
          <w:tcPr>
            <w:tcW w:w="880" w:type="dxa"/>
            <w:vAlign w:val="bottom"/>
            <w:tcBorders>
              <w:top w:val="single" w:sz="8" w:color="auto"/>
              <w:right w:val="single" w:sz="8" w:color="auto"/>
            </w:tcBorders>
            <w:shd w:val="clear" w:color="auto" w:fill="33CCCC"/>
          </w:tcPr>
          <w:p>
            <w:pPr>
              <w:spacing w:after="0"/>
              <w:rPr>
                <w:sz w:val="15"/>
                <w:szCs w:val="15"/>
                <w:color w:val="auto"/>
              </w:rPr>
            </w:pPr>
          </w:p>
        </w:tc>
        <w:tc>
          <w:tcPr>
            <w:tcW w:w="720" w:type="dxa"/>
            <w:vAlign w:val="bottom"/>
            <w:tcBorders>
              <w:top w:val="single" w:sz="8" w:color="auto"/>
            </w:tcBorders>
            <w:shd w:val="clear" w:color="auto" w:fill="33CCCC"/>
          </w:tcPr>
          <w:p>
            <w:pPr>
              <w:spacing w:after="0"/>
              <w:rPr>
                <w:sz w:val="15"/>
                <w:szCs w:val="15"/>
                <w:color w:val="auto"/>
              </w:rPr>
            </w:pPr>
          </w:p>
        </w:tc>
        <w:tc>
          <w:tcPr>
            <w:tcW w:w="1280" w:type="dxa"/>
            <w:vAlign w:val="bottom"/>
            <w:tcBorders>
              <w:top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 change</w:t>
            </w:r>
          </w:p>
        </w:tc>
        <w:tc>
          <w:tcPr>
            <w:tcW w:w="20" w:type="dxa"/>
            <w:vAlign w:val="bottom"/>
          </w:tcPr>
          <w:p>
            <w:pPr>
              <w:spacing w:after="0"/>
              <w:rPr>
                <w:sz w:val="15"/>
                <w:szCs w:val="15"/>
                <w:color w:val="auto"/>
              </w:rPr>
            </w:pPr>
          </w:p>
        </w:tc>
      </w:tr>
      <w:tr>
        <w:trPr>
          <w:trHeight w:val="172"/>
        </w:trPr>
        <w:tc>
          <w:tcPr>
            <w:tcW w:w="6200" w:type="dxa"/>
            <w:vAlign w:val="bottom"/>
            <w:tcBorders>
              <w:left w:val="single" w:sz="8" w:color="auto"/>
              <w:bottom w:val="single" w:sz="8" w:color="33CCCC"/>
              <w:right w:val="single" w:sz="8" w:color="auto"/>
            </w:tcBorders>
            <w:shd w:val="clear" w:color="auto" w:fill="33CCCC"/>
          </w:tcPr>
          <w:p>
            <w:pPr>
              <w:spacing w:after="0"/>
              <w:rPr>
                <w:sz w:val="14"/>
                <w:szCs w:val="14"/>
                <w:color w:val="auto"/>
              </w:rPr>
            </w:pPr>
          </w:p>
        </w:tc>
        <w:tc>
          <w:tcPr>
            <w:tcW w:w="1160" w:type="dxa"/>
            <w:vAlign w:val="bottom"/>
            <w:tcBorders>
              <w:bottom w:val="single" w:sz="8" w:color="33CCCC"/>
            </w:tcBorders>
            <w:shd w:val="clear" w:color="auto" w:fill="33CCCC"/>
          </w:tcPr>
          <w:p>
            <w:pPr>
              <w:jc w:val="right"/>
              <w:ind w:right="413"/>
              <w:spacing w:after="0"/>
              <w:rPr>
                <w:sz w:val="20"/>
                <w:szCs w:val="20"/>
                <w:color w:val="auto"/>
              </w:rPr>
            </w:pPr>
            <w:r>
              <w:rPr>
                <w:rFonts w:ascii="Calibri" w:cs="Calibri" w:eastAsia="Calibri" w:hAnsi="Calibri"/>
                <w:sz w:val="13"/>
                <w:szCs w:val="13"/>
                <w:b w:val="1"/>
                <w:bCs w:val="1"/>
                <w:color w:val="FFFFFF"/>
              </w:rPr>
              <w:t>Sep 23</w:t>
            </w:r>
          </w:p>
        </w:tc>
        <w:tc>
          <w:tcPr>
            <w:tcW w:w="1000" w:type="dxa"/>
            <w:vAlign w:val="bottom"/>
            <w:tcBorders>
              <w:bottom w:val="single" w:sz="8" w:color="33CCCC"/>
            </w:tcBorders>
            <w:shd w:val="clear" w:color="auto" w:fill="33CCCC"/>
          </w:tcPr>
          <w:p>
            <w:pPr>
              <w:jc w:val="right"/>
              <w:ind w:right="413"/>
              <w:spacing w:after="0"/>
              <w:rPr>
                <w:sz w:val="20"/>
                <w:szCs w:val="20"/>
                <w:color w:val="auto"/>
              </w:rPr>
            </w:pPr>
            <w:r>
              <w:rPr>
                <w:rFonts w:ascii="Calibri" w:cs="Calibri" w:eastAsia="Calibri" w:hAnsi="Calibri"/>
                <w:sz w:val="13"/>
                <w:szCs w:val="13"/>
                <w:b w:val="1"/>
                <w:bCs w:val="1"/>
                <w:color w:val="FFFFFF"/>
              </w:rPr>
              <w:t>Jun 24</w:t>
            </w:r>
          </w:p>
        </w:tc>
        <w:tc>
          <w:tcPr>
            <w:tcW w:w="880" w:type="dxa"/>
            <w:vAlign w:val="bottom"/>
            <w:tcBorders>
              <w:bottom w:val="single" w:sz="8" w:color="33CCCC"/>
              <w:right w:val="single" w:sz="8" w:color="auto"/>
            </w:tcBorders>
            <w:shd w:val="clear" w:color="auto" w:fill="33CCCC"/>
          </w:tcPr>
          <w:p>
            <w:pPr>
              <w:jc w:val="right"/>
              <w:ind w:right="273"/>
              <w:spacing w:after="0"/>
              <w:rPr>
                <w:sz w:val="20"/>
                <w:szCs w:val="20"/>
                <w:color w:val="auto"/>
              </w:rPr>
            </w:pPr>
            <w:r>
              <w:rPr>
                <w:rFonts w:ascii="Calibri" w:cs="Calibri" w:eastAsia="Calibri" w:hAnsi="Calibri"/>
                <w:sz w:val="13"/>
                <w:szCs w:val="13"/>
                <w:b w:val="1"/>
                <w:bCs w:val="1"/>
                <w:color w:val="FFFFFF"/>
              </w:rPr>
              <w:t>Sep 24</w:t>
            </w:r>
          </w:p>
        </w:tc>
        <w:tc>
          <w:tcPr>
            <w:tcW w:w="720" w:type="dxa"/>
            <w:vAlign w:val="bottom"/>
            <w:tcBorders>
              <w:bottom w:val="single" w:sz="8" w:color="33CCCC"/>
            </w:tcBorders>
            <w:shd w:val="clear" w:color="auto" w:fill="33CCCC"/>
          </w:tcPr>
          <w:p>
            <w:pPr>
              <w:ind w:left="360"/>
              <w:spacing w:after="0"/>
              <w:rPr>
                <w:sz w:val="20"/>
                <w:szCs w:val="20"/>
                <w:color w:val="auto"/>
              </w:rPr>
            </w:pPr>
            <w:r>
              <w:rPr>
                <w:rFonts w:ascii="Calibri" w:cs="Calibri" w:eastAsia="Calibri" w:hAnsi="Calibri"/>
                <w:sz w:val="13"/>
                <w:szCs w:val="13"/>
                <w:b w:val="1"/>
                <w:bCs w:val="1"/>
                <w:color w:val="FFFFFF"/>
              </w:rPr>
              <w:t>QoQ</w:t>
            </w:r>
          </w:p>
        </w:tc>
        <w:tc>
          <w:tcPr>
            <w:tcW w:w="1280" w:type="dxa"/>
            <w:vAlign w:val="bottom"/>
            <w:tcBorders>
              <w:bottom w:val="single" w:sz="8" w:color="33CCCC"/>
            </w:tcBorders>
            <w:shd w:val="clear" w:color="auto" w:fill="33CCCC"/>
          </w:tcPr>
          <w:p>
            <w:pPr>
              <w:ind w:left="680"/>
              <w:spacing w:after="0"/>
              <w:rPr>
                <w:sz w:val="20"/>
                <w:szCs w:val="20"/>
                <w:color w:val="auto"/>
              </w:rPr>
            </w:pPr>
            <w:r>
              <w:rPr>
                <w:rFonts w:ascii="Calibri" w:cs="Calibri" w:eastAsia="Calibri" w:hAnsi="Calibri"/>
                <w:sz w:val="13"/>
                <w:szCs w:val="13"/>
                <w:b w:val="1"/>
                <w:bCs w:val="1"/>
                <w:color w:val="FFFFFF"/>
              </w:rPr>
              <w:t>YoY</w:t>
            </w:r>
          </w:p>
        </w:tc>
        <w:tc>
          <w:tcPr>
            <w:tcW w:w="20" w:type="dxa"/>
            <w:vAlign w:val="bottom"/>
            <w:tcBorders>
              <w:bottom w:val="single" w:sz="8" w:color="auto"/>
            </w:tcBorders>
            <w:shd w:val="clear" w:color="auto" w:fill="000000"/>
          </w:tcPr>
          <w:p>
            <w:pPr>
              <w:spacing w:after="0"/>
              <w:rPr>
                <w:sz w:val="14"/>
                <w:szCs w:val="14"/>
                <w:color w:val="auto"/>
              </w:rPr>
            </w:pPr>
          </w:p>
        </w:tc>
      </w:tr>
      <w:tr>
        <w:trPr>
          <w:trHeight w:val="159"/>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b w:val="1"/>
                <w:bCs w:val="1"/>
                <w:color w:val="auto"/>
              </w:rPr>
              <w:t>Cash and due from banks</w:t>
            </w:r>
          </w:p>
        </w:tc>
        <w:tc>
          <w:tcPr>
            <w:tcW w:w="116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79,046</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55,243</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144,402</w:t>
            </w:r>
          </w:p>
        </w:tc>
        <w:tc>
          <w:tcPr>
            <w:tcW w:w="720" w:type="dxa"/>
            <w:vAlign w:val="bottom"/>
          </w:tcPr>
          <w:p>
            <w:pPr>
              <w:jc w:val="center"/>
              <w:ind w:left="193"/>
              <w:spacing w:after="0"/>
              <w:rPr>
                <w:sz w:val="20"/>
                <w:szCs w:val="20"/>
                <w:color w:val="auto"/>
              </w:rPr>
            </w:pPr>
            <w:r>
              <w:rPr>
                <w:rFonts w:ascii="Calibri" w:cs="Calibri" w:eastAsia="Calibri" w:hAnsi="Calibri"/>
                <w:sz w:val="13"/>
                <w:szCs w:val="13"/>
                <w:b w:val="1"/>
                <w:bCs w:val="1"/>
                <w:color w:val="auto"/>
              </w:rPr>
              <w:t>161.4%</w:t>
            </w:r>
          </w:p>
        </w:tc>
        <w:tc>
          <w:tcPr>
            <w:tcW w:w="1280" w:type="dxa"/>
            <w:vAlign w:val="bottom"/>
          </w:tcPr>
          <w:p>
            <w:pPr>
              <w:jc w:val="center"/>
              <w:ind w:left="193"/>
              <w:spacing w:after="0"/>
              <w:rPr>
                <w:sz w:val="20"/>
                <w:szCs w:val="20"/>
                <w:color w:val="auto"/>
              </w:rPr>
            </w:pPr>
            <w:r>
              <w:rPr>
                <w:rFonts w:ascii="Calibri" w:cs="Calibri" w:eastAsia="Calibri" w:hAnsi="Calibri"/>
                <w:sz w:val="13"/>
                <w:szCs w:val="13"/>
                <w:b w:val="1"/>
                <w:bCs w:val="1"/>
                <w:color w:val="auto"/>
              </w:rPr>
              <w:t>82.7%</w:t>
            </w:r>
          </w:p>
        </w:tc>
        <w:tc>
          <w:tcPr>
            <w:tcW w:w="20" w:type="dxa"/>
            <w:vAlign w:val="bottom"/>
            <w:shd w:val="clear" w:color="auto" w:fill="000000"/>
          </w:tcPr>
          <w:p>
            <w:pPr>
              <w:spacing w:after="0"/>
              <w:rPr>
                <w:sz w:val="13"/>
                <w:szCs w:val="13"/>
                <w:color w:val="auto"/>
              </w:rPr>
            </w:pPr>
          </w:p>
        </w:tc>
      </w:tr>
      <w:tr>
        <w:trPr>
          <w:trHeight w:val="170"/>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Non-interest bearing</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4,691</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8,333</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4,555</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-45.3%</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-2.9%</w:t>
            </w:r>
          </w:p>
        </w:tc>
        <w:tc>
          <w:tcPr>
            <w:tcW w:w="20" w:type="dxa"/>
            <w:vAlign w:val="bottom"/>
            <w:shd w:val="clear" w:color="auto" w:fill="000000"/>
          </w:tcPr>
          <w:p>
            <w:pPr>
              <w:spacing w:after="0"/>
              <w:rPr>
                <w:sz w:val="14"/>
                <w:szCs w:val="14"/>
                <w:color w:val="auto"/>
              </w:rPr>
            </w:pPr>
          </w:p>
        </w:tc>
      </w:tr>
      <w:tr>
        <w:trPr>
          <w:trHeight w:val="176"/>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Interest bearing</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74,355</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46,910</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139,847</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198.1%</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88.1%</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Fair value through proft or loss investments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318,904</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374,810</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317,682</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-15.2%</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-0.4%</w:t>
            </w:r>
          </w:p>
        </w:tc>
        <w:tc>
          <w:tcPr>
            <w:tcW w:w="20" w:type="dxa"/>
            <w:vAlign w:val="bottom"/>
            <w:shd w:val="clear" w:color="auto" w:fill="000000"/>
          </w:tcPr>
          <w:p>
            <w:pPr>
              <w:spacing w:after="0"/>
              <w:rPr>
                <w:sz w:val="15"/>
                <w:szCs w:val="15"/>
                <w:color w:val="auto"/>
              </w:rPr>
            </w:pPr>
          </w:p>
        </w:tc>
      </w:tr>
      <w:tr>
        <w:trPr>
          <w:trHeight w:val="175"/>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Fair value through other comprehensive income investments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978</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1,035</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1,171</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13.1%</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19.7%</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Property, plant and equipment, net</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12,945</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8,704</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7,638</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-12.2%</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-41.0%</w:t>
            </w:r>
          </w:p>
        </w:tc>
        <w:tc>
          <w:tcPr>
            <w:tcW w:w="20" w:type="dxa"/>
            <w:vAlign w:val="bottom"/>
            <w:shd w:val="clear" w:color="auto" w:fill="000000"/>
          </w:tcPr>
          <w:p>
            <w:pPr>
              <w:spacing w:after="0"/>
              <w:rPr>
                <w:sz w:val="15"/>
                <w:szCs w:val="15"/>
                <w:color w:val="auto"/>
              </w:rPr>
            </w:pPr>
          </w:p>
        </w:tc>
      </w:tr>
      <w:tr>
        <w:trPr>
          <w:trHeight w:val="175"/>
        </w:trPr>
        <w:tc>
          <w:tcPr>
            <w:tcW w:w="620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3"/>
                <w:szCs w:val="13"/>
                <w:color w:val="auto"/>
              </w:rPr>
              <w:t>Other Assets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272,962</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227,174</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260,067</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14.5%</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-4.7%</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Assets</w:t>
            </w:r>
          </w:p>
        </w:tc>
        <w:tc>
          <w:tcPr>
            <w:tcW w:w="116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684,835</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666,966</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730,960</w:t>
            </w:r>
          </w:p>
        </w:tc>
        <w:tc>
          <w:tcPr>
            <w:tcW w:w="720" w:type="dxa"/>
            <w:vAlign w:val="bottom"/>
          </w:tcPr>
          <w:p>
            <w:pPr>
              <w:jc w:val="center"/>
              <w:ind w:left="193"/>
              <w:spacing w:after="0"/>
              <w:rPr>
                <w:sz w:val="20"/>
                <w:szCs w:val="20"/>
                <w:color w:val="auto"/>
              </w:rPr>
            </w:pPr>
            <w:r>
              <w:rPr>
                <w:rFonts w:ascii="Calibri" w:cs="Calibri" w:eastAsia="Calibri" w:hAnsi="Calibri"/>
                <w:sz w:val="13"/>
                <w:szCs w:val="13"/>
                <w:b w:val="1"/>
                <w:bCs w:val="1"/>
                <w:color w:val="auto"/>
                <w:w w:val="99"/>
              </w:rPr>
              <w:t>9.6%</w:t>
            </w:r>
          </w:p>
        </w:tc>
        <w:tc>
          <w:tcPr>
            <w:tcW w:w="1280" w:type="dxa"/>
            <w:vAlign w:val="bottom"/>
          </w:tcPr>
          <w:p>
            <w:pPr>
              <w:jc w:val="center"/>
              <w:ind w:left="193"/>
              <w:spacing w:after="0"/>
              <w:rPr>
                <w:sz w:val="20"/>
                <w:szCs w:val="20"/>
                <w:color w:val="auto"/>
              </w:rPr>
            </w:pPr>
            <w:r>
              <w:rPr>
                <w:rFonts w:ascii="Calibri" w:cs="Calibri" w:eastAsia="Calibri" w:hAnsi="Calibri"/>
                <w:sz w:val="13"/>
                <w:szCs w:val="13"/>
                <w:b w:val="1"/>
                <w:bCs w:val="1"/>
                <w:color w:val="auto"/>
                <w:w w:val="99"/>
              </w:rPr>
              <w:t>6.7%</w:t>
            </w:r>
          </w:p>
        </w:tc>
        <w:tc>
          <w:tcPr>
            <w:tcW w:w="20" w:type="dxa"/>
            <w:vAlign w:val="bottom"/>
            <w:shd w:val="clear" w:color="auto" w:fill="000000"/>
          </w:tcPr>
          <w:p>
            <w:pPr>
              <w:spacing w:after="0"/>
              <w:rPr>
                <w:sz w:val="15"/>
                <w:szCs w:val="15"/>
                <w:color w:val="auto"/>
              </w:rPr>
            </w:pPr>
          </w:p>
        </w:tc>
      </w:tr>
      <w:tr>
        <w:trPr>
          <w:trHeight w:val="175"/>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Due to banks and correspondents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22</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6</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6</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0.0%</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-72.7%</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Lease payable</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8,823</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5,172</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4,203</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-18.7%</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-52.4%</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Other liabilites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216,412</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182,283</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212,464</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16.6%</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-1.8%</w:t>
            </w:r>
          </w:p>
        </w:tc>
        <w:tc>
          <w:tcPr>
            <w:tcW w:w="20" w:type="dxa"/>
            <w:vAlign w:val="bottom"/>
            <w:shd w:val="clear" w:color="auto" w:fill="000000"/>
          </w:tcPr>
          <w:p>
            <w:pPr>
              <w:spacing w:after="0"/>
              <w:rPr>
                <w:sz w:val="15"/>
                <w:szCs w:val="15"/>
                <w:color w:val="auto"/>
              </w:rPr>
            </w:pPr>
          </w:p>
        </w:tc>
      </w:tr>
      <w:tr>
        <w:trPr>
          <w:trHeight w:val="175"/>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Liabilites</w:t>
            </w:r>
          </w:p>
        </w:tc>
        <w:tc>
          <w:tcPr>
            <w:tcW w:w="116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225,257</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187,461</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216,673</w:t>
            </w:r>
          </w:p>
        </w:tc>
        <w:tc>
          <w:tcPr>
            <w:tcW w:w="720" w:type="dxa"/>
            <w:vAlign w:val="bottom"/>
          </w:tcPr>
          <w:p>
            <w:pPr>
              <w:jc w:val="center"/>
              <w:ind w:left="193"/>
              <w:spacing w:after="0"/>
              <w:rPr>
                <w:sz w:val="20"/>
                <w:szCs w:val="20"/>
                <w:color w:val="auto"/>
              </w:rPr>
            </w:pPr>
            <w:r>
              <w:rPr>
                <w:rFonts w:ascii="Calibri" w:cs="Calibri" w:eastAsia="Calibri" w:hAnsi="Calibri"/>
                <w:sz w:val="13"/>
                <w:szCs w:val="13"/>
                <w:b w:val="1"/>
                <w:bCs w:val="1"/>
                <w:color w:val="auto"/>
              </w:rPr>
              <w:t>15.6%</w:t>
            </w:r>
          </w:p>
        </w:tc>
        <w:tc>
          <w:tcPr>
            <w:tcW w:w="1280" w:type="dxa"/>
            <w:vAlign w:val="bottom"/>
          </w:tcPr>
          <w:p>
            <w:pPr>
              <w:jc w:val="center"/>
              <w:ind w:left="213"/>
              <w:spacing w:after="0"/>
              <w:rPr>
                <w:sz w:val="20"/>
                <w:szCs w:val="20"/>
                <w:color w:val="auto"/>
              </w:rPr>
            </w:pPr>
            <w:r>
              <w:rPr>
                <w:rFonts w:ascii="Calibri" w:cs="Calibri" w:eastAsia="Calibri" w:hAnsi="Calibri"/>
                <w:sz w:val="13"/>
                <w:szCs w:val="13"/>
                <w:b w:val="1"/>
                <w:bCs w:val="1"/>
                <w:color w:val="auto"/>
              </w:rPr>
              <w:t>-3.8%</w:t>
            </w:r>
          </w:p>
        </w:tc>
        <w:tc>
          <w:tcPr>
            <w:tcW w:w="20" w:type="dxa"/>
            <w:vAlign w:val="bottom"/>
            <w:shd w:val="clear" w:color="auto" w:fill="000000"/>
          </w:tcPr>
          <w:p>
            <w:pPr>
              <w:spacing w:after="0"/>
              <w:rPr>
                <w:sz w:val="15"/>
                <w:szCs w:val="15"/>
                <w:color w:val="auto"/>
              </w:rPr>
            </w:pPr>
          </w:p>
        </w:tc>
      </w:tr>
      <w:tr>
        <w:trPr>
          <w:trHeight w:val="351"/>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Capital stock</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40,505</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40,505</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40,505</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0.0%</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0.0%</w:t>
            </w:r>
          </w:p>
        </w:tc>
        <w:tc>
          <w:tcPr>
            <w:tcW w:w="20" w:type="dxa"/>
            <w:vAlign w:val="bottom"/>
            <w:shd w:val="clear" w:color="auto" w:fill="000000"/>
          </w:tcPr>
          <w:p>
            <w:pPr>
              <w:spacing w:after="0"/>
              <w:rPr>
                <w:sz w:val="24"/>
                <w:szCs w:val="24"/>
                <w:color w:val="auto"/>
              </w:rPr>
            </w:pPr>
          </w:p>
        </w:tc>
      </w:tr>
      <w:tr>
        <w:trPr>
          <w:trHeight w:val="176"/>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Reserves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20,243</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20,243</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20,243</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0.0%</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0.0%</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340"/>
              <w:spacing w:after="0"/>
              <w:rPr>
                <w:sz w:val="20"/>
                <w:szCs w:val="20"/>
                <w:color w:val="auto"/>
              </w:rPr>
            </w:pPr>
            <w:r>
              <w:rPr>
                <w:rFonts w:ascii="Calibri" w:cs="Calibri" w:eastAsia="Calibri" w:hAnsi="Calibri"/>
                <w:sz w:val="13"/>
                <w:szCs w:val="13"/>
                <w:color w:val="auto"/>
              </w:rPr>
              <w:t>Other reserves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64</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330</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425</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28.8%</w:t>
            </w:r>
          </w:p>
        </w:tc>
        <w:tc>
          <w:tcPr>
            <w:tcW w:w="1280" w:type="dxa"/>
            <w:vAlign w:val="bottom"/>
          </w:tcPr>
          <w:p>
            <w:pPr>
              <w:ind w:left="680"/>
              <w:spacing w:after="0"/>
              <w:rPr>
                <w:sz w:val="20"/>
                <w:szCs w:val="20"/>
                <w:color w:val="auto"/>
              </w:rPr>
            </w:pPr>
            <w:r>
              <w:rPr>
                <w:rFonts w:ascii="Calibri" w:cs="Calibri" w:eastAsia="Calibri" w:hAnsi="Calibri"/>
                <w:sz w:val="13"/>
                <w:szCs w:val="13"/>
                <w:color w:val="auto"/>
              </w:rPr>
              <w:t>n.a.</w:t>
            </w:r>
          </w:p>
        </w:tc>
        <w:tc>
          <w:tcPr>
            <w:tcW w:w="20" w:type="dxa"/>
            <w:vAlign w:val="bottom"/>
            <w:shd w:val="clear" w:color="auto" w:fill="000000"/>
          </w:tcPr>
          <w:p>
            <w:pPr>
              <w:spacing w:after="0"/>
              <w:rPr>
                <w:sz w:val="15"/>
                <w:szCs w:val="15"/>
                <w:color w:val="auto"/>
              </w:rPr>
            </w:pPr>
          </w:p>
        </w:tc>
      </w:tr>
      <w:tr>
        <w:trPr>
          <w:trHeight w:val="351"/>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Retained earnings</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289,597</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344,510</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344,510</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0.0%</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19.0%</w:t>
            </w:r>
          </w:p>
        </w:tc>
        <w:tc>
          <w:tcPr>
            <w:tcW w:w="20" w:type="dxa"/>
            <w:vAlign w:val="bottom"/>
            <w:shd w:val="clear" w:color="auto" w:fill="000000"/>
          </w:tcPr>
          <w:p>
            <w:pPr>
              <w:spacing w:after="0"/>
              <w:rPr>
                <w:sz w:val="24"/>
                <w:szCs w:val="24"/>
                <w:color w:val="auto"/>
              </w:rPr>
            </w:pPr>
          </w:p>
        </w:tc>
      </w:tr>
      <w:tr>
        <w:trPr>
          <w:trHeight w:val="175"/>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Net Income for the Period</w:t>
            </w:r>
          </w:p>
        </w:tc>
        <w:tc>
          <w:tcPr>
            <w:tcW w:w="1160" w:type="dxa"/>
            <w:vAlign w:val="bottom"/>
          </w:tcPr>
          <w:p>
            <w:pPr>
              <w:jc w:val="right"/>
              <w:ind w:right="93"/>
              <w:spacing w:after="0"/>
              <w:rPr>
                <w:sz w:val="20"/>
                <w:szCs w:val="20"/>
                <w:color w:val="auto"/>
              </w:rPr>
            </w:pPr>
            <w:r>
              <w:rPr>
                <w:rFonts w:ascii="Calibri" w:cs="Calibri" w:eastAsia="Calibri" w:hAnsi="Calibri"/>
                <w:sz w:val="13"/>
                <w:szCs w:val="13"/>
                <w:color w:val="auto"/>
              </w:rPr>
              <w:t>109,169</w:t>
            </w:r>
          </w:p>
        </w:tc>
        <w:tc>
          <w:tcPr>
            <w:tcW w:w="1000" w:type="dxa"/>
            <w:vAlign w:val="bottom"/>
          </w:tcPr>
          <w:p>
            <w:pPr>
              <w:jc w:val="right"/>
              <w:ind w:right="93"/>
              <w:spacing w:after="0"/>
              <w:rPr>
                <w:sz w:val="20"/>
                <w:szCs w:val="20"/>
                <w:color w:val="auto"/>
              </w:rPr>
            </w:pPr>
            <w:r>
              <w:rPr>
                <w:rFonts w:ascii="Calibri" w:cs="Calibri" w:eastAsia="Calibri" w:hAnsi="Calibri"/>
                <w:sz w:val="13"/>
                <w:szCs w:val="13"/>
                <w:color w:val="auto"/>
              </w:rPr>
              <w:t>73,917</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108,604</w:t>
            </w:r>
          </w:p>
        </w:tc>
        <w:tc>
          <w:tcPr>
            <w:tcW w:w="720" w:type="dxa"/>
            <w:vAlign w:val="bottom"/>
          </w:tcPr>
          <w:p>
            <w:pPr>
              <w:jc w:val="center"/>
              <w:ind w:left="193"/>
              <w:spacing w:after="0"/>
              <w:rPr>
                <w:sz w:val="20"/>
                <w:szCs w:val="20"/>
                <w:color w:val="auto"/>
              </w:rPr>
            </w:pPr>
            <w:r>
              <w:rPr>
                <w:rFonts w:ascii="Calibri" w:cs="Calibri" w:eastAsia="Calibri" w:hAnsi="Calibri"/>
                <w:sz w:val="13"/>
                <w:szCs w:val="13"/>
                <w:color w:val="auto"/>
              </w:rPr>
              <w:t>46.9%</w:t>
            </w:r>
          </w:p>
        </w:tc>
        <w:tc>
          <w:tcPr>
            <w:tcW w:w="1280" w:type="dxa"/>
            <w:vAlign w:val="bottom"/>
          </w:tcPr>
          <w:p>
            <w:pPr>
              <w:jc w:val="center"/>
              <w:ind w:left="193"/>
              <w:spacing w:after="0"/>
              <w:rPr>
                <w:sz w:val="20"/>
                <w:szCs w:val="20"/>
                <w:color w:val="auto"/>
              </w:rPr>
            </w:pPr>
            <w:r>
              <w:rPr>
                <w:rFonts w:ascii="Calibri" w:cs="Calibri" w:eastAsia="Calibri" w:hAnsi="Calibri"/>
                <w:sz w:val="13"/>
                <w:szCs w:val="13"/>
                <w:color w:val="auto"/>
              </w:rPr>
              <w:t>-0.5%</w:t>
            </w:r>
          </w:p>
        </w:tc>
        <w:tc>
          <w:tcPr>
            <w:tcW w:w="20" w:type="dxa"/>
            <w:vAlign w:val="bottom"/>
            <w:shd w:val="clear" w:color="auto" w:fill="000000"/>
          </w:tcPr>
          <w:p>
            <w:pPr>
              <w:spacing w:after="0"/>
              <w:rPr>
                <w:sz w:val="15"/>
                <w:szCs w:val="15"/>
                <w:color w:val="auto"/>
              </w:rPr>
            </w:pPr>
          </w:p>
        </w:tc>
      </w:tr>
      <w:tr>
        <w:trPr>
          <w:trHeight w:val="176"/>
        </w:trPr>
        <w:tc>
          <w:tcPr>
            <w:tcW w:w="62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b w:val="1"/>
                <w:bCs w:val="1"/>
                <w:color w:val="auto"/>
              </w:rPr>
              <w:t>Total Liabilites and Equity</w:t>
            </w:r>
          </w:p>
        </w:tc>
        <w:tc>
          <w:tcPr>
            <w:tcW w:w="116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684,835</w:t>
            </w:r>
          </w:p>
        </w:tc>
        <w:tc>
          <w:tcPr>
            <w:tcW w:w="1000" w:type="dxa"/>
            <w:vAlign w:val="bottom"/>
          </w:tcPr>
          <w:p>
            <w:pPr>
              <w:jc w:val="right"/>
              <w:ind w:right="93"/>
              <w:spacing w:after="0"/>
              <w:rPr>
                <w:sz w:val="20"/>
                <w:szCs w:val="20"/>
                <w:color w:val="auto"/>
              </w:rPr>
            </w:pPr>
            <w:r>
              <w:rPr>
                <w:rFonts w:ascii="Calibri" w:cs="Calibri" w:eastAsia="Calibri" w:hAnsi="Calibri"/>
                <w:sz w:val="13"/>
                <w:szCs w:val="13"/>
                <w:b w:val="1"/>
                <w:bCs w:val="1"/>
                <w:color w:val="auto"/>
              </w:rPr>
              <w:t>666,966</w:t>
            </w:r>
          </w:p>
        </w:tc>
        <w:tc>
          <w:tcPr>
            <w:tcW w:w="88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b w:val="1"/>
                <w:bCs w:val="1"/>
                <w:color w:val="auto"/>
              </w:rPr>
              <w:t>730,960</w:t>
            </w:r>
          </w:p>
        </w:tc>
        <w:tc>
          <w:tcPr>
            <w:tcW w:w="720" w:type="dxa"/>
            <w:vAlign w:val="bottom"/>
          </w:tcPr>
          <w:p>
            <w:pPr>
              <w:jc w:val="center"/>
              <w:ind w:left="193"/>
              <w:spacing w:after="0"/>
              <w:rPr>
                <w:sz w:val="20"/>
                <w:szCs w:val="20"/>
                <w:color w:val="auto"/>
              </w:rPr>
            </w:pPr>
            <w:r>
              <w:rPr>
                <w:rFonts w:ascii="Calibri" w:cs="Calibri" w:eastAsia="Calibri" w:hAnsi="Calibri"/>
                <w:sz w:val="13"/>
                <w:szCs w:val="13"/>
                <w:b w:val="1"/>
                <w:bCs w:val="1"/>
                <w:color w:val="auto"/>
                <w:w w:val="99"/>
              </w:rPr>
              <w:t>9.6%</w:t>
            </w:r>
          </w:p>
        </w:tc>
        <w:tc>
          <w:tcPr>
            <w:tcW w:w="1280" w:type="dxa"/>
            <w:vAlign w:val="bottom"/>
          </w:tcPr>
          <w:p>
            <w:pPr>
              <w:jc w:val="center"/>
              <w:ind w:left="193"/>
              <w:spacing w:after="0"/>
              <w:rPr>
                <w:sz w:val="20"/>
                <w:szCs w:val="20"/>
                <w:color w:val="auto"/>
              </w:rPr>
            </w:pPr>
            <w:r>
              <w:rPr>
                <w:rFonts w:ascii="Calibri" w:cs="Calibri" w:eastAsia="Calibri" w:hAnsi="Calibri"/>
                <w:sz w:val="13"/>
                <w:szCs w:val="13"/>
                <w:b w:val="1"/>
                <w:bCs w:val="1"/>
                <w:color w:val="auto"/>
                <w:w w:val="99"/>
              </w:rPr>
              <w:t>6.7%</w:t>
            </w:r>
          </w:p>
        </w:tc>
        <w:tc>
          <w:tcPr>
            <w:tcW w:w="20" w:type="dxa"/>
            <w:vAlign w:val="bottom"/>
            <w:shd w:val="clear" w:color="auto" w:fill="000000"/>
          </w:tcPr>
          <w:p>
            <w:pPr>
              <w:spacing w:after="0"/>
              <w:rPr>
                <w:sz w:val="15"/>
                <w:szCs w:val="15"/>
                <w:color w:val="auto"/>
              </w:rPr>
            </w:pPr>
          </w:p>
        </w:tc>
      </w:tr>
      <w:tr>
        <w:trPr>
          <w:trHeight w:val="22"/>
        </w:trPr>
        <w:tc>
          <w:tcPr>
            <w:tcW w:w="6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b w:val="1"/>
          <w:bCs w:val="1"/>
          <w:color w:val="auto"/>
        </w:rPr>
        <w:t>Statement of Income</w:t>
      </w:r>
    </w:p>
    <w:p>
      <w:pPr>
        <w:spacing w:after="0" w:line="5"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auto"/>
        </w:rPr>
        <w:t>(S/ Thousands, IFRS)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34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820" w:type="dxa"/>
            <w:vAlign w:val="bottom"/>
            <w:tcBorders>
              <w:top w:val="single" w:sz="8" w:color="auto"/>
            </w:tcBorders>
            <w:shd w:val="clear" w:color="auto" w:fill="33CCCC"/>
          </w:tcPr>
          <w:p>
            <w:pPr>
              <w:spacing w:after="0"/>
              <w:rPr>
                <w:sz w:val="12"/>
                <w:szCs w:val="12"/>
                <w:color w:val="auto"/>
              </w:rPr>
            </w:pPr>
          </w:p>
        </w:tc>
        <w:tc>
          <w:tcPr>
            <w:tcW w:w="800" w:type="dxa"/>
            <w:vAlign w:val="bottom"/>
            <w:tcBorders>
              <w:top w:val="single" w:sz="8" w:color="auto"/>
            </w:tcBorders>
            <w:shd w:val="clear" w:color="auto" w:fill="33CCCC"/>
          </w:tcPr>
          <w:p>
            <w:pPr>
              <w:jc w:val="center"/>
              <w:ind w:right="166"/>
              <w:spacing w:after="0"/>
              <w:rPr>
                <w:sz w:val="20"/>
                <w:szCs w:val="20"/>
                <w:color w:val="auto"/>
              </w:rPr>
            </w:pPr>
            <w:r>
              <w:rPr>
                <w:rFonts w:ascii="Calibri" w:cs="Calibri" w:eastAsia="Calibri" w:hAnsi="Calibri"/>
                <w:sz w:val="12"/>
                <w:szCs w:val="12"/>
                <w:b w:val="1"/>
                <w:bCs w:val="1"/>
                <w:color w:val="FFFFFF"/>
                <w:w w:val="96"/>
              </w:rPr>
              <w:t>Quarter</w:t>
            </w:r>
          </w:p>
        </w:tc>
        <w:tc>
          <w:tcPr>
            <w:tcW w:w="640" w:type="dxa"/>
            <w:vAlign w:val="bottom"/>
            <w:tcBorders>
              <w:top w:val="single" w:sz="8" w:color="auto"/>
              <w:right w:val="single" w:sz="8" w:color="auto"/>
            </w:tcBorders>
            <w:shd w:val="clear" w:color="auto" w:fill="33CCCC"/>
          </w:tcPr>
          <w:p>
            <w:pPr>
              <w:spacing w:after="0"/>
              <w:rPr>
                <w:sz w:val="12"/>
                <w:szCs w:val="12"/>
                <w:color w:val="auto"/>
              </w:rPr>
            </w:pPr>
          </w:p>
        </w:tc>
        <w:tc>
          <w:tcPr>
            <w:tcW w:w="120" w:type="dxa"/>
            <w:vAlign w:val="bottom"/>
            <w:tcBorders>
              <w:top w:val="single" w:sz="8" w:color="auto"/>
            </w:tcBorders>
            <w:shd w:val="clear" w:color="auto" w:fill="33CCCC"/>
          </w:tcPr>
          <w:p>
            <w:pPr>
              <w:spacing w:after="0"/>
              <w:rPr>
                <w:sz w:val="12"/>
                <w:szCs w:val="12"/>
                <w:color w:val="auto"/>
              </w:rPr>
            </w:pPr>
          </w:p>
        </w:tc>
        <w:tc>
          <w:tcPr>
            <w:tcW w:w="1400" w:type="dxa"/>
            <w:vAlign w:val="bottom"/>
            <w:tcBorders>
              <w:top w:val="single" w:sz="8" w:color="auto"/>
              <w:right w:val="single" w:sz="8" w:color="auto"/>
            </w:tcBorders>
            <w:gridSpan w:val="2"/>
            <w:shd w:val="clear" w:color="auto" w:fill="33CCCC"/>
          </w:tcPr>
          <w:p>
            <w:pPr>
              <w:jc w:val="center"/>
              <w:ind w:right="86"/>
              <w:spacing w:after="0"/>
              <w:rPr>
                <w:sz w:val="20"/>
                <w:szCs w:val="20"/>
                <w:color w:val="auto"/>
              </w:rPr>
            </w:pPr>
            <w:r>
              <w:rPr>
                <w:rFonts w:ascii="Calibri" w:cs="Calibri" w:eastAsia="Calibri" w:hAnsi="Calibri"/>
                <w:sz w:val="12"/>
                <w:szCs w:val="12"/>
                <w:b w:val="1"/>
                <w:bCs w:val="1"/>
                <w:color w:val="FFFFFF"/>
                <w:w w:val="97"/>
              </w:rPr>
              <w:t>% change</w:t>
            </w:r>
          </w:p>
        </w:tc>
        <w:tc>
          <w:tcPr>
            <w:tcW w:w="1060" w:type="dxa"/>
            <w:vAlign w:val="bottom"/>
            <w:tcBorders>
              <w:top w:val="single" w:sz="8" w:color="auto"/>
            </w:tcBorders>
            <w:shd w:val="clear" w:color="auto" w:fill="33CCCC"/>
          </w:tcPr>
          <w:p>
            <w:pPr>
              <w:jc w:val="right"/>
              <w:ind w:right="6"/>
              <w:spacing w:after="0"/>
              <w:rPr>
                <w:sz w:val="20"/>
                <w:szCs w:val="20"/>
                <w:color w:val="auto"/>
              </w:rPr>
            </w:pPr>
            <w:r>
              <w:rPr>
                <w:rFonts w:ascii="Calibri" w:cs="Calibri" w:eastAsia="Calibri" w:hAnsi="Calibri"/>
                <w:sz w:val="12"/>
                <w:szCs w:val="12"/>
                <w:b w:val="1"/>
                <w:bCs w:val="1"/>
                <w:color w:val="FFFFFF"/>
              </w:rPr>
              <w:t>Up to</w:t>
            </w:r>
          </w:p>
        </w:tc>
        <w:tc>
          <w:tcPr>
            <w:tcW w:w="680" w:type="dxa"/>
            <w:vAlign w:val="bottom"/>
            <w:tcBorders>
              <w:top w:val="single" w:sz="8" w:color="auto"/>
              <w:right w:val="single" w:sz="8" w:color="auto"/>
            </w:tcBorders>
            <w:shd w:val="clear" w:color="auto" w:fill="33CCCC"/>
          </w:tcPr>
          <w:p>
            <w:pPr>
              <w:spacing w:after="0"/>
              <w:rPr>
                <w:sz w:val="12"/>
                <w:szCs w:val="12"/>
                <w:color w:val="auto"/>
              </w:rPr>
            </w:pP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7"/>
              </w:rPr>
              <w:t>% change</w:t>
            </w:r>
          </w:p>
        </w:tc>
        <w:tc>
          <w:tcPr>
            <w:tcW w:w="0" w:type="dxa"/>
            <w:vAlign w:val="bottom"/>
          </w:tcPr>
          <w:p>
            <w:pPr>
              <w:spacing w:after="0"/>
              <w:rPr>
                <w:sz w:val="1"/>
                <w:szCs w:val="1"/>
                <w:color w:val="auto"/>
              </w:rPr>
            </w:pPr>
          </w:p>
        </w:tc>
      </w:tr>
      <w:tr>
        <w:trPr>
          <w:trHeight w:val="131"/>
        </w:trPr>
        <w:tc>
          <w:tcPr>
            <w:tcW w:w="434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820" w:type="dxa"/>
            <w:vAlign w:val="bottom"/>
            <w:tcBorders>
              <w:bottom w:val="single" w:sz="8" w:color="auto"/>
            </w:tcBorders>
            <w:shd w:val="clear" w:color="auto" w:fill="33CCCC"/>
          </w:tcPr>
          <w:p>
            <w:pPr>
              <w:jc w:val="right"/>
              <w:ind w:right="285"/>
              <w:spacing w:after="0" w:line="127" w:lineRule="exact"/>
              <w:rPr>
                <w:sz w:val="20"/>
                <w:szCs w:val="20"/>
                <w:color w:val="auto"/>
              </w:rPr>
            </w:pPr>
            <w:r>
              <w:rPr>
                <w:rFonts w:ascii="Calibri" w:cs="Calibri" w:eastAsia="Calibri" w:hAnsi="Calibri"/>
                <w:sz w:val="11"/>
                <w:szCs w:val="11"/>
                <w:b w:val="1"/>
                <w:bCs w:val="1"/>
                <w:color w:val="FFFFFF"/>
              </w:rPr>
              <w:t>3Q23</w:t>
            </w:r>
          </w:p>
        </w:tc>
        <w:tc>
          <w:tcPr>
            <w:tcW w:w="800" w:type="dxa"/>
            <w:vAlign w:val="bottom"/>
            <w:tcBorders>
              <w:bottom w:val="single" w:sz="8" w:color="auto"/>
            </w:tcBorders>
            <w:shd w:val="clear" w:color="auto" w:fill="33CCCC"/>
          </w:tcPr>
          <w:p>
            <w:pPr>
              <w:jc w:val="center"/>
              <w:ind w:right="186"/>
              <w:spacing w:after="0" w:line="127" w:lineRule="exact"/>
              <w:rPr>
                <w:sz w:val="20"/>
                <w:szCs w:val="20"/>
                <w:color w:val="auto"/>
              </w:rPr>
            </w:pPr>
            <w:r>
              <w:rPr>
                <w:rFonts w:ascii="Calibri" w:cs="Calibri" w:eastAsia="Calibri" w:hAnsi="Calibri"/>
                <w:sz w:val="11"/>
                <w:szCs w:val="11"/>
                <w:b w:val="1"/>
                <w:bCs w:val="1"/>
                <w:color w:val="FFFFFF"/>
                <w:w w:val="98"/>
              </w:rPr>
              <w:t>2Q24</w:t>
            </w:r>
          </w:p>
        </w:tc>
        <w:tc>
          <w:tcPr>
            <w:tcW w:w="640" w:type="dxa"/>
            <w:vAlign w:val="bottom"/>
            <w:tcBorders>
              <w:bottom w:val="single" w:sz="8" w:color="auto"/>
              <w:right w:val="single" w:sz="8" w:color="auto"/>
            </w:tcBorders>
            <w:shd w:val="clear" w:color="auto" w:fill="33CCCC"/>
          </w:tcPr>
          <w:p>
            <w:pPr>
              <w:jc w:val="right"/>
              <w:ind w:right="226"/>
              <w:spacing w:after="0" w:line="127" w:lineRule="exact"/>
              <w:rPr>
                <w:sz w:val="20"/>
                <w:szCs w:val="20"/>
                <w:color w:val="auto"/>
              </w:rPr>
            </w:pPr>
            <w:r>
              <w:rPr>
                <w:rFonts w:ascii="Calibri" w:cs="Calibri" w:eastAsia="Calibri" w:hAnsi="Calibri"/>
                <w:sz w:val="11"/>
                <w:szCs w:val="11"/>
                <w:b w:val="1"/>
                <w:bCs w:val="1"/>
                <w:color w:val="FFFFFF"/>
              </w:rPr>
              <w:t>3Q24</w:t>
            </w:r>
          </w:p>
        </w:tc>
        <w:tc>
          <w:tcPr>
            <w:tcW w:w="120" w:type="dxa"/>
            <w:vAlign w:val="bottom"/>
            <w:tcBorders>
              <w:bottom w:val="single" w:sz="8" w:color="auto"/>
            </w:tcBorders>
            <w:shd w:val="clear" w:color="auto" w:fill="33CCCC"/>
          </w:tcPr>
          <w:p>
            <w:pPr>
              <w:spacing w:after="0"/>
              <w:rPr>
                <w:sz w:val="11"/>
                <w:szCs w:val="11"/>
                <w:color w:val="auto"/>
              </w:rPr>
            </w:pPr>
          </w:p>
        </w:tc>
        <w:tc>
          <w:tcPr>
            <w:tcW w:w="440" w:type="dxa"/>
            <w:vAlign w:val="bottom"/>
            <w:tcBorders>
              <w:bottom w:val="single" w:sz="8" w:color="auto"/>
            </w:tcBorders>
            <w:shd w:val="clear" w:color="auto" w:fill="33CCCC"/>
          </w:tcPr>
          <w:p>
            <w:pPr>
              <w:jc w:val="center"/>
              <w:ind w:left="6"/>
              <w:spacing w:after="0" w:line="127" w:lineRule="exact"/>
              <w:rPr>
                <w:sz w:val="20"/>
                <w:szCs w:val="20"/>
                <w:color w:val="auto"/>
              </w:rPr>
            </w:pPr>
            <w:r>
              <w:rPr>
                <w:rFonts w:ascii="Calibri" w:cs="Calibri" w:eastAsia="Calibri" w:hAnsi="Calibri"/>
                <w:sz w:val="11"/>
                <w:szCs w:val="11"/>
                <w:b w:val="1"/>
                <w:bCs w:val="1"/>
                <w:color w:val="FFFFFF"/>
              </w:rPr>
              <w:t>QoQ</w:t>
            </w:r>
          </w:p>
        </w:tc>
        <w:tc>
          <w:tcPr>
            <w:tcW w:w="960" w:type="dxa"/>
            <w:vAlign w:val="bottom"/>
            <w:tcBorders>
              <w:bottom w:val="single" w:sz="8" w:color="auto"/>
              <w:right w:val="single" w:sz="8" w:color="auto"/>
            </w:tcBorders>
            <w:shd w:val="clear" w:color="auto" w:fill="33CCCC"/>
          </w:tcPr>
          <w:p>
            <w:pPr>
              <w:jc w:val="center"/>
              <w:ind w:left="106"/>
              <w:spacing w:after="0" w:line="127" w:lineRule="exact"/>
              <w:rPr>
                <w:sz w:val="20"/>
                <w:szCs w:val="20"/>
                <w:color w:val="auto"/>
              </w:rPr>
            </w:pPr>
            <w:r>
              <w:rPr>
                <w:rFonts w:ascii="Calibri" w:cs="Calibri" w:eastAsia="Calibri" w:hAnsi="Calibri"/>
                <w:sz w:val="11"/>
                <w:szCs w:val="11"/>
                <w:b w:val="1"/>
                <w:bCs w:val="1"/>
                <w:color w:val="FFFFFF"/>
                <w:w w:val="91"/>
              </w:rPr>
              <w:t>YoY</w:t>
            </w:r>
          </w:p>
        </w:tc>
        <w:tc>
          <w:tcPr>
            <w:tcW w:w="1060" w:type="dxa"/>
            <w:vAlign w:val="bottom"/>
            <w:tcBorders>
              <w:bottom w:val="single" w:sz="8" w:color="auto"/>
            </w:tcBorders>
            <w:shd w:val="clear" w:color="auto" w:fill="33CCCC"/>
          </w:tcPr>
          <w:p>
            <w:pPr>
              <w:jc w:val="right"/>
              <w:ind w:right="446"/>
              <w:spacing w:after="0" w:line="127" w:lineRule="exact"/>
              <w:rPr>
                <w:sz w:val="20"/>
                <w:szCs w:val="20"/>
                <w:color w:val="auto"/>
              </w:rPr>
            </w:pPr>
            <w:r>
              <w:rPr>
                <w:rFonts w:ascii="Calibri" w:cs="Calibri" w:eastAsia="Calibri" w:hAnsi="Calibri"/>
                <w:sz w:val="11"/>
                <w:szCs w:val="11"/>
                <w:b w:val="1"/>
                <w:bCs w:val="1"/>
                <w:color w:val="FFFFFF"/>
              </w:rPr>
              <w:t>Sep 23</w:t>
            </w:r>
          </w:p>
        </w:tc>
        <w:tc>
          <w:tcPr>
            <w:tcW w:w="680" w:type="dxa"/>
            <w:vAlign w:val="bottom"/>
            <w:tcBorders>
              <w:bottom w:val="single" w:sz="8" w:color="auto"/>
              <w:right w:val="single" w:sz="8" w:color="auto"/>
            </w:tcBorders>
            <w:shd w:val="clear" w:color="auto" w:fill="33CCCC"/>
          </w:tcPr>
          <w:p>
            <w:pPr>
              <w:jc w:val="right"/>
              <w:ind w:right="246"/>
              <w:spacing w:after="0" w:line="127" w:lineRule="exact"/>
              <w:rPr>
                <w:sz w:val="20"/>
                <w:szCs w:val="20"/>
                <w:color w:val="auto"/>
              </w:rPr>
            </w:pPr>
            <w:r>
              <w:rPr>
                <w:rFonts w:ascii="Calibri" w:cs="Calibri" w:eastAsia="Calibri" w:hAnsi="Calibri"/>
                <w:sz w:val="11"/>
                <w:szCs w:val="11"/>
                <w:b w:val="1"/>
                <w:bCs w:val="1"/>
                <w:color w:val="FFFFFF"/>
              </w:rPr>
              <w:t>Sep 24</w:t>
            </w:r>
          </w:p>
        </w:tc>
        <w:tc>
          <w:tcPr>
            <w:tcW w:w="1380" w:type="dxa"/>
            <w:vAlign w:val="bottom"/>
            <w:tcBorders>
              <w:bottom w:val="single" w:sz="8" w:color="auto"/>
              <w:right w:val="single" w:sz="8" w:color="auto"/>
            </w:tcBorders>
            <w:shd w:val="clear" w:color="auto" w:fill="33CCCC"/>
          </w:tcPr>
          <w:p>
            <w:pPr>
              <w:jc w:val="center"/>
              <w:spacing w:after="0" w:line="127" w:lineRule="exact"/>
              <w:rPr>
                <w:sz w:val="20"/>
                <w:szCs w:val="20"/>
                <w:color w:val="auto"/>
              </w:rPr>
            </w:pPr>
            <w:r>
              <w:rPr>
                <w:rFonts w:ascii="Calibri" w:cs="Calibri" w:eastAsia="Calibri" w:hAnsi="Calibri"/>
                <w:sz w:val="11"/>
                <w:szCs w:val="11"/>
                <w:b w:val="1"/>
                <w:bCs w:val="1"/>
                <w:color w:val="FFFFFF"/>
                <w:w w:val="96"/>
              </w:rPr>
              <w:t>Sep 24 / Sep 23</w:t>
            </w:r>
          </w:p>
        </w:tc>
        <w:tc>
          <w:tcPr>
            <w:tcW w:w="0" w:type="dxa"/>
            <w:vAlign w:val="bottom"/>
          </w:tcPr>
          <w:p>
            <w:pPr>
              <w:spacing w:after="0"/>
              <w:rPr>
                <w:sz w:val="1"/>
                <w:szCs w:val="1"/>
                <w:color w:val="auto"/>
              </w:rPr>
            </w:pPr>
          </w:p>
        </w:tc>
      </w:tr>
      <w:tr>
        <w:trPr>
          <w:trHeight w:val="124"/>
        </w:trPr>
        <w:tc>
          <w:tcPr>
            <w:tcW w:w="4340" w:type="dxa"/>
            <w:vAlign w:val="bottom"/>
            <w:tcBorders>
              <w:left w:val="single" w:sz="8" w:color="auto"/>
              <w:right w:val="single" w:sz="8" w:color="auto"/>
            </w:tcBorders>
          </w:tcPr>
          <w:p>
            <w:pPr>
              <w:ind w:left="20"/>
              <w:spacing w:after="0" w:line="125" w:lineRule="exact"/>
              <w:rPr>
                <w:sz w:val="20"/>
                <w:szCs w:val="20"/>
                <w:color w:val="auto"/>
              </w:rPr>
            </w:pPr>
            <w:r>
              <w:rPr>
                <w:rFonts w:ascii="Calibri" w:cs="Calibri" w:eastAsia="Calibri" w:hAnsi="Calibri"/>
                <w:sz w:val="11"/>
                <w:szCs w:val="11"/>
                <w:color w:val="auto"/>
              </w:rPr>
              <w:t>Financial income</w:t>
            </w:r>
          </w:p>
        </w:tc>
        <w:tc>
          <w:tcPr>
            <w:tcW w:w="820" w:type="dxa"/>
            <w:vAlign w:val="bottom"/>
          </w:tcPr>
          <w:p>
            <w:pPr>
              <w:jc w:val="right"/>
              <w:ind w:right="85"/>
              <w:spacing w:after="0" w:line="125" w:lineRule="exact"/>
              <w:rPr>
                <w:sz w:val="20"/>
                <w:szCs w:val="20"/>
                <w:color w:val="auto"/>
              </w:rPr>
            </w:pPr>
            <w:r>
              <w:rPr>
                <w:rFonts w:ascii="Calibri" w:cs="Calibri" w:eastAsia="Calibri" w:hAnsi="Calibri"/>
                <w:sz w:val="11"/>
                <w:szCs w:val="11"/>
                <w:color w:val="auto"/>
              </w:rPr>
              <w:t>1,271</w:t>
            </w:r>
          </w:p>
        </w:tc>
        <w:tc>
          <w:tcPr>
            <w:tcW w:w="800" w:type="dxa"/>
            <w:vAlign w:val="bottom"/>
          </w:tcPr>
          <w:p>
            <w:pPr>
              <w:jc w:val="right"/>
              <w:ind w:right="146"/>
              <w:spacing w:after="0" w:line="125" w:lineRule="exact"/>
              <w:rPr>
                <w:sz w:val="20"/>
                <w:szCs w:val="20"/>
                <w:color w:val="auto"/>
              </w:rPr>
            </w:pPr>
            <w:r>
              <w:rPr>
                <w:rFonts w:ascii="Calibri" w:cs="Calibri" w:eastAsia="Calibri" w:hAnsi="Calibri"/>
                <w:sz w:val="11"/>
                <w:szCs w:val="11"/>
                <w:color w:val="auto"/>
              </w:rPr>
              <w:t>816</w:t>
            </w:r>
          </w:p>
        </w:tc>
        <w:tc>
          <w:tcPr>
            <w:tcW w:w="640" w:type="dxa"/>
            <w:vAlign w:val="bottom"/>
            <w:tcBorders>
              <w:right w:val="single" w:sz="8" w:color="auto"/>
            </w:tcBorders>
          </w:tcPr>
          <w:p>
            <w:pPr>
              <w:jc w:val="right"/>
              <w:ind w:right="26"/>
              <w:spacing w:after="0" w:line="125" w:lineRule="exact"/>
              <w:rPr>
                <w:sz w:val="20"/>
                <w:szCs w:val="20"/>
                <w:color w:val="auto"/>
              </w:rPr>
            </w:pPr>
            <w:r>
              <w:rPr>
                <w:rFonts w:ascii="Calibri" w:cs="Calibri" w:eastAsia="Calibri" w:hAnsi="Calibri"/>
                <w:sz w:val="11"/>
                <w:szCs w:val="11"/>
                <w:color w:val="auto"/>
              </w:rPr>
              <w:t>1,429</w:t>
            </w:r>
          </w:p>
        </w:tc>
        <w:tc>
          <w:tcPr>
            <w:tcW w:w="120" w:type="dxa"/>
            <w:vAlign w:val="bottom"/>
          </w:tcPr>
          <w:p>
            <w:pPr>
              <w:spacing w:after="0"/>
              <w:rPr>
                <w:sz w:val="10"/>
                <w:szCs w:val="10"/>
                <w:color w:val="auto"/>
              </w:rPr>
            </w:pPr>
          </w:p>
        </w:tc>
        <w:tc>
          <w:tcPr>
            <w:tcW w:w="440" w:type="dxa"/>
            <w:vAlign w:val="bottom"/>
          </w:tcPr>
          <w:p>
            <w:pPr>
              <w:jc w:val="center"/>
              <w:ind w:left="6"/>
              <w:spacing w:after="0" w:line="125" w:lineRule="exact"/>
              <w:rPr>
                <w:sz w:val="20"/>
                <w:szCs w:val="20"/>
                <w:color w:val="auto"/>
              </w:rPr>
            </w:pPr>
            <w:r>
              <w:rPr>
                <w:rFonts w:ascii="Calibri" w:cs="Calibri" w:eastAsia="Calibri" w:hAnsi="Calibri"/>
                <w:sz w:val="11"/>
                <w:szCs w:val="11"/>
                <w:color w:val="auto"/>
                <w:w w:val="94"/>
              </w:rPr>
              <w:t>75.1%</w:t>
            </w:r>
          </w:p>
        </w:tc>
        <w:tc>
          <w:tcPr>
            <w:tcW w:w="960" w:type="dxa"/>
            <w:vAlign w:val="bottom"/>
            <w:tcBorders>
              <w:right w:val="single" w:sz="8" w:color="auto"/>
            </w:tcBorders>
          </w:tcPr>
          <w:p>
            <w:pPr>
              <w:jc w:val="center"/>
              <w:ind w:left="106"/>
              <w:spacing w:after="0" w:line="125" w:lineRule="exact"/>
              <w:rPr>
                <w:sz w:val="20"/>
                <w:szCs w:val="20"/>
                <w:color w:val="auto"/>
              </w:rPr>
            </w:pPr>
            <w:r>
              <w:rPr>
                <w:rFonts w:ascii="Calibri" w:cs="Calibri" w:eastAsia="Calibri" w:hAnsi="Calibri"/>
                <w:sz w:val="11"/>
                <w:szCs w:val="11"/>
                <w:color w:val="auto"/>
              </w:rPr>
              <w:t>12.4%</w:t>
            </w:r>
          </w:p>
        </w:tc>
        <w:tc>
          <w:tcPr>
            <w:tcW w:w="1060" w:type="dxa"/>
            <w:vAlign w:val="bottom"/>
          </w:tcPr>
          <w:p>
            <w:pPr>
              <w:jc w:val="right"/>
              <w:ind w:right="226"/>
              <w:spacing w:after="0" w:line="125" w:lineRule="exact"/>
              <w:rPr>
                <w:sz w:val="20"/>
                <w:szCs w:val="20"/>
                <w:color w:val="auto"/>
              </w:rPr>
            </w:pPr>
            <w:r>
              <w:rPr>
                <w:rFonts w:ascii="Calibri" w:cs="Calibri" w:eastAsia="Calibri" w:hAnsi="Calibri"/>
                <w:sz w:val="11"/>
                <w:szCs w:val="11"/>
                <w:color w:val="auto"/>
              </w:rPr>
              <w:t>5,134</w:t>
            </w:r>
          </w:p>
        </w:tc>
        <w:tc>
          <w:tcPr>
            <w:tcW w:w="680" w:type="dxa"/>
            <w:vAlign w:val="bottom"/>
            <w:tcBorders>
              <w:right w:val="single" w:sz="8" w:color="auto"/>
            </w:tcBorders>
          </w:tcPr>
          <w:p>
            <w:pPr>
              <w:jc w:val="right"/>
              <w:ind w:right="66"/>
              <w:spacing w:after="0" w:line="125" w:lineRule="exact"/>
              <w:rPr>
                <w:sz w:val="20"/>
                <w:szCs w:val="20"/>
                <w:color w:val="auto"/>
              </w:rPr>
            </w:pPr>
            <w:r>
              <w:rPr>
                <w:rFonts w:ascii="Calibri" w:cs="Calibri" w:eastAsia="Calibri" w:hAnsi="Calibri"/>
                <w:sz w:val="11"/>
                <w:szCs w:val="11"/>
                <w:color w:val="auto"/>
              </w:rPr>
              <w:t>3,892</w:t>
            </w:r>
          </w:p>
        </w:tc>
        <w:tc>
          <w:tcPr>
            <w:tcW w:w="1380" w:type="dxa"/>
            <w:vAlign w:val="bottom"/>
            <w:tcBorders>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7"/>
              </w:rPr>
              <w:t>-24.2%</w:t>
            </w:r>
          </w:p>
        </w:tc>
        <w:tc>
          <w:tcPr>
            <w:tcW w:w="0" w:type="dxa"/>
            <w:vAlign w:val="bottom"/>
          </w:tcPr>
          <w:p>
            <w:pPr>
              <w:spacing w:after="0"/>
              <w:rPr>
                <w:sz w:val="1"/>
                <w:szCs w:val="1"/>
                <w:color w:val="auto"/>
              </w:rPr>
            </w:pPr>
          </w:p>
        </w:tc>
      </w:tr>
      <w:tr>
        <w:trPr>
          <w:trHeight w:val="129"/>
        </w:trPr>
        <w:tc>
          <w:tcPr>
            <w:tcW w:w="4340" w:type="dxa"/>
            <w:vAlign w:val="bottom"/>
            <w:tcBorders>
              <w:left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Financial expenses</w:t>
            </w:r>
          </w:p>
        </w:tc>
        <w:tc>
          <w:tcPr>
            <w:tcW w:w="820" w:type="dxa"/>
            <w:vAlign w:val="bottom"/>
          </w:tcPr>
          <w:p>
            <w:pPr>
              <w:jc w:val="right"/>
              <w:ind w:right="105"/>
              <w:spacing w:after="0" w:line="129" w:lineRule="exact"/>
              <w:rPr>
                <w:sz w:val="20"/>
                <w:szCs w:val="20"/>
                <w:color w:val="auto"/>
              </w:rPr>
            </w:pPr>
            <w:r>
              <w:rPr>
                <w:rFonts w:ascii="Calibri" w:cs="Calibri" w:eastAsia="Calibri" w:hAnsi="Calibri"/>
                <w:sz w:val="11"/>
                <w:szCs w:val="11"/>
                <w:color w:val="auto"/>
              </w:rPr>
              <w:t>(507)</w:t>
            </w:r>
          </w:p>
        </w:tc>
        <w:tc>
          <w:tcPr>
            <w:tcW w:w="800" w:type="dxa"/>
            <w:vAlign w:val="bottom"/>
          </w:tcPr>
          <w:p>
            <w:pPr>
              <w:jc w:val="right"/>
              <w:ind w:right="166"/>
              <w:spacing w:after="0" w:line="129" w:lineRule="exact"/>
              <w:rPr>
                <w:sz w:val="20"/>
                <w:szCs w:val="20"/>
                <w:color w:val="auto"/>
              </w:rPr>
            </w:pPr>
            <w:r>
              <w:rPr>
                <w:rFonts w:ascii="Calibri" w:cs="Calibri" w:eastAsia="Calibri" w:hAnsi="Calibri"/>
                <w:sz w:val="11"/>
                <w:szCs w:val="11"/>
                <w:color w:val="auto"/>
              </w:rPr>
              <w:t>(779)</w:t>
            </w:r>
          </w:p>
        </w:tc>
        <w:tc>
          <w:tcPr>
            <w:tcW w:w="640" w:type="dxa"/>
            <w:vAlign w:val="bottom"/>
            <w:tcBorders>
              <w:right w:val="single" w:sz="8" w:color="auto"/>
            </w:tcBorders>
          </w:tcPr>
          <w:p>
            <w:pPr>
              <w:jc w:val="right"/>
              <w:ind w:right="26"/>
              <w:spacing w:after="0" w:line="129" w:lineRule="exact"/>
              <w:rPr>
                <w:sz w:val="20"/>
                <w:szCs w:val="20"/>
                <w:color w:val="auto"/>
              </w:rPr>
            </w:pPr>
            <w:r>
              <w:rPr>
                <w:rFonts w:ascii="Calibri" w:cs="Calibri" w:eastAsia="Calibri" w:hAnsi="Calibri"/>
                <w:sz w:val="11"/>
                <w:szCs w:val="11"/>
                <w:color w:val="auto"/>
              </w:rPr>
              <w:t>(1,055)</w:t>
            </w:r>
          </w:p>
        </w:tc>
        <w:tc>
          <w:tcPr>
            <w:tcW w:w="120" w:type="dxa"/>
            <w:vAlign w:val="bottom"/>
          </w:tcPr>
          <w:p>
            <w:pPr>
              <w:spacing w:after="0"/>
              <w:rPr>
                <w:sz w:val="11"/>
                <w:szCs w:val="11"/>
                <w:color w:val="auto"/>
              </w:rPr>
            </w:pPr>
          </w:p>
        </w:tc>
        <w:tc>
          <w:tcPr>
            <w:tcW w:w="440" w:type="dxa"/>
            <w:vAlign w:val="bottom"/>
          </w:tcPr>
          <w:p>
            <w:pPr>
              <w:jc w:val="center"/>
              <w:ind w:left="6"/>
              <w:spacing w:after="0" w:line="129" w:lineRule="exact"/>
              <w:rPr>
                <w:sz w:val="20"/>
                <w:szCs w:val="20"/>
                <w:color w:val="auto"/>
              </w:rPr>
            </w:pPr>
            <w:r>
              <w:rPr>
                <w:rFonts w:ascii="Calibri" w:cs="Calibri" w:eastAsia="Calibri" w:hAnsi="Calibri"/>
                <w:sz w:val="11"/>
                <w:szCs w:val="11"/>
                <w:color w:val="auto"/>
                <w:w w:val="94"/>
              </w:rPr>
              <w:t>35.4%</w:t>
            </w:r>
          </w:p>
        </w:tc>
        <w:tc>
          <w:tcPr>
            <w:tcW w:w="960" w:type="dxa"/>
            <w:vAlign w:val="bottom"/>
            <w:tcBorders>
              <w:right w:val="single" w:sz="8" w:color="auto"/>
            </w:tcBorders>
          </w:tcPr>
          <w:p>
            <w:pPr>
              <w:jc w:val="center"/>
              <w:ind w:left="106"/>
              <w:spacing w:after="0" w:line="129" w:lineRule="exact"/>
              <w:rPr>
                <w:sz w:val="20"/>
                <w:szCs w:val="20"/>
                <w:color w:val="auto"/>
              </w:rPr>
            </w:pPr>
            <w:r>
              <w:rPr>
                <w:rFonts w:ascii="Calibri" w:cs="Calibri" w:eastAsia="Calibri" w:hAnsi="Calibri"/>
                <w:sz w:val="11"/>
                <w:szCs w:val="11"/>
                <w:color w:val="auto"/>
                <w:w w:val="96"/>
              </w:rPr>
              <w:t>108.1%</w:t>
            </w:r>
          </w:p>
        </w:tc>
        <w:tc>
          <w:tcPr>
            <w:tcW w:w="1060" w:type="dxa"/>
            <w:vAlign w:val="bottom"/>
          </w:tcPr>
          <w:p>
            <w:pPr>
              <w:jc w:val="right"/>
              <w:ind w:right="226"/>
              <w:spacing w:after="0" w:line="129" w:lineRule="exact"/>
              <w:rPr>
                <w:sz w:val="20"/>
                <w:szCs w:val="20"/>
                <w:color w:val="auto"/>
              </w:rPr>
            </w:pPr>
            <w:r>
              <w:rPr>
                <w:rFonts w:ascii="Calibri" w:cs="Calibri" w:eastAsia="Calibri" w:hAnsi="Calibri"/>
                <w:sz w:val="11"/>
                <w:szCs w:val="11"/>
                <w:color w:val="auto"/>
              </w:rPr>
              <w:t>(1,935)</w:t>
            </w:r>
          </w:p>
        </w:tc>
        <w:tc>
          <w:tcPr>
            <w:tcW w:w="680" w:type="dxa"/>
            <w:vAlign w:val="bottom"/>
            <w:tcBorders>
              <w:right w:val="single" w:sz="8" w:color="auto"/>
            </w:tcBorders>
          </w:tcPr>
          <w:p>
            <w:pPr>
              <w:jc w:val="right"/>
              <w:ind w:right="46"/>
              <w:spacing w:after="0" w:line="129" w:lineRule="exact"/>
              <w:rPr>
                <w:sz w:val="20"/>
                <w:szCs w:val="20"/>
                <w:color w:val="auto"/>
              </w:rPr>
            </w:pPr>
            <w:r>
              <w:rPr>
                <w:rFonts w:ascii="Calibri" w:cs="Calibri" w:eastAsia="Calibri" w:hAnsi="Calibri"/>
                <w:sz w:val="11"/>
                <w:szCs w:val="11"/>
                <w:color w:val="auto"/>
              </w:rPr>
              <w:t>(2,301)</w:t>
            </w:r>
          </w:p>
        </w:tc>
        <w:tc>
          <w:tcPr>
            <w:tcW w:w="138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4"/>
              </w:rPr>
              <w:t>18.9%</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Interest income, net</w:t>
            </w:r>
          </w:p>
        </w:tc>
        <w:tc>
          <w:tcPr>
            <w:tcW w:w="820" w:type="dxa"/>
            <w:vAlign w:val="bottom"/>
          </w:tcPr>
          <w:p>
            <w:pPr>
              <w:jc w:val="right"/>
              <w:ind w:right="205"/>
              <w:spacing w:after="0"/>
              <w:rPr>
                <w:sz w:val="20"/>
                <w:szCs w:val="20"/>
                <w:color w:val="auto"/>
              </w:rPr>
            </w:pPr>
            <w:r>
              <w:rPr>
                <w:rFonts w:ascii="Calibri" w:cs="Calibri" w:eastAsia="Calibri" w:hAnsi="Calibri"/>
                <w:sz w:val="11"/>
                <w:szCs w:val="11"/>
                <w:b w:val="1"/>
                <w:bCs w:val="1"/>
                <w:color w:val="auto"/>
              </w:rPr>
              <w:t>764</w:t>
            </w:r>
          </w:p>
        </w:tc>
        <w:tc>
          <w:tcPr>
            <w:tcW w:w="800" w:type="dxa"/>
            <w:vAlign w:val="bottom"/>
          </w:tcPr>
          <w:p>
            <w:pPr>
              <w:jc w:val="right"/>
              <w:ind w:right="266"/>
              <w:spacing w:after="0"/>
              <w:rPr>
                <w:sz w:val="20"/>
                <w:szCs w:val="20"/>
                <w:color w:val="auto"/>
              </w:rPr>
            </w:pPr>
            <w:r>
              <w:rPr>
                <w:rFonts w:ascii="Calibri" w:cs="Calibri" w:eastAsia="Calibri" w:hAnsi="Calibri"/>
                <w:sz w:val="11"/>
                <w:szCs w:val="11"/>
                <w:b w:val="1"/>
                <w:bCs w:val="1"/>
                <w:color w:val="auto"/>
              </w:rPr>
              <w:t>37</w:t>
            </w:r>
          </w:p>
        </w:tc>
        <w:tc>
          <w:tcPr>
            <w:tcW w:w="640" w:type="dxa"/>
            <w:vAlign w:val="bottom"/>
            <w:tcBorders>
              <w:right w:val="single" w:sz="8" w:color="auto"/>
            </w:tcBorders>
          </w:tcPr>
          <w:p>
            <w:pPr>
              <w:jc w:val="right"/>
              <w:ind w:right="146"/>
              <w:spacing w:after="0"/>
              <w:rPr>
                <w:sz w:val="20"/>
                <w:szCs w:val="20"/>
                <w:color w:val="auto"/>
              </w:rPr>
            </w:pPr>
            <w:r>
              <w:rPr>
                <w:rFonts w:ascii="Calibri" w:cs="Calibri" w:eastAsia="Calibri" w:hAnsi="Calibri"/>
                <w:sz w:val="11"/>
                <w:szCs w:val="11"/>
                <w:b w:val="1"/>
                <w:bCs w:val="1"/>
                <w:color w:val="auto"/>
              </w:rPr>
              <w:t>374</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b w:val="1"/>
                <w:bCs w:val="1"/>
                <w:color w:val="auto"/>
              </w:rPr>
              <w:t>910.8%</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b w:val="1"/>
                <w:bCs w:val="1"/>
                <w:color w:val="auto"/>
                <w:w w:val="96"/>
              </w:rPr>
              <w:t>-51.0%</w:t>
            </w:r>
          </w:p>
        </w:tc>
        <w:tc>
          <w:tcPr>
            <w:tcW w:w="1060" w:type="dxa"/>
            <w:vAlign w:val="bottom"/>
          </w:tcPr>
          <w:p>
            <w:pPr>
              <w:jc w:val="right"/>
              <w:ind w:right="346"/>
              <w:spacing w:after="0"/>
              <w:rPr>
                <w:sz w:val="20"/>
                <w:szCs w:val="20"/>
                <w:color w:val="auto"/>
              </w:rPr>
            </w:pPr>
            <w:r>
              <w:rPr>
                <w:rFonts w:ascii="Calibri" w:cs="Calibri" w:eastAsia="Calibri" w:hAnsi="Calibri"/>
                <w:sz w:val="11"/>
                <w:szCs w:val="11"/>
                <w:b w:val="1"/>
                <w:bCs w:val="1"/>
                <w:color w:val="auto"/>
              </w:rPr>
              <w:t>3,199</w:t>
            </w:r>
          </w:p>
        </w:tc>
        <w:tc>
          <w:tcPr>
            <w:tcW w:w="680" w:type="dxa"/>
            <w:vAlign w:val="bottom"/>
            <w:tcBorders>
              <w:right w:val="single" w:sz="8" w:color="auto"/>
            </w:tcBorders>
          </w:tcPr>
          <w:p>
            <w:pPr>
              <w:jc w:val="right"/>
              <w:ind w:right="146"/>
              <w:spacing w:after="0"/>
              <w:rPr>
                <w:sz w:val="20"/>
                <w:szCs w:val="20"/>
                <w:color w:val="auto"/>
              </w:rPr>
            </w:pPr>
            <w:r>
              <w:rPr>
                <w:rFonts w:ascii="Calibri" w:cs="Calibri" w:eastAsia="Calibri" w:hAnsi="Calibri"/>
                <w:sz w:val="11"/>
                <w:szCs w:val="11"/>
                <w:b w:val="1"/>
                <w:bCs w:val="1"/>
                <w:color w:val="auto"/>
              </w:rPr>
              <w:t>1,591</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6"/>
              </w:rPr>
              <w:t>-50.3%</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Fee income</w:t>
            </w:r>
          </w:p>
        </w:tc>
        <w:tc>
          <w:tcPr>
            <w:tcW w:w="820" w:type="dxa"/>
            <w:vAlign w:val="bottom"/>
          </w:tcPr>
          <w:p>
            <w:pPr>
              <w:jc w:val="right"/>
              <w:ind w:right="125"/>
              <w:spacing w:after="0"/>
              <w:rPr>
                <w:sz w:val="20"/>
                <w:szCs w:val="20"/>
                <w:color w:val="auto"/>
              </w:rPr>
            </w:pPr>
            <w:r>
              <w:rPr>
                <w:rFonts w:ascii="Calibri" w:cs="Calibri" w:eastAsia="Calibri" w:hAnsi="Calibri"/>
                <w:sz w:val="11"/>
                <w:szCs w:val="11"/>
                <w:color w:val="auto"/>
              </w:rPr>
              <w:t>85,484</w:t>
            </w:r>
          </w:p>
        </w:tc>
        <w:tc>
          <w:tcPr>
            <w:tcW w:w="800" w:type="dxa"/>
            <w:vAlign w:val="bottom"/>
          </w:tcPr>
          <w:p>
            <w:pPr>
              <w:jc w:val="right"/>
              <w:ind w:right="166"/>
              <w:spacing w:after="0"/>
              <w:rPr>
                <w:sz w:val="20"/>
                <w:szCs w:val="20"/>
                <w:color w:val="auto"/>
              </w:rPr>
            </w:pPr>
            <w:r>
              <w:rPr>
                <w:rFonts w:ascii="Calibri" w:cs="Calibri" w:eastAsia="Calibri" w:hAnsi="Calibri"/>
                <w:sz w:val="11"/>
                <w:szCs w:val="11"/>
                <w:color w:val="auto"/>
              </w:rPr>
              <w:t>99,103</w:t>
            </w:r>
          </w:p>
        </w:tc>
        <w:tc>
          <w:tcPr>
            <w:tcW w:w="640" w:type="dxa"/>
            <w:vAlign w:val="bottom"/>
            <w:tcBorders>
              <w:right w:val="single" w:sz="8" w:color="auto"/>
            </w:tcBorders>
          </w:tcPr>
          <w:p>
            <w:pPr>
              <w:jc w:val="right"/>
              <w:ind w:right="66"/>
              <w:spacing w:after="0"/>
              <w:rPr>
                <w:sz w:val="20"/>
                <w:szCs w:val="20"/>
                <w:color w:val="auto"/>
              </w:rPr>
            </w:pPr>
            <w:r>
              <w:rPr>
                <w:rFonts w:ascii="Calibri" w:cs="Calibri" w:eastAsia="Calibri" w:hAnsi="Calibri"/>
                <w:sz w:val="11"/>
                <w:szCs w:val="11"/>
                <w:color w:val="auto"/>
              </w:rPr>
              <w:t>90,748</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rPr>
              <w:t>-8.4%</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color w:val="auto"/>
              </w:rPr>
              <w:t>6.2%</w:t>
            </w:r>
          </w:p>
        </w:tc>
        <w:tc>
          <w:tcPr>
            <w:tcW w:w="1060" w:type="dxa"/>
            <w:vAlign w:val="bottom"/>
          </w:tcPr>
          <w:p>
            <w:pPr>
              <w:jc w:val="right"/>
              <w:ind w:right="246"/>
              <w:spacing w:after="0"/>
              <w:rPr>
                <w:sz w:val="20"/>
                <w:szCs w:val="20"/>
                <w:color w:val="auto"/>
              </w:rPr>
            </w:pPr>
            <w:r>
              <w:rPr>
                <w:rFonts w:ascii="Calibri" w:cs="Calibri" w:eastAsia="Calibri" w:hAnsi="Calibri"/>
                <w:sz w:val="11"/>
                <w:szCs w:val="11"/>
                <w:color w:val="auto"/>
              </w:rPr>
              <w:t>263,389</w:t>
            </w:r>
          </w:p>
        </w:tc>
        <w:tc>
          <w:tcPr>
            <w:tcW w:w="680" w:type="dxa"/>
            <w:vAlign w:val="bottom"/>
            <w:tcBorders>
              <w:right w:val="single" w:sz="8" w:color="auto"/>
            </w:tcBorders>
          </w:tcPr>
          <w:p>
            <w:pPr>
              <w:jc w:val="right"/>
              <w:ind w:right="66"/>
              <w:spacing w:after="0"/>
              <w:rPr>
                <w:sz w:val="20"/>
                <w:szCs w:val="20"/>
                <w:color w:val="auto"/>
              </w:rPr>
            </w:pPr>
            <w:r>
              <w:rPr>
                <w:rFonts w:ascii="Calibri" w:cs="Calibri" w:eastAsia="Calibri" w:hAnsi="Calibri"/>
                <w:sz w:val="11"/>
                <w:szCs w:val="11"/>
                <w:color w:val="auto"/>
              </w:rPr>
              <w:t>284,378</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8.0%</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(loss) on securites</w:t>
            </w:r>
          </w:p>
        </w:tc>
        <w:tc>
          <w:tcPr>
            <w:tcW w:w="820" w:type="dxa"/>
            <w:vAlign w:val="bottom"/>
          </w:tcPr>
          <w:p>
            <w:pPr>
              <w:jc w:val="right"/>
              <w:ind w:right="105"/>
              <w:spacing w:after="0"/>
              <w:rPr>
                <w:sz w:val="20"/>
                <w:szCs w:val="20"/>
                <w:color w:val="auto"/>
              </w:rPr>
            </w:pPr>
            <w:r>
              <w:rPr>
                <w:rFonts w:ascii="Calibri" w:cs="Calibri" w:eastAsia="Calibri" w:hAnsi="Calibri"/>
                <w:sz w:val="11"/>
                <w:szCs w:val="11"/>
                <w:color w:val="auto"/>
              </w:rPr>
              <w:t>2,774</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3,516</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2,579</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w w:val="97"/>
              </w:rPr>
              <w:t>-26.6%</w:t>
            </w:r>
          </w:p>
        </w:tc>
        <w:tc>
          <w:tcPr>
            <w:tcW w:w="960" w:type="dxa"/>
            <w:vAlign w:val="bottom"/>
            <w:tcBorders>
              <w:right w:val="single" w:sz="8" w:color="auto"/>
            </w:tcBorders>
          </w:tcPr>
          <w:p>
            <w:pPr>
              <w:jc w:val="center"/>
              <w:ind w:left="106"/>
              <w:spacing w:after="0"/>
              <w:rPr>
                <w:sz w:val="20"/>
                <w:szCs w:val="20"/>
                <w:color w:val="auto"/>
              </w:rPr>
            </w:pPr>
            <w:r>
              <w:rPr>
                <w:rFonts w:ascii="Calibri" w:cs="Calibri" w:eastAsia="Calibri" w:hAnsi="Calibri"/>
                <w:sz w:val="11"/>
                <w:szCs w:val="11"/>
                <w:color w:val="auto"/>
                <w:w w:val="95"/>
              </w:rPr>
              <w:t>-7.0%</w:t>
            </w:r>
          </w:p>
        </w:tc>
        <w:tc>
          <w:tcPr>
            <w:tcW w:w="1060" w:type="dxa"/>
            <w:vAlign w:val="bottom"/>
          </w:tcPr>
          <w:p>
            <w:pPr>
              <w:jc w:val="right"/>
              <w:ind w:right="246"/>
              <w:spacing w:after="0"/>
              <w:rPr>
                <w:sz w:val="20"/>
                <w:szCs w:val="20"/>
                <w:color w:val="auto"/>
              </w:rPr>
            </w:pPr>
            <w:r>
              <w:rPr>
                <w:rFonts w:ascii="Calibri" w:cs="Calibri" w:eastAsia="Calibri" w:hAnsi="Calibri"/>
                <w:sz w:val="11"/>
                <w:szCs w:val="11"/>
                <w:color w:val="auto"/>
              </w:rPr>
              <w:t>18,099</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12,643</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-30.1%</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(loss) from exchange diferences</w:t>
            </w:r>
          </w:p>
        </w:tc>
        <w:tc>
          <w:tcPr>
            <w:tcW w:w="820" w:type="dxa"/>
            <w:vAlign w:val="bottom"/>
          </w:tcPr>
          <w:p>
            <w:pPr>
              <w:jc w:val="right"/>
              <w:ind w:right="105"/>
              <w:spacing w:after="0"/>
              <w:rPr>
                <w:sz w:val="20"/>
                <w:szCs w:val="20"/>
                <w:color w:val="auto"/>
              </w:rPr>
            </w:pPr>
            <w:r>
              <w:rPr>
                <w:rFonts w:ascii="Calibri" w:cs="Calibri" w:eastAsia="Calibri" w:hAnsi="Calibri"/>
                <w:sz w:val="11"/>
                <w:szCs w:val="11"/>
                <w:color w:val="auto"/>
              </w:rPr>
              <w:t>(596)</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(351)</w:t>
            </w:r>
          </w:p>
        </w:tc>
        <w:tc>
          <w:tcPr>
            <w:tcW w:w="640" w:type="dxa"/>
            <w:vAlign w:val="bottom"/>
            <w:tcBorders>
              <w:right w:val="single" w:sz="8" w:color="auto"/>
            </w:tcBorders>
          </w:tcPr>
          <w:p>
            <w:pPr>
              <w:jc w:val="right"/>
              <w:ind w:right="26"/>
              <w:spacing w:after="0"/>
              <w:rPr>
                <w:sz w:val="20"/>
                <w:szCs w:val="20"/>
                <w:color w:val="auto"/>
              </w:rPr>
            </w:pPr>
            <w:r>
              <w:rPr>
                <w:rFonts w:ascii="Calibri" w:cs="Calibri" w:eastAsia="Calibri" w:hAnsi="Calibri"/>
                <w:sz w:val="11"/>
                <w:szCs w:val="11"/>
                <w:color w:val="auto"/>
              </w:rPr>
              <w:t>110</w:t>
            </w:r>
          </w:p>
        </w:tc>
        <w:tc>
          <w:tcPr>
            <w:tcW w:w="12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Calibri" w:cs="Calibri" w:eastAsia="Calibri" w:hAnsi="Calibri"/>
                <w:sz w:val="11"/>
                <w:szCs w:val="11"/>
                <w:color w:val="auto"/>
                <w:w w:val="99"/>
              </w:rPr>
              <w:t>-131.3%</w:t>
            </w:r>
          </w:p>
        </w:tc>
        <w:tc>
          <w:tcPr>
            <w:tcW w:w="960" w:type="dxa"/>
            <w:vAlign w:val="bottom"/>
            <w:tcBorders>
              <w:right w:val="single" w:sz="8" w:color="auto"/>
            </w:tcBorders>
          </w:tcPr>
          <w:p>
            <w:pPr>
              <w:jc w:val="center"/>
              <w:ind w:left="106"/>
              <w:spacing w:after="0"/>
              <w:rPr>
                <w:sz w:val="20"/>
                <w:szCs w:val="20"/>
                <w:color w:val="auto"/>
              </w:rPr>
            </w:pPr>
            <w:r>
              <w:rPr>
                <w:rFonts w:ascii="Calibri" w:cs="Calibri" w:eastAsia="Calibri" w:hAnsi="Calibri"/>
                <w:sz w:val="11"/>
                <w:szCs w:val="11"/>
                <w:color w:val="auto"/>
                <w:w w:val="99"/>
              </w:rPr>
              <w:t>-118.5%</w:t>
            </w:r>
          </w:p>
        </w:tc>
        <w:tc>
          <w:tcPr>
            <w:tcW w:w="1060" w:type="dxa"/>
            <w:vAlign w:val="bottom"/>
          </w:tcPr>
          <w:p>
            <w:pPr>
              <w:jc w:val="right"/>
              <w:ind w:right="246"/>
              <w:spacing w:after="0"/>
              <w:rPr>
                <w:sz w:val="20"/>
                <w:szCs w:val="20"/>
                <w:color w:val="auto"/>
              </w:rPr>
            </w:pPr>
            <w:r>
              <w:rPr>
                <w:rFonts w:ascii="Calibri" w:cs="Calibri" w:eastAsia="Calibri" w:hAnsi="Calibri"/>
                <w:sz w:val="11"/>
                <w:szCs w:val="11"/>
                <w:color w:val="auto"/>
              </w:rPr>
              <w:t>(327)</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(498)</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52.3%</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 income</w:t>
            </w:r>
          </w:p>
        </w:tc>
        <w:tc>
          <w:tcPr>
            <w:tcW w:w="820" w:type="dxa"/>
            <w:vAlign w:val="bottom"/>
          </w:tcPr>
          <w:p>
            <w:pPr>
              <w:jc w:val="right"/>
              <w:ind w:right="105"/>
              <w:spacing w:after="0"/>
              <w:rPr>
                <w:sz w:val="20"/>
                <w:szCs w:val="20"/>
                <w:color w:val="auto"/>
              </w:rPr>
            </w:pPr>
            <w:r>
              <w:rPr>
                <w:rFonts w:ascii="Calibri" w:cs="Calibri" w:eastAsia="Calibri" w:hAnsi="Calibri"/>
                <w:sz w:val="11"/>
                <w:szCs w:val="11"/>
                <w:color w:val="auto"/>
              </w:rPr>
              <w:t>3,710</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1,210</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124</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w w:val="97"/>
              </w:rPr>
              <w:t>-89.8%</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color w:val="auto"/>
                <w:w w:val="97"/>
              </w:rPr>
              <w:t>-96.7%</w:t>
            </w:r>
          </w:p>
        </w:tc>
        <w:tc>
          <w:tcPr>
            <w:tcW w:w="1060" w:type="dxa"/>
            <w:vAlign w:val="bottom"/>
          </w:tcPr>
          <w:p>
            <w:pPr>
              <w:jc w:val="right"/>
              <w:ind w:right="246"/>
              <w:spacing w:after="0"/>
              <w:rPr>
                <w:sz w:val="20"/>
                <w:szCs w:val="20"/>
                <w:color w:val="auto"/>
              </w:rPr>
            </w:pPr>
            <w:r>
              <w:rPr>
                <w:rFonts w:ascii="Calibri" w:cs="Calibri" w:eastAsia="Calibri" w:hAnsi="Calibri"/>
                <w:sz w:val="11"/>
                <w:szCs w:val="11"/>
                <w:color w:val="auto"/>
              </w:rPr>
              <w:t>4,764</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1,509</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-68.3%</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Salaries and employee benefts</w:t>
            </w:r>
          </w:p>
        </w:tc>
        <w:tc>
          <w:tcPr>
            <w:tcW w:w="820" w:type="dxa"/>
            <w:vAlign w:val="bottom"/>
          </w:tcPr>
          <w:p>
            <w:pPr>
              <w:jc w:val="right"/>
              <w:ind w:right="85"/>
              <w:spacing w:after="0"/>
              <w:rPr>
                <w:sz w:val="20"/>
                <w:szCs w:val="20"/>
                <w:color w:val="auto"/>
              </w:rPr>
            </w:pPr>
            <w:r>
              <w:rPr>
                <w:rFonts w:ascii="Calibri" w:cs="Calibri" w:eastAsia="Calibri" w:hAnsi="Calibri"/>
                <w:sz w:val="11"/>
                <w:szCs w:val="11"/>
                <w:color w:val="auto"/>
              </w:rPr>
              <w:t>(21,931)</w:t>
            </w:r>
          </w:p>
        </w:tc>
        <w:tc>
          <w:tcPr>
            <w:tcW w:w="800" w:type="dxa"/>
            <w:vAlign w:val="bottom"/>
          </w:tcPr>
          <w:p>
            <w:pPr>
              <w:jc w:val="right"/>
              <w:ind w:right="166"/>
              <w:spacing w:after="0"/>
              <w:rPr>
                <w:sz w:val="20"/>
                <w:szCs w:val="20"/>
                <w:color w:val="auto"/>
              </w:rPr>
            </w:pPr>
            <w:r>
              <w:rPr>
                <w:rFonts w:ascii="Calibri" w:cs="Calibri" w:eastAsia="Calibri" w:hAnsi="Calibri"/>
                <w:sz w:val="11"/>
                <w:szCs w:val="11"/>
                <w:color w:val="auto"/>
              </w:rPr>
              <w:t>(22,740)</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(22,384)</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rPr>
              <w:t>-1.6%</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color w:val="auto"/>
              </w:rPr>
              <w:t>2.1%</w:t>
            </w:r>
          </w:p>
        </w:tc>
        <w:tc>
          <w:tcPr>
            <w:tcW w:w="1060" w:type="dxa"/>
            <w:vAlign w:val="bottom"/>
          </w:tcPr>
          <w:p>
            <w:pPr>
              <w:jc w:val="right"/>
              <w:ind w:right="226"/>
              <w:spacing w:after="0"/>
              <w:rPr>
                <w:sz w:val="20"/>
                <w:szCs w:val="20"/>
                <w:color w:val="auto"/>
              </w:rPr>
            </w:pPr>
            <w:r>
              <w:rPr>
                <w:rFonts w:ascii="Calibri" w:cs="Calibri" w:eastAsia="Calibri" w:hAnsi="Calibri"/>
                <w:sz w:val="11"/>
                <w:szCs w:val="11"/>
                <w:color w:val="auto"/>
              </w:rPr>
              <w:t>(61,376)</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(68,086)</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10.9%</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Administratve expenses</w:t>
            </w:r>
          </w:p>
        </w:tc>
        <w:tc>
          <w:tcPr>
            <w:tcW w:w="820" w:type="dxa"/>
            <w:vAlign w:val="bottom"/>
          </w:tcPr>
          <w:p>
            <w:pPr>
              <w:jc w:val="right"/>
              <w:ind w:right="105"/>
              <w:spacing w:after="0"/>
              <w:rPr>
                <w:sz w:val="20"/>
                <w:szCs w:val="20"/>
                <w:color w:val="auto"/>
              </w:rPr>
            </w:pPr>
            <w:r>
              <w:rPr>
                <w:rFonts w:ascii="Calibri" w:cs="Calibri" w:eastAsia="Calibri" w:hAnsi="Calibri"/>
                <w:sz w:val="11"/>
                <w:szCs w:val="11"/>
                <w:color w:val="auto"/>
              </w:rPr>
              <w:t>(15,825)</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(22,218)</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(17,272)</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w w:val="97"/>
              </w:rPr>
              <w:t>-22.3%</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color w:val="auto"/>
              </w:rPr>
              <w:t>9.1%</w:t>
            </w:r>
          </w:p>
        </w:tc>
        <w:tc>
          <w:tcPr>
            <w:tcW w:w="1060" w:type="dxa"/>
            <w:vAlign w:val="bottom"/>
          </w:tcPr>
          <w:p>
            <w:pPr>
              <w:jc w:val="right"/>
              <w:ind w:right="246"/>
              <w:spacing w:after="0"/>
              <w:rPr>
                <w:sz w:val="20"/>
                <w:szCs w:val="20"/>
                <w:color w:val="auto"/>
              </w:rPr>
            </w:pPr>
            <w:r>
              <w:rPr>
                <w:rFonts w:ascii="Calibri" w:cs="Calibri" w:eastAsia="Calibri" w:hAnsi="Calibri"/>
                <w:sz w:val="11"/>
                <w:szCs w:val="11"/>
                <w:color w:val="auto"/>
              </w:rPr>
              <w:t>(53,645)</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(58,025)</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8.2%</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Depreciaton and amortzaton</w:t>
            </w:r>
          </w:p>
        </w:tc>
        <w:tc>
          <w:tcPr>
            <w:tcW w:w="820" w:type="dxa"/>
            <w:vAlign w:val="bottom"/>
          </w:tcPr>
          <w:p>
            <w:pPr>
              <w:jc w:val="right"/>
              <w:ind w:right="105"/>
              <w:spacing w:after="0"/>
              <w:rPr>
                <w:sz w:val="20"/>
                <w:szCs w:val="20"/>
                <w:color w:val="auto"/>
              </w:rPr>
            </w:pPr>
            <w:r>
              <w:rPr>
                <w:rFonts w:ascii="Calibri" w:cs="Calibri" w:eastAsia="Calibri" w:hAnsi="Calibri"/>
                <w:sz w:val="11"/>
                <w:szCs w:val="11"/>
                <w:color w:val="auto"/>
              </w:rPr>
              <w:t>(6,429)</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(6,560)</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(6,603)</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rPr>
              <w:t>0.7%</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color w:val="auto"/>
              </w:rPr>
              <w:t>2.7%</w:t>
            </w:r>
          </w:p>
        </w:tc>
        <w:tc>
          <w:tcPr>
            <w:tcW w:w="1060" w:type="dxa"/>
            <w:vAlign w:val="bottom"/>
          </w:tcPr>
          <w:p>
            <w:pPr>
              <w:jc w:val="right"/>
              <w:ind w:right="226"/>
              <w:spacing w:after="0"/>
              <w:rPr>
                <w:sz w:val="20"/>
                <w:szCs w:val="20"/>
                <w:color w:val="auto"/>
              </w:rPr>
            </w:pPr>
            <w:r>
              <w:rPr>
                <w:rFonts w:ascii="Calibri" w:cs="Calibri" w:eastAsia="Calibri" w:hAnsi="Calibri"/>
                <w:sz w:val="11"/>
                <w:szCs w:val="11"/>
                <w:color w:val="auto"/>
              </w:rPr>
              <w:t>(18,884)</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(19,769)</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4.7%</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 expenses</w:t>
            </w:r>
          </w:p>
        </w:tc>
        <w:tc>
          <w:tcPr>
            <w:tcW w:w="820" w:type="dxa"/>
            <w:vAlign w:val="bottom"/>
          </w:tcPr>
          <w:p>
            <w:pPr>
              <w:jc w:val="right"/>
              <w:ind w:right="105"/>
              <w:spacing w:after="0"/>
              <w:rPr>
                <w:sz w:val="20"/>
                <w:szCs w:val="20"/>
                <w:color w:val="auto"/>
              </w:rPr>
            </w:pPr>
            <w:r>
              <w:rPr>
                <w:rFonts w:ascii="Calibri" w:cs="Calibri" w:eastAsia="Calibri" w:hAnsi="Calibri"/>
                <w:sz w:val="11"/>
                <w:szCs w:val="11"/>
                <w:color w:val="auto"/>
              </w:rPr>
              <w:t>(2,253)</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(601)</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(243)</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w w:val="97"/>
              </w:rPr>
              <w:t>-59.6%</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color w:val="auto"/>
                <w:w w:val="97"/>
              </w:rPr>
              <w:t>-89.2%</w:t>
            </w:r>
          </w:p>
        </w:tc>
        <w:tc>
          <w:tcPr>
            <w:tcW w:w="1060" w:type="dxa"/>
            <w:vAlign w:val="bottom"/>
          </w:tcPr>
          <w:p>
            <w:pPr>
              <w:jc w:val="right"/>
              <w:ind w:right="226"/>
              <w:spacing w:after="0"/>
              <w:rPr>
                <w:sz w:val="20"/>
                <w:szCs w:val="20"/>
                <w:color w:val="auto"/>
              </w:rPr>
            </w:pPr>
            <w:r>
              <w:rPr>
                <w:rFonts w:ascii="Calibri" w:cs="Calibri" w:eastAsia="Calibri" w:hAnsi="Calibri"/>
                <w:sz w:val="11"/>
                <w:szCs w:val="11"/>
                <w:color w:val="auto"/>
              </w:rPr>
              <w:t>(4,338)</w:t>
            </w:r>
          </w:p>
        </w:tc>
        <w:tc>
          <w:tcPr>
            <w:tcW w:w="680" w:type="dxa"/>
            <w:vAlign w:val="bottom"/>
            <w:tcBorders>
              <w:right w:val="single" w:sz="8" w:color="auto"/>
            </w:tcBorders>
          </w:tcPr>
          <w:p>
            <w:pPr>
              <w:jc w:val="right"/>
              <w:ind w:right="26"/>
              <w:spacing w:after="0"/>
              <w:rPr>
                <w:sz w:val="20"/>
                <w:szCs w:val="20"/>
                <w:color w:val="auto"/>
              </w:rPr>
            </w:pPr>
            <w:r>
              <w:rPr>
                <w:rFonts w:ascii="Calibri" w:cs="Calibri" w:eastAsia="Calibri" w:hAnsi="Calibri"/>
                <w:sz w:val="11"/>
                <w:szCs w:val="11"/>
                <w:color w:val="auto"/>
              </w:rPr>
              <w:t>(1,177)</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-72.9%</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Proft before income tax</w:t>
            </w:r>
          </w:p>
        </w:tc>
        <w:tc>
          <w:tcPr>
            <w:tcW w:w="820" w:type="dxa"/>
            <w:vAlign w:val="bottom"/>
          </w:tcPr>
          <w:p>
            <w:pPr>
              <w:jc w:val="right"/>
              <w:ind w:right="185"/>
              <w:spacing w:after="0"/>
              <w:rPr>
                <w:sz w:val="20"/>
                <w:szCs w:val="20"/>
                <w:color w:val="auto"/>
              </w:rPr>
            </w:pPr>
            <w:r>
              <w:rPr>
                <w:rFonts w:ascii="Calibri" w:cs="Calibri" w:eastAsia="Calibri" w:hAnsi="Calibri"/>
                <w:sz w:val="11"/>
                <w:szCs w:val="11"/>
                <w:b w:val="1"/>
                <w:bCs w:val="1"/>
                <w:color w:val="auto"/>
              </w:rPr>
              <w:t>45,698</w:t>
            </w:r>
          </w:p>
        </w:tc>
        <w:tc>
          <w:tcPr>
            <w:tcW w:w="800" w:type="dxa"/>
            <w:vAlign w:val="bottom"/>
          </w:tcPr>
          <w:p>
            <w:pPr>
              <w:jc w:val="right"/>
              <w:ind w:right="246"/>
              <w:spacing w:after="0"/>
              <w:rPr>
                <w:sz w:val="20"/>
                <w:szCs w:val="20"/>
                <w:color w:val="auto"/>
              </w:rPr>
            </w:pPr>
            <w:r>
              <w:rPr>
                <w:rFonts w:ascii="Calibri" w:cs="Calibri" w:eastAsia="Calibri" w:hAnsi="Calibri"/>
                <w:sz w:val="11"/>
                <w:szCs w:val="11"/>
                <w:b w:val="1"/>
                <w:bCs w:val="1"/>
                <w:color w:val="auto"/>
              </w:rPr>
              <w:t>51,396</w:t>
            </w:r>
          </w:p>
        </w:tc>
        <w:tc>
          <w:tcPr>
            <w:tcW w:w="640" w:type="dxa"/>
            <w:vAlign w:val="bottom"/>
            <w:tcBorders>
              <w:right w:val="single" w:sz="8" w:color="auto"/>
            </w:tcBorders>
          </w:tcPr>
          <w:p>
            <w:pPr>
              <w:jc w:val="right"/>
              <w:ind w:right="126"/>
              <w:spacing w:after="0"/>
              <w:rPr>
                <w:sz w:val="20"/>
                <w:szCs w:val="20"/>
                <w:color w:val="auto"/>
              </w:rPr>
            </w:pPr>
            <w:r>
              <w:rPr>
                <w:rFonts w:ascii="Calibri" w:cs="Calibri" w:eastAsia="Calibri" w:hAnsi="Calibri"/>
                <w:sz w:val="11"/>
                <w:szCs w:val="11"/>
                <w:b w:val="1"/>
                <w:bCs w:val="1"/>
                <w:color w:val="auto"/>
              </w:rPr>
              <w:t>47,433</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b w:val="1"/>
                <w:bCs w:val="1"/>
                <w:color w:val="auto"/>
              </w:rPr>
              <w:t>-7.7%</w:t>
            </w:r>
          </w:p>
        </w:tc>
        <w:tc>
          <w:tcPr>
            <w:tcW w:w="960" w:type="dxa"/>
            <w:vAlign w:val="bottom"/>
            <w:tcBorders>
              <w:right w:val="single" w:sz="8" w:color="auto"/>
            </w:tcBorders>
          </w:tcPr>
          <w:p>
            <w:pPr>
              <w:jc w:val="center"/>
              <w:ind w:left="86"/>
              <w:spacing w:after="0"/>
              <w:rPr>
                <w:sz w:val="20"/>
                <w:szCs w:val="20"/>
                <w:color w:val="auto"/>
              </w:rPr>
            </w:pPr>
            <w:r>
              <w:rPr>
                <w:rFonts w:ascii="Calibri" w:cs="Calibri" w:eastAsia="Calibri" w:hAnsi="Calibri"/>
                <w:sz w:val="11"/>
                <w:szCs w:val="11"/>
                <w:b w:val="1"/>
                <w:bCs w:val="1"/>
                <w:color w:val="auto"/>
                <w:w w:val="99"/>
              </w:rPr>
              <w:t>3.8%</w:t>
            </w:r>
          </w:p>
        </w:tc>
        <w:tc>
          <w:tcPr>
            <w:tcW w:w="1060" w:type="dxa"/>
            <w:vAlign w:val="bottom"/>
          </w:tcPr>
          <w:p>
            <w:pPr>
              <w:jc w:val="right"/>
              <w:ind w:right="326"/>
              <w:spacing w:after="0"/>
              <w:rPr>
                <w:sz w:val="20"/>
                <w:szCs w:val="20"/>
                <w:color w:val="auto"/>
              </w:rPr>
            </w:pPr>
            <w:r>
              <w:rPr>
                <w:rFonts w:ascii="Calibri" w:cs="Calibri" w:eastAsia="Calibri" w:hAnsi="Calibri"/>
                <w:sz w:val="11"/>
                <w:szCs w:val="11"/>
                <w:b w:val="1"/>
                <w:bCs w:val="1"/>
                <w:color w:val="auto"/>
              </w:rPr>
              <w:t>150,881</w:t>
            </w:r>
          </w:p>
        </w:tc>
        <w:tc>
          <w:tcPr>
            <w:tcW w:w="680" w:type="dxa"/>
            <w:vAlign w:val="bottom"/>
            <w:tcBorders>
              <w:right w:val="single" w:sz="8" w:color="auto"/>
            </w:tcBorders>
          </w:tcPr>
          <w:p>
            <w:pPr>
              <w:jc w:val="right"/>
              <w:ind w:right="146"/>
              <w:spacing w:after="0"/>
              <w:rPr>
                <w:sz w:val="20"/>
                <w:szCs w:val="20"/>
                <w:color w:val="auto"/>
              </w:rPr>
            </w:pPr>
            <w:r>
              <w:rPr>
                <w:rFonts w:ascii="Calibri" w:cs="Calibri" w:eastAsia="Calibri" w:hAnsi="Calibri"/>
                <w:sz w:val="11"/>
                <w:szCs w:val="11"/>
                <w:b w:val="1"/>
                <w:bCs w:val="1"/>
                <w:color w:val="auto"/>
              </w:rPr>
              <w:t>152,566</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9"/>
              </w:rPr>
              <w:t>1.1%</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Income tax</w:t>
            </w:r>
          </w:p>
        </w:tc>
        <w:tc>
          <w:tcPr>
            <w:tcW w:w="820" w:type="dxa"/>
            <w:vAlign w:val="bottom"/>
          </w:tcPr>
          <w:p>
            <w:pPr>
              <w:jc w:val="right"/>
              <w:ind w:right="85"/>
              <w:spacing w:after="0"/>
              <w:rPr>
                <w:sz w:val="20"/>
                <w:szCs w:val="20"/>
                <w:color w:val="auto"/>
              </w:rPr>
            </w:pPr>
            <w:r>
              <w:rPr>
                <w:rFonts w:ascii="Calibri" w:cs="Calibri" w:eastAsia="Calibri" w:hAnsi="Calibri"/>
                <w:sz w:val="11"/>
                <w:szCs w:val="11"/>
                <w:color w:val="auto"/>
              </w:rPr>
              <w:t>(13,701)</w:t>
            </w:r>
          </w:p>
        </w:tc>
        <w:tc>
          <w:tcPr>
            <w:tcW w:w="800" w:type="dxa"/>
            <w:vAlign w:val="bottom"/>
          </w:tcPr>
          <w:p>
            <w:pPr>
              <w:jc w:val="right"/>
              <w:ind w:right="146"/>
              <w:spacing w:after="0"/>
              <w:rPr>
                <w:sz w:val="20"/>
                <w:szCs w:val="20"/>
                <w:color w:val="auto"/>
              </w:rPr>
            </w:pPr>
            <w:r>
              <w:rPr>
                <w:rFonts w:ascii="Calibri" w:cs="Calibri" w:eastAsia="Calibri" w:hAnsi="Calibri"/>
                <w:sz w:val="11"/>
                <w:szCs w:val="11"/>
                <w:color w:val="auto"/>
              </w:rPr>
              <w:t>(14,490)</w:t>
            </w:r>
          </w:p>
        </w:tc>
        <w:tc>
          <w:tcPr>
            <w:tcW w:w="64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(12,744)</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w w:val="97"/>
              </w:rPr>
              <w:t>-12.0%</w:t>
            </w:r>
          </w:p>
        </w:tc>
        <w:tc>
          <w:tcPr>
            <w:tcW w:w="960" w:type="dxa"/>
            <w:vAlign w:val="bottom"/>
            <w:tcBorders>
              <w:right w:val="single" w:sz="8" w:color="auto"/>
            </w:tcBorders>
          </w:tcPr>
          <w:p>
            <w:pPr>
              <w:jc w:val="center"/>
              <w:ind w:left="106"/>
              <w:spacing w:after="0"/>
              <w:rPr>
                <w:sz w:val="20"/>
                <w:szCs w:val="20"/>
                <w:color w:val="auto"/>
              </w:rPr>
            </w:pPr>
            <w:r>
              <w:rPr>
                <w:rFonts w:ascii="Calibri" w:cs="Calibri" w:eastAsia="Calibri" w:hAnsi="Calibri"/>
                <w:sz w:val="11"/>
                <w:szCs w:val="11"/>
                <w:color w:val="auto"/>
                <w:w w:val="95"/>
              </w:rPr>
              <w:t>-7.0%</w:t>
            </w:r>
          </w:p>
        </w:tc>
        <w:tc>
          <w:tcPr>
            <w:tcW w:w="1060" w:type="dxa"/>
            <w:vAlign w:val="bottom"/>
          </w:tcPr>
          <w:p>
            <w:pPr>
              <w:jc w:val="right"/>
              <w:ind w:right="206"/>
              <w:spacing w:after="0"/>
              <w:rPr>
                <w:sz w:val="20"/>
                <w:szCs w:val="20"/>
                <w:color w:val="auto"/>
              </w:rPr>
            </w:pPr>
            <w:r>
              <w:rPr>
                <w:rFonts w:ascii="Calibri" w:cs="Calibri" w:eastAsia="Calibri" w:hAnsi="Calibri"/>
                <w:sz w:val="11"/>
                <w:szCs w:val="11"/>
                <w:color w:val="auto"/>
              </w:rPr>
              <w:t>(41,711)</w:t>
            </w:r>
          </w:p>
        </w:tc>
        <w:tc>
          <w:tcPr>
            <w:tcW w:w="680" w:type="dxa"/>
            <w:vAlign w:val="bottom"/>
            <w:tcBorders>
              <w:right w:val="single" w:sz="8" w:color="auto"/>
            </w:tcBorders>
          </w:tcPr>
          <w:p>
            <w:pPr>
              <w:jc w:val="right"/>
              <w:ind w:right="46"/>
              <w:spacing w:after="0"/>
              <w:rPr>
                <w:sz w:val="20"/>
                <w:szCs w:val="20"/>
                <w:color w:val="auto"/>
              </w:rPr>
            </w:pPr>
            <w:r>
              <w:rPr>
                <w:rFonts w:ascii="Calibri" w:cs="Calibri" w:eastAsia="Calibri" w:hAnsi="Calibri"/>
                <w:sz w:val="11"/>
                <w:szCs w:val="11"/>
                <w:color w:val="auto"/>
              </w:rPr>
              <w:t>(43,961)</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5.4%</w:t>
            </w:r>
          </w:p>
        </w:tc>
        <w:tc>
          <w:tcPr>
            <w:tcW w:w="0" w:type="dxa"/>
            <w:vAlign w:val="bottom"/>
          </w:tcPr>
          <w:p>
            <w:pPr>
              <w:spacing w:after="0"/>
              <w:rPr>
                <w:sz w:val="1"/>
                <w:szCs w:val="1"/>
                <w:color w:val="auto"/>
              </w:rPr>
            </w:pPr>
          </w:p>
        </w:tc>
      </w:tr>
      <w:tr>
        <w:trPr>
          <w:trHeight w:val="143"/>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proft</w:t>
            </w:r>
          </w:p>
        </w:tc>
        <w:tc>
          <w:tcPr>
            <w:tcW w:w="820" w:type="dxa"/>
            <w:vAlign w:val="bottom"/>
            <w:tcBorders>
              <w:bottom w:val="single" w:sz="8" w:color="auto"/>
            </w:tcBorders>
          </w:tcPr>
          <w:p>
            <w:pPr>
              <w:jc w:val="right"/>
              <w:ind w:right="185"/>
              <w:spacing w:after="0"/>
              <w:rPr>
                <w:sz w:val="20"/>
                <w:szCs w:val="20"/>
                <w:color w:val="auto"/>
              </w:rPr>
            </w:pPr>
            <w:r>
              <w:rPr>
                <w:rFonts w:ascii="Calibri" w:cs="Calibri" w:eastAsia="Calibri" w:hAnsi="Calibri"/>
                <w:sz w:val="11"/>
                <w:szCs w:val="11"/>
                <w:b w:val="1"/>
                <w:bCs w:val="1"/>
                <w:color w:val="auto"/>
              </w:rPr>
              <w:t>31,997</w:t>
            </w:r>
          </w:p>
        </w:tc>
        <w:tc>
          <w:tcPr>
            <w:tcW w:w="800" w:type="dxa"/>
            <w:vAlign w:val="bottom"/>
            <w:tcBorders>
              <w:bottom w:val="single" w:sz="8" w:color="auto"/>
            </w:tcBorders>
          </w:tcPr>
          <w:p>
            <w:pPr>
              <w:jc w:val="right"/>
              <w:ind w:right="246"/>
              <w:spacing w:after="0"/>
              <w:rPr>
                <w:sz w:val="20"/>
                <w:szCs w:val="20"/>
                <w:color w:val="auto"/>
              </w:rPr>
            </w:pPr>
            <w:r>
              <w:rPr>
                <w:rFonts w:ascii="Calibri" w:cs="Calibri" w:eastAsia="Calibri" w:hAnsi="Calibri"/>
                <w:sz w:val="11"/>
                <w:szCs w:val="11"/>
                <w:b w:val="1"/>
                <w:bCs w:val="1"/>
                <w:color w:val="auto"/>
              </w:rPr>
              <w:t>36,906</w:t>
            </w:r>
          </w:p>
        </w:tc>
        <w:tc>
          <w:tcPr>
            <w:tcW w:w="640" w:type="dxa"/>
            <w:vAlign w:val="bottom"/>
            <w:tcBorders>
              <w:bottom w:val="single" w:sz="8" w:color="auto"/>
              <w:right w:val="single" w:sz="8" w:color="auto"/>
            </w:tcBorders>
          </w:tcPr>
          <w:p>
            <w:pPr>
              <w:jc w:val="right"/>
              <w:ind w:right="126"/>
              <w:spacing w:after="0"/>
              <w:rPr>
                <w:sz w:val="20"/>
                <w:szCs w:val="20"/>
                <w:color w:val="auto"/>
              </w:rPr>
            </w:pPr>
            <w:r>
              <w:rPr>
                <w:rFonts w:ascii="Calibri" w:cs="Calibri" w:eastAsia="Calibri" w:hAnsi="Calibri"/>
                <w:sz w:val="11"/>
                <w:szCs w:val="11"/>
                <w:b w:val="1"/>
                <w:bCs w:val="1"/>
                <w:color w:val="auto"/>
              </w:rPr>
              <w:t>34,689</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6"/>
              <w:spacing w:after="0"/>
              <w:rPr>
                <w:sz w:val="20"/>
                <w:szCs w:val="20"/>
                <w:color w:val="auto"/>
              </w:rPr>
            </w:pPr>
            <w:r>
              <w:rPr>
                <w:rFonts w:ascii="Calibri" w:cs="Calibri" w:eastAsia="Calibri" w:hAnsi="Calibri"/>
                <w:sz w:val="11"/>
                <w:szCs w:val="11"/>
                <w:b w:val="1"/>
                <w:bCs w:val="1"/>
                <w:color w:val="auto"/>
              </w:rPr>
              <w:t>-6.0%</w:t>
            </w:r>
          </w:p>
        </w:tc>
        <w:tc>
          <w:tcPr>
            <w:tcW w:w="960" w:type="dxa"/>
            <w:vAlign w:val="bottom"/>
            <w:tcBorders>
              <w:bottom w:val="single" w:sz="8" w:color="auto"/>
              <w:right w:val="single" w:sz="8" w:color="auto"/>
            </w:tcBorders>
          </w:tcPr>
          <w:p>
            <w:pPr>
              <w:jc w:val="center"/>
              <w:ind w:left="86"/>
              <w:spacing w:after="0"/>
              <w:rPr>
                <w:sz w:val="20"/>
                <w:szCs w:val="20"/>
                <w:color w:val="auto"/>
              </w:rPr>
            </w:pPr>
            <w:r>
              <w:rPr>
                <w:rFonts w:ascii="Calibri" w:cs="Calibri" w:eastAsia="Calibri" w:hAnsi="Calibri"/>
                <w:sz w:val="11"/>
                <w:szCs w:val="11"/>
                <w:b w:val="1"/>
                <w:bCs w:val="1"/>
                <w:color w:val="auto"/>
                <w:w w:val="99"/>
              </w:rPr>
              <w:t>8.4%</w:t>
            </w:r>
          </w:p>
        </w:tc>
        <w:tc>
          <w:tcPr>
            <w:tcW w:w="1060" w:type="dxa"/>
            <w:vAlign w:val="bottom"/>
            <w:tcBorders>
              <w:bottom w:val="single" w:sz="8" w:color="auto"/>
            </w:tcBorders>
          </w:tcPr>
          <w:p>
            <w:pPr>
              <w:jc w:val="right"/>
              <w:ind w:right="326"/>
              <w:spacing w:after="0"/>
              <w:rPr>
                <w:sz w:val="20"/>
                <w:szCs w:val="20"/>
                <w:color w:val="auto"/>
              </w:rPr>
            </w:pPr>
            <w:r>
              <w:rPr>
                <w:rFonts w:ascii="Calibri" w:cs="Calibri" w:eastAsia="Calibri" w:hAnsi="Calibri"/>
                <w:sz w:val="11"/>
                <w:szCs w:val="11"/>
                <w:b w:val="1"/>
                <w:bCs w:val="1"/>
                <w:color w:val="auto"/>
              </w:rPr>
              <w:t>109,170</w:t>
            </w:r>
          </w:p>
        </w:tc>
        <w:tc>
          <w:tcPr>
            <w:tcW w:w="680" w:type="dxa"/>
            <w:vAlign w:val="bottom"/>
            <w:tcBorders>
              <w:bottom w:val="single" w:sz="8" w:color="auto"/>
              <w:right w:val="single" w:sz="8" w:color="auto"/>
            </w:tcBorders>
          </w:tcPr>
          <w:p>
            <w:pPr>
              <w:jc w:val="right"/>
              <w:ind w:right="146"/>
              <w:spacing w:after="0"/>
              <w:rPr>
                <w:sz w:val="20"/>
                <w:szCs w:val="20"/>
                <w:color w:val="auto"/>
              </w:rPr>
            </w:pPr>
            <w:r>
              <w:rPr>
                <w:rFonts w:ascii="Calibri" w:cs="Calibri" w:eastAsia="Calibri" w:hAnsi="Calibri"/>
                <w:sz w:val="11"/>
                <w:szCs w:val="11"/>
                <w:b w:val="1"/>
                <w:bCs w:val="1"/>
                <w:color w:val="auto"/>
              </w:rPr>
              <w:t>108,605</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4"/>
              </w:rPr>
              <w:t>-0.5%</w:t>
            </w:r>
          </w:p>
        </w:tc>
        <w:tc>
          <w:tcPr>
            <w:tcW w:w="0" w:type="dxa"/>
            <w:vAlign w:val="bottom"/>
          </w:tcPr>
          <w:p>
            <w:pPr>
              <w:spacing w:after="0"/>
              <w:rPr>
                <w:sz w:val="1"/>
                <w:szCs w:val="1"/>
                <w:color w:val="auto"/>
              </w:rPr>
            </w:pPr>
          </w:p>
        </w:tc>
      </w:tr>
      <w:tr>
        <w:trPr>
          <w:trHeight w:val="138"/>
        </w:trPr>
        <w:tc>
          <w:tcPr>
            <w:tcW w:w="4340" w:type="dxa"/>
            <w:vAlign w:val="bottom"/>
          </w:tcPr>
          <w:p>
            <w:pPr>
              <w:spacing w:after="0" w:line="138" w:lineRule="exact"/>
              <w:rPr>
                <w:sz w:val="20"/>
                <w:szCs w:val="20"/>
                <w:color w:val="auto"/>
              </w:rPr>
            </w:pPr>
            <w:r>
              <w:rPr>
                <w:rFonts w:ascii="Calibri" w:cs="Calibri" w:eastAsia="Calibri" w:hAnsi="Calibri"/>
                <w:sz w:val="12"/>
                <w:szCs w:val="12"/>
                <w:color w:val="auto"/>
              </w:rPr>
              <w:t>(1) Net shareholders' equity includes unrealized gains from Prima's investment portolio.</w:t>
            </w:r>
          </w:p>
        </w:tc>
        <w:tc>
          <w:tcPr>
            <w:tcW w:w="2380" w:type="dxa"/>
            <w:vAlign w:val="bottom"/>
            <w:gridSpan w:val="4"/>
            <w:vMerge w:val="restart"/>
          </w:tcPr>
          <w:p>
            <w:pPr>
              <w:ind w:left="260"/>
              <w:spacing w:after="0"/>
              <w:rPr>
                <w:sz w:val="20"/>
                <w:szCs w:val="20"/>
                <w:color w:val="auto"/>
              </w:rPr>
            </w:pPr>
            <w:r>
              <w:rPr>
                <w:rFonts w:ascii="Calibri" w:cs="Calibri" w:eastAsia="Calibri" w:hAnsi="Calibri"/>
                <w:sz w:val="17"/>
                <w:szCs w:val="17"/>
                <w:b w:val="1"/>
                <w:bCs w:val="1"/>
                <w:color w:val="auto"/>
              </w:rPr>
              <w:t>Selected Financial Indicators</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38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340" w:type="dxa"/>
            <w:vAlign w:val="bottom"/>
            <w:tcBorders>
              <w:left w:val="single" w:sz="8" w:color="auto"/>
              <w:right w:val="single" w:sz="8" w:color="auto"/>
            </w:tcBorders>
            <w:shd w:val="clear" w:color="auto" w:fill="33CCCC"/>
          </w:tcPr>
          <w:p>
            <w:pPr>
              <w:spacing w:after="0"/>
              <w:rPr>
                <w:sz w:val="10"/>
                <w:szCs w:val="10"/>
                <w:color w:val="auto"/>
              </w:rPr>
            </w:pPr>
          </w:p>
        </w:tc>
        <w:tc>
          <w:tcPr>
            <w:tcW w:w="820" w:type="dxa"/>
            <w:vAlign w:val="bottom"/>
            <w:shd w:val="clear" w:color="auto" w:fill="33CCCC"/>
          </w:tcPr>
          <w:p>
            <w:pPr>
              <w:spacing w:after="0"/>
              <w:rPr>
                <w:sz w:val="10"/>
                <w:szCs w:val="10"/>
                <w:color w:val="auto"/>
              </w:rPr>
            </w:pPr>
          </w:p>
        </w:tc>
        <w:tc>
          <w:tcPr>
            <w:tcW w:w="800" w:type="dxa"/>
            <w:vAlign w:val="bottom"/>
            <w:shd w:val="clear" w:color="auto" w:fill="33CCCC"/>
          </w:tcPr>
          <w:p>
            <w:pPr>
              <w:jc w:val="center"/>
              <w:ind w:right="146"/>
              <w:spacing w:after="0" w:line="121" w:lineRule="exact"/>
              <w:rPr>
                <w:sz w:val="20"/>
                <w:szCs w:val="20"/>
                <w:color w:val="auto"/>
              </w:rPr>
            </w:pPr>
            <w:r>
              <w:rPr>
                <w:rFonts w:ascii="Calibri" w:cs="Calibri" w:eastAsia="Calibri" w:hAnsi="Calibri"/>
                <w:sz w:val="11"/>
                <w:szCs w:val="11"/>
                <w:b w:val="1"/>
                <w:bCs w:val="1"/>
                <w:color w:val="FFFFFF"/>
                <w:w w:val="99"/>
              </w:rPr>
              <w:t>Quarter</w:t>
            </w:r>
          </w:p>
        </w:tc>
        <w:tc>
          <w:tcPr>
            <w:tcW w:w="640" w:type="dxa"/>
            <w:vAlign w:val="bottom"/>
            <w:tcBorders>
              <w:right w:val="single" w:sz="8" w:color="auto"/>
            </w:tcBorders>
            <w:shd w:val="clear" w:color="auto" w:fill="33CCCC"/>
          </w:tcPr>
          <w:p>
            <w:pPr>
              <w:spacing w:after="0"/>
              <w:rPr>
                <w:sz w:val="10"/>
                <w:szCs w:val="10"/>
                <w:color w:val="auto"/>
              </w:rPr>
            </w:pPr>
          </w:p>
        </w:tc>
        <w:tc>
          <w:tcPr>
            <w:tcW w:w="120" w:type="dxa"/>
            <w:vAlign w:val="bottom"/>
            <w:shd w:val="clear" w:color="auto" w:fill="33CCCC"/>
          </w:tcPr>
          <w:p>
            <w:pPr>
              <w:spacing w:after="0"/>
              <w:rPr>
                <w:sz w:val="10"/>
                <w:szCs w:val="10"/>
                <w:color w:val="auto"/>
              </w:rPr>
            </w:pPr>
          </w:p>
        </w:tc>
        <w:tc>
          <w:tcPr>
            <w:tcW w:w="440" w:type="dxa"/>
            <w:vAlign w:val="bottom"/>
            <w:shd w:val="clear" w:color="auto" w:fill="33CCCC"/>
          </w:tcPr>
          <w:p>
            <w:pPr>
              <w:spacing w:after="0"/>
              <w:rPr>
                <w:sz w:val="10"/>
                <w:szCs w:val="10"/>
                <w:color w:val="auto"/>
              </w:rPr>
            </w:pPr>
          </w:p>
        </w:tc>
        <w:tc>
          <w:tcPr>
            <w:tcW w:w="960" w:type="dxa"/>
            <w:vAlign w:val="bottom"/>
            <w:tcBorders>
              <w:right w:val="single" w:sz="8" w:color="auto"/>
            </w:tcBorders>
            <w:shd w:val="clear" w:color="auto" w:fill="33CCCC"/>
          </w:tcPr>
          <w:p>
            <w:pPr>
              <w:jc w:val="center"/>
              <w:ind w:right="526"/>
              <w:spacing w:after="0" w:line="121" w:lineRule="exact"/>
              <w:rPr>
                <w:sz w:val="20"/>
                <w:szCs w:val="20"/>
                <w:color w:val="auto"/>
              </w:rPr>
            </w:pPr>
            <w:r>
              <w:rPr>
                <w:rFonts w:ascii="Calibri" w:cs="Calibri" w:eastAsia="Calibri" w:hAnsi="Calibri"/>
                <w:sz w:val="11"/>
                <w:szCs w:val="11"/>
                <w:b w:val="1"/>
                <w:bCs w:val="1"/>
                <w:color w:val="FFFFFF"/>
              </w:rPr>
              <w:t>Change</w:t>
            </w:r>
          </w:p>
        </w:tc>
        <w:tc>
          <w:tcPr>
            <w:tcW w:w="1060" w:type="dxa"/>
            <w:vAlign w:val="bottom"/>
            <w:shd w:val="clear" w:color="auto" w:fill="33CCCC"/>
          </w:tcPr>
          <w:p>
            <w:pPr>
              <w:jc w:val="right"/>
              <w:ind w:right="26"/>
              <w:spacing w:after="0" w:line="121" w:lineRule="exact"/>
              <w:rPr>
                <w:sz w:val="20"/>
                <w:szCs w:val="20"/>
                <w:color w:val="auto"/>
              </w:rPr>
            </w:pPr>
            <w:r>
              <w:rPr>
                <w:rFonts w:ascii="Calibri" w:cs="Calibri" w:eastAsia="Calibri" w:hAnsi="Calibri"/>
                <w:sz w:val="11"/>
                <w:szCs w:val="11"/>
                <w:b w:val="1"/>
                <w:bCs w:val="1"/>
                <w:color w:val="FFFFFF"/>
              </w:rPr>
              <w:t>Up to</w:t>
            </w:r>
          </w:p>
        </w:tc>
        <w:tc>
          <w:tcPr>
            <w:tcW w:w="680" w:type="dxa"/>
            <w:vAlign w:val="bottom"/>
            <w:tcBorders>
              <w:right w:val="single" w:sz="8" w:color="auto"/>
            </w:tcBorders>
            <w:shd w:val="clear" w:color="auto" w:fill="33CCCC"/>
          </w:tcPr>
          <w:p>
            <w:pPr>
              <w:spacing w:after="0"/>
              <w:rPr>
                <w:sz w:val="10"/>
                <w:szCs w:val="10"/>
                <w:color w:val="auto"/>
              </w:rPr>
            </w:pPr>
          </w:p>
        </w:tc>
        <w:tc>
          <w:tcPr>
            <w:tcW w:w="1380" w:type="dxa"/>
            <w:vAlign w:val="bottom"/>
            <w:tcBorders>
              <w:right w:val="single" w:sz="8" w:color="auto"/>
            </w:tcBorders>
            <w:shd w:val="clear" w:color="auto" w:fill="33CCCC"/>
          </w:tcPr>
          <w:p>
            <w:pPr>
              <w:jc w:val="center"/>
              <w:spacing w:after="0" w:line="121" w:lineRule="exact"/>
              <w:rPr>
                <w:sz w:val="20"/>
                <w:szCs w:val="20"/>
                <w:color w:val="auto"/>
              </w:rPr>
            </w:pPr>
            <w:r>
              <w:rPr>
                <w:rFonts w:ascii="Calibri" w:cs="Calibri" w:eastAsia="Calibri" w:hAnsi="Calibri"/>
                <w:sz w:val="11"/>
                <w:szCs w:val="11"/>
                <w:b w:val="1"/>
                <w:bCs w:val="1"/>
                <w:color w:val="FFFFFF"/>
              </w:rPr>
              <w:t>Change</w:t>
            </w:r>
          </w:p>
        </w:tc>
        <w:tc>
          <w:tcPr>
            <w:tcW w:w="0" w:type="dxa"/>
            <w:vAlign w:val="bottom"/>
          </w:tcPr>
          <w:p>
            <w:pPr>
              <w:spacing w:after="0"/>
              <w:rPr>
                <w:sz w:val="1"/>
                <w:szCs w:val="1"/>
                <w:color w:val="auto"/>
              </w:rPr>
            </w:pPr>
          </w:p>
        </w:tc>
      </w:tr>
      <w:tr>
        <w:trPr>
          <w:trHeight w:val="136"/>
        </w:trPr>
        <w:tc>
          <w:tcPr>
            <w:tcW w:w="434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820" w:type="dxa"/>
            <w:vAlign w:val="bottom"/>
            <w:tcBorders>
              <w:bottom w:val="single" w:sz="8" w:color="auto"/>
            </w:tcBorders>
            <w:shd w:val="clear" w:color="auto" w:fill="33CCCC"/>
          </w:tcPr>
          <w:p>
            <w:pPr>
              <w:jc w:val="right"/>
              <w:ind w:right="285"/>
              <w:spacing w:after="0" w:line="129" w:lineRule="exact"/>
              <w:rPr>
                <w:sz w:val="20"/>
                <w:szCs w:val="20"/>
                <w:color w:val="auto"/>
              </w:rPr>
            </w:pPr>
            <w:r>
              <w:rPr>
                <w:rFonts w:ascii="Calibri" w:cs="Calibri" w:eastAsia="Calibri" w:hAnsi="Calibri"/>
                <w:sz w:val="11"/>
                <w:szCs w:val="11"/>
                <w:b w:val="1"/>
                <w:bCs w:val="1"/>
                <w:color w:val="FFFFFF"/>
              </w:rPr>
              <w:t>3Q23</w:t>
            </w:r>
          </w:p>
        </w:tc>
        <w:tc>
          <w:tcPr>
            <w:tcW w:w="800" w:type="dxa"/>
            <w:vAlign w:val="bottom"/>
            <w:tcBorders>
              <w:bottom w:val="single" w:sz="8" w:color="auto"/>
            </w:tcBorders>
            <w:shd w:val="clear" w:color="auto" w:fill="33CCCC"/>
          </w:tcPr>
          <w:p>
            <w:pPr>
              <w:jc w:val="center"/>
              <w:ind w:right="186"/>
              <w:spacing w:after="0" w:line="129" w:lineRule="exact"/>
              <w:rPr>
                <w:sz w:val="20"/>
                <w:szCs w:val="20"/>
                <w:color w:val="auto"/>
              </w:rPr>
            </w:pPr>
            <w:r>
              <w:rPr>
                <w:rFonts w:ascii="Calibri" w:cs="Calibri" w:eastAsia="Calibri" w:hAnsi="Calibri"/>
                <w:sz w:val="11"/>
                <w:szCs w:val="11"/>
                <w:b w:val="1"/>
                <w:bCs w:val="1"/>
                <w:color w:val="FFFFFF"/>
                <w:w w:val="98"/>
              </w:rPr>
              <w:t>2Q24</w:t>
            </w:r>
          </w:p>
        </w:tc>
        <w:tc>
          <w:tcPr>
            <w:tcW w:w="640" w:type="dxa"/>
            <w:vAlign w:val="bottom"/>
            <w:tcBorders>
              <w:bottom w:val="single" w:sz="8" w:color="auto"/>
              <w:right w:val="single" w:sz="8" w:color="auto"/>
            </w:tcBorders>
            <w:shd w:val="clear" w:color="auto" w:fill="33CCCC"/>
          </w:tcPr>
          <w:p>
            <w:pPr>
              <w:jc w:val="right"/>
              <w:ind w:right="226"/>
              <w:spacing w:after="0" w:line="129" w:lineRule="exact"/>
              <w:rPr>
                <w:sz w:val="20"/>
                <w:szCs w:val="20"/>
                <w:color w:val="auto"/>
              </w:rPr>
            </w:pPr>
            <w:r>
              <w:rPr>
                <w:rFonts w:ascii="Calibri" w:cs="Calibri" w:eastAsia="Calibri" w:hAnsi="Calibri"/>
                <w:sz w:val="11"/>
                <w:szCs w:val="11"/>
                <w:b w:val="1"/>
                <w:bCs w:val="1"/>
                <w:color w:val="FFFFFF"/>
              </w:rPr>
              <w:t>3Q24</w:t>
            </w:r>
          </w:p>
        </w:tc>
        <w:tc>
          <w:tcPr>
            <w:tcW w:w="120" w:type="dxa"/>
            <w:vAlign w:val="bottom"/>
            <w:tcBorders>
              <w:bottom w:val="single" w:sz="8" w:color="auto"/>
            </w:tcBorders>
            <w:shd w:val="clear" w:color="auto" w:fill="33CCCC"/>
          </w:tcPr>
          <w:p>
            <w:pPr>
              <w:spacing w:after="0"/>
              <w:rPr>
                <w:sz w:val="11"/>
                <w:szCs w:val="11"/>
                <w:color w:val="auto"/>
              </w:rPr>
            </w:pPr>
          </w:p>
        </w:tc>
        <w:tc>
          <w:tcPr>
            <w:tcW w:w="440" w:type="dxa"/>
            <w:vAlign w:val="bottom"/>
            <w:tcBorders>
              <w:bottom w:val="single" w:sz="8" w:color="auto"/>
            </w:tcBorders>
            <w:shd w:val="clear" w:color="auto" w:fill="33CCCC"/>
          </w:tcPr>
          <w:p>
            <w:pPr>
              <w:jc w:val="center"/>
              <w:ind w:left="6"/>
              <w:spacing w:after="0" w:line="129" w:lineRule="exact"/>
              <w:rPr>
                <w:sz w:val="20"/>
                <w:szCs w:val="20"/>
                <w:color w:val="auto"/>
              </w:rPr>
            </w:pPr>
            <w:r>
              <w:rPr>
                <w:rFonts w:ascii="Calibri" w:cs="Calibri" w:eastAsia="Calibri" w:hAnsi="Calibri"/>
                <w:sz w:val="11"/>
                <w:szCs w:val="11"/>
                <w:b w:val="1"/>
                <w:bCs w:val="1"/>
                <w:color w:val="FFFFFF"/>
              </w:rPr>
              <w:t>QoQ</w:t>
            </w:r>
          </w:p>
        </w:tc>
        <w:tc>
          <w:tcPr>
            <w:tcW w:w="960" w:type="dxa"/>
            <w:vAlign w:val="bottom"/>
            <w:tcBorders>
              <w:bottom w:val="single" w:sz="8" w:color="auto"/>
              <w:right w:val="single" w:sz="8" w:color="auto"/>
            </w:tcBorders>
            <w:shd w:val="clear" w:color="auto" w:fill="33CCCC"/>
          </w:tcPr>
          <w:p>
            <w:pPr>
              <w:jc w:val="center"/>
              <w:ind w:left="106"/>
              <w:spacing w:after="0" w:line="129" w:lineRule="exact"/>
              <w:rPr>
                <w:sz w:val="20"/>
                <w:szCs w:val="20"/>
                <w:color w:val="auto"/>
              </w:rPr>
            </w:pPr>
            <w:r>
              <w:rPr>
                <w:rFonts w:ascii="Calibri" w:cs="Calibri" w:eastAsia="Calibri" w:hAnsi="Calibri"/>
                <w:sz w:val="11"/>
                <w:szCs w:val="11"/>
                <w:b w:val="1"/>
                <w:bCs w:val="1"/>
                <w:color w:val="FFFFFF"/>
                <w:w w:val="91"/>
              </w:rPr>
              <w:t>YoY</w:t>
            </w:r>
          </w:p>
        </w:tc>
        <w:tc>
          <w:tcPr>
            <w:tcW w:w="1060" w:type="dxa"/>
            <w:vAlign w:val="bottom"/>
            <w:tcBorders>
              <w:bottom w:val="single" w:sz="8" w:color="auto"/>
            </w:tcBorders>
            <w:shd w:val="clear" w:color="auto" w:fill="33CCCC"/>
          </w:tcPr>
          <w:p>
            <w:pPr>
              <w:jc w:val="right"/>
              <w:ind w:right="446"/>
              <w:spacing w:after="0" w:line="129" w:lineRule="exact"/>
              <w:rPr>
                <w:sz w:val="20"/>
                <w:szCs w:val="20"/>
                <w:color w:val="auto"/>
              </w:rPr>
            </w:pPr>
            <w:r>
              <w:rPr>
                <w:rFonts w:ascii="Calibri" w:cs="Calibri" w:eastAsia="Calibri" w:hAnsi="Calibri"/>
                <w:sz w:val="11"/>
                <w:szCs w:val="11"/>
                <w:b w:val="1"/>
                <w:bCs w:val="1"/>
                <w:color w:val="FFFFFF"/>
              </w:rPr>
              <w:t>Sep 23</w:t>
            </w:r>
          </w:p>
        </w:tc>
        <w:tc>
          <w:tcPr>
            <w:tcW w:w="680" w:type="dxa"/>
            <w:vAlign w:val="bottom"/>
            <w:tcBorders>
              <w:bottom w:val="single" w:sz="8" w:color="auto"/>
              <w:right w:val="single" w:sz="8" w:color="auto"/>
            </w:tcBorders>
            <w:shd w:val="clear" w:color="auto" w:fill="33CCCC"/>
          </w:tcPr>
          <w:p>
            <w:pPr>
              <w:jc w:val="right"/>
              <w:ind w:right="246"/>
              <w:spacing w:after="0" w:line="129" w:lineRule="exact"/>
              <w:rPr>
                <w:sz w:val="20"/>
                <w:szCs w:val="20"/>
                <w:color w:val="auto"/>
              </w:rPr>
            </w:pPr>
            <w:r>
              <w:rPr>
                <w:rFonts w:ascii="Calibri" w:cs="Calibri" w:eastAsia="Calibri" w:hAnsi="Calibri"/>
                <w:sz w:val="11"/>
                <w:szCs w:val="11"/>
                <w:b w:val="1"/>
                <w:bCs w:val="1"/>
                <w:color w:val="FFFFFF"/>
              </w:rPr>
              <w:t>Sep 24</w:t>
            </w:r>
          </w:p>
        </w:tc>
        <w:tc>
          <w:tcPr>
            <w:tcW w:w="1380" w:type="dxa"/>
            <w:vAlign w:val="bottom"/>
            <w:tcBorders>
              <w:bottom w:val="single" w:sz="8" w:color="auto"/>
              <w:right w:val="single" w:sz="8" w:color="auto"/>
            </w:tcBorders>
            <w:shd w:val="clear" w:color="auto" w:fill="33CCCC"/>
          </w:tcPr>
          <w:p>
            <w:pPr>
              <w:jc w:val="center"/>
              <w:spacing w:after="0" w:line="129" w:lineRule="exact"/>
              <w:rPr>
                <w:sz w:val="20"/>
                <w:szCs w:val="20"/>
                <w:color w:val="auto"/>
              </w:rPr>
            </w:pPr>
            <w:r>
              <w:rPr>
                <w:rFonts w:ascii="Calibri" w:cs="Calibri" w:eastAsia="Calibri" w:hAnsi="Calibri"/>
                <w:sz w:val="11"/>
                <w:szCs w:val="11"/>
                <w:b w:val="1"/>
                <w:bCs w:val="1"/>
                <w:color w:val="FFFFFF"/>
                <w:w w:val="96"/>
              </w:rPr>
              <w:t>Sep 24 / Sep 23</w:t>
            </w:r>
          </w:p>
        </w:tc>
        <w:tc>
          <w:tcPr>
            <w:tcW w:w="0" w:type="dxa"/>
            <w:vAlign w:val="bottom"/>
          </w:tcPr>
          <w:p>
            <w:pPr>
              <w:spacing w:after="0"/>
              <w:rPr>
                <w:sz w:val="1"/>
                <w:szCs w:val="1"/>
                <w:color w:val="auto"/>
              </w:rPr>
            </w:pPr>
          </w:p>
        </w:tc>
      </w:tr>
      <w:tr>
        <w:trPr>
          <w:trHeight w:val="127"/>
        </w:trPr>
        <w:tc>
          <w:tcPr>
            <w:tcW w:w="434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ROE</w:t>
            </w:r>
          </w:p>
        </w:tc>
        <w:tc>
          <w:tcPr>
            <w:tcW w:w="820" w:type="dxa"/>
            <w:vAlign w:val="bottom"/>
          </w:tcPr>
          <w:p>
            <w:pPr>
              <w:jc w:val="right"/>
              <w:ind w:right="25"/>
              <w:spacing w:after="0" w:line="127" w:lineRule="exact"/>
              <w:rPr>
                <w:sz w:val="20"/>
                <w:szCs w:val="20"/>
                <w:color w:val="auto"/>
              </w:rPr>
            </w:pPr>
            <w:r>
              <w:rPr>
                <w:rFonts w:ascii="Calibri" w:cs="Calibri" w:eastAsia="Calibri" w:hAnsi="Calibri"/>
                <w:sz w:val="11"/>
                <w:szCs w:val="11"/>
                <w:color w:val="auto"/>
              </w:rPr>
              <w:t>28.8%</w:t>
            </w:r>
          </w:p>
        </w:tc>
        <w:tc>
          <w:tcPr>
            <w:tcW w:w="800" w:type="dxa"/>
            <w:vAlign w:val="bottom"/>
          </w:tcPr>
          <w:p>
            <w:pPr>
              <w:jc w:val="right"/>
              <w:ind w:right="86"/>
              <w:spacing w:after="0" w:line="127" w:lineRule="exact"/>
              <w:rPr>
                <w:sz w:val="20"/>
                <w:szCs w:val="20"/>
                <w:color w:val="auto"/>
              </w:rPr>
            </w:pPr>
            <w:r>
              <w:rPr>
                <w:rFonts w:ascii="Calibri" w:cs="Calibri" w:eastAsia="Calibri" w:hAnsi="Calibri"/>
                <w:sz w:val="11"/>
                <w:szCs w:val="11"/>
                <w:color w:val="auto"/>
              </w:rPr>
              <w:t>32.5%</w:t>
            </w:r>
          </w:p>
        </w:tc>
        <w:tc>
          <w:tcPr>
            <w:tcW w:w="64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29.5%</w:t>
            </w:r>
          </w:p>
        </w:tc>
        <w:tc>
          <w:tcPr>
            <w:tcW w:w="120" w:type="dxa"/>
            <w:vAlign w:val="bottom"/>
          </w:tcPr>
          <w:p>
            <w:pPr>
              <w:spacing w:after="0"/>
              <w:rPr>
                <w:sz w:val="11"/>
                <w:szCs w:val="11"/>
                <w:color w:val="auto"/>
              </w:rPr>
            </w:pPr>
          </w:p>
        </w:tc>
        <w:tc>
          <w:tcPr>
            <w:tcW w:w="440" w:type="dxa"/>
            <w:vAlign w:val="bottom"/>
          </w:tcPr>
          <w:p>
            <w:pPr>
              <w:jc w:val="center"/>
              <w:ind w:left="6"/>
              <w:spacing w:after="0" w:line="127" w:lineRule="exact"/>
              <w:rPr>
                <w:sz w:val="20"/>
                <w:szCs w:val="20"/>
                <w:color w:val="auto"/>
              </w:rPr>
            </w:pPr>
            <w:r>
              <w:rPr>
                <w:rFonts w:ascii="Calibri" w:cs="Calibri" w:eastAsia="Calibri" w:hAnsi="Calibri"/>
                <w:sz w:val="11"/>
                <w:szCs w:val="11"/>
                <w:color w:val="auto"/>
                <w:w w:val="98"/>
              </w:rPr>
              <w:t>-308 bps</w:t>
            </w:r>
          </w:p>
        </w:tc>
        <w:tc>
          <w:tcPr>
            <w:tcW w:w="960" w:type="dxa"/>
            <w:vAlign w:val="bottom"/>
            <w:tcBorders>
              <w:right w:val="single" w:sz="8" w:color="auto"/>
            </w:tcBorders>
          </w:tcPr>
          <w:p>
            <w:pPr>
              <w:jc w:val="center"/>
              <w:ind w:left="106"/>
              <w:spacing w:after="0" w:line="127" w:lineRule="exact"/>
              <w:rPr>
                <w:sz w:val="20"/>
                <w:szCs w:val="20"/>
                <w:color w:val="auto"/>
              </w:rPr>
            </w:pPr>
            <w:r>
              <w:rPr>
                <w:rFonts w:ascii="Calibri" w:cs="Calibri" w:eastAsia="Calibri" w:hAnsi="Calibri"/>
                <w:sz w:val="11"/>
                <w:szCs w:val="11"/>
                <w:color w:val="auto"/>
                <w:w w:val="94"/>
              </w:rPr>
              <w:t>61 bps</w:t>
            </w:r>
          </w:p>
        </w:tc>
        <w:tc>
          <w:tcPr>
            <w:tcW w:w="1060" w:type="dxa"/>
            <w:vAlign w:val="bottom"/>
          </w:tcPr>
          <w:p>
            <w:pPr>
              <w:jc w:val="right"/>
              <w:ind w:right="146"/>
              <w:spacing w:after="0" w:line="127" w:lineRule="exact"/>
              <w:rPr>
                <w:sz w:val="20"/>
                <w:szCs w:val="20"/>
                <w:color w:val="auto"/>
              </w:rPr>
            </w:pPr>
            <w:r>
              <w:rPr>
                <w:rFonts w:ascii="Calibri" w:cs="Calibri" w:eastAsia="Calibri" w:hAnsi="Calibri"/>
                <w:sz w:val="11"/>
                <w:szCs w:val="11"/>
                <w:color w:val="auto"/>
              </w:rPr>
              <w:t>30.4%</w:t>
            </w:r>
          </w:p>
        </w:tc>
        <w:tc>
          <w:tcPr>
            <w:tcW w:w="680" w:type="dxa"/>
            <w:vAlign w:val="bottom"/>
            <w:tcBorders>
              <w:right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28.6%</w:t>
            </w:r>
          </w:p>
        </w:tc>
        <w:tc>
          <w:tcPr>
            <w:tcW w:w="138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8"/>
              </w:rPr>
              <w:t>-189 bps</w:t>
            </w:r>
          </w:p>
        </w:tc>
        <w:tc>
          <w:tcPr>
            <w:tcW w:w="0" w:type="dxa"/>
            <w:vAlign w:val="bottom"/>
          </w:tcPr>
          <w:p>
            <w:pPr>
              <w:spacing w:after="0"/>
              <w:rPr>
                <w:sz w:val="1"/>
                <w:szCs w:val="1"/>
                <w:color w:val="auto"/>
              </w:rPr>
            </w:pPr>
          </w:p>
        </w:tc>
      </w:tr>
      <w:tr>
        <w:trPr>
          <w:trHeight w:val="129"/>
        </w:trPr>
        <w:tc>
          <w:tcPr>
            <w:tcW w:w="4340" w:type="dxa"/>
            <w:vAlign w:val="bottom"/>
            <w:tcBorders>
              <w:left w:val="single" w:sz="8" w:color="auto"/>
              <w:right w:val="single" w:sz="8" w:color="auto"/>
            </w:tcBorders>
          </w:tcPr>
          <w:p>
            <w:pPr>
              <w:ind w:left="20"/>
              <w:spacing w:after="0" w:line="129" w:lineRule="exact"/>
              <w:rPr>
                <w:sz w:val="20"/>
                <w:szCs w:val="20"/>
                <w:color w:val="auto"/>
              </w:rPr>
            </w:pPr>
            <w:r>
              <w:rPr>
                <w:rFonts w:ascii="Calibri" w:cs="Calibri" w:eastAsia="Calibri" w:hAnsi="Calibri"/>
                <w:sz w:val="11"/>
                <w:szCs w:val="11"/>
                <w:color w:val="auto"/>
              </w:rPr>
              <w:t>Net Interest Margin</w:t>
            </w:r>
          </w:p>
        </w:tc>
        <w:tc>
          <w:tcPr>
            <w:tcW w:w="820" w:type="dxa"/>
            <w:vAlign w:val="bottom"/>
          </w:tcPr>
          <w:p>
            <w:pPr>
              <w:jc w:val="right"/>
              <w:ind w:right="25"/>
              <w:spacing w:after="0" w:line="129" w:lineRule="exact"/>
              <w:rPr>
                <w:sz w:val="20"/>
                <w:szCs w:val="20"/>
                <w:color w:val="auto"/>
              </w:rPr>
            </w:pPr>
            <w:r>
              <w:rPr>
                <w:rFonts w:ascii="Calibri" w:cs="Calibri" w:eastAsia="Calibri" w:hAnsi="Calibri"/>
                <w:sz w:val="11"/>
                <w:szCs w:val="11"/>
                <w:color w:val="auto"/>
              </w:rPr>
              <w:t>0.8%</w:t>
            </w:r>
          </w:p>
        </w:tc>
        <w:tc>
          <w:tcPr>
            <w:tcW w:w="800" w:type="dxa"/>
            <w:vAlign w:val="bottom"/>
          </w:tcPr>
          <w:p>
            <w:pPr>
              <w:jc w:val="right"/>
              <w:ind w:right="86"/>
              <w:spacing w:after="0" w:line="129" w:lineRule="exact"/>
              <w:rPr>
                <w:sz w:val="20"/>
                <w:szCs w:val="20"/>
                <w:color w:val="auto"/>
              </w:rPr>
            </w:pPr>
            <w:r>
              <w:rPr>
                <w:rFonts w:ascii="Calibri" w:cs="Calibri" w:eastAsia="Calibri" w:hAnsi="Calibri"/>
                <w:sz w:val="11"/>
                <w:szCs w:val="11"/>
                <w:color w:val="auto"/>
              </w:rPr>
              <w:t>0.0%</w:t>
            </w:r>
          </w:p>
        </w:tc>
        <w:tc>
          <w:tcPr>
            <w:tcW w:w="640" w:type="dxa"/>
            <w:vAlign w:val="bottom"/>
            <w:tcBorders>
              <w:right w:val="single" w:sz="8" w:color="auto"/>
            </w:tcBorders>
          </w:tcPr>
          <w:p>
            <w:pPr>
              <w:jc w:val="right"/>
              <w:spacing w:after="0" w:line="129" w:lineRule="exact"/>
              <w:rPr>
                <w:sz w:val="20"/>
                <w:szCs w:val="20"/>
                <w:color w:val="auto"/>
              </w:rPr>
            </w:pPr>
            <w:r>
              <w:rPr>
                <w:rFonts w:ascii="Calibri" w:cs="Calibri" w:eastAsia="Calibri" w:hAnsi="Calibri"/>
                <w:sz w:val="11"/>
                <w:szCs w:val="11"/>
                <w:color w:val="auto"/>
              </w:rPr>
              <w:t>0.3%</w:t>
            </w:r>
          </w:p>
        </w:tc>
        <w:tc>
          <w:tcPr>
            <w:tcW w:w="120" w:type="dxa"/>
            <w:vAlign w:val="bottom"/>
          </w:tcPr>
          <w:p>
            <w:pPr>
              <w:spacing w:after="0"/>
              <w:rPr>
                <w:sz w:val="11"/>
                <w:szCs w:val="11"/>
                <w:color w:val="auto"/>
              </w:rPr>
            </w:pPr>
          </w:p>
        </w:tc>
        <w:tc>
          <w:tcPr>
            <w:tcW w:w="440" w:type="dxa"/>
            <w:vAlign w:val="bottom"/>
          </w:tcPr>
          <w:p>
            <w:pPr>
              <w:jc w:val="center"/>
              <w:ind w:left="6"/>
              <w:spacing w:after="0" w:line="129" w:lineRule="exact"/>
              <w:rPr>
                <w:sz w:val="20"/>
                <w:szCs w:val="20"/>
                <w:color w:val="auto"/>
              </w:rPr>
            </w:pPr>
            <w:r>
              <w:rPr>
                <w:rFonts w:ascii="Calibri" w:cs="Calibri" w:eastAsia="Calibri" w:hAnsi="Calibri"/>
                <w:sz w:val="11"/>
                <w:szCs w:val="11"/>
                <w:color w:val="auto"/>
              </w:rPr>
              <w:t>31 bps</w:t>
            </w:r>
          </w:p>
        </w:tc>
        <w:tc>
          <w:tcPr>
            <w:tcW w:w="960" w:type="dxa"/>
            <w:vAlign w:val="bottom"/>
            <w:tcBorders>
              <w:right w:val="single" w:sz="8" w:color="auto"/>
            </w:tcBorders>
          </w:tcPr>
          <w:p>
            <w:pPr>
              <w:jc w:val="center"/>
              <w:ind w:left="106"/>
              <w:spacing w:after="0" w:line="129" w:lineRule="exact"/>
              <w:rPr>
                <w:sz w:val="20"/>
                <w:szCs w:val="20"/>
                <w:color w:val="auto"/>
              </w:rPr>
            </w:pPr>
            <w:r>
              <w:rPr>
                <w:rFonts w:ascii="Calibri" w:cs="Calibri" w:eastAsia="Calibri" w:hAnsi="Calibri"/>
                <w:sz w:val="11"/>
                <w:szCs w:val="11"/>
                <w:color w:val="auto"/>
                <w:w w:val="97"/>
              </w:rPr>
              <w:t>-48 bps</w:t>
            </w:r>
          </w:p>
        </w:tc>
        <w:tc>
          <w:tcPr>
            <w:tcW w:w="1060" w:type="dxa"/>
            <w:vAlign w:val="bottom"/>
          </w:tcPr>
          <w:p>
            <w:pPr>
              <w:jc w:val="right"/>
              <w:ind w:right="146"/>
              <w:spacing w:after="0" w:line="129" w:lineRule="exact"/>
              <w:rPr>
                <w:sz w:val="20"/>
                <w:szCs w:val="20"/>
                <w:color w:val="auto"/>
              </w:rPr>
            </w:pPr>
            <w:r>
              <w:rPr>
                <w:rFonts w:ascii="Calibri" w:cs="Calibri" w:eastAsia="Calibri" w:hAnsi="Calibri"/>
                <w:sz w:val="11"/>
                <w:szCs w:val="11"/>
                <w:color w:val="auto"/>
              </w:rPr>
              <w:t>1.1%</w:t>
            </w:r>
          </w:p>
        </w:tc>
        <w:tc>
          <w:tcPr>
            <w:tcW w:w="680" w:type="dxa"/>
            <w:vAlign w:val="bottom"/>
            <w:tcBorders>
              <w:right w:val="single" w:sz="8" w:color="auto"/>
            </w:tcBorders>
          </w:tcPr>
          <w:p>
            <w:pPr>
              <w:jc w:val="right"/>
              <w:spacing w:after="0" w:line="129" w:lineRule="exact"/>
              <w:rPr>
                <w:sz w:val="20"/>
                <w:szCs w:val="20"/>
                <w:color w:val="auto"/>
              </w:rPr>
            </w:pPr>
            <w:r>
              <w:rPr>
                <w:rFonts w:ascii="Calibri" w:cs="Calibri" w:eastAsia="Calibri" w:hAnsi="Calibri"/>
                <w:sz w:val="11"/>
                <w:szCs w:val="11"/>
                <w:color w:val="auto"/>
              </w:rPr>
              <w:t>0.5%</w:t>
            </w:r>
          </w:p>
        </w:tc>
        <w:tc>
          <w:tcPr>
            <w:tcW w:w="1380" w:type="dxa"/>
            <w:vAlign w:val="bottom"/>
            <w:tcBorders>
              <w:right w:val="single" w:sz="8" w:color="auto"/>
            </w:tcBorders>
          </w:tcPr>
          <w:p>
            <w:pPr>
              <w:jc w:val="center"/>
              <w:spacing w:after="0" w:line="129" w:lineRule="exact"/>
              <w:rPr>
                <w:sz w:val="20"/>
                <w:szCs w:val="20"/>
                <w:color w:val="auto"/>
              </w:rPr>
            </w:pPr>
            <w:r>
              <w:rPr>
                <w:rFonts w:ascii="Calibri" w:cs="Calibri" w:eastAsia="Calibri" w:hAnsi="Calibri"/>
                <w:sz w:val="11"/>
                <w:szCs w:val="11"/>
                <w:color w:val="auto"/>
                <w:w w:val="97"/>
              </w:rPr>
              <w:t>-58 bps</w:t>
            </w:r>
          </w:p>
        </w:tc>
        <w:tc>
          <w:tcPr>
            <w:tcW w:w="0" w:type="dxa"/>
            <w:vAlign w:val="bottom"/>
          </w:tcPr>
          <w:p>
            <w:pPr>
              <w:spacing w:after="0"/>
              <w:rPr>
                <w:sz w:val="1"/>
                <w:szCs w:val="1"/>
                <w:color w:val="auto"/>
              </w:rPr>
            </w:pPr>
          </w:p>
        </w:tc>
      </w:tr>
      <w:tr>
        <w:trPr>
          <w:trHeight w:val="135"/>
        </w:trPr>
        <w:tc>
          <w:tcPr>
            <w:tcW w:w="43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Efciency Rato</w:t>
            </w:r>
          </w:p>
        </w:tc>
        <w:tc>
          <w:tcPr>
            <w:tcW w:w="820" w:type="dxa"/>
            <w:vAlign w:val="bottom"/>
          </w:tcPr>
          <w:p>
            <w:pPr>
              <w:jc w:val="right"/>
              <w:ind w:right="25"/>
              <w:spacing w:after="0"/>
              <w:rPr>
                <w:sz w:val="20"/>
                <w:szCs w:val="20"/>
                <w:color w:val="auto"/>
              </w:rPr>
            </w:pPr>
            <w:r>
              <w:rPr>
                <w:rFonts w:ascii="Calibri" w:cs="Calibri" w:eastAsia="Calibri" w:hAnsi="Calibri"/>
                <w:sz w:val="11"/>
                <w:szCs w:val="11"/>
                <w:color w:val="auto"/>
              </w:rPr>
              <w:t>51.6%</w:t>
            </w:r>
          </w:p>
        </w:tc>
        <w:tc>
          <w:tcPr>
            <w:tcW w:w="800" w:type="dxa"/>
            <w:vAlign w:val="bottom"/>
          </w:tcPr>
          <w:p>
            <w:pPr>
              <w:jc w:val="right"/>
              <w:ind w:right="86"/>
              <w:spacing w:after="0"/>
              <w:rPr>
                <w:sz w:val="20"/>
                <w:szCs w:val="20"/>
                <w:color w:val="auto"/>
              </w:rPr>
            </w:pPr>
            <w:r>
              <w:rPr>
                <w:rFonts w:ascii="Calibri" w:cs="Calibri" w:eastAsia="Calibri" w:hAnsi="Calibri"/>
                <w:sz w:val="11"/>
                <w:szCs w:val="11"/>
                <w:color w:val="auto"/>
              </w:rPr>
              <w:t>52.2%</w:t>
            </w:r>
          </w:p>
        </w:tc>
        <w:tc>
          <w:tcPr>
            <w:tcW w:w="64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50.7%</w:t>
            </w:r>
          </w:p>
        </w:tc>
        <w:tc>
          <w:tcPr>
            <w:tcW w:w="120" w:type="dxa"/>
            <w:vAlign w:val="bottom"/>
          </w:tcPr>
          <w:p>
            <w:pPr>
              <w:spacing w:after="0"/>
              <w:rPr>
                <w:sz w:val="11"/>
                <w:szCs w:val="11"/>
                <w:color w:val="auto"/>
              </w:rPr>
            </w:pPr>
          </w:p>
        </w:tc>
        <w:tc>
          <w:tcPr>
            <w:tcW w:w="440" w:type="dxa"/>
            <w:vAlign w:val="bottom"/>
          </w:tcPr>
          <w:p>
            <w:pPr>
              <w:jc w:val="center"/>
              <w:ind w:left="6"/>
              <w:spacing w:after="0"/>
              <w:rPr>
                <w:sz w:val="20"/>
                <w:szCs w:val="20"/>
                <w:color w:val="auto"/>
              </w:rPr>
            </w:pPr>
            <w:r>
              <w:rPr>
                <w:rFonts w:ascii="Calibri" w:cs="Calibri" w:eastAsia="Calibri" w:hAnsi="Calibri"/>
                <w:sz w:val="11"/>
                <w:szCs w:val="11"/>
                <w:color w:val="auto"/>
                <w:w w:val="98"/>
              </w:rPr>
              <w:t>-145 bps</w:t>
            </w:r>
          </w:p>
        </w:tc>
        <w:tc>
          <w:tcPr>
            <w:tcW w:w="960" w:type="dxa"/>
            <w:vAlign w:val="bottom"/>
            <w:tcBorders>
              <w:right w:val="single" w:sz="8" w:color="auto"/>
            </w:tcBorders>
          </w:tcPr>
          <w:p>
            <w:pPr>
              <w:jc w:val="center"/>
              <w:ind w:left="106"/>
              <w:spacing w:after="0"/>
              <w:rPr>
                <w:sz w:val="20"/>
                <w:szCs w:val="20"/>
                <w:color w:val="auto"/>
              </w:rPr>
            </w:pPr>
            <w:r>
              <w:rPr>
                <w:rFonts w:ascii="Calibri" w:cs="Calibri" w:eastAsia="Calibri" w:hAnsi="Calibri"/>
                <w:sz w:val="11"/>
                <w:szCs w:val="11"/>
                <w:color w:val="auto"/>
                <w:w w:val="97"/>
              </w:rPr>
              <w:t>-88 bps</w:t>
            </w:r>
          </w:p>
        </w:tc>
        <w:tc>
          <w:tcPr>
            <w:tcW w:w="1060" w:type="dxa"/>
            <w:vAlign w:val="bottom"/>
          </w:tcPr>
          <w:p>
            <w:pPr>
              <w:jc w:val="right"/>
              <w:ind w:right="146"/>
              <w:spacing w:after="0"/>
              <w:rPr>
                <w:sz w:val="20"/>
                <w:szCs w:val="20"/>
                <w:color w:val="auto"/>
              </w:rPr>
            </w:pPr>
            <w:r>
              <w:rPr>
                <w:rFonts w:ascii="Calibri" w:cs="Calibri" w:eastAsia="Calibri" w:hAnsi="Calibri"/>
                <w:sz w:val="11"/>
                <w:szCs w:val="11"/>
                <w:color w:val="auto"/>
              </w:rPr>
              <w:t>50.3%</w:t>
            </w:r>
          </w:p>
        </w:tc>
        <w:tc>
          <w:tcPr>
            <w:tcW w:w="680" w:type="dxa"/>
            <w:vAlign w:val="bottom"/>
            <w:tcBorders>
              <w:right w:val="single" w:sz="8" w:color="auto"/>
            </w:tcBorders>
          </w:tcPr>
          <w:p>
            <w:pPr>
              <w:jc w:val="right"/>
              <w:spacing w:after="0"/>
              <w:rPr>
                <w:sz w:val="20"/>
                <w:szCs w:val="20"/>
                <w:color w:val="auto"/>
              </w:rPr>
            </w:pPr>
            <w:r>
              <w:rPr>
                <w:rFonts w:ascii="Calibri" w:cs="Calibri" w:eastAsia="Calibri" w:hAnsi="Calibri"/>
                <w:sz w:val="11"/>
                <w:szCs w:val="11"/>
                <w:color w:val="auto"/>
              </w:rPr>
              <w:t>51.1%</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4"/>
              </w:rPr>
              <w:t>81 bps</w:t>
            </w:r>
          </w:p>
        </w:tc>
        <w:tc>
          <w:tcPr>
            <w:tcW w:w="0" w:type="dxa"/>
            <w:vAlign w:val="bottom"/>
          </w:tcPr>
          <w:p>
            <w:pPr>
              <w:spacing w:after="0"/>
              <w:rPr>
                <w:sz w:val="1"/>
                <w:szCs w:val="1"/>
                <w:color w:val="auto"/>
              </w:rPr>
            </w:pPr>
          </w:p>
        </w:tc>
      </w:tr>
      <w:tr>
        <w:trPr>
          <w:trHeight w:val="143"/>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Operatng Expenses / Total Average Assets</w:t>
            </w:r>
          </w:p>
        </w:tc>
        <w:tc>
          <w:tcPr>
            <w:tcW w:w="820" w:type="dxa"/>
            <w:vAlign w:val="bottom"/>
            <w:tcBorders>
              <w:bottom w:val="single" w:sz="8" w:color="auto"/>
            </w:tcBorders>
          </w:tcPr>
          <w:p>
            <w:pPr>
              <w:jc w:val="right"/>
              <w:ind w:right="25"/>
              <w:spacing w:after="0"/>
              <w:rPr>
                <w:sz w:val="20"/>
                <w:szCs w:val="20"/>
                <w:color w:val="auto"/>
              </w:rPr>
            </w:pPr>
            <w:r>
              <w:rPr>
                <w:rFonts w:ascii="Calibri" w:cs="Calibri" w:eastAsia="Calibri" w:hAnsi="Calibri"/>
                <w:sz w:val="11"/>
                <w:szCs w:val="11"/>
                <w:color w:val="auto"/>
              </w:rPr>
              <w:t>26.8%</w:t>
            </w:r>
          </w:p>
        </w:tc>
        <w:tc>
          <w:tcPr>
            <w:tcW w:w="800" w:type="dxa"/>
            <w:vAlign w:val="bottom"/>
            <w:tcBorders>
              <w:bottom w:val="single" w:sz="8" w:color="auto"/>
            </w:tcBorders>
          </w:tcPr>
          <w:p>
            <w:pPr>
              <w:jc w:val="right"/>
              <w:ind w:right="86"/>
              <w:spacing w:after="0"/>
              <w:rPr>
                <w:sz w:val="20"/>
                <w:szCs w:val="20"/>
                <w:color w:val="auto"/>
              </w:rPr>
            </w:pPr>
            <w:r>
              <w:rPr>
                <w:rFonts w:ascii="Calibri" w:cs="Calibri" w:eastAsia="Calibri" w:hAnsi="Calibri"/>
                <w:sz w:val="11"/>
                <w:szCs w:val="11"/>
                <w:color w:val="auto"/>
              </w:rPr>
              <w:t>28.4%</w:t>
            </w:r>
          </w:p>
        </w:tc>
        <w:tc>
          <w:tcPr>
            <w:tcW w:w="64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26.5%</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6"/>
              <w:spacing w:after="0"/>
              <w:rPr>
                <w:sz w:val="20"/>
                <w:szCs w:val="20"/>
                <w:color w:val="auto"/>
              </w:rPr>
            </w:pPr>
            <w:r>
              <w:rPr>
                <w:rFonts w:ascii="Calibri" w:cs="Calibri" w:eastAsia="Calibri" w:hAnsi="Calibri"/>
                <w:sz w:val="11"/>
                <w:szCs w:val="11"/>
                <w:color w:val="auto"/>
                <w:w w:val="98"/>
              </w:rPr>
              <w:t>-196 bps</w:t>
            </w:r>
          </w:p>
        </w:tc>
        <w:tc>
          <w:tcPr>
            <w:tcW w:w="960" w:type="dxa"/>
            <w:vAlign w:val="bottom"/>
            <w:tcBorders>
              <w:bottom w:val="single" w:sz="8" w:color="auto"/>
              <w:right w:val="single" w:sz="8" w:color="auto"/>
            </w:tcBorders>
          </w:tcPr>
          <w:p>
            <w:pPr>
              <w:jc w:val="center"/>
              <w:ind w:left="106"/>
              <w:spacing w:after="0"/>
              <w:rPr>
                <w:sz w:val="20"/>
                <w:szCs w:val="20"/>
                <w:color w:val="auto"/>
              </w:rPr>
            </w:pPr>
            <w:r>
              <w:rPr>
                <w:rFonts w:ascii="Calibri" w:cs="Calibri" w:eastAsia="Calibri" w:hAnsi="Calibri"/>
                <w:sz w:val="11"/>
                <w:szCs w:val="11"/>
                <w:color w:val="auto"/>
                <w:w w:val="97"/>
              </w:rPr>
              <w:t>-34 bps</w:t>
            </w:r>
          </w:p>
        </w:tc>
        <w:tc>
          <w:tcPr>
            <w:tcW w:w="1060" w:type="dxa"/>
            <w:vAlign w:val="bottom"/>
            <w:tcBorders>
              <w:bottom w:val="single" w:sz="8" w:color="auto"/>
            </w:tcBorders>
          </w:tcPr>
          <w:p>
            <w:pPr>
              <w:jc w:val="right"/>
              <w:ind w:right="146"/>
              <w:spacing w:after="0"/>
              <w:rPr>
                <w:sz w:val="20"/>
                <w:szCs w:val="20"/>
                <w:color w:val="auto"/>
              </w:rPr>
            </w:pPr>
            <w:r>
              <w:rPr>
                <w:rFonts w:ascii="Calibri" w:cs="Calibri" w:eastAsia="Calibri" w:hAnsi="Calibri"/>
                <w:sz w:val="11"/>
                <w:szCs w:val="11"/>
                <w:color w:val="auto"/>
              </w:rPr>
              <w:t>25.2%</w:t>
            </w:r>
          </w:p>
        </w:tc>
        <w:tc>
          <w:tcPr>
            <w:tcW w:w="68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11"/>
                <w:szCs w:val="11"/>
                <w:color w:val="auto"/>
              </w:rPr>
              <w:t>26.4%</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6"/>
              </w:rPr>
              <w:t>128 bps</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b w:val="1"/>
          <w:bCs w:val="1"/>
          <w:color w:val="auto"/>
        </w:rPr>
        <w:t>Main Indicators and Market Share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20" w:type="dxa"/>
            <w:vAlign w:val="bottom"/>
            <w:tcBorders>
              <w:top w:val="single" w:sz="8" w:color="auto"/>
              <w:left w:val="single" w:sz="8" w:color="auto"/>
              <w:right w:val="single" w:sz="8" w:color="auto"/>
            </w:tcBorders>
            <w:shd w:val="clear" w:color="auto" w:fill="33CCCC"/>
          </w:tcPr>
          <w:p>
            <w:pPr>
              <w:spacing w:after="0"/>
              <w:rPr>
                <w:sz w:val="14"/>
                <w:szCs w:val="14"/>
                <w:color w:val="auto"/>
              </w:rPr>
            </w:pPr>
          </w:p>
        </w:tc>
        <w:tc>
          <w:tcPr>
            <w:tcW w:w="104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Prima</w:t>
            </w:r>
          </w:p>
        </w:tc>
        <w:tc>
          <w:tcPr>
            <w:tcW w:w="920" w:type="dxa"/>
            <w:vAlign w:val="bottom"/>
            <w:tcBorders>
              <w:top w:val="single" w:sz="8" w:color="auto"/>
            </w:tcBorders>
            <w:shd w:val="clear" w:color="auto" w:fill="33CCCC"/>
          </w:tcPr>
          <w:p>
            <w:pPr>
              <w:jc w:val="right"/>
              <w:ind w:right="337"/>
              <w:spacing w:after="0"/>
              <w:rPr>
                <w:sz w:val="20"/>
                <w:szCs w:val="20"/>
                <w:color w:val="auto"/>
              </w:rPr>
            </w:pPr>
            <w:r>
              <w:rPr>
                <w:rFonts w:ascii="Calibri" w:cs="Calibri" w:eastAsia="Calibri" w:hAnsi="Calibri"/>
                <w:sz w:val="13"/>
                <w:szCs w:val="13"/>
                <w:b w:val="1"/>
                <w:bCs w:val="1"/>
                <w:color w:val="FFFFFF"/>
              </w:rPr>
              <w:t>System</w:t>
            </w:r>
          </w:p>
        </w:tc>
        <w:tc>
          <w:tcPr>
            <w:tcW w:w="560" w:type="dxa"/>
            <w:vAlign w:val="bottom"/>
            <w:tcBorders>
              <w:top w:val="single" w:sz="8" w:color="auto"/>
            </w:tcBorders>
            <w:shd w:val="clear" w:color="auto" w:fill="33CCCC"/>
          </w:tcPr>
          <w:p>
            <w:pPr>
              <w:jc w:val="center"/>
              <w:ind w:left="57"/>
              <w:spacing w:after="0"/>
              <w:rPr>
                <w:sz w:val="20"/>
                <w:szCs w:val="20"/>
                <w:color w:val="auto"/>
              </w:rPr>
            </w:pPr>
            <w:r>
              <w:rPr>
                <w:rFonts w:ascii="Calibri" w:cs="Calibri" w:eastAsia="Calibri" w:hAnsi="Calibri"/>
                <w:sz w:val="13"/>
                <w:szCs w:val="13"/>
                <w:b w:val="1"/>
                <w:bCs w:val="1"/>
                <w:color w:val="FFFFFF"/>
                <w:w w:val="92"/>
              </w:rPr>
              <w:t>Share %</w:t>
            </w:r>
          </w:p>
        </w:tc>
        <w:tc>
          <w:tcPr>
            <w:tcW w:w="240" w:type="dxa"/>
            <w:vAlign w:val="bottom"/>
            <w:tcBorders>
              <w:top w:val="single" w:sz="8" w:color="auto"/>
              <w:right w:val="single" w:sz="8" w:color="auto"/>
            </w:tcBorders>
            <w:shd w:val="clear" w:color="auto" w:fill="33CCCC"/>
          </w:tcPr>
          <w:p>
            <w:pPr>
              <w:spacing w:after="0"/>
              <w:rPr>
                <w:sz w:val="14"/>
                <w:szCs w:val="14"/>
                <w:color w:val="auto"/>
              </w:rPr>
            </w:pPr>
          </w:p>
        </w:tc>
        <w:tc>
          <w:tcPr>
            <w:tcW w:w="1060" w:type="dxa"/>
            <w:vAlign w:val="bottom"/>
            <w:tcBorders>
              <w:top w:val="single" w:sz="8" w:color="auto"/>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Prima</w:t>
            </w:r>
          </w:p>
        </w:tc>
        <w:tc>
          <w:tcPr>
            <w:tcW w:w="980" w:type="dxa"/>
            <w:vAlign w:val="bottom"/>
            <w:tcBorders>
              <w:top w:val="single" w:sz="8" w:color="auto"/>
            </w:tcBorders>
            <w:shd w:val="clear" w:color="auto" w:fill="33CCCC"/>
          </w:tcPr>
          <w:p>
            <w:pPr>
              <w:jc w:val="right"/>
              <w:ind w:right="377"/>
              <w:spacing w:after="0"/>
              <w:rPr>
                <w:sz w:val="20"/>
                <w:szCs w:val="20"/>
                <w:color w:val="auto"/>
              </w:rPr>
            </w:pPr>
            <w:r>
              <w:rPr>
                <w:rFonts w:ascii="Calibri" w:cs="Calibri" w:eastAsia="Calibri" w:hAnsi="Calibri"/>
                <w:sz w:val="13"/>
                <w:szCs w:val="13"/>
                <w:b w:val="1"/>
                <w:bCs w:val="1"/>
                <w:color w:val="FFFFFF"/>
              </w:rPr>
              <w:t>System</w:t>
            </w:r>
          </w:p>
        </w:tc>
        <w:tc>
          <w:tcPr>
            <w:tcW w:w="820" w:type="dxa"/>
            <w:vAlign w:val="bottom"/>
            <w:tcBorders>
              <w:top w:val="single" w:sz="8" w:color="auto"/>
              <w:right w:val="single" w:sz="8" w:color="auto"/>
            </w:tcBorders>
            <w:shd w:val="clear" w:color="auto" w:fill="33CCCC"/>
          </w:tcPr>
          <w:p>
            <w:pPr>
              <w:jc w:val="right"/>
              <w:ind w:right="197"/>
              <w:spacing w:after="0"/>
              <w:rPr>
                <w:sz w:val="20"/>
                <w:szCs w:val="20"/>
                <w:color w:val="auto"/>
              </w:rPr>
            </w:pPr>
            <w:r>
              <w:rPr>
                <w:rFonts w:ascii="Calibri" w:cs="Calibri" w:eastAsia="Calibri" w:hAnsi="Calibri"/>
                <w:sz w:val="13"/>
                <w:szCs w:val="13"/>
                <w:b w:val="1"/>
                <w:bCs w:val="1"/>
                <w:color w:val="FFFFFF"/>
              </w:rPr>
              <w:t>Share %</w:t>
            </w:r>
          </w:p>
        </w:tc>
      </w:tr>
      <w:tr>
        <w:trPr>
          <w:trHeight w:val="149"/>
        </w:trPr>
        <w:tc>
          <w:tcPr>
            <w:tcW w:w="562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1040" w:type="dxa"/>
            <w:vAlign w:val="bottom"/>
            <w:tcBorders>
              <w:bottom w:val="single" w:sz="8" w:color="auto"/>
            </w:tcBorders>
            <w:shd w:val="clear" w:color="auto" w:fill="33CCCC"/>
          </w:tcPr>
          <w:p>
            <w:pPr>
              <w:ind w:left="320"/>
              <w:spacing w:after="0" w:line="149" w:lineRule="exact"/>
              <w:rPr>
                <w:sz w:val="20"/>
                <w:szCs w:val="20"/>
                <w:color w:val="auto"/>
              </w:rPr>
            </w:pPr>
            <w:r>
              <w:rPr>
                <w:rFonts w:ascii="Calibri" w:cs="Calibri" w:eastAsia="Calibri" w:hAnsi="Calibri"/>
                <w:sz w:val="13"/>
                <w:szCs w:val="13"/>
                <w:b w:val="1"/>
                <w:bCs w:val="1"/>
                <w:color w:val="FFFFFF"/>
              </w:rPr>
              <w:t>2Q24</w:t>
            </w:r>
          </w:p>
        </w:tc>
        <w:tc>
          <w:tcPr>
            <w:tcW w:w="920" w:type="dxa"/>
            <w:vAlign w:val="bottom"/>
            <w:tcBorders>
              <w:bottom w:val="single" w:sz="8" w:color="auto"/>
            </w:tcBorders>
            <w:shd w:val="clear" w:color="auto" w:fill="33CCCC"/>
          </w:tcPr>
          <w:p>
            <w:pPr>
              <w:jc w:val="right"/>
              <w:ind w:right="397"/>
              <w:spacing w:after="0" w:line="149" w:lineRule="exact"/>
              <w:rPr>
                <w:sz w:val="20"/>
                <w:szCs w:val="20"/>
                <w:color w:val="auto"/>
              </w:rPr>
            </w:pPr>
            <w:r>
              <w:rPr>
                <w:rFonts w:ascii="Calibri" w:cs="Calibri" w:eastAsia="Calibri" w:hAnsi="Calibri"/>
                <w:sz w:val="13"/>
                <w:szCs w:val="13"/>
                <w:b w:val="1"/>
                <w:bCs w:val="1"/>
                <w:color w:val="FFFFFF"/>
              </w:rPr>
              <w:t>2Q24</w:t>
            </w:r>
          </w:p>
        </w:tc>
        <w:tc>
          <w:tcPr>
            <w:tcW w:w="560" w:type="dxa"/>
            <w:vAlign w:val="bottom"/>
            <w:tcBorders>
              <w:bottom w:val="single" w:sz="8" w:color="auto"/>
            </w:tcBorders>
            <w:shd w:val="clear" w:color="auto" w:fill="33CCCC"/>
          </w:tcPr>
          <w:p>
            <w:pPr>
              <w:jc w:val="center"/>
              <w:ind w:left="17"/>
              <w:spacing w:after="0" w:line="149" w:lineRule="exact"/>
              <w:rPr>
                <w:sz w:val="20"/>
                <w:szCs w:val="20"/>
                <w:color w:val="auto"/>
              </w:rPr>
            </w:pPr>
            <w:r>
              <w:rPr>
                <w:rFonts w:ascii="Calibri" w:cs="Calibri" w:eastAsia="Calibri" w:hAnsi="Calibri"/>
                <w:sz w:val="13"/>
                <w:szCs w:val="13"/>
                <w:b w:val="1"/>
                <w:bCs w:val="1"/>
                <w:color w:val="FFFFFF"/>
                <w:w w:val="97"/>
              </w:rPr>
              <w:t>2Q24</w:t>
            </w:r>
          </w:p>
        </w:tc>
        <w:tc>
          <w:tcPr>
            <w:tcW w:w="240" w:type="dxa"/>
            <w:vAlign w:val="bottom"/>
            <w:tcBorders>
              <w:bottom w:val="single" w:sz="8" w:color="auto"/>
              <w:right w:val="single" w:sz="8" w:color="auto"/>
            </w:tcBorders>
            <w:shd w:val="clear" w:color="auto" w:fill="33CCCC"/>
          </w:tcPr>
          <w:p>
            <w:pPr>
              <w:spacing w:after="0"/>
              <w:rPr>
                <w:sz w:val="12"/>
                <w:szCs w:val="12"/>
                <w:color w:val="auto"/>
              </w:rPr>
            </w:pPr>
          </w:p>
        </w:tc>
        <w:tc>
          <w:tcPr>
            <w:tcW w:w="1060" w:type="dxa"/>
            <w:vAlign w:val="bottom"/>
            <w:tcBorders>
              <w:bottom w:val="single" w:sz="8" w:color="auto"/>
            </w:tcBorders>
            <w:shd w:val="clear" w:color="auto" w:fill="33CCCC"/>
          </w:tcPr>
          <w:p>
            <w:pPr>
              <w:ind w:left="320"/>
              <w:spacing w:after="0" w:line="149" w:lineRule="exact"/>
              <w:rPr>
                <w:sz w:val="20"/>
                <w:szCs w:val="20"/>
                <w:color w:val="auto"/>
              </w:rPr>
            </w:pPr>
            <w:r>
              <w:rPr>
                <w:rFonts w:ascii="Calibri" w:cs="Calibri" w:eastAsia="Calibri" w:hAnsi="Calibri"/>
                <w:sz w:val="13"/>
                <w:szCs w:val="13"/>
                <w:b w:val="1"/>
                <w:bCs w:val="1"/>
                <w:color w:val="FFFFFF"/>
              </w:rPr>
              <w:t>3Q24</w:t>
            </w:r>
          </w:p>
        </w:tc>
        <w:tc>
          <w:tcPr>
            <w:tcW w:w="980" w:type="dxa"/>
            <w:vAlign w:val="bottom"/>
            <w:tcBorders>
              <w:bottom w:val="single" w:sz="8" w:color="auto"/>
            </w:tcBorders>
            <w:shd w:val="clear" w:color="auto" w:fill="33CCCC"/>
          </w:tcPr>
          <w:p>
            <w:pPr>
              <w:jc w:val="right"/>
              <w:ind w:right="437"/>
              <w:spacing w:after="0" w:line="149" w:lineRule="exact"/>
              <w:rPr>
                <w:sz w:val="20"/>
                <w:szCs w:val="20"/>
                <w:color w:val="auto"/>
              </w:rPr>
            </w:pPr>
            <w:r>
              <w:rPr>
                <w:rFonts w:ascii="Calibri" w:cs="Calibri" w:eastAsia="Calibri" w:hAnsi="Calibri"/>
                <w:sz w:val="13"/>
                <w:szCs w:val="13"/>
                <w:b w:val="1"/>
                <w:bCs w:val="1"/>
                <w:color w:val="FFFFFF"/>
              </w:rPr>
              <w:t>3Q24</w:t>
            </w:r>
          </w:p>
        </w:tc>
        <w:tc>
          <w:tcPr>
            <w:tcW w:w="820" w:type="dxa"/>
            <w:vAlign w:val="bottom"/>
            <w:tcBorders>
              <w:bottom w:val="single" w:sz="8" w:color="auto"/>
              <w:right w:val="single" w:sz="8" w:color="auto"/>
            </w:tcBorders>
            <w:shd w:val="clear" w:color="auto" w:fill="33CCCC"/>
          </w:tcPr>
          <w:p>
            <w:pPr>
              <w:jc w:val="right"/>
              <w:ind w:right="277"/>
              <w:spacing w:after="0" w:line="149" w:lineRule="exact"/>
              <w:rPr>
                <w:sz w:val="20"/>
                <w:szCs w:val="20"/>
                <w:color w:val="auto"/>
              </w:rPr>
            </w:pPr>
            <w:r>
              <w:rPr>
                <w:rFonts w:ascii="Calibri" w:cs="Calibri" w:eastAsia="Calibri" w:hAnsi="Calibri"/>
                <w:sz w:val="13"/>
                <w:szCs w:val="13"/>
                <w:b w:val="1"/>
                <w:bCs w:val="1"/>
                <w:color w:val="FFFFFF"/>
              </w:rPr>
              <w:t>3Q24</w:t>
            </w:r>
          </w:p>
        </w:tc>
      </w:tr>
      <w:tr>
        <w:trPr>
          <w:trHeight w:val="132"/>
        </w:trPr>
        <w:tc>
          <w:tcPr>
            <w:tcW w:w="562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3"/>
                <w:szCs w:val="13"/>
                <w:color w:val="auto"/>
              </w:rPr>
              <w:t>AUMs (S/ Millions)</w:t>
            </w:r>
          </w:p>
        </w:tc>
        <w:tc>
          <w:tcPr>
            <w:tcW w:w="1040" w:type="dxa"/>
            <w:vAlign w:val="bottom"/>
          </w:tcPr>
          <w:p>
            <w:pPr>
              <w:jc w:val="right"/>
              <w:ind w:right="77"/>
              <w:spacing w:after="0" w:line="131" w:lineRule="exact"/>
              <w:rPr>
                <w:sz w:val="20"/>
                <w:szCs w:val="20"/>
                <w:color w:val="auto"/>
              </w:rPr>
            </w:pPr>
            <w:r>
              <w:rPr>
                <w:rFonts w:ascii="Calibri" w:cs="Calibri" w:eastAsia="Calibri" w:hAnsi="Calibri"/>
                <w:sz w:val="13"/>
                <w:szCs w:val="13"/>
                <w:color w:val="auto"/>
              </w:rPr>
              <w:t>36,623</w:t>
            </w:r>
          </w:p>
        </w:tc>
        <w:tc>
          <w:tcPr>
            <w:tcW w:w="920" w:type="dxa"/>
            <w:vAlign w:val="bottom"/>
          </w:tcPr>
          <w:p>
            <w:pPr>
              <w:jc w:val="right"/>
              <w:ind w:right="77"/>
              <w:spacing w:after="0" w:line="131" w:lineRule="exact"/>
              <w:rPr>
                <w:sz w:val="20"/>
                <w:szCs w:val="20"/>
                <w:color w:val="auto"/>
              </w:rPr>
            </w:pPr>
            <w:r>
              <w:rPr>
                <w:rFonts w:ascii="Calibri" w:cs="Calibri" w:eastAsia="Calibri" w:hAnsi="Calibri"/>
                <w:sz w:val="13"/>
                <w:szCs w:val="13"/>
                <w:color w:val="auto"/>
              </w:rPr>
              <w:t>122,496</w:t>
            </w:r>
          </w:p>
        </w:tc>
        <w:tc>
          <w:tcPr>
            <w:tcW w:w="560" w:type="dxa"/>
            <w:vAlign w:val="bottom"/>
          </w:tcPr>
          <w:p>
            <w:pPr>
              <w:spacing w:after="0"/>
              <w:rPr>
                <w:sz w:val="11"/>
                <w:szCs w:val="11"/>
                <w:color w:val="auto"/>
              </w:rPr>
            </w:pPr>
          </w:p>
        </w:tc>
        <w:tc>
          <w:tcPr>
            <w:tcW w:w="24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color w:val="auto"/>
                <w:w w:val="88"/>
              </w:rPr>
              <w:t>30%</w:t>
            </w:r>
          </w:p>
        </w:tc>
        <w:tc>
          <w:tcPr>
            <w:tcW w:w="1060" w:type="dxa"/>
            <w:vAlign w:val="bottom"/>
          </w:tcPr>
          <w:p>
            <w:pPr>
              <w:jc w:val="right"/>
              <w:ind w:right="117"/>
              <w:spacing w:after="0" w:line="131" w:lineRule="exact"/>
              <w:rPr>
                <w:sz w:val="20"/>
                <w:szCs w:val="20"/>
                <w:color w:val="auto"/>
              </w:rPr>
            </w:pPr>
            <w:r>
              <w:rPr>
                <w:rFonts w:ascii="Calibri" w:cs="Calibri" w:eastAsia="Calibri" w:hAnsi="Calibri"/>
                <w:sz w:val="13"/>
                <w:szCs w:val="13"/>
                <w:color w:val="auto"/>
              </w:rPr>
              <w:t>32,142</w:t>
            </w:r>
          </w:p>
        </w:tc>
        <w:tc>
          <w:tcPr>
            <w:tcW w:w="980" w:type="dxa"/>
            <w:vAlign w:val="bottom"/>
          </w:tcPr>
          <w:p>
            <w:pPr>
              <w:jc w:val="right"/>
              <w:ind w:right="97"/>
              <w:spacing w:after="0" w:line="131" w:lineRule="exact"/>
              <w:rPr>
                <w:sz w:val="20"/>
                <w:szCs w:val="20"/>
                <w:color w:val="auto"/>
              </w:rPr>
            </w:pPr>
            <w:r>
              <w:rPr>
                <w:rFonts w:ascii="Calibri" w:cs="Calibri" w:eastAsia="Calibri" w:hAnsi="Calibri"/>
                <w:sz w:val="13"/>
                <w:szCs w:val="13"/>
                <w:color w:val="auto"/>
              </w:rPr>
              <w:t>106,729</w:t>
            </w:r>
          </w:p>
        </w:tc>
        <w:tc>
          <w:tcPr>
            <w:tcW w:w="820" w:type="dxa"/>
            <w:vAlign w:val="bottom"/>
            <w:tcBorders>
              <w:right w:val="single" w:sz="8" w:color="auto"/>
            </w:tcBorders>
          </w:tcPr>
          <w:p>
            <w:pPr>
              <w:jc w:val="right"/>
              <w:spacing w:after="0" w:line="131" w:lineRule="exact"/>
              <w:rPr>
                <w:sz w:val="20"/>
                <w:szCs w:val="20"/>
                <w:color w:val="auto"/>
              </w:rPr>
            </w:pPr>
            <w:r>
              <w:rPr>
                <w:rFonts w:ascii="Calibri" w:cs="Calibri" w:eastAsia="Calibri" w:hAnsi="Calibri"/>
                <w:sz w:val="13"/>
                <w:szCs w:val="13"/>
                <w:color w:val="auto"/>
              </w:rPr>
              <w:t>30%</w:t>
            </w:r>
          </w:p>
        </w:tc>
      </w:tr>
      <w:tr>
        <w:trPr>
          <w:trHeight w:val="148"/>
        </w:trPr>
        <w:tc>
          <w:tcPr>
            <w:tcW w:w="5620" w:type="dxa"/>
            <w:vAlign w:val="bottom"/>
            <w:tcBorders>
              <w:left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Afliates (S/ Millions)</w:t>
            </w:r>
          </w:p>
        </w:tc>
        <w:tc>
          <w:tcPr>
            <w:tcW w:w="1040" w:type="dxa"/>
            <w:vAlign w:val="bottom"/>
          </w:tcPr>
          <w:p>
            <w:pPr>
              <w:jc w:val="right"/>
              <w:ind w:right="77"/>
              <w:spacing w:after="0" w:line="149" w:lineRule="exact"/>
              <w:rPr>
                <w:sz w:val="20"/>
                <w:szCs w:val="20"/>
                <w:color w:val="auto"/>
              </w:rPr>
            </w:pPr>
            <w:r>
              <w:rPr>
                <w:rFonts w:ascii="Calibri" w:cs="Calibri" w:eastAsia="Calibri" w:hAnsi="Calibri"/>
                <w:sz w:val="13"/>
                <w:szCs w:val="13"/>
                <w:color w:val="auto"/>
              </w:rPr>
              <w:t>2,342,823</w:t>
            </w:r>
          </w:p>
        </w:tc>
        <w:tc>
          <w:tcPr>
            <w:tcW w:w="920" w:type="dxa"/>
            <w:vAlign w:val="bottom"/>
          </w:tcPr>
          <w:p>
            <w:pPr>
              <w:jc w:val="right"/>
              <w:ind w:right="77"/>
              <w:spacing w:after="0" w:line="149" w:lineRule="exact"/>
              <w:rPr>
                <w:sz w:val="20"/>
                <w:szCs w:val="20"/>
                <w:color w:val="auto"/>
              </w:rPr>
            </w:pPr>
            <w:r>
              <w:rPr>
                <w:rFonts w:ascii="Calibri" w:cs="Calibri" w:eastAsia="Calibri" w:hAnsi="Calibri"/>
                <w:sz w:val="13"/>
                <w:szCs w:val="13"/>
                <w:color w:val="auto"/>
              </w:rPr>
              <w:t>9,556,177</w:t>
            </w:r>
          </w:p>
        </w:tc>
        <w:tc>
          <w:tcPr>
            <w:tcW w:w="560" w:type="dxa"/>
            <w:vAlign w:val="bottom"/>
          </w:tcPr>
          <w:p>
            <w:pPr>
              <w:spacing w:after="0"/>
              <w:rPr>
                <w:sz w:val="12"/>
                <w:szCs w:val="12"/>
                <w:color w:val="auto"/>
              </w:rPr>
            </w:pPr>
          </w:p>
        </w:tc>
        <w:tc>
          <w:tcPr>
            <w:tcW w:w="24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88"/>
              </w:rPr>
              <w:t>25%</w:t>
            </w:r>
          </w:p>
        </w:tc>
        <w:tc>
          <w:tcPr>
            <w:tcW w:w="1060" w:type="dxa"/>
            <w:vAlign w:val="bottom"/>
          </w:tcPr>
          <w:p>
            <w:pPr>
              <w:jc w:val="right"/>
              <w:ind w:right="117"/>
              <w:spacing w:after="0" w:line="149" w:lineRule="exact"/>
              <w:rPr>
                <w:sz w:val="20"/>
                <w:szCs w:val="20"/>
                <w:color w:val="auto"/>
              </w:rPr>
            </w:pPr>
            <w:r>
              <w:rPr>
                <w:rFonts w:ascii="Calibri" w:cs="Calibri" w:eastAsia="Calibri" w:hAnsi="Calibri"/>
                <w:sz w:val="13"/>
                <w:szCs w:val="13"/>
                <w:color w:val="auto"/>
              </w:rPr>
              <w:t>2,341,483</w:t>
            </w:r>
          </w:p>
        </w:tc>
        <w:tc>
          <w:tcPr>
            <w:tcW w:w="980" w:type="dxa"/>
            <w:vAlign w:val="bottom"/>
          </w:tcPr>
          <w:p>
            <w:pPr>
              <w:jc w:val="right"/>
              <w:ind w:right="97"/>
              <w:spacing w:after="0" w:line="149" w:lineRule="exact"/>
              <w:rPr>
                <w:sz w:val="20"/>
                <w:szCs w:val="20"/>
                <w:color w:val="auto"/>
              </w:rPr>
            </w:pPr>
            <w:r>
              <w:rPr>
                <w:rFonts w:ascii="Calibri" w:cs="Calibri" w:eastAsia="Calibri" w:hAnsi="Calibri"/>
                <w:sz w:val="13"/>
                <w:szCs w:val="13"/>
                <w:color w:val="auto"/>
              </w:rPr>
              <w:t>9,677,410</w:t>
            </w:r>
          </w:p>
        </w:tc>
        <w:tc>
          <w:tcPr>
            <w:tcW w:w="820" w:type="dxa"/>
            <w:vAlign w:val="bottom"/>
            <w:tcBorders>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24%</w:t>
            </w:r>
          </w:p>
        </w:tc>
      </w:tr>
      <w:tr>
        <w:trPr>
          <w:trHeight w:val="154"/>
        </w:trPr>
        <w:tc>
          <w:tcPr>
            <w:tcW w:w="5620" w:type="dxa"/>
            <w:vAlign w:val="bottom"/>
            <w:tcBorders>
              <w:left w:val="single" w:sz="8" w:color="auto"/>
              <w:bottom w:val="single" w:sz="8" w:color="auto"/>
              <w:righ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Collectons (S/ Millions)</w:t>
            </w:r>
          </w:p>
        </w:tc>
        <w:tc>
          <w:tcPr>
            <w:tcW w:w="1040" w:type="dxa"/>
            <w:vAlign w:val="bottom"/>
            <w:tcBorders>
              <w:bottom w:val="single" w:sz="8" w:color="auto"/>
            </w:tcBorders>
          </w:tcPr>
          <w:p>
            <w:pPr>
              <w:jc w:val="right"/>
              <w:ind w:right="77"/>
              <w:spacing w:after="0" w:line="149" w:lineRule="exact"/>
              <w:rPr>
                <w:sz w:val="20"/>
                <w:szCs w:val="20"/>
                <w:color w:val="auto"/>
              </w:rPr>
            </w:pPr>
            <w:r>
              <w:rPr>
                <w:rFonts w:ascii="Calibri" w:cs="Calibri" w:eastAsia="Calibri" w:hAnsi="Calibri"/>
                <w:sz w:val="13"/>
                <w:szCs w:val="13"/>
                <w:color w:val="auto"/>
              </w:rPr>
              <w:t>1,105</w:t>
            </w:r>
          </w:p>
        </w:tc>
        <w:tc>
          <w:tcPr>
            <w:tcW w:w="920" w:type="dxa"/>
            <w:vAlign w:val="bottom"/>
            <w:tcBorders>
              <w:bottom w:val="single" w:sz="8" w:color="auto"/>
            </w:tcBorders>
          </w:tcPr>
          <w:p>
            <w:pPr>
              <w:jc w:val="right"/>
              <w:ind w:right="77"/>
              <w:spacing w:after="0" w:line="149" w:lineRule="exact"/>
              <w:rPr>
                <w:sz w:val="20"/>
                <w:szCs w:val="20"/>
                <w:color w:val="auto"/>
              </w:rPr>
            </w:pPr>
            <w:r>
              <w:rPr>
                <w:rFonts w:ascii="Calibri" w:cs="Calibri" w:eastAsia="Calibri" w:hAnsi="Calibri"/>
                <w:sz w:val="13"/>
                <w:szCs w:val="13"/>
                <w:color w:val="auto"/>
              </w:rPr>
              <w:t>4,129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88"/>
              </w:rPr>
              <w:t>27%</w:t>
            </w:r>
          </w:p>
        </w:tc>
        <w:tc>
          <w:tcPr>
            <w:tcW w:w="1060" w:type="dxa"/>
            <w:vAlign w:val="bottom"/>
            <w:tcBorders>
              <w:bottom w:val="single" w:sz="8" w:color="auto"/>
            </w:tcBorders>
          </w:tcPr>
          <w:p>
            <w:pPr>
              <w:jc w:val="right"/>
              <w:ind w:right="117"/>
              <w:spacing w:after="0" w:line="149" w:lineRule="exact"/>
              <w:rPr>
                <w:sz w:val="20"/>
                <w:szCs w:val="20"/>
                <w:color w:val="auto"/>
              </w:rPr>
            </w:pPr>
            <w:r>
              <w:rPr>
                <w:rFonts w:ascii="Calibri" w:cs="Calibri" w:eastAsia="Calibri" w:hAnsi="Calibri"/>
                <w:sz w:val="13"/>
                <w:szCs w:val="13"/>
                <w:color w:val="auto"/>
              </w:rPr>
              <w:t>694</w:t>
            </w:r>
          </w:p>
        </w:tc>
        <w:tc>
          <w:tcPr>
            <w:tcW w:w="980" w:type="dxa"/>
            <w:vAlign w:val="bottom"/>
            <w:tcBorders>
              <w:bottom w:val="single" w:sz="8" w:color="auto"/>
            </w:tcBorders>
          </w:tcPr>
          <w:p>
            <w:pPr>
              <w:jc w:val="right"/>
              <w:ind w:right="97"/>
              <w:spacing w:after="0" w:line="149" w:lineRule="exact"/>
              <w:rPr>
                <w:sz w:val="20"/>
                <w:szCs w:val="20"/>
                <w:color w:val="auto"/>
              </w:rPr>
            </w:pPr>
            <w:r>
              <w:rPr>
                <w:rFonts w:ascii="Calibri" w:cs="Calibri" w:eastAsia="Calibri" w:hAnsi="Calibri"/>
                <w:sz w:val="13"/>
                <w:szCs w:val="13"/>
                <w:color w:val="auto"/>
              </w:rPr>
              <w:t>2,660</w:t>
            </w:r>
          </w:p>
        </w:tc>
        <w:tc>
          <w:tcPr>
            <w:tcW w:w="820" w:type="dxa"/>
            <w:vAlign w:val="bottom"/>
            <w:tcBorders>
              <w:bottom w:val="single" w:sz="8" w:color="auto"/>
              <w:right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26%</w:t>
            </w:r>
          </w:p>
        </w:tc>
      </w:tr>
    </w:tbl>
    <w:p>
      <w:pPr>
        <w:spacing w:after="0" w:line="369"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453"/>
        </w:trPr>
        <w:tc>
          <w:tcPr>
            <w:tcW w:w="920" w:type="dxa"/>
            <w:vAlign w:val="bottom"/>
            <w:tcBorders>
              <w:left w:val="single" w:sz="8" w:color="auto"/>
            </w:tcBorders>
            <w:shd w:val="clear" w:color="auto" w:fill="000000"/>
          </w:tcPr>
          <w:p>
            <w:pPr>
              <w:spacing w:after="0"/>
              <w:rPr>
                <w:sz w:val="24"/>
                <w:szCs w:val="24"/>
                <w:color w:val="auto"/>
              </w:rPr>
            </w:pPr>
          </w:p>
        </w:tc>
        <w:tc>
          <w:tcPr>
            <w:tcW w:w="1420" w:type="dxa"/>
            <w:vAlign w:val="bottom"/>
            <w:shd w:val="clear" w:color="auto" w:fill="000000"/>
          </w:tcPr>
          <w:p>
            <w:pPr>
              <w:spacing w:after="0"/>
              <w:rPr>
                <w:sz w:val="24"/>
                <w:szCs w:val="24"/>
                <w:color w:val="auto"/>
              </w:rPr>
            </w:pPr>
          </w:p>
        </w:tc>
        <w:tc>
          <w:tcPr>
            <w:tcW w:w="2900" w:type="dxa"/>
            <w:vAlign w:val="bottom"/>
            <w:gridSpan w:val="3"/>
            <w:shd w:val="clear" w:color="auto" w:fill="000000"/>
          </w:tcPr>
          <w:p>
            <w:pPr>
              <w:ind w:left="36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580" w:type="dxa"/>
            <w:vAlign w:val="bottom"/>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1260" w:type="dxa"/>
            <w:vAlign w:val="bottom"/>
            <w:shd w:val="clear" w:color="auto" w:fill="000000"/>
          </w:tcPr>
          <w:p>
            <w:pPr>
              <w:spacing w:after="0"/>
              <w:rPr>
                <w:sz w:val="24"/>
                <w:szCs w:val="24"/>
                <w:color w:val="auto"/>
              </w:rPr>
            </w:pPr>
          </w:p>
        </w:tc>
        <w:tc>
          <w:tcPr>
            <w:tcW w:w="2980" w:type="dxa"/>
            <w:vAlign w:val="bottom"/>
            <w:gridSpan w:val="6"/>
            <w:shd w:val="clear" w:color="auto" w:fill="000000"/>
          </w:tcPr>
          <w:p>
            <w:pPr>
              <w:jc w:val="right"/>
              <w:ind w:right="80"/>
              <w:spacing w:after="0"/>
              <w:rPr>
                <w:sz w:val="20"/>
                <w:szCs w:val="20"/>
                <w:color w:val="auto"/>
              </w:rPr>
            </w:pPr>
            <w:r>
              <w:rPr>
                <w:rFonts w:ascii="Calibri" w:cs="Calibri" w:eastAsia="Calibri" w:hAnsi="Calibri"/>
                <w:sz w:val="16"/>
                <w:szCs w:val="16"/>
                <w:color w:val="ED3FA8"/>
              </w:rPr>
              <w:t>Analysis of 3Q24 Consolidated Results</w:t>
            </w:r>
          </w:p>
        </w:tc>
        <w:tc>
          <w:tcPr>
            <w:tcW w:w="1020" w:type="dxa"/>
            <w:vAlign w:val="bottom"/>
            <w:tcBorders>
              <w:right w:val="single" w:sz="8" w:color="auto"/>
            </w:tcBorders>
            <w:shd w:val="clear" w:color="auto" w:fill="000000"/>
          </w:tcPr>
          <w:p>
            <w:pPr>
              <w:spacing w:after="0"/>
              <w:rPr>
                <w:sz w:val="24"/>
                <w:szCs w:val="24"/>
                <w:color w:val="auto"/>
              </w:rPr>
            </w:pPr>
          </w:p>
        </w:tc>
      </w:tr>
      <w:tr>
        <w:trPr>
          <w:trHeight w:val="330"/>
        </w:trPr>
        <w:tc>
          <w:tcPr>
            <w:tcW w:w="2340" w:type="dxa"/>
            <w:vAlign w:val="bottom"/>
            <w:tcBorders>
              <w:left w:val="single" w:sz="8" w:color="auto"/>
            </w:tcBorders>
            <w:gridSpan w:val="2"/>
            <w:shd w:val="clear" w:color="auto" w:fill="000000"/>
          </w:tcPr>
          <w:p>
            <w:pPr>
              <w:spacing w:after="0"/>
              <w:rPr>
                <w:sz w:val="24"/>
                <w:szCs w:val="24"/>
                <w:color w:val="auto"/>
              </w:rPr>
            </w:pPr>
          </w:p>
        </w:tc>
        <w:tc>
          <w:tcPr>
            <w:tcW w:w="640" w:type="dxa"/>
            <w:vAlign w:val="bottom"/>
            <w:tcBorders>
              <w:right w:val="single" w:sz="8" w:color="auto"/>
            </w:tcBorders>
            <w:shd w:val="clear" w:color="auto" w:fill="000000"/>
          </w:tcPr>
          <w:p>
            <w:pPr>
              <w:spacing w:after="0"/>
              <w:rPr>
                <w:sz w:val="24"/>
                <w:szCs w:val="24"/>
                <w:color w:val="auto"/>
              </w:rPr>
            </w:pPr>
          </w:p>
        </w:tc>
        <w:tc>
          <w:tcPr>
            <w:tcW w:w="1160" w:type="dxa"/>
            <w:vAlign w:val="bottom"/>
            <w:tcBorders>
              <w:right w:val="single" w:sz="8" w:color="auto"/>
            </w:tcBorders>
            <w:shd w:val="clear" w:color="auto" w:fill="000000"/>
          </w:tcPr>
          <w:p>
            <w:pPr>
              <w:spacing w:after="0"/>
              <w:rPr>
                <w:sz w:val="24"/>
                <w:szCs w:val="24"/>
                <w:color w:val="auto"/>
              </w:rPr>
            </w:pPr>
          </w:p>
        </w:tc>
        <w:tc>
          <w:tcPr>
            <w:tcW w:w="110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1260" w:type="dxa"/>
            <w:vAlign w:val="bottom"/>
            <w:shd w:val="clear" w:color="auto" w:fill="000000"/>
          </w:tcPr>
          <w:p>
            <w:pPr>
              <w:spacing w:after="0"/>
              <w:rPr>
                <w:sz w:val="24"/>
                <w:szCs w:val="24"/>
                <w:color w:val="auto"/>
              </w:rPr>
            </w:pPr>
          </w:p>
        </w:tc>
        <w:tc>
          <w:tcPr>
            <w:tcW w:w="72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220" w:type="dxa"/>
            <w:vAlign w:val="bottom"/>
            <w:tcBorders>
              <w:right w:val="single" w:sz="8" w:color="auto"/>
            </w:tcBorders>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1260" w:type="dxa"/>
            <w:vAlign w:val="bottom"/>
            <w:tcBorders>
              <w:right w:val="single" w:sz="8" w:color="auto"/>
            </w:tcBorders>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r>
      <w:tr>
        <w:trPr>
          <w:trHeight w:val="264"/>
        </w:trPr>
        <w:tc>
          <w:tcPr>
            <w:tcW w:w="2340" w:type="dxa"/>
            <w:vAlign w:val="bottom"/>
            <w:tcBorders>
              <w:left w:val="single" w:sz="8" w:color="E93BAC"/>
            </w:tcBorders>
            <w:gridSpan w:val="2"/>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640" w:type="dxa"/>
            <w:vAlign w:val="bottom"/>
            <w:tcBorders>
              <w:right w:val="single" w:sz="8" w:color="E93BAC"/>
            </w:tcBorders>
            <w:shd w:val="clear" w:color="auto" w:fill="E93BAC"/>
          </w:tcPr>
          <w:p>
            <w:pPr>
              <w:spacing w:after="0"/>
              <w:rPr>
                <w:sz w:val="22"/>
                <w:szCs w:val="22"/>
                <w:color w:val="auto"/>
              </w:rPr>
            </w:pPr>
          </w:p>
        </w:tc>
        <w:tc>
          <w:tcPr>
            <w:tcW w:w="1160" w:type="dxa"/>
            <w:vAlign w:val="bottom"/>
            <w:tcBorders>
              <w:right w:val="single" w:sz="8" w:color="E93BAC"/>
            </w:tcBorders>
            <w:shd w:val="clear" w:color="auto" w:fill="E93BAC"/>
          </w:tcPr>
          <w:p>
            <w:pPr>
              <w:spacing w:after="0"/>
              <w:rPr>
                <w:sz w:val="22"/>
                <w:szCs w:val="22"/>
                <w:color w:val="auto"/>
              </w:rPr>
            </w:pPr>
          </w:p>
        </w:tc>
        <w:tc>
          <w:tcPr>
            <w:tcW w:w="1100" w:type="dxa"/>
            <w:vAlign w:val="bottom"/>
            <w:shd w:val="clear" w:color="auto" w:fill="E93BAC"/>
          </w:tcPr>
          <w:p>
            <w:pPr>
              <w:spacing w:after="0"/>
              <w:rPr>
                <w:sz w:val="22"/>
                <w:szCs w:val="22"/>
                <w:color w:val="auto"/>
              </w:rPr>
            </w:pPr>
          </w:p>
        </w:tc>
        <w:tc>
          <w:tcPr>
            <w:tcW w:w="580" w:type="dxa"/>
            <w:vAlign w:val="bottom"/>
            <w:shd w:val="clear" w:color="auto" w:fill="E93BAC"/>
          </w:tcPr>
          <w:p>
            <w:pPr>
              <w:spacing w:after="0"/>
              <w:rPr>
                <w:sz w:val="22"/>
                <w:szCs w:val="22"/>
                <w:color w:val="auto"/>
              </w:rPr>
            </w:pPr>
          </w:p>
        </w:tc>
        <w:tc>
          <w:tcPr>
            <w:tcW w:w="160" w:type="dxa"/>
            <w:vAlign w:val="bottom"/>
            <w:tcBorders>
              <w:right w:val="single" w:sz="8" w:color="E93BAC"/>
            </w:tcBorders>
            <w:shd w:val="clear" w:color="auto" w:fill="E93BAC"/>
          </w:tcPr>
          <w:p>
            <w:pPr>
              <w:spacing w:after="0"/>
              <w:rPr>
                <w:sz w:val="22"/>
                <w:szCs w:val="22"/>
                <w:color w:val="auto"/>
              </w:rPr>
            </w:pPr>
          </w:p>
        </w:tc>
        <w:tc>
          <w:tcPr>
            <w:tcW w:w="1260" w:type="dxa"/>
            <w:vAlign w:val="bottom"/>
            <w:shd w:val="clear" w:color="auto" w:fill="E93BAC"/>
          </w:tcPr>
          <w:p>
            <w:pPr>
              <w:spacing w:after="0"/>
              <w:rPr>
                <w:sz w:val="22"/>
                <w:szCs w:val="22"/>
                <w:color w:val="auto"/>
              </w:rPr>
            </w:pPr>
          </w:p>
        </w:tc>
        <w:tc>
          <w:tcPr>
            <w:tcW w:w="720" w:type="dxa"/>
            <w:vAlign w:val="bottom"/>
            <w:tcBorders>
              <w:right w:val="single" w:sz="8" w:color="E93BAC"/>
            </w:tcBorders>
            <w:shd w:val="clear" w:color="auto" w:fill="E93BAC"/>
          </w:tcPr>
          <w:p>
            <w:pPr>
              <w:spacing w:after="0"/>
              <w:rPr>
                <w:sz w:val="22"/>
                <w:szCs w:val="22"/>
                <w:color w:val="auto"/>
              </w:rPr>
            </w:pPr>
          </w:p>
        </w:tc>
        <w:tc>
          <w:tcPr>
            <w:tcW w:w="240" w:type="dxa"/>
            <w:vAlign w:val="bottom"/>
            <w:shd w:val="clear" w:color="auto" w:fill="E93BAC"/>
          </w:tcPr>
          <w:p>
            <w:pPr>
              <w:spacing w:after="0"/>
              <w:rPr>
                <w:sz w:val="22"/>
                <w:szCs w:val="22"/>
                <w:color w:val="auto"/>
              </w:rPr>
            </w:pPr>
          </w:p>
        </w:tc>
        <w:tc>
          <w:tcPr>
            <w:tcW w:w="220" w:type="dxa"/>
            <w:vAlign w:val="bottom"/>
            <w:tcBorders>
              <w:right w:val="single" w:sz="8" w:color="E93BAC"/>
            </w:tcBorders>
            <w:shd w:val="clear" w:color="auto" w:fill="E93BAC"/>
          </w:tcPr>
          <w:p>
            <w:pPr>
              <w:spacing w:after="0"/>
              <w:rPr>
                <w:sz w:val="22"/>
                <w:szCs w:val="22"/>
                <w:color w:val="auto"/>
              </w:rPr>
            </w:pPr>
          </w:p>
        </w:tc>
        <w:tc>
          <w:tcPr>
            <w:tcW w:w="400" w:type="dxa"/>
            <w:vAlign w:val="bottom"/>
            <w:shd w:val="clear" w:color="auto" w:fill="E93BAC"/>
          </w:tcPr>
          <w:p>
            <w:pPr>
              <w:spacing w:after="0"/>
              <w:rPr>
                <w:sz w:val="22"/>
                <w:szCs w:val="22"/>
                <w:color w:val="auto"/>
              </w:rPr>
            </w:pPr>
          </w:p>
        </w:tc>
        <w:tc>
          <w:tcPr>
            <w:tcW w:w="1260" w:type="dxa"/>
            <w:vAlign w:val="bottom"/>
            <w:tcBorders>
              <w:right w:val="single" w:sz="8" w:color="E93BAC"/>
            </w:tcBorders>
            <w:shd w:val="clear" w:color="auto" w:fill="E93BAC"/>
          </w:tcPr>
          <w:p>
            <w:pPr>
              <w:spacing w:after="0"/>
              <w:rPr>
                <w:sz w:val="22"/>
                <w:szCs w:val="22"/>
                <w:color w:val="auto"/>
              </w:rPr>
            </w:pPr>
          </w:p>
        </w:tc>
        <w:tc>
          <w:tcPr>
            <w:tcW w:w="140" w:type="dxa"/>
            <w:vAlign w:val="bottom"/>
            <w:shd w:val="clear" w:color="auto" w:fill="E93BAC"/>
          </w:tcPr>
          <w:p>
            <w:pPr>
              <w:spacing w:after="0"/>
              <w:rPr>
                <w:sz w:val="22"/>
                <w:szCs w:val="22"/>
                <w:color w:val="auto"/>
              </w:rPr>
            </w:pPr>
          </w:p>
        </w:tc>
        <w:tc>
          <w:tcPr>
            <w:tcW w:w="1020" w:type="dxa"/>
            <w:vAlign w:val="bottom"/>
            <w:tcBorders>
              <w:right w:val="single" w:sz="8" w:color="E93BAC"/>
            </w:tcBorders>
            <w:shd w:val="clear" w:color="auto" w:fill="E93BAC"/>
          </w:tcPr>
          <w:p>
            <w:pPr>
              <w:spacing w:after="0"/>
              <w:rPr>
                <w:sz w:val="22"/>
                <w:szCs w:val="22"/>
                <w:color w:val="auto"/>
              </w:rPr>
            </w:pPr>
          </w:p>
        </w:tc>
      </w:tr>
      <w:tr>
        <w:trPr>
          <w:trHeight w:val="87"/>
        </w:trPr>
        <w:tc>
          <w:tcPr>
            <w:tcW w:w="920" w:type="dxa"/>
            <w:vAlign w:val="bottom"/>
            <w:tcBorders>
              <w:left w:val="single" w:sz="8" w:color="E93BAC"/>
            </w:tcBorders>
            <w:shd w:val="clear" w:color="auto" w:fill="E93BAC"/>
          </w:tcPr>
          <w:p>
            <w:pPr>
              <w:spacing w:after="0"/>
              <w:rPr>
                <w:sz w:val="7"/>
                <w:szCs w:val="7"/>
                <w:color w:val="auto"/>
              </w:rPr>
            </w:pPr>
          </w:p>
        </w:tc>
        <w:tc>
          <w:tcPr>
            <w:tcW w:w="1420" w:type="dxa"/>
            <w:vAlign w:val="bottom"/>
            <w:shd w:val="clear" w:color="auto" w:fill="E93BAC"/>
          </w:tcPr>
          <w:p>
            <w:pPr>
              <w:spacing w:after="0"/>
              <w:rPr>
                <w:sz w:val="7"/>
                <w:szCs w:val="7"/>
                <w:color w:val="auto"/>
              </w:rPr>
            </w:pPr>
          </w:p>
        </w:tc>
        <w:tc>
          <w:tcPr>
            <w:tcW w:w="640" w:type="dxa"/>
            <w:vAlign w:val="bottom"/>
            <w:tcBorders>
              <w:right w:val="single" w:sz="8" w:color="E93BAC"/>
            </w:tcBorders>
            <w:shd w:val="clear" w:color="auto" w:fill="E93BAC"/>
          </w:tcPr>
          <w:p>
            <w:pPr>
              <w:spacing w:after="0"/>
              <w:rPr>
                <w:sz w:val="7"/>
                <w:szCs w:val="7"/>
                <w:color w:val="auto"/>
              </w:rPr>
            </w:pPr>
          </w:p>
        </w:tc>
        <w:tc>
          <w:tcPr>
            <w:tcW w:w="1160" w:type="dxa"/>
            <w:vAlign w:val="bottom"/>
            <w:tcBorders>
              <w:right w:val="single" w:sz="8" w:color="E93BAC"/>
            </w:tcBorders>
            <w:shd w:val="clear" w:color="auto" w:fill="E93BAC"/>
          </w:tcPr>
          <w:p>
            <w:pPr>
              <w:spacing w:after="0"/>
              <w:rPr>
                <w:sz w:val="7"/>
                <w:szCs w:val="7"/>
                <w:color w:val="auto"/>
              </w:rPr>
            </w:pPr>
          </w:p>
        </w:tc>
        <w:tc>
          <w:tcPr>
            <w:tcW w:w="1100" w:type="dxa"/>
            <w:vAlign w:val="bottom"/>
            <w:shd w:val="clear" w:color="auto" w:fill="E93BAC"/>
          </w:tcPr>
          <w:p>
            <w:pPr>
              <w:spacing w:after="0"/>
              <w:rPr>
                <w:sz w:val="7"/>
                <w:szCs w:val="7"/>
                <w:color w:val="auto"/>
              </w:rPr>
            </w:pPr>
          </w:p>
        </w:tc>
        <w:tc>
          <w:tcPr>
            <w:tcW w:w="580" w:type="dxa"/>
            <w:vAlign w:val="bottom"/>
            <w:shd w:val="clear" w:color="auto" w:fill="E93BAC"/>
          </w:tcPr>
          <w:p>
            <w:pPr>
              <w:spacing w:after="0"/>
              <w:rPr>
                <w:sz w:val="7"/>
                <w:szCs w:val="7"/>
                <w:color w:val="auto"/>
              </w:rPr>
            </w:pPr>
          </w:p>
        </w:tc>
        <w:tc>
          <w:tcPr>
            <w:tcW w:w="160" w:type="dxa"/>
            <w:vAlign w:val="bottom"/>
            <w:tcBorders>
              <w:right w:val="single" w:sz="8" w:color="E93BAC"/>
            </w:tcBorders>
            <w:shd w:val="clear" w:color="auto" w:fill="E93BAC"/>
          </w:tcPr>
          <w:p>
            <w:pPr>
              <w:spacing w:after="0"/>
              <w:rPr>
                <w:sz w:val="7"/>
                <w:szCs w:val="7"/>
                <w:color w:val="auto"/>
              </w:rPr>
            </w:pPr>
          </w:p>
        </w:tc>
        <w:tc>
          <w:tcPr>
            <w:tcW w:w="1260" w:type="dxa"/>
            <w:vAlign w:val="bottom"/>
            <w:shd w:val="clear" w:color="auto" w:fill="E93BAC"/>
          </w:tcPr>
          <w:p>
            <w:pPr>
              <w:spacing w:after="0"/>
              <w:rPr>
                <w:sz w:val="7"/>
                <w:szCs w:val="7"/>
                <w:color w:val="auto"/>
              </w:rPr>
            </w:pPr>
          </w:p>
        </w:tc>
        <w:tc>
          <w:tcPr>
            <w:tcW w:w="720" w:type="dxa"/>
            <w:vAlign w:val="bottom"/>
            <w:tcBorders>
              <w:right w:val="single" w:sz="8" w:color="E93BAC"/>
            </w:tcBorders>
            <w:shd w:val="clear" w:color="auto" w:fill="E93BAC"/>
          </w:tcPr>
          <w:p>
            <w:pPr>
              <w:spacing w:after="0"/>
              <w:rPr>
                <w:sz w:val="7"/>
                <w:szCs w:val="7"/>
                <w:color w:val="auto"/>
              </w:rPr>
            </w:pPr>
          </w:p>
        </w:tc>
        <w:tc>
          <w:tcPr>
            <w:tcW w:w="240" w:type="dxa"/>
            <w:vAlign w:val="bottom"/>
            <w:shd w:val="clear" w:color="auto" w:fill="E93BAC"/>
          </w:tcPr>
          <w:p>
            <w:pPr>
              <w:spacing w:after="0"/>
              <w:rPr>
                <w:sz w:val="7"/>
                <w:szCs w:val="7"/>
                <w:color w:val="auto"/>
              </w:rPr>
            </w:pPr>
          </w:p>
        </w:tc>
        <w:tc>
          <w:tcPr>
            <w:tcW w:w="220" w:type="dxa"/>
            <w:vAlign w:val="bottom"/>
            <w:tcBorders>
              <w:right w:val="single" w:sz="8" w:color="E93BAC"/>
            </w:tcBorders>
            <w:shd w:val="clear" w:color="auto" w:fill="E93BAC"/>
          </w:tcPr>
          <w:p>
            <w:pPr>
              <w:spacing w:after="0"/>
              <w:rPr>
                <w:sz w:val="7"/>
                <w:szCs w:val="7"/>
                <w:color w:val="auto"/>
              </w:rPr>
            </w:pPr>
          </w:p>
        </w:tc>
        <w:tc>
          <w:tcPr>
            <w:tcW w:w="400" w:type="dxa"/>
            <w:vAlign w:val="bottom"/>
            <w:shd w:val="clear" w:color="auto" w:fill="E93BAC"/>
          </w:tcPr>
          <w:p>
            <w:pPr>
              <w:spacing w:after="0"/>
              <w:rPr>
                <w:sz w:val="7"/>
                <w:szCs w:val="7"/>
                <w:color w:val="auto"/>
              </w:rPr>
            </w:pPr>
          </w:p>
        </w:tc>
        <w:tc>
          <w:tcPr>
            <w:tcW w:w="1260" w:type="dxa"/>
            <w:vAlign w:val="bottom"/>
            <w:tcBorders>
              <w:right w:val="single" w:sz="8" w:color="E93BAC"/>
            </w:tcBorders>
            <w:shd w:val="clear" w:color="auto" w:fill="E93BAC"/>
          </w:tcPr>
          <w:p>
            <w:pPr>
              <w:spacing w:after="0"/>
              <w:rPr>
                <w:sz w:val="7"/>
                <w:szCs w:val="7"/>
                <w:color w:val="auto"/>
              </w:rPr>
            </w:pPr>
          </w:p>
        </w:tc>
        <w:tc>
          <w:tcPr>
            <w:tcW w:w="140" w:type="dxa"/>
            <w:vAlign w:val="bottom"/>
            <w:shd w:val="clear" w:color="auto" w:fill="E93BAC"/>
          </w:tcPr>
          <w:p>
            <w:pPr>
              <w:spacing w:after="0"/>
              <w:rPr>
                <w:sz w:val="7"/>
                <w:szCs w:val="7"/>
                <w:color w:val="auto"/>
              </w:rPr>
            </w:pPr>
          </w:p>
        </w:tc>
        <w:tc>
          <w:tcPr>
            <w:tcW w:w="1020" w:type="dxa"/>
            <w:vAlign w:val="bottom"/>
            <w:tcBorders>
              <w:right w:val="single" w:sz="8" w:color="E93BAC"/>
            </w:tcBorders>
            <w:shd w:val="clear" w:color="auto" w:fill="E93BAC"/>
          </w:tcPr>
          <w:p>
            <w:pPr>
              <w:spacing w:after="0"/>
              <w:rPr>
                <w:sz w:val="7"/>
                <w:szCs w:val="7"/>
                <w:color w:val="auto"/>
              </w:rPr>
            </w:pPr>
          </w:p>
        </w:tc>
      </w:tr>
      <w:tr>
        <w:trPr>
          <w:trHeight w:val="354"/>
        </w:trPr>
        <w:tc>
          <w:tcPr>
            <w:tcW w:w="920" w:type="dxa"/>
            <w:vAlign w:val="bottom"/>
          </w:tcPr>
          <w:p>
            <w:pPr>
              <w:spacing w:after="0"/>
              <w:rPr>
                <w:sz w:val="20"/>
                <w:szCs w:val="20"/>
                <w:color w:val="auto"/>
              </w:rPr>
            </w:pPr>
            <w:r>
              <w:rPr>
                <w:rFonts w:ascii="Calibri" w:cs="Calibri" w:eastAsia="Calibri" w:hAnsi="Calibri"/>
                <w:sz w:val="18"/>
                <w:szCs w:val="18"/>
                <w:b w:val="1"/>
                <w:bCs w:val="1"/>
                <w:color w:val="auto"/>
              </w:rPr>
              <w:t>12.6.8.</w:t>
            </w:r>
          </w:p>
        </w:tc>
        <w:tc>
          <w:tcPr>
            <w:tcW w:w="1420" w:type="dxa"/>
            <w:vAlign w:val="bottom"/>
          </w:tcPr>
          <w:p>
            <w:pPr>
              <w:ind w:left="20"/>
              <w:spacing w:after="0"/>
              <w:rPr>
                <w:sz w:val="20"/>
                <w:szCs w:val="20"/>
                <w:color w:val="auto"/>
              </w:rPr>
            </w:pPr>
            <w:r>
              <w:rPr>
                <w:rFonts w:ascii="Calibri" w:cs="Calibri" w:eastAsia="Calibri" w:hAnsi="Calibri"/>
                <w:sz w:val="18"/>
                <w:szCs w:val="18"/>
                <w:b w:val="1"/>
                <w:bCs w:val="1"/>
                <w:color w:val="auto"/>
              </w:rPr>
              <w:t>Grupo Pacifco</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3"/>
        </w:trPr>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gridSpan w:val="4"/>
          </w:tcPr>
          <w:p>
            <w:pPr>
              <w:jc w:val="center"/>
              <w:ind w:right="79"/>
              <w:spacing w:after="0"/>
              <w:rPr>
                <w:sz w:val="20"/>
                <w:szCs w:val="20"/>
                <w:color w:val="auto"/>
              </w:rPr>
            </w:pPr>
            <w:r>
              <w:rPr>
                <w:rFonts w:ascii="Calibri" w:cs="Calibri" w:eastAsia="Calibri" w:hAnsi="Calibri"/>
                <w:sz w:val="17"/>
                <w:szCs w:val="17"/>
                <w:b w:val="1"/>
                <w:bCs w:val="1"/>
                <w:color w:val="auto"/>
              </w:rPr>
              <w:t>Key Indicators of Financial Positon</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4"/>
          </w:tcPr>
          <w:p>
            <w:pPr>
              <w:jc w:val="center"/>
              <w:ind w:right="79"/>
              <w:spacing w:after="0"/>
              <w:rPr>
                <w:sz w:val="20"/>
                <w:szCs w:val="20"/>
                <w:color w:val="auto"/>
              </w:rPr>
            </w:pPr>
            <w:r>
              <w:rPr>
                <w:rFonts w:ascii="Calibri" w:cs="Calibri" w:eastAsia="Calibri" w:hAnsi="Calibri"/>
                <w:sz w:val="16"/>
                <w:szCs w:val="16"/>
                <w:b w:val="1"/>
                <w:bCs w:val="1"/>
                <w:color w:val="auto"/>
              </w:rPr>
              <w:t>(S/ Thousands, IFRS)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87"/>
        </w:trPr>
        <w:tc>
          <w:tcPr>
            <w:tcW w:w="920" w:type="dxa"/>
            <w:vAlign w:val="bottom"/>
            <w:tcBorders>
              <w:left w:val="single" w:sz="8" w:color="auto"/>
            </w:tcBorders>
            <w:shd w:val="clear" w:color="auto" w:fill="33CCCC"/>
          </w:tcPr>
          <w:p>
            <w:pPr>
              <w:spacing w:after="0"/>
              <w:rPr>
                <w:sz w:val="16"/>
                <w:szCs w:val="16"/>
                <w:color w:val="auto"/>
              </w:rPr>
            </w:pPr>
          </w:p>
        </w:tc>
        <w:tc>
          <w:tcPr>
            <w:tcW w:w="1420" w:type="dxa"/>
            <w:vAlign w:val="bottom"/>
            <w:shd w:val="clear" w:color="auto" w:fill="33CCCC"/>
          </w:tcPr>
          <w:p>
            <w:pPr>
              <w:spacing w:after="0"/>
              <w:rPr>
                <w:sz w:val="16"/>
                <w:szCs w:val="16"/>
                <w:color w:val="auto"/>
              </w:rPr>
            </w:pPr>
          </w:p>
        </w:tc>
        <w:tc>
          <w:tcPr>
            <w:tcW w:w="640" w:type="dxa"/>
            <w:vAlign w:val="bottom"/>
            <w:tcBorders>
              <w:right w:val="single" w:sz="8" w:color="33CCCC"/>
            </w:tcBorders>
            <w:shd w:val="clear" w:color="auto" w:fill="33CCCC"/>
          </w:tcPr>
          <w:p>
            <w:pPr>
              <w:spacing w:after="0"/>
              <w:rPr>
                <w:sz w:val="16"/>
                <w:szCs w:val="16"/>
                <w:color w:val="auto"/>
              </w:rPr>
            </w:pPr>
          </w:p>
        </w:tc>
        <w:tc>
          <w:tcPr>
            <w:tcW w:w="1160" w:type="dxa"/>
            <w:vAlign w:val="bottom"/>
            <w:tcBorders>
              <w:right w:val="single" w:sz="8" w:color="auto"/>
            </w:tcBorders>
            <w:shd w:val="clear" w:color="auto" w:fill="33CCCC"/>
          </w:tcPr>
          <w:p>
            <w:pPr>
              <w:spacing w:after="0"/>
              <w:rPr>
                <w:sz w:val="16"/>
                <w:szCs w:val="16"/>
                <w:color w:val="auto"/>
              </w:rPr>
            </w:pPr>
          </w:p>
        </w:tc>
        <w:tc>
          <w:tcPr>
            <w:tcW w:w="1100" w:type="dxa"/>
            <w:vAlign w:val="bottom"/>
            <w:shd w:val="clear" w:color="auto" w:fill="33CCCC"/>
          </w:tcPr>
          <w:p>
            <w:pPr>
              <w:spacing w:after="0"/>
              <w:rPr>
                <w:sz w:val="16"/>
                <w:szCs w:val="16"/>
                <w:color w:val="auto"/>
              </w:rPr>
            </w:pPr>
          </w:p>
        </w:tc>
        <w:tc>
          <w:tcPr>
            <w:tcW w:w="580" w:type="dxa"/>
            <w:vAlign w:val="bottom"/>
            <w:shd w:val="clear" w:color="auto" w:fill="33CCCC"/>
          </w:tcPr>
          <w:p>
            <w:pPr>
              <w:spacing w:after="0"/>
              <w:rPr>
                <w:sz w:val="16"/>
                <w:szCs w:val="16"/>
                <w:color w:val="auto"/>
              </w:rPr>
            </w:pPr>
          </w:p>
        </w:tc>
        <w:tc>
          <w:tcPr>
            <w:tcW w:w="160" w:type="dxa"/>
            <w:vAlign w:val="bottom"/>
            <w:tcBorders>
              <w:right w:val="single" w:sz="8" w:color="33CCCC"/>
            </w:tcBorders>
            <w:shd w:val="clear" w:color="auto" w:fill="33CCCC"/>
          </w:tcPr>
          <w:p>
            <w:pPr>
              <w:spacing w:after="0"/>
              <w:rPr>
                <w:sz w:val="16"/>
                <w:szCs w:val="16"/>
                <w:color w:val="auto"/>
              </w:rPr>
            </w:pPr>
          </w:p>
        </w:tc>
        <w:tc>
          <w:tcPr>
            <w:tcW w:w="1260" w:type="dxa"/>
            <w:vAlign w:val="bottom"/>
            <w:shd w:val="clear" w:color="auto" w:fill="33CCCC"/>
          </w:tcPr>
          <w:p>
            <w:pPr>
              <w:ind w:left="120"/>
              <w:spacing w:after="0" w:line="187" w:lineRule="exact"/>
              <w:rPr>
                <w:sz w:val="20"/>
                <w:szCs w:val="20"/>
                <w:color w:val="auto"/>
              </w:rPr>
            </w:pPr>
            <w:r>
              <w:rPr>
                <w:rFonts w:ascii="Calibri" w:cs="Calibri" w:eastAsia="Calibri" w:hAnsi="Calibri"/>
                <w:sz w:val="16"/>
                <w:szCs w:val="16"/>
                <w:b w:val="1"/>
                <w:bCs w:val="1"/>
                <w:color w:val="FFFFFF"/>
              </w:rPr>
              <w:t>As of</w:t>
            </w:r>
          </w:p>
        </w:tc>
        <w:tc>
          <w:tcPr>
            <w:tcW w:w="720" w:type="dxa"/>
            <w:vAlign w:val="bottom"/>
            <w:tcBorders>
              <w:right w:val="single" w:sz="8" w:color="33CCCC"/>
            </w:tcBorders>
            <w:shd w:val="clear" w:color="auto" w:fill="33CCCC"/>
          </w:tcPr>
          <w:p>
            <w:pPr>
              <w:spacing w:after="0"/>
              <w:rPr>
                <w:sz w:val="16"/>
                <w:szCs w:val="16"/>
                <w:color w:val="auto"/>
              </w:rPr>
            </w:pPr>
          </w:p>
        </w:tc>
        <w:tc>
          <w:tcPr>
            <w:tcW w:w="240" w:type="dxa"/>
            <w:vAlign w:val="bottom"/>
            <w:shd w:val="clear" w:color="auto" w:fill="33CCCC"/>
          </w:tcPr>
          <w:p>
            <w:pPr>
              <w:spacing w:after="0"/>
              <w:rPr>
                <w:sz w:val="16"/>
                <w:szCs w:val="16"/>
                <w:color w:val="auto"/>
              </w:rPr>
            </w:pPr>
          </w:p>
        </w:tc>
        <w:tc>
          <w:tcPr>
            <w:tcW w:w="220" w:type="dxa"/>
            <w:vAlign w:val="bottom"/>
            <w:tcBorders>
              <w:right w:val="single" w:sz="8" w:color="auto"/>
            </w:tcBorders>
            <w:shd w:val="clear" w:color="auto" w:fill="33CCCC"/>
          </w:tcPr>
          <w:p>
            <w:pPr>
              <w:spacing w:after="0"/>
              <w:rPr>
                <w:sz w:val="16"/>
                <w:szCs w:val="16"/>
                <w:color w:val="auto"/>
              </w:rPr>
            </w:pPr>
          </w:p>
        </w:tc>
        <w:tc>
          <w:tcPr>
            <w:tcW w:w="400" w:type="dxa"/>
            <w:vAlign w:val="bottom"/>
            <w:shd w:val="clear" w:color="auto" w:fill="33CCCC"/>
          </w:tcPr>
          <w:p>
            <w:pPr>
              <w:spacing w:after="0"/>
              <w:rPr>
                <w:sz w:val="16"/>
                <w:szCs w:val="16"/>
                <w:color w:val="auto"/>
              </w:rPr>
            </w:pPr>
          </w:p>
        </w:tc>
        <w:tc>
          <w:tcPr>
            <w:tcW w:w="1400" w:type="dxa"/>
            <w:vAlign w:val="bottom"/>
            <w:gridSpan w:val="2"/>
            <w:shd w:val="clear" w:color="auto" w:fill="33CCCC"/>
          </w:tcPr>
          <w:p>
            <w:pPr>
              <w:jc w:val="right"/>
              <w:ind w:right="80"/>
              <w:spacing w:after="0" w:line="187" w:lineRule="exact"/>
              <w:rPr>
                <w:sz w:val="20"/>
                <w:szCs w:val="20"/>
                <w:color w:val="auto"/>
              </w:rPr>
            </w:pPr>
            <w:r>
              <w:rPr>
                <w:rFonts w:ascii="Calibri" w:cs="Calibri" w:eastAsia="Calibri" w:hAnsi="Calibri"/>
                <w:sz w:val="16"/>
                <w:szCs w:val="16"/>
                <w:b w:val="1"/>
                <w:bCs w:val="1"/>
                <w:color w:val="FFFFFF"/>
              </w:rPr>
              <w:t>% Change</w:t>
            </w:r>
          </w:p>
        </w:tc>
        <w:tc>
          <w:tcPr>
            <w:tcW w:w="1020" w:type="dxa"/>
            <w:vAlign w:val="bottom"/>
            <w:tcBorders>
              <w:right w:val="single" w:sz="8" w:color="auto"/>
            </w:tcBorders>
            <w:shd w:val="clear" w:color="auto" w:fill="33CCCC"/>
          </w:tcPr>
          <w:p>
            <w:pPr>
              <w:spacing w:after="0"/>
              <w:rPr>
                <w:sz w:val="16"/>
                <w:szCs w:val="16"/>
                <w:color w:val="auto"/>
              </w:rPr>
            </w:pPr>
          </w:p>
        </w:tc>
      </w:tr>
      <w:tr>
        <w:trPr>
          <w:trHeight w:val="205"/>
        </w:trPr>
        <w:tc>
          <w:tcPr>
            <w:tcW w:w="920" w:type="dxa"/>
            <w:vAlign w:val="bottom"/>
            <w:tcBorders>
              <w:left w:val="single" w:sz="8" w:color="auto"/>
              <w:bottom w:val="single" w:sz="8" w:color="auto"/>
            </w:tcBorders>
            <w:shd w:val="clear" w:color="auto" w:fill="33CCCC"/>
          </w:tcPr>
          <w:p>
            <w:pPr>
              <w:spacing w:after="0"/>
              <w:rPr>
                <w:sz w:val="17"/>
                <w:szCs w:val="17"/>
                <w:color w:val="auto"/>
              </w:rPr>
            </w:pPr>
          </w:p>
        </w:tc>
        <w:tc>
          <w:tcPr>
            <w:tcW w:w="1420" w:type="dxa"/>
            <w:vAlign w:val="bottom"/>
            <w:tcBorders>
              <w:bottom w:val="single" w:sz="8" w:color="auto"/>
            </w:tcBorders>
            <w:shd w:val="clear" w:color="auto" w:fill="33CCCC"/>
          </w:tcPr>
          <w:p>
            <w:pPr>
              <w:spacing w:after="0"/>
              <w:rPr>
                <w:sz w:val="17"/>
                <w:szCs w:val="17"/>
                <w:color w:val="auto"/>
              </w:rPr>
            </w:pPr>
          </w:p>
        </w:tc>
        <w:tc>
          <w:tcPr>
            <w:tcW w:w="640" w:type="dxa"/>
            <w:vAlign w:val="bottom"/>
            <w:tcBorders>
              <w:bottom w:val="single" w:sz="8" w:color="auto"/>
              <w:right w:val="single" w:sz="8" w:color="33CCCC"/>
            </w:tcBorders>
            <w:shd w:val="clear" w:color="auto" w:fill="33CCCC"/>
          </w:tcPr>
          <w:p>
            <w:pPr>
              <w:spacing w:after="0"/>
              <w:rPr>
                <w:sz w:val="17"/>
                <w:szCs w:val="17"/>
                <w:color w:val="auto"/>
              </w:rPr>
            </w:pPr>
          </w:p>
        </w:tc>
        <w:tc>
          <w:tcPr>
            <w:tcW w:w="1160" w:type="dxa"/>
            <w:vAlign w:val="bottom"/>
            <w:tcBorders>
              <w:bottom w:val="single" w:sz="8" w:color="auto"/>
              <w:right w:val="single" w:sz="8" w:color="auto"/>
            </w:tcBorders>
            <w:shd w:val="clear" w:color="auto" w:fill="33CCCC"/>
          </w:tcPr>
          <w:p>
            <w:pPr>
              <w:spacing w:after="0"/>
              <w:rPr>
                <w:sz w:val="17"/>
                <w:szCs w:val="17"/>
                <w:color w:val="auto"/>
              </w:rPr>
            </w:pPr>
          </w:p>
        </w:tc>
        <w:tc>
          <w:tcPr>
            <w:tcW w:w="1100" w:type="dxa"/>
            <w:vAlign w:val="bottom"/>
            <w:tcBorders>
              <w:bottom w:val="single" w:sz="8" w:color="auto"/>
            </w:tcBorders>
            <w:shd w:val="clear" w:color="auto" w:fill="33CCCC"/>
          </w:tcPr>
          <w:p>
            <w:pPr>
              <w:ind w:left="500"/>
              <w:spacing w:after="0" w:line="193" w:lineRule="exact"/>
              <w:rPr>
                <w:sz w:val="20"/>
                <w:szCs w:val="20"/>
                <w:color w:val="auto"/>
              </w:rPr>
            </w:pPr>
            <w:r>
              <w:rPr>
                <w:rFonts w:ascii="Calibri" w:cs="Calibri" w:eastAsia="Calibri" w:hAnsi="Calibri"/>
                <w:sz w:val="16"/>
                <w:szCs w:val="16"/>
                <w:b w:val="1"/>
                <w:bCs w:val="1"/>
                <w:color w:val="FFFFFF"/>
              </w:rPr>
              <w:t>Sep 23</w:t>
            </w:r>
          </w:p>
        </w:tc>
        <w:tc>
          <w:tcPr>
            <w:tcW w:w="580" w:type="dxa"/>
            <w:vAlign w:val="bottom"/>
            <w:tcBorders>
              <w:bottom w:val="single" w:sz="8" w:color="auto"/>
            </w:tcBorders>
            <w:shd w:val="clear" w:color="auto" w:fill="33CCCC"/>
          </w:tcPr>
          <w:p>
            <w:pPr>
              <w:spacing w:after="0"/>
              <w:rPr>
                <w:sz w:val="17"/>
                <w:szCs w:val="17"/>
                <w:color w:val="auto"/>
              </w:rPr>
            </w:pPr>
          </w:p>
        </w:tc>
        <w:tc>
          <w:tcPr>
            <w:tcW w:w="160" w:type="dxa"/>
            <w:vAlign w:val="bottom"/>
            <w:tcBorders>
              <w:bottom w:val="single" w:sz="8" w:color="auto"/>
              <w:right w:val="single" w:sz="8" w:color="33CCCC"/>
            </w:tcBorders>
            <w:shd w:val="clear" w:color="auto" w:fill="33CCCC"/>
          </w:tcPr>
          <w:p>
            <w:pPr>
              <w:spacing w:after="0"/>
              <w:rPr>
                <w:sz w:val="17"/>
                <w:szCs w:val="17"/>
                <w:color w:val="auto"/>
              </w:rPr>
            </w:pPr>
          </w:p>
        </w:tc>
        <w:tc>
          <w:tcPr>
            <w:tcW w:w="1260" w:type="dxa"/>
            <w:vAlign w:val="bottom"/>
            <w:tcBorders>
              <w:bottom w:val="single" w:sz="8" w:color="auto"/>
            </w:tcBorders>
            <w:shd w:val="clear" w:color="auto" w:fill="33CCCC"/>
          </w:tcPr>
          <w:p>
            <w:pPr>
              <w:ind w:left="120"/>
              <w:spacing w:after="0" w:line="193" w:lineRule="exact"/>
              <w:rPr>
                <w:sz w:val="20"/>
                <w:szCs w:val="20"/>
                <w:color w:val="auto"/>
              </w:rPr>
            </w:pPr>
            <w:r>
              <w:rPr>
                <w:rFonts w:ascii="Calibri" w:cs="Calibri" w:eastAsia="Calibri" w:hAnsi="Calibri"/>
                <w:sz w:val="16"/>
                <w:szCs w:val="16"/>
                <w:b w:val="1"/>
                <w:bCs w:val="1"/>
                <w:color w:val="FFFFFF"/>
              </w:rPr>
              <w:t>Jun 24</w:t>
            </w:r>
          </w:p>
        </w:tc>
        <w:tc>
          <w:tcPr>
            <w:tcW w:w="960" w:type="dxa"/>
            <w:vAlign w:val="bottom"/>
            <w:tcBorders>
              <w:bottom w:val="single" w:sz="8" w:color="auto"/>
            </w:tcBorders>
            <w:gridSpan w:val="2"/>
            <w:shd w:val="clear" w:color="auto" w:fill="33CCCC"/>
          </w:tcPr>
          <w:p>
            <w:pPr>
              <w:ind w:left="260"/>
              <w:spacing w:after="0" w:line="193" w:lineRule="exact"/>
              <w:rPr>
                <w:sz w:val="20"/>
                <w:szCs w:val="20"/>
                <w:color w:val="auto"/>
              </w:rPr>
            </w:pPr>
            <w:r>
              <w:rPr>
                <w:rFonts w:ascii="Calibri" w:cs="Calibri" w:eastAsia="Calibri" w:hAnsi="Calibri"/>
                <w:sz w:val="16"/>
                <w:szCs w:val="16"/>
                <w:b w:val="1"/>
                <w:bCs w:val="1"/>
                <w:color w:val="FFFFFF"/>
              </w:rPr>
              <w:t>Sep 24</w:t>
            </w:r>
          </w:p>
        </w:tc>
        <w:tc>
          <w:tcPr>
            <w:tcW w:w="220" w:type="dxa"/>
            <w:vAlign w:val="bottom"/>
            <w:tcBorders>
              <w:bottom w:val="single" w:sz="8" w:color="auto"/>
              <w:right w:val="single" w:sz="8" w:color="auto"/>
            </w:tcBorders>
            <w:shd w:val="clear" w:color="auto" w:fill="33CCCC"/>
          </w:tcPr>
          <w:p>
            <w:pPr>
              <w:spacing w:after="0"/>
              <w:rPr>
                <w:sz w:val="17"/>
                <w:szCs w:val="17"/>
                <w:color w:val="auto"/>
              </w:rPr>
            </w:pPr>
          </w:p>
        </w:tc>
        <w:tc>
          <w:tcPr>
            <w:tcW w:w="400" w:type="dxa"/>
            <w:vAlign w:val="bottom"/>
            <w:tcBorders>
              <w:bottom w:val="single" w:sz="8" w:color="auto"/>
            </w:tcBorders>
            <w:shd w:val="clear" w:color="auto" w:fill="33CCCC"/>
          </w:tcPr>
          <w:p>
            <w:pPr>
              <w:spacing w:after="0"/>
              <w:rPr>
                <w:sz w:val="17"/>
                <w:szCs w:val="17"/>
                <w:color w:val="auto"/>
              </w:rPr>
            </w:pPr>
          </w:p>
        </w:tc>
        <w:tc>
          <w:tcPr>
            <w:tcW w:w="1400" w:type="dxa"/>
            <w:vAlign w:val="bottom"/>
            <w:tcBorders>
              <w:bottom w:val="single" w:sz="8" w:color="auto"/>
            </w:tcBorders>
            <w:gridSpan w:val="2"/>
            <w:shd w:val="clear" w:color="auto" w:fill="33CCCC"/>
          </w:tcPr>
          <w:p>
            <w:pPr>
              <w:ind w:left="120"/>
              <w:spacing w:after="0" w:line="193" w:lineRule="exact"/>
              <w:rPr>
                <w:sz w:val="20"/>
                <w:szCs w:val="20"/>
                <w:color w:val="auto"/>
              </w:rPr>
            </w:pPr>
            <w:r>
              <w:rPr>
                <w:rFonts w:ascii="Calibri" w:cs="Calibri" w:eastAsia="Calibri" w:hAnsi="Calibri"/>
                <w:sz w:val="16"/>
                <w:szCs w:val="16"/>
                <w:b w:val="1"/>
                <w:bCs w:val="1"/>
                <w:color w:val="FFFFFF"/>
              </w:rPr>
              <w:t>QoQ</w:t>
            </w:r>
          </w:p>
        </w:tc>
        <w:tc>
          <w:tcPr>
            <w:tcW w:w="1020" w:type="dxa"/>
            <w:vAlign w:val="bottom"/>
            <w:tcBorders>
              <w:bottom w:val="single" w:sz="8" w:color="auto"/>
              <w:right w:val="single" w:sz="8" w:color="auto"/>
            </w:tcBorders>
            <w:shd w:val="clear" w:color="auto" w:fill="33CCCC"/>
          </w:tcPr>
          <w:p>
            <w:pPr>
              <w:ind w:left="160"/>
              <w:spacing w:after="0" w:line="193" w:lineRule="exact"/>
              <w:rPr>
                <w:sz w:val="20"/>
                <w:szCs w:val="20"/>
                <w:color w:val="auto"/>
              </w:rPr>
            </w:pPr>
            <w:r>
              <w:rPr>
                <w:rFonts w:ascii="Calibri" w:cs="Calibri" w:eastAsia="Calibri" w:hAnsi="Calibri"/>
                <w:sz w:val="16"/>
                <w:szCs w:val="16"/>
                <w:b w:val="1"/>
                <w:bCs w:val="1"/>
                <w:color w:val="FFFFFF"/>
              </w:rPr>
              <w:t>YoY</w:t>
            </w:r>
          </w:p>
        </w:tc>
      </w:tr>
      <w:tr>
        <w:trPr>
          <w:trHeight w:val="184"/>
        </w:trPr>
        <w:tc>
          <w:tcPr>
            <w:tcW w:w="920" w:type="dxa"/>
            <w:vAlign w:val="bottom"/>
            <w:tcBorders>
              <w:left w:val="single" w:sz="8" w:color="auto"/>
            </w:tcBorders>
          </w:tcPr>
          <w:p>
            <w:pPr>
              <w:ind w:left="20"/>
              <w:spacing w:after="0" w:line="184" w:lineRule="exact"/>
              <w:rPr>
                <w:sz w:val="20"/>
                <w:szCs w:val="20"/>
                <w:color w:val="auto"/>
              </w:rPr>
            </w:pPr>
            <w:r>
              <w:rPr>
                <w:rFonts w:ascii="Calibri" w:cs="Calibri" w:eastAsia="Calibri" w:hAnsi="Calibri"/>
                <w:sz w:val="16"/>
                <w:szCs w:val="16"/>
                <w:color w:val="auto"/>
              </w:rPr>
              <w:t>Total Assets</w:t>
            </w:r>
          </w:p>
        </w:tc>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00" w:type="dxa"/>
            <w:vAlign w:val="bottom"/>
          </w:tcPr>
          <w:p>
            <w:pPr>
              <w:jc w:val="center"/>
              <w:ind w:left="294"/>
              <w:spacing w:after="0" w:line="184" w:lineRule="exact"/>
              <w:rPr>
                <w:sz w:val="20"/>
                <w:szCs w:val="20"/>
                <w:color w:val="auto"/>
              </w:rPr>
            </w:pPr>
            <w:r>
              <w:rPr>
                <w:rFonts w:ascii="Calibri" w:cs="Calibri" w:eastAsia="Calibri" w:hAnsi="Calibri"/>
                <w:sz w:val="16"/>
                <w:szCs w:val="16"/>
                <w:color w:val="auto"/>
              </w:rPr>
              <w:t>15,796,121</w:t>
            </w:r>
          </w:p>
        </w:tc>
        <w:tc>
          <w:tcPr>
            <w:tcW w:w="580" w:type="dxa"/>
            <w:vAlign w:val="bottom"/>
          </w:tcPr>
          <w:p>
            <w:pPr>
              <w:spacing w:after="0"/>
              <w:rPr>
                <w:sz w:val="16"/>
                <w:szCs w:val="16"/>
                <w:color w:val="auto"/>
              </w:rPr>
            </w:pPr>
          </w:p>
        </w:tc>
        <w:tc>
          <w:tcPr>
            <w:tcW w:w="1420" w:type="dxa"/>
            <w:vAlign w:val="bottom"/>
            <w:gridSpan w:val="2"/>
          </w:tcPr>
          <w:p>
            <w:pPr>
              <w:jc w:val="center"/>
              <w:ind w:right="379"/>
              <w:spacing w:after="0" w:line="184" w:lineRule="exact"/>
              <w:rPr>
                <w:sz w:val="20"/>
                <w:szCs w:val="20"/>
                <w:color w:val="auto"/>
              </w:rPr>
            </w:pPr>
            <w:r>
              <w:rPr>
                <w:rFonts w:ascii="Calibri" w:cs="Calibri" w:eastAsia="Calibri" w:hAnsi="Calibri"/>
                <w:sz w:val="16"/>
                <w:szCs w:val="16"/>
                <w:color w:val="auto"/>
              </w:rPr>
              <w:t>17,027,499</w:t>
            </w:r>
          </w:p>
        </w:tc>
        <w:tc>
          <w:tcPr>
            <w:tcW w:w="960" w:type="dxa"/>
            <w:vAlign w:val="bottom"/>
            <w:gridSpan w:val="2"/>
          </w:tcPr>
          <w:p>
            <w:pPr>
              <w:jc w:val="center"/>
              <w:spacing w:after="0" w:line="184" w:lineRule="exact"/>
              <w:rPr>
                <w:sz w:val="20"/>
                <w:szCs w:val="20"/>
                <w:color w:val="auto"/>
              </w:rPr>
            </w:pPr>
            <w:r>
              <w:rPr>
                <w:rFonts w:ascii="Calibri" w:cs="Calibri" w:eastAsia="Calibri" w:hAnsi="Calibri"/>
                <w:sz w:val="16"/>
                <w:szCs w:val="16"/>
                <w:color w:val="auto"/>
              </w:rPr>
              <w:t>17,683,826</w:t>
            </w:r>
          </w:p>
        </w:tc>
        <w:tc>
          <w:tcPr>
            <w:tcW w:w="2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ind w:left="120"/>
              <w:spacing w:after="0" w:line="184" w:lineRule="exact"/>
              <w:rPr>
                <w:sz w:val="20"/>
                <w:szCs w:val="20"/>
                <w:color w:val="auto"/>
              </w:rPr>
            </w:pPr>
            <w:r>
              <w:rPr>
                <w:rFonts w:ascii="Calibri" w:cs="Calibri" w:eastAsia="Calibri" w:hAnsi="Calibri"/>
                <w:sz w:val="16"/>
                <w:szCs w:val="16"/>
                <w:color w:val="auto"/>
              </w:rPr>
              <w:t>3.9%</w:t>
            </w:r>
          </w:p>
        </w:tc>
        <w:tc>
          <w:tcPr>
            <w:tcW w:w="140" w:type="dxa"/>
            <w:vAlign w:val="bottom"/>
          </w:tcPr>
          <w:p>
            <w:pPr>
              <w:spacing w:after="0"/>
              <w:rPr>
                <w:sz w:val="16"/>
                <w:szCs w:val="16"/>
                <w:color w:val="auto"/>
              </w:rPr>
            </w:pPr>
          </w:p>
        </w:tc>
        <w:tc>
          <w:tcPr>
            <w:tcW w:w="1020" w:type="dxa"/>
            <w:vAlign w:val="bottom"/>
            <w:tcBorders>
              <w:right w:val="single" w:sz="8" w:color="auto"/>
            </w:tcBorders>
          </w:tcPr>
          <w:p>
            <w:pPr>
              <w:jc w:val="center"/>
              <w:ind w:right="397"/>
              <w:spacing w:after="0" w:line="184" w:lineRule="exact"/>
              <w:rPr>
                <w:sz w:val="20"/>
                <w:szCs w:val="20"/>
                <w:color w:val="auto"/>
              </w:rPr>
            </w:pPr>
            <w:r>
              <w:rPr>
                <w:rFonts w:ascii="Calibri" w:cs="Calibri" w:eastAsia="Calibri" w:hAnsi="Calibri"/>
                <w:sz w:val="16"/>
                <w:szCs w:val="16"/>
                <w:color w:val="auto"/>
              </w:rPr>
              <w:t>12.0%</w:t>
            </w:r>
          </w:p>
        </w:tc>
      </w:tr>
      <w:tr>
        <w:trPr>
          <w:trHeight w:val="193"/>
        </w:trPr>
        <w:tc>
          <w:tcPr>
            <w:tcW w:w="2340" w:type="dxa"/>
            <w:vAlign w:val="bottom"/>
            <w:tcBorders>
              <w:left w:val="single" w:sz="8" w:color="auto"/>
            </w:tcBorders>
            <w:gridSpan w:val="2"/>
          </w:tcPr>
          <w:p>
            <w:pPr>
              <w:ind w:left="20"/>
              <w:spacing w:after="0" w:line="193" w:lineRule="exact"/>
              <w:rPr>
                <w:sz w:val="20"/>
                <w:szCs w:val="20"/>
                <w:color w:val="auto"/>
              </w:rPr>
            </w:pPr>
            <w:r>
              <w:rPr>
                <w:rFonts w:ascii="Calibri" w:cs="Calibri" w:eastAsia="Calibri" w:hAnsi="Calibri"/>
                <w:sz w:val="16"/>
                <w:szCs w:val="16"/>
                <w:color w:val="auto"/>
              </w:rPr>
              <w:t>Investment on Securites (1)</w:t>
            </w:r>
          </w:p>
        </w:tc>
        <w:tc>
          <w:tcPr>
            <w:tcW w:w="6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00" w:type="dxa"/>
            <w:vAlign w:val="bottom"/>
          </w:tcPr>
          <w:p>
            <w:pPr>
              <w:jc w:val="center"/>
              <w:ind w:left="294"/>
              <w:spacing w:after="0" w:line="193" w:lineRule="exact"/>
              <w:rPr>
                <w:sz w:val="20"/>
                <w:szCs w:val="20"/>
                <w:color w:val="auto"/>
              </w:rPr>
            </w:pPr>
            <w:r>
              <w:rPr>
                <w:rFonts w:ascii="Calibri" w:cs="Calibri" w:eastAsia="Calibri" w:hAnsi="Calibri"/>
                <w:sz w:val="16"/>
                <w:szCs w:val="16"/>
                <w:color w:val="auto"/>
              </w:rPr>
              <w:t>11,974,672</w:t>
            </w:r>
          </w:p>
        </w:tc>
        <w:tc>
          <w:tcPr>
            <w:tcW w:w="580" w:type="dxa"/>
            <w:vAlign w:val="bottom"/>
          </w:tcPr>
          <w:p>
            <w:pPr>
              <w:spacing w:after="0"/>
              <w:rPr>
                <w:sz w:val="16"/>
                <w:szCs w:val="16"/>
                <w:color w:val="auto"/>
              </w:rPr>
            </w:pPr>
          </w:p>
        </w:tc>
        <w:tc>
          <w:tcPr>
            <w:tcW w:w="1420" w:type="dxa"/>
            <w:vAlign w:val="bottom"/>
            <w:gridSpan w:val="2"/>
          </w:tcPr>
          <w:p>
            <w:pPr>
              <w:jc w:val="center"/>
              <w:ind w:right="379"/>
              <w:spacing w:after="0" w:line="193" w:lineRule="exact"/>
              <w:rPr>
                <w:sz w:val="20"/>
                <w:szCs w:val="20"/>
                <w:color w:val="auto"/>
              </w:rPr>
            </w:pPr>
            <w:r>
              <w:rPr>
                <w:rFonts w:ascii="Calibri" w:cs="Calibri" w:eastAsia="Calibri" w:hAnsi="Calibri"/>
                <w:sz w:val="16"/>
                <w:szCs w:val="16"/>
                <w:color w:val="auto"/>
              </w:rPr>
              <w:t>12,823,140</w:t>
            </w:r>
          </w:p>
        </w:tc>
        <w:tc>
          <w:tcPr>
            <w:tcW w:w="960" w:type="dxa"/>
            <w:vAlign w:val="bottom"/>
            <w:gridSpan w:val="2"/>
          </w:tcPr>
          <w:p>
            <w:pPr>
              <w:jc w:val="center"/>
              <w:spacing w:after="0" w:line="193" w:lineRule="exact"/>
              <w:rPr>
                <w:sz w:val="20"/>
                <w:szCs w:val="20"/>
                <w:color w:val="auto"/>
              </w:rPr>
            </w:pPr>
            <w:r>
              <w:rPr>
                <w:rFonts w:ascii="Calibri" w:cs="Calibri" w:eastAsia="Calibri" w:hAnsi="Calibri"/>
                <w:sz w:val="16"/>
                <w:szCs w:val="16"/>
                <w:color w:val="auto"/>
              </w:rPr>
              <w:t>13,550,847</w:t>
            </w:r>
          </w:p>
        </w:tc>
        <w:tc>
          <w:tcPr>
            <w:tcW w:w="2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ind w:left="120"/>
              <w:spacing w:after="0" w:line="193" w:lineRule="exact"/>
              <w:rPr>
                <w:sz w:val="20"/>
                <w:szCs w:val="20"/>
                <w:color w:val="auto"/>
              </w:rPr>
            </w:pPr>
            <w:r>
              <w:rPr>
                <w:rFonts w:ascii="Calibri" w:cs="Calibri" w:eastAsia="Calibri" w:hAnsi="Calibri"/>
                <w:sz w:val="16"/>
                <w:szCs w:val="16"/>
                <w:color w:val="auto"/>
              </w:rPr>
              <w:t>5.7%</w:t>
            </w:r>
          </w:p>
        </w:tc>
        <w:tc>
          <w:tcPr>
            <w:tcW w:w="140" w:type="dxa"/>
            <w:vAlign w:val="bottom"/>
          </w:tcPr>
          <w:p>
            <w:pPr>
              <w:spacing w:after="0"/>
              <w:rPr>
                <w:sz w:val="16"/>
                <w:szCs w:val="16"/>
                <w:color w:val="auto"/>
              </w:rPr>
            </w:pPr>
          </w:p>
        </w:tc>
        <w:tc>
          <w:tcPr>
            <w:tcW w:w="1020" w:type="dxa"/>
            <w:vAlign w:val="bottom"/>
            <w:tcBorders>
              <w:right w:val="single" w:sz="8" w:color="auto"/>
            </w:tcBorders>
          </w:tcPr>
          <w:p>
            <w:pPr>
              <w:jc w:val="center"/>
              <w:ind w:right="397"/>
              <w:spacing w:after="0" w:line="193" w:lineRule="exact"/>
              <w:rPr>
                <w:sz w:val="20"/>
                <w:szCs w:val="20"/>
                <w:color w:val="auto"/>
              </w:rPr>
            </w:pPr>
            <w:r>
              <w:rPr>
                <w:rFonts w:ascii="Calibri" w:cs="Calibri" w:eastAsia="Calibri" w:hAnsi="Calibri"/>
                <w:sz w:val="16"/>
                <w:szCs w:val="16"/>
                <w:color w:val="auto"/>
              </w:rPr>
              <w:t>13.2%</w:t>
            </w:r>
          </w:p>
        </w:tc>
      </w:tr>
      <w:tr>
        <w:trPr>
          <w:trHeight w:val="203"/>
        </w:trPr>
        <w:tc>
          <w:tcPr>
            <w:tcW w:w="2340" w:type="dxa"/>
            <w:vAlign w:val="bottom"/>
            <w:tcBorders>
              <w:left w:val="single" w:sz="8" w:color="auto"/>
            </w:tcBorders>
            <w:gridSpan w:val="2"/>
          </w:tcPr>
          <w:p>
            <w:pPr>
              <w:ind w:left="20"/>
              <w:spacing w:after="0"/>
              <w:rPr>
                <w:sz w:val="20"/>
                <w:szCs w:val="20"/>
                <w:color w:val="auto"/>
              </w:rPr>
            </w:pPr>
            <w:r>
              <w:rPr>
                <w:rFonts w:ascii="Calibri" w:cs="Calibri" w:eastAsia="Calibri" w:hAnsi="Calibri"/>
                <w:sz w:val="16"/>
                <w:szCs w:val="16"/>
                <w:color w:val="auto"/>
              </w:rPr>
              <w:t>Total Liabilites</w:t>
            </w:r>
          </w:p>
        </w:tc>
        <w:tc>
          <w:tcPr>
            <w:tcW w:w="6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00" w:type="dxa"/>
            <w:vAlign w:val="bottom"/>
          </w:tcPr>
          <w:p>
            <w:pPr>
              <w:jc w:val="center"/>
              <w:ind w:left="294"/>
              <w:spacing w:after="0"/>
              <w:rPr>
                <w:sz w:val="20"/>
                <w:szCs w:val="20"/>
                <w:color w:val="auto"/>
              </w:rPr>
            </w:pPr>
            <w:r>
              <w:rPr>
                <w:rFonts w:ascii="Calibri" w:cs="Calibri" w:eastAsia="Calibri" w:hAnsi="Calibri"/>
                <w:sz w:val="16"/>
                <w:szCs w:val="16"/>
                <w:color w:val="auto"/>
              </w:rPr>
              <w:t>12,822,135</w:t>
            </w:r>
          </w:p>
        </w:tc>
        <w:tc>
          <w:tcPr>
            <w:tcW w:w="580" w:type="dxa"/>
            <w:vAlign w:val="bottom"/>
          </w:tcPr>
          <w:p>
            <w:pPr>
              <w:spacing w:after="0"/>
              <w:rPr>
                <w:sz w:val="17"/>
                <w:szCs w:val="17"/>
                <w:color w:val="auto"/>
              </w:rPr>
            </w:pPr>
          </w:p>
        </w:tc>
        <w:tc>
          <w:tcPr>
            <w:tcW w:w="1420" w:type="dxa"/>
            <w:vAlign w:val="bottom"/>
            <w:gridSpan w:val="2"/>
          </w:tcPr>
          <w:p>
            <w:pPr>
              <w:jc w:val="center"/>
              <w:ind w:right="379"/>
              <w:spacing w:after="0"/>
              <w:rPr>
                <w:sz w:val="20"/>
                <w:szCs w:val="20"/>
                <w:color w:val="auto"/>
              </w:rPr>
            </w:pPr>
            <w:r>
              <w:rPr>
                <w:rFonts w:ascii="Calibri" w:cs="Calibri" w:eastAsia="Calibri" w:hAnsi="Calibri"/>
                <w:sz w:val="16"/>
                <w:szCs w:val="16"/>
                <w:color w:val="auto"/>
              </w:rPr>
              <w:t>14,044,909</w:t>
            </w:r>
          </w:p>
        </w:tc>
        <w:tc>
          <w:tcPr>
            <w:tcW w:w="960" w:type="dxa"/>
            <w:vAlign w:val="bottom"/>
            <w:gridSpan w:val="2"/>
          </w:tcPr>
          <w:p>
            <w:pPr>
              <w:jc w:val="center"/>
              <w:spacing w:after="0"/>
              <w:rPr>
                <w:sz w:val="20"/>
                <w:szCs w:val="20"/>
                <w:color w:val="auto"/>
              </w:rPr>
            </w:pPr>
            <w:r>
              <w:rPr>
                <w:rFonts w:ascii="Calibri" w:cs="Calibri" w:eastAsia="Calibri" w:hAnsi="Calibri"/>
                <w:sz w:val="16"/>
                <w:szCs w:val="16"/>
                <w:color w:val="auto"/>
              </w:rPr>
              <w:t>14,442,027</w:t>
            </w: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ind w:left="120"/>
              <w:spacing w:after="0"/>
              <w:rPr>
                <w:sz w:val="20"/>
                <w:szCs w:val="20"/>
                <w:color w:val="auto"/>
              </w:rPr>
            </w:pPr>
            <w:r>
              <w:rPr>
                <w:rFonts w:ascii="Calibri" w:cs="Calibri" w:eastAsia="Calibri" w:hAnsi="Calibri"/>
                <w:sz w:val="16"/>
                <w:szCs w:val="16"/>
                <w:color w:val="auto"/>
              </w:rPr>
              <w:t>2.8%</w:t>
            </w:r>
          </w:p>
        </w:tc>
        <w:tc>
          <w:tcPr>
            <w:tcW w:w="140" w:type="dxa"/>
            <w:vAlign w:val="bottom"/>
          </w:tcPr>
          <w:p>
            <w:pPr>
              <w:spacing w:after="0"/>
              <w:rPr>
                <w:sz w:val="17"/>
                <w:szCs w:val="17"/>
                <w:color w:val="auto"/>
              </w:rPr>
            </w:pPr>
          </w:p>
        </w:tc>
        <w:tc>
          <w:tcPr>
            <w:tcW w:w="1020" w:type="dxa"/>
            <w:vAlign w:val="bottom"/>
            <w:tcBorders>
              <w:right w:val="single" w:sz="8" w:color="auto"/>
            </w:tcBorders>
          </w:tcPr>
          <w:p>
            <w:pPr>
              <w:jc w:val="center"/>
              <w:ind w:right="397"/>
              <w:spacing w:after="0"/>
              <w:rPr>
                <w:sz w:val="20"/>
                <w:szCs w:val="20"/>
                <w:color w:val="auto"/>
              </w:rPr>
            </w:pPr>
            <w:r>
              <w:rPr>
                <w:rFonts w:ascii="Calibri" w:cs="Calibri" w:eastAsia="Calibri" w:hAnsi="Calibri"/>
                <w:sz w:val="16"/>
                <w:szCs w:val="16"/>
                <w:color w:val="auto"/>
              </w:rPr>
              <w:t>12.6%</w:t>
            </w:r>
          </w:p>
        </w:tc>
      </w:tr>
      <w:tr>
        <w:trPr>
          <w:trHeight w:val="203"/>
        </w:trPr>
        <w:tc>
          <w:tcPr>
            <w:tcW w:w="92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Net Equity</w:t>
            </w: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00" w:type="dxa"/>
            <w:vAlign w:val="bottom"/>
          </w:tcPr>
          <w:p>
            <w:pPr>
              <w:jc w:val="center"/>
              <w:ind w:left="274"/>
              <w:spacing w:after="0"/>
              <w:rPr>
                <w:sz w:val="20"/>
                <w:szCs w:val="20"/>
                <w:color w:val="auto"/>
              </w:rPr>
            </w:pPr>
            <w:r>
              <w:rPr>
                <w:rFonts w:ascii="Calibri" w:cs="Calibri" w:eastAsia="Calibri" w:hAnsi="Calibri"/>
                <w:sz w:val="16"/>
                <w:szCs w:val="16"/>
                <w:color w:val="auto"/>
                <w:w w:val="98"/>
              </w:rPr>
              <w:t>2,956,944</w:t>
            </w:r>
          </w:p>
        </w:tc>
        <w:tc>
          <w:tcPr>
            <w:tcW w:w="580" w:type="dxa"/>
            <w:vAlign w:val="bottom"/>
          </w:tcPr>
          <w:p>
            <w:pPr>
              <w:spacing w:after="0"/>
              <w:rPr>
                <w:sz w:val="17"/>
                <w:szCs w:val="17"/>
                <w:color w:val="auto"/>
              </w:rPr>
            </w:pPr>
          </w:p>
        </w:tc>
        <w:tc>
          <w:tcPr>
            <w:tcW w:w="1420" w:type="dxa"/>
            <w:vAlign w:val="bottom"/>
            <w:gridSpan w:val="2"/>
          </w:tcPr>
          <w:p>
            <w:pPr>
              <w:jc w:val="center"/>
              <w:ind w:right="379"/>
              <w:spacing w:after="0"/>
              <w:rPr>
                <w:sz w:val="20"/>
                <w:szCs w:val="20"/>
                <w:color w:val="auto"/>
              </w:rPr>
            </w:pPr>
            <w:r>
              <w:rPr>
                <w:rFonts w:ascii="Calibri" w:cs="Calibri" w:eastAsia="Calibri" w:hAnsi="Calibri"/>
                <w:sz w:val="16"/>
                <w:szCs w:val="16"/>
                <w:color w:val="auto"/>
              </w:rPr>
              <w:t>2,967,599</w:t>
            </w:r>
          </w:p>
        </w:tc>
        <w:tc>
          <w:tcPr>
            <w:tcW w:w="960" w:type="dxa"/>
            <w:vAlign w:val="bottom"/>
            <w:gridSpan w:val="2"/>
          </w:tcPr>
          <w:p>
            <w:pPr>
              <w:jc w:val="center"/>
              <w:spacing w:after="0"/>
              <w:rPr>
                <w:sz w:val="20"/>
                <w:szCs w:val="20"/>
                <w:color w:val="auto"/>
              </w:rPr>
            </w:pPr>
            <w:r>
              <w:rPr>
                <w:rFonts w:ascii="Calibri" w:cs="Calibri" w:eastAsia="Calibri" w:hAnsi="Calibri"/>
                <w:sz w:val="16"/>
                <w:szCs w:val="16"/>
                <w:color w:val="auto"/>
              </w:rPr>
              <w:t>3,226,717</w:t>
            </w: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ind w:left="120"/>
              <w:spacing w:after="0"/>
              <w:rPr>
                <w:sz w:val="20"/>
                <w:szCs w:val="20"/>
                <w:color w:val="auto"/>
              </w:rPr>
            </w:pPr>
            <w:r>
              <w:rPr>
                <w:rFonts w:ascii="Calibri" w:cs="Calibri" w:eastAsia="Calibri" w:hAnsi="Calibri"/>
                <w:sz w:val="16"/>
                <w:szCs w:val="16"/>
                <w:color w:val="auto"/>
              </w:rPr>
              <w:t>8.7%</w:t>
            </w:r>
          </w:p>
        </w:tc>
        <w:tc>
          <w:tcPr>
            <w:tcW w:w="140" w:type="dxa"/>
            <w:vAlign w:val="bottom"/>
          </w:tcPr>
          <w:p>
            <w:pPr>
              <w:spacing w:after="0"/>
              <w:rPr>
                <w:sz w:val="17"/>
                <w:szCs w:val="17"/>
                <w:color w:val="auto"/>
              </w:rPr>
            </w:pPr>
          </w:p>
        </w:tc>
        <w:tc>
          <w:tcPr>
            <w:tcW w:w="1020" w:type="dxa"/>
            <w:vAlign w:val="bottom"/>
            <w:tcBorders>
              <w:right w:val="single" w:sz="8" w:color="auto"/>
            </w:tcBorders>
          </w:tcPr>
          <w:p>
            <w:pPr>
              <w:jc w:val="center"/>
              <w:ind w:right="397"/>
              <w:spacing w:after="0"/>
              <w:rPr>
                <w:sz w:val="20"/>
                <w:szCs w:val="20"/>
                <w:color w:val="auto"/>
              </w:rPr>
            </w:pPr>
            <w:r>
              <w:rPr>
                <w:rFonts w:ascii="Calibri" w:cs="Calibri" w:eastAsia="Calibri" w:hAnsi="Calibri"/>
                <w:sz w:val="16"/>
                <w:szCs w:val="16"/>
                <w:color w:val="auto"/>
              </w:rPr>
              <w:t>9.1%</w:t>
            </w:r>
          </w:p>
        </w:tc>
      </w:tr>
      <w:tr>
        <w:trPr>
          <w:trHeight w:val="28"/>
        </w:trPr>
        <w:tc>
          <w:tcPr>
            <w:tcW w:w="9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373"/>
        </w:trPr>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gridSpan w:val="4"/>
          </w:tcPr>
          <w:p>
            <w:pPr>
              <w:jc w:val="center"/>
              <w:ind w:right="79"/>
              <w:spacing w:after="0"/>
              <w:rPr>
                <w:sz w:val="20"/>
                <w:szCs w:val="20"/>
                <w:color w:val="auto"/>
              </w:rPr>
            </w:pPr>
            <w:r>
              <w:rPr>
                <w:rFonts w:ascii="Calibri" w:cs="Calibri" w:eastAsia="Calibri" w:hAnsi="Calibri"/>
                <w:sz w:val="17"/>
                <w:szCs w:val="17"/>
                <w:b w:val="1"/>
                <w:bCs w:val="1"/>
                <w:color w:val="auto"/>
              </w:rPr>
              <w:t>Statement of Income</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4"/>
          </w:tcPr>
          <w:p>
            <w:pPr>
              <w:jc w:val="center"/>
              <w:ind w:right="79"/>
              <w:spacing w:after="0"/>
              <w:rPr>
                <w:sz w:val="20"/>
                <w:szCs w:val="20"/>
                <w:color w:val="auto"/>
              </w:rPr>
            </w:pPr>
            <w:r>
              <w:rPr>
                <w:rFonts w:ascii="Calibri" w:cs="Calibri" w:eastAsia="Calibri" w:hAnsi="Calibri"/>
                <w:sz w:val="16"/>
                <w:szCs w:val="16"/>
                <w:b w:val="1"/>
                <w:bCs w:val="1"/>
                <w:color w:val="auto"/>
              </w:rPr>
              <w:t>(S/ Thousands, IFRS)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113"/>
        </w:trPr>
        <w:tc>
          <w:tcPr>
            <w:tcW w:w="920" w:type="dxa"/>
            <w:vAlign w:val="bottom"/>
            <w:tcBorders>
              <w:lef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160" w:type="dxa"/>
            <w:vAlign w:val="bottom"/>
            <w:tcBorders>
              <w:right w:val="single" w:sz="8" w:color="33CCCC"/>
            </w:tcBorders>
            <w:shd w:val="clear" w:color="auto" w:fill="33CCCC"/>
          </w:tcPr>
          <w:p>
            <w:pPr>
              <w:spacing w:after="0"/>
              <w:rPr>
                <w:sz w:val="9"/>
                <w:szCs w:val="9"/>
                <w:color w:val="auto"/>
              </w:rPr>
            </w:pPr>
          </w:p>
        </w:tc>
        <w:tc>
          <w:tcPr>
            <w:tcW w:w="1100" w:type="dxa"/>
            <w:vAlign w:val="bottom"/>
            <w:shd w:val="clear" w:color="auto" w:fill="33CCCC"/>
          </w:tcPr>
          <w:p>
            <w:pPr>
              <w:ind w:left="120"/>
              <w:spacing w:after="0" w:line="113" w:lineRule="exact"/>
              <w:rPr>
                <w:sz w:val="20"/>
                <w:szCs w:val="20"/>
                <w:color w:val="auto"/>
              </w:rPr>
            </w:pPr>
            <w:r>
              <w:rPr>
                <w:rFonts w:ascii="Calibri" w:cs="Calibri" w:eastAsia="Calibri" w:hAnsi="Calibri"/>
                <w:sz w:val="12"/>
                <w:szCs w:val="12"/>
                <w:b w:val="1"/>
                <w:bCs w:val="1"/>
                <w:color w:val="FFFFFF"/>
              </w:rPr>
              <w:t>Quarter</w:t>
            </w:r>
          </w:p>
        </w:tc>
        <w:tc>
          <w:tcPr>
            <w:tcW w:w="580" w:type="dxa"/>
            <w:vAlign w:val="bottom"/>
            <w:shd w:val="clear" w:color="auto" w:fill="33CCCC"/>
          </w:tcPr>
          <w:p>
            <w:pPr>
              <w:spacing w:after="0"/>
              <w:rPr>
                <w:sz w:val="9"/>
                <w:szCs w:val="9"/>
                <w:color w:val="auto"/>
              </w:rPr>
            </w:pPr>
          </w:p>
        </w:tc>
        <w:tc>
          <w:tcPr>
            <w:tcW w:w="160" w:type="dxa"/>
            <w:vAlign w:val="bottom"/>
            <w:tcBorders>
              <w:right w:val="single" w:sz="8" w:color="auto"/>
            </w:tcBorders>
            <w:shd w:val="clear" w:color="auto" w:fill="33CCCC"/>
          </w:tcPr>
          <w:p>
            <w:pPr>
              <w:spacing w:after="0"/>
              <w:rPr>
                <w:sz w:val="9"/>
                <w:szCs w:val="9"/>
                <w:color w:val="auto"/>
              </w:rPr>
            </w:pPr>
          </w:p>
        </w:tc>
        <w:tc>
          <w:tcPr>
            <w:tcW w:w="1260" w:type="dxa"/>
            <w:vAlign w:val="bottom"/>
            <w:shd w:val="clear" w:color="auto" w:fill="33CCCC"/>
          </w:tcPr>
          <w:p>
            <w:pPr>
              <w:ind w:left="740"/>
              <w:spacing w:after="0" w:line="113" w:lineRule="exact"/>
              <w:rPr>
                <w:sz w:val="20"/>
                <w:szCs w:val="20"/>
                <w:color w:val="auto"/>
              </w:rPr>
            </w:pPr>
            <w:r>
              <w:rPr>
                <w:rFonts w:ascii="Calibri" w:cs="Calibri" w:eastAsia="Calibri" w:hAnsi="Calibri"/>
                <w:sz w:val="12"/>
                <w:szCs w:val="12"/>
                <w:b w:val="1"/>
                <w:bCs w:val="1"/>
                <w:color w:val="FFFFFF"/>
              </w:rPr>
              <w:t>% Change</w:t>
            </w:r>
          </w:p>
        </w:tc>
        <w:tc>
          <w:tcPr>
            <w:tcW w:w="720" w:type="dxa"/>
            <w:vAlign w:val="bottom"/>
            <w:tcBorders>
              <w:right w:val="single" w:sz="8" w:color="auto"/>
            </w:tcBorders>
            <w:shd w:val="clear" w:color="auto" w:fill="33CCCC"/>
          </w:tcPr>
          <w:p>
            <w:pPr>
              <w:spacing w:after="0"/>
              <w:rPr>
                <w:sz w:val="9"/>
                <w:szCs w:val="9"/>
                <w:color w:val="auto"/>
              </w:rPr>
            </w:pPr>
          </w:p>
        </w:tc>
        <w:tc>
          <w:tcPr>
            <w:tcW w:w="240" w:type="dxa"/>
            <w:vAlign w:val="bottom"/>
            <w:shd w:val="clear" w:color="auto" w:fill="33CCCC"/>
          </w:tcPr>
          <w:p>
            <w:pPr>
              <w:spacing w:after="0"/>
              <w:rPr>
                <w:sz w:val="9"/>
                <w:szCs w:val="9"/>
                <w:color w:val="auto"/>
              </w:rPr>
            </w:pPr>
          </w:p>
        </w:tc>
        <w:tc>
          <w:tcPr>
            <w:tcW w:w="220" w:type="dxa"/>
            <w:vAlign w:val="bottom"/>
            <w:tcBorders>
              <w:right w:val="single" w:sz="8" w:color="33CCCC"/>
            </w:tcBorders>
            <w:shd w:val="clear" w:color="auto" w:fill="33CCCC"/>
          </w:tcPr>
          <w:p>
            <w:pPr>
              <w:spacing w:after="0"/>
              <w:rPr>
                <w:sz w:val="9"/>
                <w:szCs w:val="9"/>
                <w:color w:val="auto"/>
              </w:rPr>
            </w:pPr>
          </w:p>
        </w:tc>
        <w:tc>
          <w:tcPr>
            <w:tcW w:w="400" w:type="dxa"/>
            <w:vAlign w:val="bottom"/>
            <w:shd w:val="clear" w:color="auto" w:fill="33CCCC"/>
          </w:tcPr>
          <w:p>
            <w:pPr>
              <w:spacing w:after="0"/>
              <w:rPr>
                <w:sz w:val="9"/>
                <w:szCs w:val="9"/>
                <w:color w:val="auto"/>
              </w:rPr>
            </w:pPr>
          </w:p>
        </w:tc>
        <w:tc>
          <w:tcPr>
            <w:tcW w:w="1260" w:type="dxa"/>
            <w:vAlign w:val="bottom"/>
            <w:tcBorders>
              <w:right w:val="single" w:sz="8" w:color="auto"/>
            </w:tcBorders>
            <w:shd w:val="clear" w:color="auto" w:fill="33CCCC"/>
          </w:tcPr>
          <w:p>
            <w:pPr>
              <w:ind w:left="80"/>
              <w:spacing w:after="0" w:line="113" w:lineRule="exact"/>
              <w:rPr>
                <w:sz w:val="20"/>
                <w:szCs w:val="20"/>
                <w:color w:val="auto"/>
              </w:rPr>
            </w:pPr>
            <w:r>
              <w:rPr>
                <w:rFonts w:ascii="Calibri" w:cs="Calibri" w:eastAsia="Calibri" w:hAnsi="Calibri"/>
                <w:sz w:val="12"/>
                <w:szCs w:val="12"/>
                <w:b w:val="1"/>
                <w:bCs w:val="1"/>
                <w:color w:val="FFFFFF"/>
              </w:rPr>
              <w:t>Upto</w:t>
            </w:r>
          </w:p>
        </w:tc>
        <w:tc>
          <w:tcPr>
            <w:tcW w:w="140" w:type="dxa"/>
            <w:vAlign w:val="bottom"/>
            <w:shd w:val="clear" w:color="auto" w:fill="33CCCC"/>
          </w:tcPr>
          <w:p>
            <w:pPr>
              <w:spacing w:after="0"/>
              <w:rPr>
                <w:sz w:val="9"/>
                <w:szCs w:val="9"/>
                <w:color w:val="auto"/>
              </w:rPr>
            </w:pPr>
          </w:p>
        </w:tc>
        <w:tc>
          <w:tcPr>
            <w:tcW w:w="1020" w:type="dxa"/>
            <w:vAlign w:val="bottom"/>
            <w:tcBorders>
              <w:right w:val="single" w:sz="8" w:color="auto"/>
            </w:tcBorders>
            <w:shd w:val="clear" w:color="auto" w:fill="33CCCC"/>
          </w:tcPr>
          <w:p>
            <w:pPr>
              <w:jc w:val="center"/>
              <w:ind w:right="97"/>
              <w:spacing w:after="0" w:line="113" w:lineRule="exact"/>
              <w:rPr>
                <w:sz w:val="20"/>
                <w:szCs w:val="20"/>
                <w:color w:val="auto"/>
              </w:rPr>
            </w:pPr>
            <w:r>
              <w:rPr>
                <w:rFonts w:ascii="Calibri" w:cs="Calibri" w:eastAsia="Calibri" w:hAnsi="Calibri"/>
                <w:sz w:val="12"/>
                <w:szCs w:val="12"/>
                <w:b w:val="1"/>
                <w:bCs w:val="1"/>
                <w:color w:val="FFFFFF"/>
                <w:w w:val="97"/>
              </w:rPr>
              <w:t>% change</w:t>
            </w:r>
          </w:p>
        </w:tc>
      </w:tr>
      <w:tr>
        <w:trPr>
          <w:trHeight w:val="144"/>
        </w:trPr>
        <w:tc>
          <w:tcPr>
            <w:tcW w:w="920" w:type="dxa"/>
            <w:vAlign w:val="bottom"/>
            <w:tcBorders>
              <w:left w:val="single" w:sz="8" w:color="auto"/>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33CCCC"/>
            </w:tcBorders>
            <w:shd w:val="clear" w:color="auto" w:fill="33CCCC"/>
          </w:tcPr>
          <w:p>
            <w:pPr>
              <w:jc w:val="center"/>
              <w:ind w:right="162"/>
              <w:spacing w:after="0" w:line="138" w:lineRule="exact"/>
              <w:rPr>
                <w:sz w:val="20"/>
                <w:szCs w:val="20"/>
                <w:color w:val="auto"/>
              </w:rPr>
            </w:pPr>
            <w:r>
              <w:rPr>
                <w:rFonts w:ascii="Calibri" w:cs="Calibri" w:eastAsia="Calibri" w:hAnsi="Calibri"/>
                <w:sz w:val="12"/>
                <w:szCs w:val="12"/>
                <w:b w:val="1"/>
                <w:bCs w:val="1"/>
                <w:color w:val="FFFFFF"/>
                <w:w w:val="97"/>
              </w:rPr>
              <w:t>3Q23</w:t>
            </w:r>
          </w:p>
        </w:tc>
        <w:tc>
          <w:tcPr>
            <w:tcW w:w="1100" w:type="dxa"/>
            <w:vAlign w:val="bottom"/>
            <w:tcBorders>
              <w:bottom w:val="single" w:sz="8" w:color="auto"/>
            </w:tcBorders>
            <w:shd w:val="clear" w:color="auto" w:fill="33CCCC"/>
          </w:tcPr>
          <w:p>
            <w:pPr>
              <w:jc w:val="center"/>
              <w:ind w:right="374"/>
              <w:spacing w:after="0" w:line="138" w:lineRule="exact"/>
              <w:rPr>
                <w:sz w:val="20"/>
                <w:szCs w:val="20"/>
                <w:color w:val="auto"/>
              </w:rPr>
            </w:pPr>
            <w:r>
              <w:rPr>
                <w:rFonts w:ascii="Calibri" w:cs="Calibri" w:eastAsia="Calibri" w:hAnsi="Calibri"/>
                <w:sz w:val="12"/>
                <w:szCs w:val="12"/>
                <w:b w:val="1"/>
                <w:bCs w:val="1"/>
                <w:color w:val="FFFFFF"/>
                <w:w w:val="97"/>
              </w:rPr>
              <w:t>2Q24</w:t>
            </w:r>
          </w:p>
        </w:tc>
        <w:tc>
          <w:tcPr>
            <w:tcW w:w="580" w:type="dxa"/>
            <w:vAlign w:val="bottom"/>
            <w:tcBorders>
              <w:bottom w:val="single" w:sz="8" w:color="auto"/>
            </w:tcBorders>
            <w:shd w:val="clear" w:color="auto" w:fill="33CCCC"/>
          </w:tcPr>
          <w:p>
            <w:pPr>
              <w:jc w:val="center"/>
              <w:ind w:right="62"/>
              <w:spacing w:after="0" w:line="138" w:lineRule="exact"/>
              <w:rPr>
                <w:sz w:val="20"/>
                <w:szCs w:val="20"/>
                <w:color w:val="auto"/>
              </w:rPr>
            </w:pPr>
            <w:r>
              <w:rPr>
                <w:rFonts w:ascii="Calibri" w:cs="Calibri" w:eastAsia="Calibri" w:hAnsi="Calibri"/>
                <w:sz w:val="12"/>
                <w:szCs w:val="12"/>
                <w:b w:val="1"/>
                <w:bCs w:val="1"/>
                <w:color w:val="FFFFFF"/>
                <w:w w:val="97"/>
              </w:rPr>
              <w:t>3Q24</w:t>
            </w:r>
          </w:p>
        </w:tc>
        <w:tc>
          <w:tcPr>
            <w:tcW w:w="160" w:type="dxa"/>
            <w:vAlign w:val="bottom"/>
            <w:tcBorders>
              <w:bottom w:val="single" w:sz="8" w:color="auto"/>
              <w:right w:val="single" w:sz="8" w:color="auto"/>
            </w:tcBorders>
            <w:shd w:val="clear" w:color="auto" w:fill="33CCCC"/>
          </w:tcPr>
          <w:p>
            <w:pPr>
              <w:spacing w:after="0"/>
              <w:rPr>
                <w:sz w:val="12"/>
                <w:szCs w:val="12"/>
                <w:color w:val="auto"/>
              </w:rPr>
            </w:pPr>
          </w:p>
        </w:tc>
        <w:tc>
          <w:tcPr>
            <w:tcW w:w="1260" w:type="dxa"/>
            <w:vAlign w:val="bottom"/>
            <w:tcBorders>
              <w:bottom w:val="single" w:sz="8" w:color="auto"/>
            </w:tcBorders>
            <w:shd w:val="clear" w:color="auto" w:fill="33CCCC"/>
          </w:tcPr>
          <w:p>
            <w:pPr>
              <w:ind w:left="360"/>
              <w:spacing w:after="0" w:line="138" w:lineRule="exact"/>
              <w:rPr>
                <w:sz w:val="20"/>
                <w:szCs w:val="20"/>
                <w:color w:val="auto"/>
              </w:rPr>
            </w:pPr>
            <w:r>
              <w:rPr>
                <w:rFonts w:ascii="Calibri" w:cs="Calibri" w:eastAsia="Calibri" w:hAnsi="Calibri"/>
                <w:sz w:val="12"/>
                <w:szCs w:val="12"/>
                <w:b w:val="1"/>
                <w:bCs w:val="1"/>
                <w:color w:val="FFFFFF"/>
              </w:rPr>
              <w:t>QoQ</w:t>
            </w:r>
          </w:p>
        </w:tc>
        <w:tc>
          <w:tcPr>
            <w:tcW w:w="720" w:type="dxa"/>
            <w:vAlign w:val="bottom"/>
            <w:tcBorders>
              <w:bottom w:val="single" w:sz="8" w:color="auto"/>
              <w:right w:val="single" w:sz="8" w:color="auto"/>
            </w:tcBorders>
            <w:shd w:val="clear" w:color="auto" w:fill="33CCCC"/>
          </w:tcPr>
          <w:p>
            <w:pPr>
              <w:ind w:left="120"/>
              <w:spacing w:after="0" w:line="138" w:lineRule="exact"/>
              <w:rPr>
                <w:sz w:val="20"/>
                <w:szCs w:val="20"/>
                <w:color w:val="auto"/>
              </w:rPr>
            </w:pPr>
            <w:r>
              <w:rPr>
                <w:rFonts w:ascii="Calibri" w:cs="Calibri" w:eastAsia="Calibri" w:hAnsi="Calibri"/>
                <w:sz w:val="12"/>
                <w:szCs w:val="12"/>
                <w:b w:val="1"/>
                <w:bCs w:val="1"/>
                <w:color w:val="FFFFFF"/>
              </w:rPr>
              <w:t>YoY</w:t>
            </w:r>
          </w:p>
        </w:tc>
        <w:tc>
          <w:tcPr>
            <w:tcW w:w="240" w:type="dxa"/>
            <w:vAlign w:val="bottom"/>
            <w:tcBorders>
              <w:bottom w:val="single" w:sz="8" w:color="auto"/>
            </w:tcBorders>
            <w:shd w:val="clear" w:color="auto" w:fill="33CCCC"/>
          </w:tcPr>
          <w:p>
            <w:pPr>
              <w:spacing w:after="0"/>
              <w:rPr>
                <w:sz w:val="12"/>
                <w:szCs w:val="12"/>
                <w:color w:val="auto"/>
              </w:rPr>
            </w:pPr>
          </w:p>
        </w:tc>
        <w:tc>
          <w:tcPr>
            <w:tcW w:w="620" w:type="dxa"/>
            <w:vAlign w:val="bottom"/>
            <w:tcBorders>
              <w:bottom w:val="single" w:sz="8" w:color="auto"/>
            </w:tcBorders>
            <w:gridSpan w:val="2"/>
            <w:shd w:val="clear" w:color="auto" w:fill="33CCCC"/>
          </w:tcPr>
          <w:p>
            <w:pPr>
              <w:ind w:left="160"/>
              <w:spacing w:after="0" w:line="138" w:lineRule="exact"/>
              <w:rPr>
                <w:sz w:val="20"/>
                <w:szCs w:val="20"/>
                <w:color w:val="auto"/>
              </w:rPr>
            </w:pPr>
            <w:r>
              <w:rPr>
                <w:rFonts w:ascii="Calibri" w:cs="Calibri" w:eastAsia="Calibri" w:hAnsi="Calibri"/>
                <w:sz w:val="12"/>
                <w:szCs w:val="12"/>
                <w:b w:val="1"/>
                <w:bCs w:val="1"/>
                <w:color w:val="FFFFFF"/>
              </w:rPr>
              <w:t>Sep 23</w:t>
            </w:r>
          </w:p>
        </w:tc>
        <w:tc>
          <w:tcPr>
            <w:tcW w:w="1260" w:type="dxa"/>
            <w:vAlign w:val="bottom"/>
            <w:tcBorders>
              <w:bottom w:val="single" w:sz="8" w:color="auto"/>
              <w:right w:val="single" w:sz="8" w:color="auto"/>
            </w:tcBorders>
            <w:shd w:val="clear" w:color="auto" w:fill="33CCCC"/>
          </w:tcPr>
          <w:p>
            <w:pPr>
              <w:ind w:left="600"/>
              <w:spacing w:after="0" w:line="138" w:lineRule="exact"/>
              <w:rPr>
                <w:sz w:val="20"/>
                <w:szCs w:val="20"/>
                <w:color w:val="auto"/>
              </w:rPr>
            </w:pPr>
            <w:r>
              <w:rPr>
                <w:rFonts w:ascii="Calibri" w:cs="Calibri" w:eastAsia="Calibri" w:hAnsi="Calibri"/>
                <w:sz w:val="12"/>
                <w:szCs w:val="12"/>
                <w:b w:val="1"/>
                <w:bCs w:val="1"/>
                <w:color w:val="FFFFFF"/>
              </w:rPr>
              <w:t>Sep 24</w:t>
            </w:r>
          </w:p>
        </w:tc>
        <w:tc>
          <w:tcPr>
            <w:tcW w:w="140" w:type="dxa"/>
            <w:vAlign w:val="bottom"/>
            <w:tcBorders>
              <w:bottom w:val="single" w:sz="8" w:color="auto"/>
            </w:tcBorders>
            <w:shd w:val="clear" w:color="auto" w:fill="33CCCC"/>
          </w:tcPr>
          <w:p>
            <w:pPr>
              <w:spacing w:after="0"/>
              <w:rPr>
                <w:sz w:val="12"/>
                <w:szCs w:val="12"/>
                <w:color w:val="auto"/>
              </w:rPr>
            </w:pPr>
          </w:p>
        </w:tc>
        <w:tc>
          <w:tcPr>
            <w:tcW w:w="1020" w:type="dxa"/>
            <w:vAlign w:val="bottom"/>
            <w:tcBorders>
              <w:bottom w:val="single" w:sz="8" w:color="auto"/>
              <w:right w:val="single" w:sz="8" w:color="auto"/>
            </w:tcBorders>
            <w:shd w:val="clear" w:color="auto" w:fill="33CCCC"/>
          </w:tcPr>
          <w:p>
            <w:pPr>
              <w:jc w:val="center"/>
              <w:ind w:right="97"/>
              <w:spacing w:after="0" w:line="138" w:lineRule="exact"/>
              <w:rPr>
                <w:sz w:val="20"/>
                <w:szCs w:val="20"/>
                <w:color w:val="auto"/>
              </w:rPr>
            </w:pPr>
            <w:r>
              <w:rPr>
                <w:rFonts w:ascii="Calibri" w:cs="Calibri" w:eastAsia="Calibri" w:hAnsi="Calibri"/>
                <w:sz w:val="12"/>
                <w:szCs w:val="12"/>
                <w:b w:val="1"/>
                <w:bCs w:val="1"/>
                <w:color w:val="FFFFFF"/>
                <w:w w:val="96"/>
              </w:rPr>
              <w:t>Sep 23 / Sep 24</w:t>
            </w:r>
          </w:p>
        </w:tc>
      </w:tr>
      <w:tr>
        <w:trPr>
          <w:trHeight w:val="120"/>
        </w:trPr>
        <w:tc>
          <w:tcPr>
            <w:tcW w:w="2340" w:type="dxa"/>
            <w:vAlign w:val="bottom"/>
            <w:tcBorders>
              <w:left w:val="single" w:sz="8" w:color="auto"/>
            </w:tcBorders>
            <w:gridSpan w:val="2"/>
          </w:tcPr>
          <w:p>
            <w:pPr>
              <w:ind w:left="20"/>
              <w:spacing w:after="0" w:line="120" w:lineRule="exact"/>
              <w:rPr>
                <w:sz w:val="20"/>
                <w:szCs w:val="20"/>
                <w:color w:val="auto"/>
              </w:rPr>
            </w:pPr>
            <w:r>
              <w:rPr>
                <w:rFonts w:ascii="Calibri" w:cs="Calibri" w:eastAsia="Calibri" w:hAnsi="Calibri"/>
                <w:sz w:val="12"/>
                <w:szCs w:val="12"/>
                <w:color w:val="auto"/>
              </w:rPr>
              <w:t>Insurance Service Result</w:t>
            </w:r>
          </w:p>
        </w:tc>
        <w:tc>
          <w:tcPr>
            <w:tcW w:w="640" w:type="dxa"/>
            <w:vAlign w:val="bottom"/>
            <w:tcBorders>
              <w:right w:val="single" w:sz="8" w:color="auto"/>
            </w:tcBorders>
          </w:tcPr>
          <w:p>
            <w:pPr>
              <w:spacing w:after="0"/>
              <w:rPr>
                <w:sz w:val="10"/>
                <w:szCs w:val="10"/>
                <w:color w:val="auto"/>
              </w:rPr>
            </w:pPr>
          </w:p>
        </w:tc>
        <w:tc>
          <w:tcPr>
            <w:tcW w:w="1160" w:type="dxa"/>
            <w:vAlign w:val="bottom"/>
          </w:tcPr>
          <w:p>
            <w:pPr>
              <w:jc w:val="center"/>
              <w:ind w:right="162"/>
              <w:spacing w:after="0" w:line="120" w:lineRule="exact"/>
              <w:rPr>
                <w:sz w:val="20"/>
                <w:szCs w:val="20"/>
                <w:color w:val="auto"/>
              </w:rPr>
            </w:pPr>
            <w:r>
              <w:rPr>
                <w:rFonts w:ascii="Calibri" w:cs="Calibri" w:eastAsia="Calibri" w:hAnsi="Calibri"/>
                <w:sz w:val="12"/>
                <w:szCs w:val="12"/>
                <w:color w:val="auto"/>
                <w:w w:val="96"/>
              </w:rPr>
              <w:t>324,995</w:t>
            </w:r>
          </w:p>
        </w:tc>
        <w:tc>
          <w:tcPr>
            <w:tcW w:w="1100" w:type="dxa"/>
            <w:vAlign w:val="bottom"/>
          </w:tcPr>
          <w:p>
            <w:pPr>
              <w:jc w:val="center"/>
              <w:ind w:right="374"/>
              <w:spacing w:after="0" w:line="120" w:lineRule="exact"/>
              <w:rPr>
                <w:sz w:val="20"/>
                <w:szCs w:val="20"/>
                <w:color w:val="auto"/>
              </w:rPr>
            </w:pPr>
            <w:r>
              <w:rPr>
                <w:rFonts w:ascii="Calibri" w:cs="Calibri" w:eastAsia="Calibri" w:hAnsi="Calibri"/>
                <w:sz w:val="12"/>
                <w:szCs w:val="12"/>
                <w:color w:val="auto"/>
                <w:w w:val="96"/>
              </w:rPr>
              <w:t>286,987</w:t>
            </w:r>
          </w:p>
        </w:tc>
        <w:tc>
          <w:tcPr>
            <w:tcW w:w="580" w:type="dxa"/>
            <w:vAlign w:val="bottom"/>
          </w:tcPr>
          <w:p>
            <w:pPr>
              <w:jc w:val="center"/>
              <w:ind w:right="62"/>
              <w:spacing w:after="0" w:line="120" w:lineRule="exact"/>
              <w:rPr>
                <w:sz w:val="20"/>
                <w:szCs w:val="20"/>
                <w:color w:val="auto"/>
              </w:rPr>
            </w:pPr>
            <w:r>
              <w:rPr>
                <w:rFonts w:ascii="Calibri" w:cs="Calibri" w:eastAsia="Calibri" w:hAnsi="Calibri"/>
                <w:sz w:val="12"/>
                <w:szCs w:val="12"/>
                <w:color w:val="auto"/>
                <w:w w:val="96"/>
              </w:rPr>
              <w:t>308,072</w:t>
            </w:r>
          </w:p>
        </w:tc>
        <w:tc>
          <w:tcPr>
            <w:tcW w:w="160" w:type="dxa"/>
            <w:vAlign w:val="bottom"/>
            <w:tcBorders>
              <w:right w:val="single" w:sz="8" w:color="auto"/>
            </w:tcBorders>
          </w:tcPr>
          <w:p>
            <w:pPr>
              <w:spacing w:after="0"/>
              <w:rPr>
                <w:sz w:val="10"/>
                <w:szCs w:val="10"/>
                <w:color w:val="auto"/>
              </w:rPr>
            </w:pPr>
          </w:p>
        </w:tc>
        <w:tc>
          <w:tcPr>
            <w:tcW w:w="1260" w:type="dxa"/>
            <w:vAlign w:val="bottom"/>
          </w:tcPr>
          <w:p>
            <w:pPr>
              <w:jc w:val="center"/>
              <w:ind w:right="239"/>
              <w:spacing w:after="0" w:line="120" w:lineRule="exact"/>
              <w:rPr>
                <w:sz w:val="20"/>
                <w:szCs w:val="20"/>
                <w:color w:val="auto"/>
              </w:rPr>
            </w:pPr>
            <w:r>
              <w:rPr>
                <w:rFonts w:ascii="Calibri" w:cs="Calibri" w:eastAsia="Calibri" w:hAnsi="Calibri"/>
                <w:sz w:val="12"/>
                <w:szCs w:val="12"/>
                <w:color w:val="auto"/>
              </w:rPr>
              <w:t>7.3%</w:t>
            </w:r>
          </w:p>
        </w:tc>
        <w:tc>
          <w:tcPr>
            <w:tcW w:w="720" w:type="dxa"/>
            <w:vAlign w:val="bottom"/>
            <w:tcBorders>
              <w:right w:val="single" w:sz="8" w:color="auto"/>
            </w:tcBorders>
          </w:tcPr>
          <w:p>
            <w:pPr>
              <w:jc w:val="center"/>
              <w:ind w:right="256"/>
              <w:spacing w:after="0" w:line="120" w:lineRule="exact"/>
              <w:rPr>
                <w:sz w:val="20"/>
                <w:szCs w:val="20"/>
                <w:color w:val="auto"/>
              </w:rPr>
            </w:pPr>
            <w:r>
              <w:rPr>
                <w:rFonts w:ascii="Calibri" w:cs="Calibri" w:eastAsia="Calibri" w:hAnsi="Calibri"/>
                <w:sz w:val="12"/>
                <w:szCs w:val="12"/>
                <w:color w:val="auto"/>
              </w:rPr>
              <w:t>-5.2%</w:t>
            </w:r>
          </w:p>
        </w:tc>
        <w:tc>
          <w:tcPr>
            <w:tcW w:w="240" w:type="dxa"/>
            <w:vAlign w:val="bottom"/>
          </w:tcPr>
          <w:p>
            <w:pPr>
              <w:spacing w:after="0"/>
              <w:rPr>
                <w:sz w:val="10"/>
                <w:szCs w:val="10"/>
                <w:color w:val="auto"/>
              </w:rPr>
            </w:pPr>
          </w:p>
        </w:tc>
        <w:tc>
          <w:tcPr>
            <w:tcW w:w="620" w:type="dxa"/>
            <w:vAlign w:val="bottom"/>
            <w:gridSpan w:val="2"/>
          </w:tcPr>
          <w:p>
            <w:pPr>
              <w:jc w:val="center"/>
              <w:spacing w:after="0" w:line="120" w:lineRule="exact"/>
              <w:rPr>
                <w:sz w:val="20"/>
                <w:szCs w:val="20"/>
                <w:color w:val="auto"/>
              </w:rPr>
            </w:pPr>
            <w:r>
              <w:rPr>
                <w:rFonts w:ascii="Calibri" w:cs="Calibri" w:eastAsia="Calibri" w:hAnsi="Calibri"/>
                <w:sz w:val="12"/>
                <w:szCs w:val="12"/>
                <w:color w:val="auto"/>
                <w:w w:val="96"/>
              </w:rPr>
              <w:t>896,586</w:t>
            </w:r>
          </w:p>
        </w:tc>
        <w:tc>
          <w:tcPr>
            <w:tcW w:w="1260" w:type="dxa"/>
            <w:vAlign w:val="bottom"/>
            <w:tcBorders>
              <w:right w:val="single" w:sz="8" w:color="auto"/>
            </w:tcBorders>
          </w:tcPr>
          <w:p>
            <w:pPr>
              <w:jc w:val="center"/>
              <w:ind w:left="196"/>
              <w:spacing w:after="0" w:line="120" w:lineRule="exact"/>
              <w:rPr>
                <w:sz w:val="20"/>
                <w:szCs w:val="20"/>
                <w:color w:val="auto"/>
              </w:rPr>
            </w:pPr>
            <w:r>
              <w:rPr>
                <w:rFonts w:ascii="Calibri" w:cs="Calibri" w:eastAsia="Calibri" w:hAnsi="Calibri"/>
                <w:sz w:val="12"/>
                <w:szCs w:val="12"/>
                <w:color w:val="auto"/>
              </w:rPr>
              <w:t>936,853</w:t>
            </w:r>
          </w:p>
        </w:tc>
        <w:tc>
          <w:tcPr>
            <w:tcW w:w="140" w:type="dxa"/>
            <w:vAlign w:val="bottom"/>
          </w:tcPr>
          <w:p>
            <w:pPr>
              <w:spacing w:after="0"/>
              <w:rPr>
                <w:sz w:val="10"/>
                <w:szCs w:val="10"/>
                <w:color w:val="auto"/>
              </w:rPr>
            </w:pPr>
          </w:p>
        </w:tc>
        <w:tc>
          <w:tcPr>
            <w:tcW w:w="1020" w:type="dxa"/>
            <w:vAlign w:val="bottom"/>
            <w:tcBorders>
              <w:right w:val="single" w:sz="8" w:color="auto"/>
            </w:tcBorders>
          </w:tcPr>
          <w:p>
            <w:pPr>
              <w:jc w:val="center"/>
              <w:ind w:right="97"/>
              <w:spacing w:after="0" w:line="120" w:lineRule="exact"/>
              <w:rPr>
                <w:sz w:val="20"/>
                <w:szCs w:val="20"/>
                <w:color w:val="auto"/>
              </w:rPr>
            </w:pPr>
            <w:r>
              <w:rPr>
                <w:rFonts w:ascii="Calibri" w:cs="Calibri" w:eastAsia="Calibri" w:hAnsi="Calibri"/>
                <w:sz w:val="12"/>
                <w:szCs w:val="12"/>
                <w:color w:val="auto"/>
                <w:w w:val="92"/>
              </w:rPr>
              <w:t>4.5%</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w w:val="94"/>
              </w:rPr>
              <w:t>Reinsurance Result</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Calibri" w:cs="Calibri" w:eastAsia="Calibri" w:hAnsi="Calibri"/>
                <w:sz w:val="12"/>
                <w:szCs w:val="12"/>
                <w:color w:val="auto"/>
                <w:w w:val="97"/>
              </w:rPr>
              <w:t>-118,588</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color w:val="auto"/>
                <w:w w:val="96"/>
              </w:rPr>
              <w:t>-95,236</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color w:val="auto"/>
                <w:w w:val="97"/>
              </w:rPr>
              <w:t>-151,920</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color w:val="auto"/>
              </w:rPr>
              <w:t>59.5%</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w w:val="93"/>
              </w:rPr>
              <w:t>28.1%</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7"/>
              </w:rPr>
              <w:t>-329,294</w:t>
            </w:r>
          </w:p>
        </w:tc>
        <w:tc>
          <w:tcPr>
            <w:tcW w:w="1260" w:type="dxa"/>
            <w:vAlign w:val="bottom"/>
            <w:tcBorders>
              <w:right w:val="single" w:sz="8" w:color="auto"/>
            </w:tcBorders>
          </w:tcPr>
          <w:p>
            <w:pPr>
              <w:jc w:val="center"/>
              <w:ind w:left="176"/>
              <w:spacing w:after="0" w:line="135" w:lineRule="exact"/>
              <w:rPr>
                <w:sz w:val="20"/>
                <w:szCs w:val="20"/>
                <w:color w:val="auto"/>
              </w:rPr>
            </w:pPr>
            <w:r>
              <w:rPr>
                <w:rFonts w:ascii="Calibri" w:cs="Calibri" w:eastAsia="Calibri" w:hAnsi="Calibri"/>
                <w:sz w:val="12"/>
                <w:szCs w:val="12"/>
                <w:color w:val="auto"/>
                <w:w w:val="97"/>
              </w:rPr>
              <w:t>-427,209</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rPr>
              <w:t>29.7%</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b w:val="1"/>
                <w:bCs w:val="1"/>
                <w:color w:val="auto"/>
              </w:rPr>
              <w:t>Insurance underwritng result</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b w:val="1"/>
                <w:bCs w:val="1"/>
                <w:color w:val="auto"/>
              </w:rPr>
              <w:t>206,407</w:t>
            </w:r>
          </w:p>
        </w:tc>
        <w:tc>
          <w:tcPr>
            <w:tcW w:w="1100" w:type="dxa"/>
            <w:vAlign w:val="bottom"/>
          </w:tcPr>
          <w:p>
            <w:pPr>
              <w:jc w:val="center"/>
              <w:ind w:right="374"/>
              <w:spacing w:after="0" w:line="135" w:lineRule="exact"/>
              <w:rPr>
                <w:sz w:val="20"/>
                <w:szCs w:val="20"/>
                <w:color w:val="auto"/>
              </w:rPr>
            </w:pPr>
            <w:r>
              <w:rPr>
                <w:rFonts w:ascii="Calibri" w:cs="Calibri" w:eastAsia="Calibri" w:hAnsi="Calibri"/>
                <w:sz w:val="12"/>
                <w:szCs w:val="12"/>
                <w:b w:val="1"/>
                <w:bCs w:val="1"/>
                <w:color w:val="auto"/>
                <w:w w:val="95"/>
              </w:rPr>
              <w:t>191,751</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b w:val="1"/>
                <w:bCs w:val="1"/>
                <w:color w:val="auto"/>
                <w:w w:val="95"/>
              </w:rPr>
              <w:t>156,152</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b w:val="1"/>
                <w:bCs w:val="1"/>
                <w:color w:val="auto"/>
              </w:rPr>
              <w:t>-18.6%</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b w:val="1"/>
                <w:bCs w:val="1"/>
                <w:color w:val="auto"/>
                <w:w w:val="94"/>
              </w:rPr>
              <w:t>-24.3%</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b w:val="1"/>
                <w:bCs w:val="1"/>
                <w:color w:val="auto"/>
                <w:w w:val="95"/>
              </w:rPr>
              <w:t>567,292</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b w:val="1"/>
                <w:bCs w:val="1"/>
                <w:color w:val="auto"/>
              </w:rPr>
              <w:t>509,644</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b w:val="1"/>
                <w:bCs w:val="1"/>
                <w:color w:val="auto"/>
              </w:rPr>
              <w:t>-10.2%</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Interest income</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Calibri" w:cs="Calibri" w:eastAsia="Calibri" w:hAnsi="Calibri"/>
                <w:sz w:val="12"/>
                <w:szCs w:val="12"/>
                <w:color w:val="auto"/>
                <w:w w:val="96"/>
              </w:rPr>
              <w:t>195,214</w:t>
            </w:r>
          </w:p>
        </w:tc>
        <w:tc>
          <w:tcPr>
            <w:tcW w:w="1100" w:type="dxa"/>
            <w:vAlign w:val="bottom"/>
          </w:tcPr>
          <w:p>
            <w:pPr>
              <w:jc w:val="center"/>
              <w:ind w:right="374"/>
              <w:spacing w:after="0" w:line="135" w:lineRule="exact"/>
              <w:rPr>
                <w:sz w:val="20"/>
                <w:szCs w:val="20"/>
                <w:color w:val="auto"/>
              </w:rPr>
            </w:pPr>
            <w:r>
              <w:rPr>
                <w:rFonts w:ascii="Calibri" w:cs="Calibri" w:eastAsia="Calibri" w:hAnsi="Calibri"/>
                <w:sz w:val="12"/>
                <w:szCs w:val="12"/>
                <w:color w:val="auto"/>
                <w:w w:val="96"/>
              </w:rPr>
              <w:t>197,175</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color w:val="auto"/>
                <w:w w:val="96"/>
              </w:rPr>
              <w:t>209,425</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Calibri" w:cs="Calibri" w:eastAsia="Calibri" w:hAnsi="Calibri"/>
                <w:sz w:val="12"/>
                <w:szCs w:val="12"/>
                <w:color w:val="auto"/>
              </w:rPr>
              <w:t>6.2%</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rPr>
              <w:t>7.3%</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6"/>
              </w:rPr>
              <w:t>594,348</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rPr>
              <w:t>626,145</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w w:val="92"/>
              </w:rPr>
              <w:t>5.3%</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i w:val="1"/>
                <w:iCs w:val="1"/>
                <w:color w:val="auto"/>
              </w:rPr>
              <w:t>Interest Expenses</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Calibri" w:cs="Calibri" w:eastAsia="Calibri" w:hAnsi="Calibri"/>
                <w:sz w:val="12"/>
                <w:szCs w:val="12"/>
                <w:color w:val="auto"/>
                <w:w w:val="97"/>
              </w:rPr>
              <w:t>-123,388</w:t>
            </w:r>
          </w:p>
        </w:tc>
        <w:tc>
          <w:tcPr>
            <w:tcW w:w="1100" w:type="dxa"/>
            <w:vAlign w:val="bottom"/>
          </w:tcPr>
          <w:p>
            <w:pPr>
              <w:jc w:val="center"/>
              <w:ind w:right="374"/>
              <w:spacing w:after="0" w:line="135" w:lineRule="exact"/>
              <w:rPr>
                <w:sz w:val="20"/>
                <w:szCs w:val="20"/>
                <w:color w:val="auto"/>
              </w:rPr>
            </w:pPr>
            <w:r>
              <w:rPr>
                <w:rFonts w:ascii="Calibri" w:cs="Calibri" w:eastAsia="Calibri" w:hAnsi="Calibri"/>
                <w:sz w:val="12"/>
                <w:szCs w:val="12"/>
                <w:color w:val="auto"/>
                <w:w w:val="97"/>
              </w:rPr>
              <w:t>-131,447</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color w:val="auto"/>
                <w:w w:val="97"/>
              </w:rPr>
              <w:t>-135,554</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Calibri" w:cs="Calibri" w:eastAsia="Calibri" w:hAnsi="Calibri"/>
                <w:sz w:val="12"/>
                <w:szCs w:val="12"/>
                <w:b w:val="1"/>
                <w:bCs w:val="1"/>
                <w:color w:val="auto"/>
                <w:w w:val="99"/>
              </w:rPr>
              <w:t>3.1%</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rPr>
              <w:t>9.9%</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7"/>
              </w:rPr>
              <w:t>-347,135</w:t>
            </w:r>
          </w:p>
        </w:tc>
        <w:tc>
          <w:tcPr>
            <w:tcW w:w="1260" w:type="dxa"/>
            <w:vAlign w:val="bottom"/>
            <w:tcBorders>
              <w:right w:val="single" w:sz="8" w:color="auto"/>
            </w:tcBorders>
          </w:tcPr>
          <w:p>
            <w:pPr>
              <w:jc w:val="center"/>
              <w:ind w:left="176"/>
              <w:spacing w:after="0" w:line="135" w:lineRule="exact"/>
              <w:rPr>
                <w:sz w:val="20"/>
                <w:szCs w:val="20"/>
                <w:color w:val="auto"/>
              </w:rPr>
            </w:pPr>
            <w:r>
              <w:rPr>
                <w:rFonts w:ascii="Calibri" w:cs="Calibri" w:eastAsia="Calibri" w:hAnsi="Calibri"/>
                <w:sz w:val="12"/>
                <w:szCs w:val="12"/>
                <w:color w:val="auto"/>
                <w:w w:val="97"/>
              </w:rPr>
              <w:t>-396,115</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rPr>
              <w:t>14.1%</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b w:val="1"/>
                <w:bCs w:val="1"/>
                <w:color w:val="auto"/>
              </w:rPr>
              <w:t>Net Interest Income</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b w:val="1"/>
                <w:bCs w:val="1"/>
                <w:color w:val="auto"/>
                <w:w w:val="95"/>
              </w:rPr>
              <w:t>71,826</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b w:val="1"/>
                <w:bCs w:val="1"/>
                <w:color w:val="auto"/>
                <w:w w:val="95"/>
              </w:rPr>
              <w:t>65,728</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b w:val="1"/>
                <w:bCs w:val="1"/>
                <w:color w:val="auto"/>
                <w:w w:val="95"/>
              </w:rPr>
              <w:t>73,871</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b w:val="1"/>
                <w:bCs w:val="1"/>
                <w:color w:val="auto"/>
                <w:w w:val="99"/>
              </w:rPr>
              <w:t>12.4%</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b w:val="1"/>
                <w:bCs w:val="1"/>
                <w:color w:val="auto"/>
                <w:w w:val="99"/>
              </w:rPr>
              <w:t>2.8%</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b w:val="1"/>
                <w:bCs w:val="1"/>
                <w:color w:val="auto"/>
                <w:w w:val="95"/>
              </w:rPr>
              <w:t>247,213</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b w:val="1"/>
                <w:bCs w:val="1"/>
                <w:color w:val="auto"/>
              </w:rPr>
              <w:t>230,030</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b w:val="1"/>
                <w:bCs w:val="1"/>
                <w:color w:val="auto"/>
                <w:w w:val="93"/>
              </w:rPr>
              <w:t>-7.0%</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color w:val="auto"/>
              </w:rPr>
              <w:t>Fee Income and Gain in FX</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Calibri" w:cs="Calibri" w:eastAsia="Calibri" w:hAnsi="Calibri"/>
                <w:sz w:val="12"/>
                <w:szCs w:val="12"/>
                <w:color w:val="auto"/>
                <w:w w:val="96"/>
              </w:rPr>
              <w:t>-2,561</w:t>
            </w:r>
          </w:p>
        </w:tc>
        <w:tc>
          <w:tcPr>
            <w:tcW w:w="1100" w:type="dxa"/>
            <w:vAlign w:val="bottom"/>
          </w:tcPr>
          <w:p>
            <w:pPr>
              <w:jc w:val="center"/>
              <w:ind w:right="374"/>
              <w:spacing w:after="0" w:line="135" w:lineRule="exact"/>
              <w:rPr>
                <w:sz w:val="20"/>
                <w:szCs w:val="20"/>
                <w:color w:val="auto"/>
              </w:rPr>
            </w:pPr>
            <w:r>
              <w:rPr>
                <w:rFonts w:ascii="Calibri" w:cs="Calibri" w:eastAsia="Calibri" w:hAnsi="Calibri"/>
                <w:sz w:val="12"/>
                <w:szCs w:val="12"/>
                <w:color w:val="auto"/>
                <w:w w:val="96"/>
              </w:rPr>
              <w:t>-2,262</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color w:val="auto"/>
                <w:w w:val="96"/>
              </w:rPr>
              <w:t>-4,676</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color w:val="auto"/>
                <w:w w:val="94"/>
              </w:rPr>
              <w:t>106.7%</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w w:val="93"/>
              </w:rPr>
              <w:t>82.6%</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6"/>
              </w:rPr>
              <w:t>-9,207</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w w:val="96"/>
              </w:rPr>
              <w:t>-10,200</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rPr>
              <w:t>10.8%</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i w:val="1"/>
                <w:iCs w:val="1"/>
                <w:color w:val="auto"/>
              </w:rPr>
              <w:t>Other Income No Core:</w:t>
            </w:r>
          </w:p>
        </w:tc>
        <w:tc>
          <w:tcPr>
            <w:tcW w:w="64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color w:val="auto"/>
              </w:rPr>
              <w:t>Net gain (loss) from exchange diferences</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color w:val="auto"/>
                <w:w w:val="95"/>
              </w:rPr>
              <w:t>20,672</w:t>
            </w:r>
          </w:p>
        </w:tc>
        <w:tc>
          <w:tcPr>
            <w:tcW w:w="1100" w:type="dxa"/>
            <w:vAlign w:val="bottom"/>
          </w:tcPr>
          <w:p>
            <w:pPr>
              <w:jc w:val="center"/>
              <w:ind w:right="374"/>
              <w:spacing w:after="0" w:line="135" w:lineRule="exact"/>
              <w:rPr>
                <w:sz w:val="20"/>
                <w:szCs w:val="20"/>
                <w:color w:val="auto"/>
              </w:rPr>
            </w:pPr>
            <w:r>
              <w:rPr>
                <w:rFonts w:ascii="Calibri" w:cs="Calibri" w:eastAsia="Calibri" w:hAnsi="Calibri"/>
                <w:sz w:val="12"/>
                <w:szCs w:val="12"/>
                <w:color w:val="auto"/>
                <w:w w:val="96"/>
              </w:rPr>
              <w:t>-1,816</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color w:val="auto"/>
                <w:w w:val="98"/>
              </w:rPr>
              <w:t>191</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color w:val="auto"/>
                <w:w w:val="95"/>
              </w:rPr>
              <w:t>-110.5%</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w w:val="95"/>
              </w:rPr>
              <w:t>-99.1%</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5"/>
              </w:rPr>
              <w:t>14,995</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rPr>
              <w:t>-1,807</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w w:val="95"/>
              </w:rPr>
              <w:t>-112.1%</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color w:val="auto"/>
              </w:rPr>
              <w:t>Net loss on securites and associates</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color w:val="auto"/>
                <w:w w:val="95"/>
              </w:rPr>
              <w:t>27,460</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color w:val="auto"/>
                <w:w w:val="95"/>
              </w:rPr>
              <w:t>24,856</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color w:val="auto"/>
                <w:w w:val="95"/>
              </w:rPr>
              <w:t>29,761</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color w:val="auto"/>
              </w:rPr>
              <w:t>19.7%</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rPr>
              <w:t>8.4%</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5"/>
              </w:rPr>
              <w:t>79,086</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w w:val="95"/>
              </w:rPr>
              <w:t>77,839</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w w:val="94"/>
              </w:rPr>
              <w:t>-1.6%</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color w:val="auto"/>
              </w:rPr>
              <w:t>Other Income not operatonal</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color w:val="auto"/>
                <w:w w:val="95"/>
              </w:rPr>
              <w:t>25,779</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color w:val="auto"/>
                <w:w w:val="95"/>
              </w:rPr>
              <w:t>44,209</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color w:val="auto"/>
                <w:w w:val="95"/>
              </w:rPr>
              <w:t>26,028</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Calibri" w:cs="Calibri" w:eastAsia="Calibri" w:hAnsi="Calibri"/>
                <w:sz w:val="12"/>
                <w:szCs w:val="12"/>
                <w:color w:val="auto"/>
                <w:w w:val="95"/>
              </w:rPr>
              <w:t>-41.1%</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rPr>
              <w:t>1.0%</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5"/>
              </w:rPr>
              <w:t>61,962</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w w:val="95"/>
              </w:rPr>
              <w:t>99,988</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rPr>
              <w:t>61.4%</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b w:val="1"/>
                <w:bCs w:val="1"/>
                <w:color w:val="auto"/>
              </w:rPr>
              <w:t>Other Income</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b w:val="1"/>
                <w:bCs w:val="1"/>
                <w:color w:val="auto"/>
                <w:w w:val="95"/>
              </w:rPr>
              <w:t>71,350</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b w:val="1"/>
                <w:bCs w:val="1"/>
                <w:color w:val="auto"/>
                <w:w w:val="95"/>
              </w:rPr>
              <w:t>64,987</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b w:val="1"/>
                <w:bCs w:val="1"/>
                <w:color w:val="auto"/>
                <w:w w:val="95"/>
              </w:rPr>
              <w:t>51,305</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b w:val="1"/>
                <w:bCs w:val="1"/>
                <w:color w:val="auto"/>
              </w:rPr>
              <w:t>-21.1%</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b w:val="1"/>
                <w:bCs w:val="1"/>
                <w:color w:val="auto"/>
                <w:w w:val="94"/>
              </w:rPr>
              <w:t>-28.1%</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b w:val="1"/>
                <w:bCs w:val="1"/>
                <w:color w:val="auto"/>
                <w:w w:val="95"/>
              </w:rPr>
              <w:t>146,836</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b w:val="1"/>
                <w:bCs w:val="1"/>
                <w:color w:val="auto"/>
              </w:rPr>
              <w:t>165,821</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b w:val="1"/>
                <w:bCs w:val="1"/>
                <w:color w:val="auto"/>
                <w:w w:val="99"/>
              </w:rPr>
              <w:t>12.9%</w:t>
            </w:r>
          </w:p>
        </w:tc>
      </w:tr>
      <w:tr>
        <w:trPr>
          <w:trHeight w:val="135"/>
        </w:trPr>
        <w:tc>
          <w:tcPr>
            <w:tcW w:w="2340" w:type="dxa"/>
            <w:vAlign w:val="bottom"/>
            <w:tcBorders>
              <w:left w:val="single" w:sz="8" w:color="auto"/>
            </w:tcBorders>
            <w:gridSpan w:val="2"/>
          </w:tcPr>
          <w:p>
            <w:pPr>
              <w:ind w:left="20"/>
              <w:spacing w:after="0" w:line="135" w:lineRule="exact"/>
              <w:rPr>
                <w:sz w:val="20"/>
                <w:szCs w:val="20"/>
                <w:color w:val="auto"/>
              </w:rPr>
            </w:pPr>
            <w:r>
              <w:rPr>
                <w:rFonts w:ascii="Calibri" w:cs="Calibri" w:eastAsia="Calibri" w:hAnsi="Calibri"/>
                <w:sz w:val="12"/>
                <w:szCs w:val="12"/>
                <w:color w:val="auto"/>
              </w:rPr>
              <w:t>Operatng expenses</w:t>
            </w: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color w:val="auto"/>
                <w:w w:val="96"/>
              </w:rPr>
              <w:t>-79,355</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color w:val="auto"/>
                <w:w w:val="96"/>
              </w:rPr>
              <w:t>-75,398</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color w:val="auto"/>
                <w:w w:val="96"/>
              </w:rPr>
              <w:t>-64,305</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Calibri" w:cs="Calibri" w:eastAsia="Calibri" w:hAnsi="Calibri"/>
                <w:sz w:val="12"/>
                <w:szCs w:val="12"/>
                <w:color w:val="auto"/>
                <w:w w:val="95"/>
              </w:rPr>
              <w:t>-14.7%</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w w:val="95"/>
              </w:rPr>
              <w:t>-19.0%</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7"/>
              </w:rPr>
              <w:t>-216,331</w:t>
            </w:r>
          </w:p>
        </w:tc>
        <w:tc>
          <w:tcPr>
            <w:tcW w:w="1260" w:type="dxa"/>
            <w:vAlign w:val="bottom"/>
            <w:tcBorders>
              <w:right w:val="single" w:sz="8" w:color="auto"/>
            </w:tcBorders>
          </w:tcPr>
          <w:p>
            <w:pPr>
              <w:jc w:val="center"/>
              <w:ind w:left="176"/>
              <w:spacing w:after="0" w:line="135" w:lineRule="exact"/>
              <w:rPr>
                <w:sz w:val="20"/>
                <w:szCs w:val="20"/>
                <w:color w:val="auto"/>
              </w:rPr>
            </w:pPr>
            <w:r>
              <w:rPr>
                <w:rFonts w:ascii="Calibri" w:cs="Calibri" w:eastAsia="Calibri" w:hAnsi="Calibri"/>
                <w:sz w:val="12"/>
                <w:szCs w:val="12"/>
                <w:color w:val="auto"/>
                <w:w w:val="97"/>
              </w:rPr>
              <w:t>-215,877</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w w:val="94"/>
              </w:rPr>
              <w:t>-0.2%</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Other expenses</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color w:val="auto"/>
                <w:w w:val="96"/>
              </w:rPr>
              <w:t>-19,594</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color w:val="auto"/>
                <w:w w:val="96"/>
              </w:rPr>
              <w:t>-29,350</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color w:val="auto"/>
                <w:w w:val="96"/>
              </w:rPr>
              <w:t>-24,099</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Calibri" w:cs="Calibri" w:eastAsia="Calibri" w:hAnsi="Calibri"/>
                <w:sz w:val="12"/>
                <w:szCs w:val="12"/>
                <w:color w:val="auto"/>
                <w:w w:val="95"/>
              </w:rPr>
              <w:t>-17.9%</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w w:val="93"/>
              </w:rPr>
              <w:t>23.0%</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6"/>
              </w:rPr>
              <w:t>-40,232</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w w:val="96"/>
              </w:rPr>
              <w:t>-58,428</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rPr>
              <w:t>45.2%</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b w:val="1"/>
                <w:bCs w:val="1"/>
                <w:color w:val="auto"/>
              </w:rPr>
              <w:t>Total Expenses</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42"/>
              <w:spacing w:after="0" w:line="135" w:lineRule="exact"/>
              <w:rPr>
                <w:sz w:val="20"/>
                <w:szCs w:val="20"/>
                <w:color w:val="auto"/>
              </w:rPr>
            </w:pPr>
            <w:r>
              <w:rPr>
                <w:rFonts w:ascii="Calibri" w:cs="Calibri" w:eastAsia="Calibri" w:hAnsi="Calibri"/>
                <w:sz w:val="12"/>
                <w:szCs w:val="12"/>
                <w:b w:val="1"/>
                <w:bCs w:val="1"/>
                <w:color w:val="auto"/>
                <w:w w:val="96"/>
              </w:rPr>
              <w:t>-98,949</w:t>
            </w:r>
          </w:p>
        </w:tc>
        <w:tc>
          <w:tcPr>
            <w:tcW w:w="1100" w:type="dxa"/>
            <w:vAlign w:val="bottom"/>
          </w:tcPr>
          <w:p>
            <w:pPr>
              <w:jc w:val="center"/>
              <w:ind w:right="374"/>
              <w:spacing w:after="0" w:line="135" w:lineRule="exact"/>
              <w:rPr>
                <w:sz w:val="20"/>
                <w:szCs w:val="20"/>
                <w:color w:val="auto"/>
              </w:rPr>
            </w:pPr>
            <w:r>
              <w:rPr>
                <w:rFonts w:ascii="Calibri" w:cs="Calibri" w:eastAsia="Calibri" w:hAnsi="Calibri"/>
                <w:sz w:val="12"/>
                <w:szCs w:val="12"/>
                <w:b w:val="1"/>
                <w:bCs w:val="1"/>
                <w:color w:val="auto"/>
                <w:w w:val="96"/>
              </w:rPr>
              <w:t>-104,748</w:t>
            </w:r>
          </w:p>
        </w:tc>
        <w:tc>
          <w:tcPr>
            <w:tcW w:w="580" w:type="dxa"/>
            <w:vAlign w:val="bottom"/>
          </w:tcPr>
          <w:p>
            <w:pPr>
              <w:jc w:val="center"/>
              <w:ind w:right="42"/>
              <w:spacing w:after="0" w:line="135" w:lineRule="exact"/>
              <w:rPr>
                <w:sz w:val="20"/>
                <w:szCs w:val="20"/>
                <w:color w:val="auto"/>
              </w:rPr>
            </w:pPr>
            <w:r>
              <w:rPr>
                <w:rFonts w:ascii="Calibri" w:cs="Calibri" w:eastAsia="Calibri" w:hAnsi="Calibri"/>
                <w:sz w:val="12"/>
                <w:szCs w:val="12"/>
                <w:b w:val="1"/>
                <w:bCs w:val="1"/>
                <w:color w:val="auto"/>
                <w:w w:val="96"/>
              </w:rPr>
              <w:t>-88,404</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59"/>
              <w:spacing w:after="0" w:line="135" w:lineRule="exact"/>
              <w:rPr>
                <w:sz w:val="20"/>
                <w:szCs w:val="20"/>
                <w:color w:val="auto"/>
              </w:rPr>
            </w:pPr>
            <w:r>
              <w:rPr>
                <w:rFonts w:ascii="Calibri" w:cs="Calibri" w:eastAsia="Calibri" w:hAnsi="Calibri"/>
                <w:sz w:val="12"/>
                <w:szCs w:val="12"/>
                <w:b w:val="1"/>
                <w:bCs w:val="1"/>
                <w:color w:val="auto"/>
              </w:rPr>
              <w:t>-15.6%</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b w:val="1"/>
                <w:bCs w:val="1"/>
                <w:color w:val="auto"/>
                <w:w w:val="94"/>
              </w:rPr>
              <w:t>-10.7%</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b w:val="1"/>
                <w:bCs w:val="1"/>
                <w:color w:val="auto"/>
                <w:w w:val="96"/>
              </w:rPr>
              <w:t>-256,563</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b w:val="1"/>
                <w:bCs w:val="1"/>
                <w:color w:val="auto"/>
              </w:rPr>
              <w:t>-274,305</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77"/>
              <w:spacing w:after="0" w:line="135" w:lineRule="exact"/>
              <w:rPr>
                <w:sz w:val="20"/>
                <w:szCs w:val="20"/>
                <w:color w:val="auto"/>
              </w:rPr>
            </w:pPr>
            <w:r>
              <w:rPr>
                <w:rFonts w:ascii="Calibri" w:cs="Calibri" w:eastAsia="Calibri" w:hAnsi="Calibri"/>
                <w:sz w:val="12"/>
                <w:szCs w:val="12"/>
                <w:b w:val="1"/>
                <w:bCs w:val="1"/>
                <w:color w:val="auto"/>
                <w:w w:val="99"/>
              </w:rPr>
              <w:t>6.9%</w:t>
            </w:r>
          </w:p>
        </w:tc>
      </w:tr>
      <w:tr>
        <w:trPr>
          <w:trHeight w:val="135"/>
        </w:trPr>
        <w:tc>
          <w:tcPr>
            <w:tcW w:w="920" w:type="dxa"/>
            <w:vAlign w:val="bottom"/>
            <w:tcBorders>
              <w:left w:val="single" w:sz="8" w:color="auto"/>
            </w:tcBorders>
          </w:tcPr>
          <w:p>
            <w:pPr>
              <w:ind w:left="20"/>
              <w:spacing w:after="0" w:line="135" w:lineRule="exact"/>
              <w:rPr>
                <w:sz w:val="20"/>
                <w:szCs w:val="20"/>
                <w:color w:val="auto"/>
              </w:rPr>
            </w:pPr>
            <w:r>
              <w:rPr>
                <w:rFonts w:ascii="Calibri" w:cs="Calibri" w:eastAsia="Calibri" w:hAnsi="Calibri"/>
                <w:sz w:val="12"/>
                <w:szCs w:val="12"/>
                <w:color w:val="auto"/>
              </w:rPr>
              <w:t>Income tax</w:t>
            </w:r>
          </w:p>
        </w:tc>
        <w:tc>
          <w:tcPr>
            <w:tcW w:w="14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Calibri" w:cs="Calibri" w:eastAsia="Calibri" w:hAnsi="Calibri"/>
                <w:sz w:val="12"/>
                <w:szCs w:val="12"/>
                <w:color w:val="auto"/>
                <w:w w:val="96"/>
              </w:rPr>
              <w:t>-4,307</w:t>
            </w:r>
          </w:p>
        </w:tc>
        <w:tc>
          <w:tcPr>
            <w:tcW w:w="1100" w:type="dxa"/>
            <w:vAlign w:val="bottom"/>
          </w:tcPr>
          <w:p>
            <w:pPr>
              <w:jc w:val="center"/>
              <w:ind w:right="354"/>
              <w:spacing w:after="0" w:line="135" w:lineRule="exact"/>
              <w:rPr>
                <w:sz w:val="20"/>
                <w:szCs w:val="20"/>
                <w:color w:val="auto"/>
              </w:rPr>
            </w:pPr>
            <w:r>
              <w:rPr>
                <w:rFonts w:ascii="Calibri" w:cs="Calibri" w:eastAsia="Calibri" w:hAnsi="Calibri"/>
                <w:sz w:val="12"/>
                <w:szCs w:val="12"/>
                <w:color w:val="auto"/>
                <w:w w:val="96"/>
              </w:rPr>
              <w:t>-23,597</w:t>
            </w:r>
          </w:p>
        </w:tc>
        <w:tc>
          <w:tcPr>
            <w:tcW w:w="580" w:type="dxa"/>
            <w:vAlign w:val="bottom"/>
          </w:tcPr>
          <w:p>
            <w:pPr>
              <w:jc w:val="center"/>
              <w:ind w:right="62"/>
              <w:spacing w:after="0" w:line="135" w:lineRule="exact"/>
              <w:rPr>
                <w:sz w:val="20"/>
                <w:szCs w:val="20"/>
                <w:color w:val="auto"/>
              </w:rPr>
            </w:pPr>
            <w:r>
              <w:rPr>
                <w:rFonts w:ascii="Calibri" w:cs="Calibri" w:eastAsia="Calibri" w:hAnsi="Calibri"/>
                <w:sz w:val="12"/>
                <w:szCs w:val="12"/>
                <w:color w:val="auto"/>
                <w:w w:val="96"/>
              </w:rPr>
              <w:t>-3,615</w:t>
            </w:r>
          </w:p>
        </w:tc>
        <w:tc>
          <w:tcPr>
            <w:tcW w:w="160" w:type="dxa"/>
            <w:vAlign w:val="bottom"/>
            <w:tcBorders>
              <w:right w:val="single" w:sz="8" w:color="auto"/>
            </w:tcBorders>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Calibri" w:cs="Calibri" w:eastAsia="Calibri" w:hAnsi="Calibri"/>
                <w:sz w:val="12"/>
                <w:szCs w:val="12"/>
                <w:color w:val="auto"/>
                <w:w w:val="95"/>
              </w:rPr>
              <w:t>-84.7%</w:t>
            </w:r>
          </w:p>
        </w:tc>
        <w:tc>
          <w:tcPr>
            <w:tcW w:w="720" w:type="dxa"/>
            <w:vAlign w:val="bottom"/>
            <w:tcBorders>
              <w:right w:val="single" w:sz="8" w:color="auto"/>
            </w:tcBorders>
          </w:tcPr>
          <w:p>
            <w:pPr>
              <w:jc w:val="center"/>
              <w:ind w:right="256"/>
              <w:spacing w:after="0" w:line="135" w:lineRule="exact"/>
              <w:rPr>
                <w:sz w:val="20"/>
                <w:szCs w:val="20"/>
                <w:color w:val="auto"/>
              </w:rPr>
            </w:pPr>
            <w:r>
              <w:rPr>
                <w:rFonts w:ascii="Calibri" w:cs="Calibri" w:eastAsia="Calibri" w:hAnsi="Calibri"/>
                <w:sz w:val="12"/>
                <w:szCs w:val="12"/>
                <w:color w:val="auto"/>
                <w:w w:val="95"/>
              </w:rPr>
              <w:t>-16.1%</w:t>
            </w:r>
          </w:p>
        </w:tc>
        <w:tc>
          <w:tcPr>
            <w:tcW w:w="2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Calibri" w:cs="Calibri" w:eastAsia="Calibri" w:hAnsi="Calibri"/>
                <w:sz w:val="12"/>
                <w:szCs w:val="12"/>
                <w:color w:val="auto"/>
                <w:w w:val="96"/>
              </w:rPr>
              <w:t>-10,623</w:t>
            </w:r>
          </w:p>
        </w:tc>
        <w:tc>
          <w:tcPr>
            <w:tcW w:w="1260" w:type="dxa"/>
            <w:vAlign w:val="bottom"/>
            <w:tcBorders>
              <w:right w:val="single" w:sz="8" w:color="auto"/>
            </w:tcBorders>
          </w:tcPr>
          <w:p>
            <w:pPr>
              <w:jc w:val="center"/>
              <w:ind w:left="196"/>
              <w:spacing w:after="0" w:line="135" w:lineRule="exact"/>
              <w:rPr>
                <w:sz w:val="20"/>
                <w:szCs w:val="20"/>
                <w:color w:val="auto"/>
              </w:rPr>
            </w:pPr>
            <w:r>
              <w:rPr>
                <w:rFonts w:ascii="Calibri" w:cs="Calibri" w:eastAsia="Calibri" w:hAnsi="Calibri"/>
                <w:sz w:val="12"/>
                <w:szCs w:val="12"/>
                <w:color w:val="auto"/>
                <w:w w:val="96"/>
              </w:rPr>
              <w:t>-31,007</w:t>
            </w:r>
          </w:p>
        </w:tc>
        <w:tc>
          <w:tcPr>
            <w:tcW w:w="140" w:type="dxa"/>
            <w:vAlign w:val="bottom"/>
          </w:tcPr>
          <w:p>
            <w:pPr>
              <w:spacing w:after="0"/>
              <w:rPr>
                <w:sz w:val="11"/>
                <w:szCs w:val="11"/>
                <w:color w:val="auto"/>
              </w:rPr>
            </w:pPr>
          </w:p>
        </w:tc>
        <w:tc>
          <w:tcPr>
            <w:tcW w:w="1020" w:type="dxa"/>
            <w:vAlign w:val="bottom"/>
            <w:tcBorders>
              <w:right w:val="single" w:sz="8" w:color="auto"/>
            </w:tcBorders>
          </w:tcPr>
          <w:p>
            <w:pPr>
              <w:jc w:val="center"/>
              <w:ind w:right="97"/>
              <w:spacing w:after="0" w:line="135" w:lineRule="exact"/>
              <w:rPr>
                <w:sz w:val="20"/>
                <w:szCs w:val="20"/>
                <w:color w:val="auto"/>
              </w:rPr>
            </w:pPr>
            <w:r>
              <w:rPr>
                <w:rFonts w:ascii="Calibri" w:cs="Calibri" w:eastAsia="Calibri" w:hAnsi="Calibri"/>
                <w:sz w:val="12"/>
                <w:szCs w:val="12"/>
                <w:color w:val="auto"/>
                <w:w w:val="94"/>
              </w:rPr>
              <w:t>191.9%</w:t>
            </w:r>
          </w:p>
        </w:tc>
      </w:tr>
      <w:tr>
        <w:trPr>
          <w:trHeight w:val="144"/>
        </w:trPr>
        <w:tc>
          <w:tcPr>
            <w:tcW w:w="920" w:type="dxa"/>
            <w:vAlign w:val="bottom"/>
            <w:tcBorders>
              <w:left w:val="single" w:sz="8" w:color="auto"/>
              <w:bottom w:val="single" w:sz="8" w:color="auto"/>
            </w:tcBorders>
          </w:tcPr>
          <w:p>
            <w:pPr>
              <w:ind w:left="20"/>
              <w:spacing w:after="0" w:line="138" w:lineRule="exact"/>
              <w:rPr>
                <w:sz w:val="20"/>
                <w:szCs w:val="20"/>
                <w:color w:val="auto"/>
              </w:rPr>
            </w:pPr>
            <w:r>
              <w:rPr>
                <w:rFonts w:ascii="Calibri" w:cs="Calibri" w:eastAsia="Calibri" w:hAnsi="Calibri"/>
                <w:sz w:val="12"/>
                <w:szCs w:val="12"/>
                <w:b w:val="1"/>
                <w:bCs w:val="1"/>
                <w:color w:val="auto"/>
              </w:rPr>
              <w:t>Net income</w:t>
            </w:r>
          </w:p>
        </w:tc>
        <w:tc>
          <w:tcPr>
            <w:tcW w:w="14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42"/>
              <w:spacing w:after="0" w:line="138" w:lineRule="exact"/>
              <w:rPr>
                <w:sz w:val="20"/>
                <w:szCs w:val="20"/>
                <w:color w:val="auto"/>
              </w:rPr>
            </w:pPr>
            <w:r>
              <w:rPr>
                <w:rFonts w:ascii="Calibri" w:cs="Calibri" w:eastAsia="Calibri" w:hAnsi="Calibri"/>
                <w:sz w:val="12"/>
                <w:szCs w:val="12"/>
                <w:b w:val="1"/>
                <w:bCs w:val="1"/>
                <w:color w:val="auto"/>
              </w:rPr>
              <w:t>246,327</w:t>
            </w:r>
          </w:p>
        </w:tc>
        <w:tc>
          <w:tcPr>
            <w:tcW w:w="1100" w:type="dxa"/>
            <w:vAlign w:val="bottom"/>
            <w:tcBorders>
              <w:bottom w:val="single" w:sz="8" w:color="auto"/>
            </w:tcBorders>
          </w:tcPr>
          <w:p>
            <w:pPr>
              <w:jc w:val="center"/>
              <w:ind w:right="374"/>
              <w:spacing w:after="0" w:line="138" w:lineRule="exact"/>
              <w:rPr>
                <w:sz w:val="20"/>
                <w:szCs w:val="20"/>
                <w:color w:val="auto"/>
              </w:rPr>
            </w:pPr>
            <w:r>
              <w:rPr>
                <w:rFonts w:ascii="Calibri" w:cs="Calibri" w:eastAsia="Calibri" w:hAnsi="Calibri"/>
                <w:sz w:val="12"/>
                <w:szCs w:val="12"/>
                <w:b w:val="1"/>
                <w:bCs w:val="1"/>
                <w:color w:val="auto"/>
                <w:w w:val="95"/>
              </w:rPr>
              <w:t>194,120</w:t>
            </w:r>
          </w:p>
        </w:tc>
        <w:tc>
          <w:tcPr>
            <w:tcW w:w="580" w:type="dxa"/>
            <w:vAlign w:val="bottom"/>
            <w:tcBorders>
              <w:bottom w:val="single" w:sz="8" w:color="auto"/>
            </w:tcBorders>
          </w:tcPr>
          <w:p>
            <w:pPr>
              <w:jc w:val="center"/>
              <w:ind w:right="62"/>
              <w:spacing w:after="0" w:line="138" w:lineRule="exact"/>
              <w:rPr>
                <w:sz w:val="20"/>
                <w:szCs w:val="20"/>
                <w:color w:val="auto"/>
              </w:rPr>
            </w:pPr>
            <w:r>
              <w:rPr>
                <w:rFonts w:ascii="Calibri" w:cs="Calibri" w:eastAsia="Calibri" w:hAnsi="Calibri"/>
                <w:sz w:val="12"/>
                <w:szCs w:val="12"/>
                <w:b w:val="1"/>
                <w:bCs w:val="1"/>
                <w:color w:val="auto"/>
                <w:w w:val="95"/>
              </w:rPr>
              <w:t>189,308</w:t>
            </w:r>
          </w:p>
        </w:tc>
        <w:tc>
          <w:tcPr>
            <w:tcW w:w="16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jc w:val="center"/>
              <w:ind w:right="259"/>
              <w:spacing w:after="0" w:line="138" w:lineRule="exact"/>
              <w:rPr>
                <w:sz w:val="20"/>
                <w:szCs w:val="20"/>
                <w:color w:val="auto"/>
              </w:rPr>
            </w:pPr>
            <w:r>
              <w:rPr>
                <w:rFonts w:ascii="Calibri" w:cs="Calibri" w:eastAsia="Calibri" w:hAnsi="Calibri"/>
                <w:sz w:val="12"/>
                <w:szCs w:val="12"/>
                <w:b w:val="1"/>
                <w:bCs w:val="1"/>
                <w:color w:val="auto"/>
                <w:w w:val="93"/>
              </w:rPr>
              <w:t>-2.5%</w:t>
            </w:r>
          </w:p>
        </w:tc>
        <w:tc>
          <w:tcPr>
            <w:tcW w:w="720" w:type="dxa"/>
            <w:vAlign w:val="bottom"/>
            <w:tcBorders>
              <w:bottom w:val="single" w:sz="8" w:color="auto"/>
              <w:right w:val="single" w:sz="8" w:color="auto"/>
            </w:tcBorders>
          </w:tcPr>
          <w:p>
            <w:pPr>
              <w:jc w:val="center"/>
              <w:ind w:right="256"/>
              <w:spacing w:after="0" w:line="138" w:lineRule="exact"/>
              <w:rPr>
                <w:sz w:val="20"/>
                <w:szCs w:val="20"/>
                <w:color w:val="auto"/>
              </w:rPr>
            </w:pPr>
            <w:r>
              <w:rPr>
                <w:rFonts w:ascii="Calibri" w:cs="Calibri" w:eastAsia="Calibri" w:hAnsi="Calibri"/>
                <w:sz w:val="12"/>
                <w:szCs w:val="12"/>
                <w:b w:val="1"/>
                <w:bCs w:val="1"/>
                <w:color w:val="auto"/>
                <w:w w:val="94"/>
              </w:rPr>
              <w:t>-23.1%</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center"/>
              <w:spacing w:after="0" w:line="138" w:lineRule="exact"/>
              <w:rPr>
                <w:sz w:val="20"/>
                <w:szCs w:val="20"/>
                <w:color w:val="auto"/>
              </w:rPr>
            </w:pPr>
            <w:r>
              <w:rPr>
                <w:rFonts w:ascii="Calibri" w:cs="Calibri" w:eastAsia="Calibri" w:hAnsi="Calibri"/>
                <w:sz w:val="12"/>
                <w:szCs w:val="12"/>
                <w:b w:val="1"/>
                <w:bCs w:val="1"/>
                <w:color w:val="auto"/>
                <w:w w:val="95"/>
              </w:rPr>
              <w:t>674,426</w:t>
            </w:r>
          </w:p>
        </w:tc>
        <w:tc>
          <w:tcPr>
            <w:tcW w:w="1260" w:type="dxa"/>
            <w:vAlign w:val="bottom"/>
            <w:tcBorders>
              <w:bottom w:val="single" w:sz="8" w:color="auto"/>
              <w:right w:val="single" w:sz="8" w:color="auto"/>
            </w:tcBorders>
          </w:tcPr>
          <w:p>
            <w:pPr>
              <w:jc w:val="center"/>
              <w:ind w:left="196"/>
              <w:spacing w:after="0" w:line="138" w:lineRule="exact"/>
              <w:rPr>
                <w:sz w:val="20"/>
                <w:szCs w:val="20"/>
                <w:color w:val="auto"/>
              </w:rPr>
            </w:pPr>
            <w:r>
              <w:rPr>
                <w:rFonts w:ascii="Calibri" w:cs="Calibri" w:eastAsia="Calibri" w:hAnsi="Calibri"/>
                <w:sz w:val="12"/>
                <w:szCs w:val="12"/>
                <w:b w:val="1"/>
                <w:bCs w:val="1"/>
                <w:color w:val="auto"/>
              </w:rPr>
              <w:t>600,181</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ind w:right="97"/>
              <w:spacing w:after="0" w:line="138" w:lineRule="exact"/>
              <w:rPr>
                <w:sz w:val="20"/>
                <w:szCs w:val="20"/>
                <w:color w:val="auto"/>
              </w:rPr>
            </w:pPr>
            <w:r>
              <w:rPr>
                <w:rFonts w:ascii="Calibri" w:cs="Calibri" w:eastAsia="Calibri" w:hAnsi="Calibri"/>
                <w:sz w:val="12"/>
                <w:szCs w:val="12"/>
                <w:b w:val="1"/>
                <w:bCs w:val="1"/>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-4294505</wp:posOffset>
            </wp:positionV>
            <wp:extent cx="10801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Calibri" w:cs="Calibri" w:eastAsia="Calibri" w:hAnsi="Calibri"/>
          <w:sz w:val="12"/>
          <w:szCs w:val="12"/>
          <w:color w:val="auto"/>
        </w:rPr>
        <w:t>*Financial statements without consolidaton adjustments.</w:t>
      </w:r>
    </w:p>
    <w:p>
      <w:pPr>
        <w:spacing w:after="0" w:line="2" w:lineRule="exact"/>
        <w:rPr>
          <w:sz w:val="20"/>
          <w:szCs w:val="20"/>
          <w:color w:val="auto"/>
        </w:rPr>
      </w:pPr>
    </w:p>
    <w:p>
      <w:pPr>
        <w:spacing w:after="0"/>
        <w:rPr>
          <w:sz w:val="20"/>
          <w:szCs w:val="20"/>
          <w:color w:val="auto"/>
        </w:rPr>
      </w:pPr>
      <w:r>
        <w:rPr>
          <w:rFonts w:ascii="Calibri" w:cs="Calibri" w:eastAsia="Calibri" w:hAnsi="Calibri"/>
          <w:sz w:val="12"/>
          <w:szCs w:val="12"/>
          <w:color w:val="auto"/>
        </w:rPr>
        <w:t>(1) Excluding investments in real estate.</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color w:val="auto"/>
        </w:rPr>
        <w:t>From 1Q15 and on, Grupo Pacifco’s fnancial statements refect the agreement with Banmedica (in equal parts) of the businesses of:</w:t>
      </w:r>
    </w:p>
    <w:p>
      <w:pPr>
        <w:spacing w:after="0" w:line="7" w:lineRule="exact"/>
        <w:rPr>
          <w:sz w:val="20"/>
          <w:szCs w:val="20"/>
          <w:color w:val="auto"/>
        </w:rPr>
      </w:pPr>
    </w:p>
    <w:p>
      <w:pPr>
        <w:ind w:left="560" w:hanging="228"/>
        <w:spacing w:after="0"/>
        <w:tabs>
          <w:tab w:leader="none" w:pos="560" w:val="left"/>
        </w:tabs>
        <w:numPr>
          <w:ilvl w:val="0"/>
          <w:numId w:val="64"/>
        </w:numPr>
        <w:rPr>
          <w:rFonts w:ascii="Calibri" w:cs="Calibri" w:eastAsia="Calibri" w:hAnsi="Calibri"/>
          <w:sz w:val="16"/>
          <w:szCs w:val="16"/>
          <w:color w:val="auto"/>
        </w:rPr>
      </w:pPr>
      <w:r>
        <w:rPr>
          <w:rFonts w:ascii="Calibri" w:cs="Calibri" w:eastAsia="Calibri" w:hAnsi="Calibri"/>
          <w:sz w:val="16"/>
          <w:szCs w:val="16"/>
          <w:color w:val="auto"/>
        </w:rPr>
        <w:t>private health insurance managed by Grupo Pacifco and included in its Financial Statements in each of the accountng lines;</w:t>
      </w:r>
    </w:p>
    <w:p>
      <w:pPr>
        <w:spacing w:after="0" w:line="7" w:lineRule="exact"/>
        <w:rPr>
          <w:rFonts w:ascii="Calibri" w:cs="Calibri" w:eastAsia="Calibri" w:hAnsi="Calibri"/>
          <w:sz w:val="16"/>
          <w:szCs w:val="16"/>
          <w:color w:val="auto"/>
        </w:rPr>
      </w:pPr>
    </w:p>
    <w:p>
      <w:pPr>
        <w:ind w:left="560" w:hanging="228"/>
        <w:spacing w:after="0"/>
        <w:tabs>
          <w:tab w:leader="none" w:pos="560" w:val="left"/>
        </w:tabs>
        <w:numPr>
          <w:ilvl w:val="0"/>
          <w:numId w:val="64"/>
        </w:numPr>
        <w:rPr>
          <w:rFonts w:ascii="Calibri" w:cs="Calibri" w:eastAsia="Calibri" w:hAnsi="Calibri"/>
          <w:sz w:val="16"/>
          <w:szCs w:val="16"/>
          <w:color w:val="auto"/>
        </w:rPr>
      </w:pPr>
      <w:r>
        <w:rPr>
          <w:rFonts w:ascii="Calibri" w:cs="Calibri" w:eastAsia="Calibri" w:hAnsi="Calibri"/>
          <w:sz w:val="16"/>
          <w:szCs w:val="16"/>
          <w:color w:val="auto"/>
        </w:rPr>
        <w:t>corporate health insurance (dependent workers); and</w:t>
      </w:r>
    </w:p>
    <w:p>
      <w:pPr>
        <w:spacing w:after="0" w:line="7" w:lineRule="exact"/>
        <w:rPr>
          <w:rFonts w:ascii="Calibri" w:cs="Calibri" w:eastAsia="Calibri" w:hAnsi="Calibri"/>
          <w:sz w:val="16"/>
          <w:szCs w:val="16"/>
          <w:color w:val="auto"/>
        </w:rPr>
      </w:pPr>
    </w:p>
    <w:p>
      <w:pPr>
        <w:ind w:left="560" w:hanging="228"/>
        <w:spacing w:after="0"/>
        <w:tabs>
          <w:tab w:leader="none" w:pos="560" w:val="left"/>
        </w:tabs>
        <w:numPr>
          <w:ilvl w:val="0"/>
          <w:numId w:val="64"/>
        </w:numPr>
        <w:rPr>
          <w:rFonts w:ascii="Calibri" w:cs="Calibri" w:eastAsia="Calibri" w:hAnsi="Calibri"/>
          <w:sz w:val="16"/>
          <w:szCs w:val="16"/>
          <w:color w:val="auto"/>
        </w:rPr>
      </w:pPr>
      <w:r>
        <w:rPr>
          <w:rFonts w:ascii="Calibri" w:cs="Calibri" w:eastAsia="Calibri" w:hAnsi="Calibri"/>
          <w:sz w:val="16"/>
          <w:szCs w:val="16"/>
          <w:color w:val="auto"/>
        </w:rPr>
        <w:t>medical services.</w:t>
      </w:r>
    </w:p>
    <w:p>
      <w:pPr>
        <w:spacing w:after="0" w:line="211" w:lineRule="exact"/>
        <w:rPr>
          <w:sz w:val="20"/>
          <w:szCs w:val="20"/>
          <w:color w:val="auto"/>
        </w:rPr>
      </w:pPr>
    </w:p>
    <w:p>
      <w:pPr>
        <w:ind w:right="20"/>
        <w:spacing w:after="0" w:line="246" w:lineRule="auto"/>
        <w:rPr>
          <w:sz w:val="20"/>
          <w:szCs w:val="20"/>
          <w:color w:val="auto"/>
        </w:rPr>
      </w:pPr>
      <w:r>
        <w:rPr>
          <w:rFonts w:ascii="Calibri" w:cs="Calibri" w:eastAsia="Calibri" w:hAnsi="Calibri"/>
          <w:sz w:val="16"/>
          <w:szCs w:val="16"/>
          <w:color w:val="auto"/>
        </w:rPr>
        <w:t>The businesses described in ii) and iii) are managed by Banmedica, therefore they do not consolidate in Grupo Pacifco’s fnancial statements. The 50% of net income generated by Banmedica is recorded in Grupo Pacifco’s Income Statement as a gain/loss on investments in subsidiaries.</w:t>
      </w:r>
    </w:p>
    <w:p>
      <w:pPr>
        <w:spacing w:after="0" w:line="207" w:lineRule="exact"/>
        <w:rPr>
          <w:sz w:val="20"/>
          <w:szCs w:val="20"/>
          <w:color w:val="auto"/>
        </w:rPr>
      </w:pPr>
    </w:p>
    <w:p>
      <w:pPr>
        <w:spacing w:after="0" w:line="246" w:lineRule="auto"/>
        <w:rPr>
          <w:sz w:val="20"/>
          <w:szCs w:val="20"/>
          <w:color w:val="auto"/>
        </w:rPr>
      </w:pPr>
      <w:r>
        <w:rPr>
          <w:rFonts w:ascii="Calibri" w:cs="Calibri" w:eastAsia="Calibri" w:hAnsi="Calibri"/>
          <w:sz w:val="16"/>
          <w:szCs w:val="16"/>
          <w:color w:val="auto"/>
        </w:rPr>
        <w:t>As explained before, corporate health insurance and medical services businesses are consolidated by Banmedica. The following table refects the consolidated results from which Grupo Pacifco receives the 50% net income.</w:t>
      </w:r>
    </w:p>
    <w:p>
      <w:pPr>
        <w:spacing w:after="0" w:line="17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453"/>
        </w:trPr>
        <w:tc>
          <w:tcPr>
            <w:tcW w:w="2280" w:type="dxa"/>
            <w:vAlign w:val="bottom"/>
            <w:tcBorders>
              <w:left w:val="single" w:sz="8" w:color="auto"/>
            </w:tcBorders>
            <w:shd w:val="clear" w:color="auto" w:fill="000000"/>
          </w:tcPr>
          <w:p>
            <w:pPr>
              <w:spacing w:after="0"/>
              <w:rPr>
                <w:sz w:val="24"/>
                <w:szCs w:val="24"/>
                <w:color w:val="auto"/>
              </w:rPr>
            </w:pPr>
          </w:p>
        </w:tc>
        <w:tc>
          <w:tcPr>
            <w:tcW w:w="2540" w:type="dxa"/>
            <w:vAlign w:val="bottom"/>
            <w:gridSpan w:val="3"/>
            <w:shd w:val="clear" w:color="auto" w:fill="000000"/>
          </w:tcPr>
          <w:p>
            <w:pPr>
              <w:jc w:val="right"/>
              <w:ind w:right="156"/>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1080" w:type="dxa"/>
            <w:vAlign w:val="bottom"/>
            <w:tcBorders>
              <w:right w:val="single" w:sz="8" w:color="auto"/>
            </w:tcBorders>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2540" w:type="dxa"/>
            <w:vAlign w:val="bottom"/>
            <w:gridSpan w:val="4"/>
            <w:shd w:val="clear" w:color="auto" w:fill="000000"/>
          </w:tcPr>
          <w:p>
            <w:pPr>
              <w:spacing w:after="0"/>
              <w:rPr>
                <w:sz w:val="20"/>
                <w:szCs w:val="20"/>
                <w:color w:val="auto"/>
              </w:rPr>
            </w:pPr>
            <w:r>
              <w:rPr>
                <w:rFonts w:ascii="Calibri" w:cs="Calibri" w:eastAsia="Calibri" w:hAnsi="Calibri"/>
                <w:sz w:val="16"/>
                <w:szCs w:val="16"/>
                <w:color w:val="ED3FA8"/>
              </w:rPr>
              <w:t>Analysis of 3Q24 Consolidated Results</w:t>
            </w:r>
          </w:p>
        </w:tc>
        <w:tc>
          <w:tcPr>
            <w:tcW w:w="1060" w:type="dxa"/>
            <w:vAlign w:val="bottom"/>
            <w:tcBorders>
              <w:right w:val="single" w:sz="8" w:color="auto"/>
            </w:tcBorders>
            <w:shd w:val="clear" w:color="auto" w:fill="000000"/>
          </w:tcPr>
          <w:p>
            <w:pPr>
              <w:spacing w:after="0"/>
              <w:rPr>
                <w:sz w:val="24"/>
                <w:szCs w:val="24"/>
                <w:color w:val="auto"/>
              </w:rPr>
            </w:pPr>
          </w:p>
        </w:tc>
      </w:tr>
      <w:tr>
        <w:trPr>
          <w:trHeight w:val="330"/>
        </w:trPr>
        <w:tc>
          <w:tcPr>
            <w:tcW w:w="2280" w:type="dxa"/>
            <w:vAlign w:val="bottom"/>
            <w:tcBorders>
              <w:left w:val="single" w:sz="8" w:color="auto"/>
            </w:tcBorders>
            <w:shd w:val="clear" w:color="auto" w:fill="000000"/>
          </w:tcPr>
          <w:p>
            <w:pPr>
              <w:spacing w:after="0"/>
              <w:rPr>
                <w:sz w:val="24"/>
                <w:szCs w:val="24"/>
                <w:color w:val="auto"/>
              </w:rPr>
            </w:pPr>
          </w:p>
        </w:tc>
        <w:tc>
          <w:tcPr>
            <w:tcW w:w="540" w:type="dxa"/>
            <w:vAlign w:val="bottom"/>
            <w:tcBorders>
              <w:right w:val="single" w:sz="8" w:color="auto"/>
            </w:tcBorders>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1100" w:type="dxa"/>
            <w:vAlign w:val="bottom"/>
            <w:shd w:val="clear" w:color="auto" w:fill="000000"/>
          </w:tcPr>
          <w:p>
            <w:pPr>
              <w:spacing w:after="0"/>
              <w:rPr>
                <w:sz w:val="24"/>
                <w:szCs w:val="24"/>
                <w:color w:val="auto"/>
              </w:rPr>
            </w:pPr>
          </w:p>
        </w:tc>
        <w:tc>
          <w:tcPr>
            <w:tcW w:w="1080" w:type="dxa"/>
            <w:vAlign w:val="bottom"/>
            <w:tcBorders>
              <w:right w:val="single" w:sz="8" w:color="auto"/>
            </w:tcBorders>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1000" w:type="dxa"/>
            <w:vAlign w:val="bottom"/>
            <w:shd w:val="clear" w:color="auto" w:fill="000000"/>
          </w:tcPr>
          <w:p>
            <w:pPr>
              <w:spacing w:after="0"/>
              <w:rPr>
                <w:sz w:val="24"/>
                <w:szCs w:val="24"/>
                <w:color w:val="auto"/>
              </w:rPr>
            </w:pPr>
          </w:p>
        </w:tc>
        <w:tc>
          <w:tcPr>
            <w:tcW w:w="320" w:type="dxa"/>
            <w:vAlign w:val="bottom"/>
            <w:tcBorders>
              <w:right w:val="single" w:sz="8" w:color="auto"/>
            </w:tcBorders>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1240" w:type="dxa"/>
            <w:vAlign w:val="bottom"/>
            <w:tcBorders>
              <w:right w:val="single" w:sz="8" w:color="auto"/>
            </w:tcBorders>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1060" w:type="dxa"/>
            <w:vAlign w:val="bottom"/>
            <w:tcBorders>
              <w:right w:val="single" w:sz="8" w:color="auto"/>
            </w:tcBorders>
            <w:shd w:val="clear" w:color="auto" w:fill="000000"/>
          </w:tcPr>
          <w:p>
            <w:pPr>
              <w:spacing w:after="0"/>
              <w:rPr>
                <w:sz w:val="24"/>
                <w:szCs w:val="24"/>
                <w:color w:val="auto"/>
              </w:rPr>
            </w:pPr>
          </w:p>
        </w:tc>
      </w:tr>
      <w:tr>
        <w:trPr>
          <w:trHeight w:val="264"/>
        </w:trPr>
        <w:tc>
          <w:tcPr>
            <w:tcW w:w="228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540" w:type="dxa"/>
            <w:vAlign w:val="bottom"/>
            <w:tcBorders>
              <w:right w:val="single" w:sz="8" w:color="E93BAC"/>
            </w:tcBorders>
            <w:shd w:val="clear" w:color="auto" w:fill="E93BAC"/>
          </w:tcPr>
          <w:p>
            <w:pPr>
              <w:spacing w:after="0"/>
              <w:rPr>
                <w:sz w:val="22"/>
                <w:szCs w:val="22"/>
                <w:color w:val="auto"/>
              </w:rPr>
            </w:pPr>
          </w:p>
        </w:tc>
        <w:tc>
          <w:tcPr>
            <w:tcW w:w="900" w:type="dxa"/>
            <w:vAlign w:val="bottom"/>
            <w:shd w:val="clear" w:color="auto" w:fill="E93BAC"/>
          </w:tcPr>
          <w:p>
            <w:pPr>
              <w:spacing w:after="0"/>
              <w:rPr>
                <w:sz w:val="22"/>
                <w:szCs w:val="22"/>
                <w:color w:val="auto"/>
              </w:rPr>
            </w:pPr>
          </w:p>
        </w:tc>
        <w:tc>
          <w:tcPr>
            <w:tcW w:w="1100" w:type="dxa"/>
            <w:vAlign w:val="bottom"/>
            <w:shd w:val="clear" w:color="auto" w:fill="E93BAC"/>
          </w:tcPr>
          <w:p>
            <w:pPr>
              <w:spacing w:after="0"/>
              <w:rPr>
                <w:sz w:val="22"/>
                <w:szCs w:val="22"/>
                <w:color w:val="auto"/>
              </w:rPr>
            </w:pPr>
          </w:p>
        </w:tc>
        <w:tc>
          <w:tcPr>
            <w:tcW w:w="1080" w:type="dxa"/>
            <w:vAlign w:val="bottom"/>
            <w:tcBorders>
              <w:right w:val="single" w:sz="8" w:color="E93BAC"/>
            </w:tcBorders>
            <w:shd w:val="clear" w:color="auto" w:fill="E93BAC"/>
          </w:tcPr>
          <w:p>
            <w:pPr>
              <w:spacing w:after="0"/>
              <w:rPr>
                <w:sz w:val="22"/>
                <w:szCs w:val="22"/>
                <w:color w:val="auto"/>
              </w:rPr>
            </w:pPr>
          </w:p>
        </w:tc>
        <w:tc>
          <w:tcPr>
            <w:tcW w:w="740" w:type="dxa"/>
            <w:vAlign w:val="bottom"/>
            <w:shd w:val="clear" w:color="auto" w:fill="E93BAC"/>
          </w:tcPr>
          <w:p>
            <w:pPr>
              <w:spacing w:after="0"/>
              <w:rPr>
                <w:sz w:val="22"/>
                <w:szCs w:val="22"/>
                <w:color w:val="auto"/>
              </w:rPr>
            </w:pPr>
          </w:p>
        </w:tc>
        <w:tc>
          <w:tcPr>
            <w:tcW w:w="1000" w:type="dxa"/>
            <w:vAlign w:val="bottom"/>
            <w:shd w:val="clear" w:color="auto" w:fill="E93BAC"/>
          </w:tcPr>
          <w:p>
            <w:pPr>
              <w:spacing w:after="0"/>
              <w:rPr>
                <w:sz w:val="22"/>
                <w:szCs w:val="22"/>
                <w:color w:val="auto"/>
              </w:rPr>
            </w:pPr>
          </w:p>
        </w:tc>
        <w:tc>
          <w:tcPr>
            <w:tcW w:w="320" w:type="dxa"/>
            <w:vAlign w:val="bottom"/>
            <w:tcBorders>
              <w:right w:val="single" w:sz="8" w:color="E93BAC"/>
            </w:tcBorders>
            <w:shd w:val="clear" w:color="auto" w:fill="E93BAC"/>
          </w:tcPr>
          <w:p>
            <w:pPr>
              <w:spacing w:after="0"/>
              <w:rPr>
                <w:sz w:val="22"/>
                <w:szCs w:val="22"/>
                <w:color w:val="auto"/>
              </w:rPr>
            </w:pPr>
          </w:p>
        </w:tc>
        <w:tc>
          <w:tcPr>
            <w:tcW w:w="800" w:type="dxa"/>
            <w:vAlign w:val="bottom"/>
            <w:shd w:val="clear" w:color="auto" w:fill="E93BAC"/>
          </w:tcPr>
          <w:p>
            <w:pPr>
              <w:spacing w:after="0"/>
              <w:rPr>
                <w:sz w:val="22"/>
                <w:szCs w:val="22"/>
                <w:color w:val="auto"/>
              </w:rPr>
            </w:pPr>
          </w:p>
        </w:tc>
        <w:tc>
          <w:tcPr>
            <w:tcW w:w="1240" w:type="dxa"/>
            <w:vAlign w:val="bottom"/>
            <w:tcBorders>
              <w:right w:val="single" w:sz="8" w:color="E93BAC"/>
            </w:tcBorders>
            <w:shd w:val="clear" w:color="auto" w:fill="E93BAC"/>
          </w:tcPr>
          <w:p>
            <w:pPr>
              <w:spacing w:after="0"/>
              <w:rPr>
                <w:sz w:val="22"/>
                <w:szCs w:val="22"/>
                <w:color w:val="auto"/>
              </w:rPr>
            </w:pPr>
          </w:p>
        </w:tc>
        <w:tc>
          <w:tcPr>
            <w:tcW w:w="180" w:type="dxa"/>
            <w:vAlign w:val="bottom"/>
            <w:shd w:val="clear" w:color="auto" w:fill="E93BAC"/>
          </w:tcPr>
          <w:p>
            <w:pPr>
              <w:spacing w:after="0"/>
              <w:rPr>
                <w:sz w:val="22"/>
                <w:szCs w:val="22"/>
                <w:color w:val="auto"/>
              </w:rPr>
            </w:pPr>
          </w:p>
        </w:tc>
        <w:tc>
          <w:tcPr>
            <w:tcW w:w="1060" w:type="dxa"/>
            <w:vAlign w:val="bottom"/>
            <w:tcBorders>
              <w:right w:val="single" w:sz="8" w:color="E93BAC"/>
            </w:tcBorders>
            <w:shd w:val="clear" w:color="auto" w:fill="E93BAC"/>
          </w:tcPr>
          <w:p>
            <w:pPr>
              <w:spacing w:after="0"/>
              <w:rPr>
                <w:sz w:val="22"/>
                <w:szCs w:val="22"/>
                <w:color w:val="auto"/>
              </w:rPr>
            </w:pPr>
          </w:p>
        </w:tc>
      </w:tr>
      <w:tr>
        <w:trPr>
          <w:trHeight w:val="87"/>
        </w:trPr>
        <w:tc>
          <w:tcPr>
            <w:tcW w:w="2280" w:type="dxa"/>
            <w:vAlign w:val="bottom"/>
            <w:tcBorders>
              <w:left w:val="single" w:sz="8" w:color="E93BAC"/>
            </w:tcBorders>
            <w:shd w:val="clear" w:color="auto" w:fill="E93BAC"/>
          </w:tcPr>
          <w:p>
            <w:pPr>
              <w:spacing w:after="0"/>
              <w:rPr>
                <w:sz w:val="7"/>
                <w:szCs w:val="7"/>
                <w:color w:val="auto"/>
              </w:rPr>
            </w:pPr>
          </w:p>
        </w:tc>
        <w:tc>
          <w:tcPr>
            <w:tcW w:w="540" w:type="dxa"/>
            <w:vAlign w:val="bottom"/>
            <w:tcBorders>
              <w:right w:val="single" w:sz="8" w:color="E93BAC"/>
            </w:tcBorders>
            <w:shd w:val="clear" w:color="auto" w:fill="E93BAC"/>
          </w:tcPr>
          <w:p>
            <w:pPr>
              <w:spacing w:after="0"/>
              <w:rPr>
                <w:sz w:val="7"/>
                <w:szCs w:val="7"/>
                <w:color w:val="auto"/>
              </w:rPr>
            </w:pPr>
          </w:p>
        </w:tc>
        <w:tc>
          <w:tcPr>
            <w:tcW w:w="900" w:type="dxa"/>
            <w:vAlign w:val="bottom"/>
            <w:shd w:val="clear" w:color="auto" w:fill="E93BAC"/>
          </w:tcPr>
          <w:p>
            <w:pPr>
              <w:spacing w:after="0"/>
              <w:rPr>
                <w:sz w:val="7"/>
                <w:szCs w:val="7"/>
                <w:color w:val="auto"/>
              </w:rPr>
            </w:pPr>
          </w:p>
        </w:tc>
        <w:tc>
          <w:tcPr>
            <w:tcW w:w="2180" w:type="dxa"/>
            <w:vAlign w:val="bottom"/>
            <w:tcBorders>
              <w:right w:val="single" w:sz="8" w:color="E93BAC"/>
            </w:tcBorders>
            <w:gridSpan w:val="2"/>
            <w:shd w:val="clear" w:color="auto" w:fill="E93BAC"/>
          </w:tcPr>
          <w:p>
            <w:pPr>
              <w:spacing w:after="0"/>
              <w:rPr>
                <w:sz w:val="7"/>
                <w:szCs w:val="7"/>
                <w:color w:val="auto"/>
              </w:rPr>
            </w:pPr>
          </w:p>
        </w:tc>
        <w:tc>
          <w:tcPr>
            <w:tcW w:w="1740" w:type="dxa"/>
            <w:vAlign w:val="bottom"/>
            <w:gridSpan w:val="2"/>
            <w:shd w:val="clear" w:color="auto" w:fill="E93BAC"/>
          </w:tcPr>
          <w:p>
            <w:pPr>
              <w:spacing w:after="0"/>
              <w:rPr>
                <w:sz w:val="7"/>
                <w:szCs w:val="7"/>
                <w:color w:val="auto"/>
              </w:rPr>
            </w:pPr>
          </w:p>
        </w:tc>
        <w:tc>
          <w:tcPr>
            <w:tcW w:w="320" w:type="dxa"/>
            <w:vAlign w:val="bottom"/>
            <w:tcBorders>
              <w:right w:val="single" w:sz="8" w:color="E93BAC"/>
            </w:tcBorders>
            <w:shd w:val="clear" w:color="auto" w:fill="E93BAC"/>
          </w:tcPr>
          <w:p>
            <w:pPr>
              <w:spacing w:after="0"/>
              <w:rPr>
                <w:sz w:val="7"/>
                <w:szCs w:val="7"/>
                <w:color w:val="auto"/>
              </w:rPr>
            </w:pPr>
          </w:p>
        </w:tc>
        <w:tc>
          <w:tcPr>
            <w:tcW w:w="800" w:type="dxa"/>
            <w:vAlign w:val="bottom"/>
            <w:shd w:val="clear" w:color="auto" w:fill="E93BAC"/>
          </w:tcPr>
          <w:p>
            <w:pPr>
              <w:spacing w:after="0"/>
              <w:rPr>
                <w:sz w:val="7"/>
                <w:szCs w:val="7"/>
                <w:color w:val="auto"/>
              </w:rPr>
            </w:pPr>
          </w:p>
        </w:tc>
        <w:tc>
          <w:tcPr>
            <w:tcW w:w="1240" w:type="dxa"/>
            <w:vAlign w:val="bottom"/>
            <w:tcBorders>
              <w:right w:val="single" w:sz="8" w:color="E93BAC"/>
            </w:tcBorders>
            <w:shd w:val="clear" w:color="auto" w:fill="E93BAC"/>
          </w:tcPr>
          <w:p>
            <w:pPr>
              <w:spacing w:after="0"/>
              <w:rPr>
                <w:sz w:val="7"/>
                <w:szCs w:val="7"/>
                <w:color w:val="auto"/>
              </w:rPr>
            </w:pPr>
          </w:p>
        </w:tc>
        <w:tc>
          <w:tcPr>
            <w:tcW w:w="180" w:type="dxa"/>
            <w:vAlign w:val="bottom"/>
            <w:shd w:val="clear" w:color="auto" w:fill="E93BAC"/>
          </w:tcPr>
          <w:p>
            <w:pPr>
              <w:spacing w:after="0"/>
              <w:rPr>
                <w:sz w:val="7"/>
                <w:szCs w:val="7"/>
                <w:color w:val="auto"/>
              </w:rPr>
            </w:pPr>
          </w:p>
        </w:tc>
        <w:tc>
          <w:tcPr>
            <w:tcW w:w="1060" w:type="dxa"/>
            <w:vAlign w:val="bottom"/>
            <w:tcBorders>
              <w:right w:val="single" w:sz="8" w:color="E93BAC"/>
            </w:tcBorders>
            <w:shd w:val="clear" w:color="auto" w:fill="E93BAC"/>
          </w:tcPr>
          <w:p>
            <w:pPr>
              <w:spacing w:after="0"/>
              <w:rPr>
                <w:sz w:val="7"/>
                <w:szCs w:val="7"/>
                <w:color w:val="auto"/>
              </w:rPr>
            </w:pPr>
          </w:p>
        </w:tc>
      </w:tr>
      <w:tr>
        <w:trPr>
          <w:trHeight w:val="337"/>
        </w:trPr>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20" w:type="dxa"/>
            <w:vAlign w:val="bottom"/>
            <w:gridSpan w:val="4"/>
          </w:tcPr>
          <w:p>
            <w:pPr>
              <w:jc w:val="center"/>
              <w:ind w:right="37"/>
              <w:spacing w:after="0"/>
              <w:rPr>
                <w:sz w:val="20"/>
                <w:szCs w:val="20"/>
                <w:color w:val="auto"/>
              </w:rPr>
            </w:pPr>
            <w:r>
              <w:rPr>
                <w:rFonts w:ascii="Calibri" w:cs="Calibri" w:eastAsia="Calibri" w:hAnsi="Calibri"/>
                <w:sz w:val="16"/>
                <w:szCs w:val="16"/>
                <w:b w:val="1"/>
                <w:bCs w:val="1"/>
                <w:color w:val="auto"/>
              </w:rPr>
              <w:t>Corporate health insurance and Medical Services (1)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gridSpan w:val="2"/>
          </w:tcPr>
          <w:p>
            <w:pPr>
              <w:jc w:val="center"/>
              <w:ind w:right="137"/>
              <w:spacing w:after="0"/>
              <w:rPr>
                <w:sz w:val="20"/>
                <w:szCs w:val="20"/>
                <w:color w:val="auto"/>
              </w:rPr>
            </w:pPr>
            <w:r>
              <w:rPr>
                <w:rFonts w:ascii="Calibri" w:cs="Calibri" w:eastAsia="Calibri" w:hAnsi="Calibri"/>
                <w:sz w:val="16"/>
                <w:szCs w:val="16"/>
                <w:b w:val="1"/>
                <w:bCs w:val="1"/>
                <w:color w:val="auto"/>
              </w:rPr>
              <w:t>(S/ in thousands)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2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142"/>
        </w:trPr>
        <w:tc>
          <w:tcPr>
            <w:tcW w:w="2280" w:type="dxa"/>
            <w:vAlign w:val="bottom"/>
            <w:tcBorders>
              <w:left w:val="single" w:sz="8" w:color="auto"/>
            </w:tcBorders>
            <w:shd w:val="clear" w:color="auto" w:fill="33CCCC"/>
          </w:tcPr>
          <w:p>
            <w:pPr>
              <w:spacing w:after="0"/>
              <w:rPr>
                <w:sz w:val="12"/>
                <w:szCs w:val="12"/>
                <w:color w:val="auto"/>
              </w:rPr>
            </w:pPr>
          </w:p>
        </w:tc>
        <w:tc>
          <w:tcPr>
            <w:tcW w:w="540" w:type="dxa"/>
            <w:vAlign w:val="bottom"/>
            <w:tcBorders>
              <w:right w:val="single" w:sz="8" w:color="auto"/>
            </w:tcBorders>
            <w:shd w:val="clear" w:color="auto" w:fill="33CCCC"/>
          </w:tcPr>
          <w:p>
            <w:pPr>
              <w:spacing w:after="0"/>
              <w:rPr>
                <w:sz w:val="12"/>
                <w:szCs w:val="12"/>
                <w:color w:val="auto"/>
              </w:rPr>
            </w:pPr>
          </w:p>
        </w:tc>
        <w:tc>
          <w:tcPr>
            <w:tcW w:w="900" w:type="dxa"/>
            <w:vAlign w:val="bottom"/>
            <w:shd w:val="clear" w:color="auto" w:fill="33CCCC"/>
          </w:tcPr>
          <w:p>
            <w:pPr>
              <w:spacing w:after="0"/>
              <w:rPr>
                <w:sz w:val="12"/>
                <w:szCs w:val="12"/>
                <w:color w:val="auto"/>
              </w:rPr>
            </w:pPr>
          </w:p>
        </w:tc>
        <w:tc>
          <w:tcPr>
            <w:tcW w:w="1100" w:type="dxa"/>
            <w:vAlign w:val="bottom"/>
            <w:shd w:val="clear" w:color="auto" w:fill="33CCCC"/>
          </w:tcPr>
          <w:p>
            <w:pPr>
              <w:jc w:val="right"/>
              <w:ind w:right="156"/>
              <w:spacing w:after="0" w:line="142" w:lineRule="exact"/>
              <w:rPr>
                <w:sz w:val="20"/>
                <w:szCs w:val="20"/>
                <w:color w:val="auto"/>
              </w:rPr>
            </w:pPr>
            <w:r>
              <w:rPr>
                <w:rFonts w:ascii="Calibri" w:cs="Calibri" w:eastAsia="Calibri" w:hAnsi="Calibri"/>
                <w:sz w:val="13"/>
                <w:szCs w:val="13"/>
                <w:b w:val="1"/>
                <w:bCs w:val="1"/>
                <w:color w:val="FFFFFF"/>
              </w:rPr>
              <w:t>Quarterly</w:t>
            </w:r>
          </w:p>
        </w:tc>
        <w:tc>
          <w:tcPr>
            <w:tcW w:w="1080" w:type="dxa"/>
            <w:vAlign w:val="bottom"/>
            <w:tcBorders>
              <w:right w:val="single" w:sz="8" w:color="auto"/>
            </w:tcBorders>
            <w:shd w:val="clear" w:color="auto" w:fill="33CCCC"/>
          </w:tcPr>
          <w:p>
            <w:pPr>
              <w:spacing w:after="0"/>
              <w:rPr>
                <w:sz w:val="12"/>
                <w:szCs w:val="12"/>
                <w:color w:val="auto"/>
              </w:rPr>
            </w:pPr>
          </w:p>
        </w:tc>
        <w:tc>
          <w:tcPr>
            <w:tcW w:w="740" w:type="dxa"/>
            <w:vAlign w:val="bottom"/>
            <w:shd w:val="clear" w:color="auto" w:fill="33CCCC"/>
          </w:tcPr>
          <w:p>
            <w:pPr>
              <w:spacing w:after="0"/>
              <w:rPr>
                <w:sz w:val="12"/>
                <w:szCs w:val="12"/>
                <w:color w:val="auto"/>
              </w:rPr>
            </w:pPr>
          </w:p>
        </w:tc>
        <w:tc>
          <w:tcPr>
            <w:tcW w:w="1000" w:type="dxa"/>
            <w:vAlign w:val="bottom"/>
            <w:shd w:val="clear" w:color="auto" w:fill="33CCCC"/>
          </w:tcPr>
          <w:p>
            <w:pPr>
              <w:ind w:left="20"/>
              <w:spacing w:after="0" w:line="142" w:lineRule="exact"/>
              <w:rPr>
                <w:sz w:val="20"/>
                <w:szCs w:val="20"/>
                <w:color w:val="auto"/>
              </w:rPr>
            </w:pPr>
            <w:r>
              <w:rPr>
                <w:rFonts w:ascii="Calibri" w:cs="Calibri" w:eastAsia="Calibri" w:hAnsi="Calibri"/>
                <w:sz w:val="13"/>
                <w:szCs w:val="13"/>
                <w:b w:val="1"/>
                <w:bCs w:val="1"/>
                <w:color w:val="FFFFFF"/>
              </w:rPr>
              <w:t>% change</w:t>
            </w:r>
          </w:p>
        </w:tc>
        <w:tc>
          <w:tcPr>
            <w:tcW w:w="320" w:type="dxa"/>
            <w:vAlign w:val="bottom"/>
            <w:tcBorders>
              <w:right w:val="single" w:sz="8" w:color="auto"/>
            </w:tcBorders>
            <w:shd w:val="clear" w:color="auto" w:fill="33CCCC"/>
          </w:tcPr>
          <w:p>
            <w:pPr>
              <w:spacing w:after="0"/>
              <w:rPr>
                <w:sz w:val="12"/>
                <w:szCs w:val="12"/>
                <w:color w:val="auto"/>
              </w:rPr>
            </w:pPr>
          </w:p>
        </w:tc>
        <w:tc>
          <w:tcPr>
            <w:tcW w:w="800" w:type="dxa"/>
            <w:vAlign w:val="bottom"/>
            <w:shd w:val="clear" w:color="auto" w:fill="33CCCC"/>
          </w:tcPr>
          <w:p>
            <w:pPr>
              <w:spacing w:after="0"/>
              <w:rPr>
                <w:sz w:val="12"/>
                <w:szCs w:val="12"/>
                <w:color w:val="auto"/>
              </w:rPr>
            </w:pPr>
          </w:p>
        </w:tc>
        <w:tc>
          <w:tcPr>
            <w:tcW w:w="1240" w:type="dxa"/>
            <w:vAlign w:val="bottom"/>
            <w:tcBorders>
              <w:right w:val="single" w:sz="8" w:color="auto"/>
            </w:tcBorders>
            <w:shd w:val="clear" w:color="auto" w:fill="33CCCC"/>
          </w:tcPr>
          <w:p>
            <w:pPr>
              <w:ind w:left="60"/>
              <w:spacing w:after="0" w:line="142" w:lineRule="exact"/>
              <w:rPr>
                <w:sz w:val="20"/>
                <w:szCs w:val="20"/>
                <w:color w:val="auto"/>
              </w:rPr>
            </w:pPr>
            <w:r>
              <w:rPr>
                <w:rFonts w:ascii="Calibri" w:cs="Calibri" w:eastAsia="Calibri" w:hAnsi="Calibri"/>
                <w:sz w:val="13"/>
                <w:szCs w:val="13"/>
                <w:b w:val="1"/>
                <w:bCs w:val="1"/>
                <w:color w:val="FFFFFF"/>
              </w:rPr>
              <w:t>Up to</w:t>
            </w:r>
          </w:p>
        </w:tc>
        <w:tc>
          <w:tcPr>
            <w:tcW w:w="180" w:type="dxa"/>
            <w:vAlign w:val="bottom"/>
            <w:shd w:val="clear" w:color="auto" w:fill="33CCCC"/>
          </w:tcPr>
          <w:p>
            <w:pPr>
              <w:spacing w:after="0"/>
              <w:rPr>
                <w:sz w:val="12"/>
                <w:szCs w:val="12"/>
                <w:color w:val="auto"/>
              </w:rPr>
            </w:pPr>
          </w:p>
        </w:tc>
        <w:tc>
          <w:tcPr>
            <w:tcW w:w="1060" w:type="dxa"/>
            <w:vAlign w:val="bottom"/>
            <w:tcBorders>
              <w:right w:val="single" w:sz="8" w:color="auto"/>
            </w:tcBorders>
            <w:shd w:val="clear" w:color="auto" w:fill="33CCCC"/>
          </w:tcPr>
          <w:p>
            <w:pPr>
              <w:jc w:val="center"/>
              <w:ind w:right="137"/>
              <w:spacing w:after="0" w:line="142" w:lineRule="exact"/>
              <w:rPr>
                <w:sz w:val="20"/>
                <w:szCs w:val="20"/>
                <w:color w:val="auto"/>
              </w:rPr>
            </w:pPr>
            <w:r>
              <w:rPr>
                <w:rFonts w:ascii="Calibri" w:cs="Calibri" w:eastAsia="Calibri" w:hAnsi="Calibri"/>
                <w:sz w:val="13"/>
                <w:szCs w:val="13"/>
                <w:b w:val="1"/>
                <w:bCs w:val="1"/>
                <w:color w:val="FFFFFF"/>
                <w:w w:val="98"/>
              </w:rPr>
              <w:t>% change</w:t>
            </w:r>
          </w:p>
        </w:tc>
      </w:tr>
      <w:tr>
        <w:trPr>
          <w:trHeight w:val="148"/>
        </w:trPr>
        <w:tc>
          <w:tcPr>
            <w:tcW w:w="2280" w:type="dxa"/>
            <w:vAlign w:val="bottom"/>
            <w:tcBorders>
              <w:left w:val="single" w:sz="8" w:color="auto"/>
              <w:bottom w:val="single" w:sz="8" w:color="auto"/>
            </w:tcBorders>
            <w:shd w:val="clear" w:color="auto" w:fill="33CCCC"/>
          </w:tcPr>
          <w:p>
            <w:pPr>
              <w:spacing w:after="0"/>
              <w:rPr>
                <w:sz w:val="12"/>
                <w:szCs w:val="12"/>
                <w:color w:val="auto"/>
              </w:rPr>
            </w:pPr>
          </w:p>
        </w:tc>
        <w:tc>
          <w:tcPr>
            <w:tcW w:w="540" w:type="dxa"/>
            <w:vAlign w:val="bottom"/>
            <w:tcBorders>
              <w:bottom w:val="single" w:sz="8" w:color="auto"/>
              <w:right w:val="single" w:sz="8" w:color="auto"/>
            </w:tcBorders>
            <w:shd w:val="clear" w:color="auto" w:fill="33CCCC"/>
          </w:tcPr>
          <w:p>
            <w:pPr>
              <w:spacing w:after="0"/>
              <w:rPr>
                <w:sz w:val="12"/>
                <w:szCs w:val="12"/>
                <w:color w:val="auto"/>
              </w:rPr>
            </w:pPr>
          </w:p>
        </w:tc>
        <w:tc>
          <w:tcPr>
            <w:tcW w:w="900" w:type="dxa"/>
            <w:vAlign w:val="bottom"/>
            <w:tcBorders>
              <w:bottom w:val="single" w:sz="8" w:color="auto"/>
            </w:tcBorders>
            <w:shd w:val="clear" w:color="auto" w:fill="33CCCC"/>
          </w:tcPr>
          <w:p>
            <w:pPr>
              <w:jc w:val="center"/>
              <w:ind w:left="37"/>
              <w:spacing w:after="0" w:line="149" w:lineRule="exact"/>
              <w:rPr>
                <w:sz w:val="20"/>
                <w:szCs w:val="20"/>
                <w:color w:val="auto"/>
              </w:rPr>
            </w:pPr>
            <w:r>
              <w:rPr>
                <w:rFonts w:ascii="Calibri" w:cs="Calibri" w:eastAsia="Calibri" w:hAnsi="Calibri"/>
                <w:sz w:val="13"/>
                <w:szCs w:val="13"/>
                <w:b w:val="1"/>
                <w:bCs w:val="1"/>
                <w:color w:val="FFFFFF"/>
                <w:w w:val="97"/>
              </w:rPr>
              <w:t>3Q23</w:t>
            </w:r>
          </w:p>
        </w:tc>
        <w:tc>
          <w:tcPr>
            <w:tcW w:w="1100" w:type="dxa"/>
            <w:vAlign w:val="bottom"/>
            <w:tcBorders>
              <w:bottom w:val="single" w:sz="8" w:color="auto"/>
            </w:tcBorders>
            <w:shd w:val="clear" w:color="auto" w:fill="33CCCC"/>
          </w:tcPr>
          <w:p>
            <w:pPr>
              <w:jc w:val="center"/>
              <w:ind w:left="76"/>
              <w:spacing w:after="0" w:line="149" w:lineRule="exact"/>
              <w:rPr>
                <w:sz w:val="20"/>
                <w:szCs w:val="20"/>
                <w:color w:val="auto"/>
              </w:rPr>
            </w:pPr>
            <w:r>
              <w:rPr>
                <w:rFonts w:ascii="Calibri" w:cs="Calibri" w:eastAsia="Calibri" w:hAnsi="Calibri"/>
                <w:sz w:val="13"/>
                <w:szCs w:val="13"/>
                <w:b w:val="1"/>
                <w:bCs w:val="1"/>
                <w:color w:val="FFFFFF"/>
                <w:w w:val="97"/>
              </w:rPr>
              <w:t>2Q24</w:t>
            </w:r>
          </w:p>
        </w:tc>
        <w:tc>
          <w:tcPr>
            <w:tcW w:w="1080" w:type="dxa"/>
            <w:vAlign w:val="bottom"/>
            <w:tcBorders>
              <w:bottom w:val="single" w:sz="8" w:color="auto"/>
              <w:right w:val="single" w:sz="8" w:color="auto"/>
            </w:tcBorders>
            <w:shd w:val="clear" w:color="auto" w:fill="33CCCC"/>
          </w:tcPr>
          <w:p>
            <w:pPr>
              <w:jc w:val="center"/>
              <w:spacing w:after="0" w:line="149" w:lineRule="exact"/>
              <w:rPr>
                <w:sz w:val="20"/>
                <w:szCs w:val="20"/>
                <w:color w:val="auto"/>
              </w:rPr>
            </w:pPr>
            <w:r>
              <w:rPr>
                <w:rFonts w:ascii="Calibri" w:cs="Calibri" w:eastAsia="Calibri" w:hAnsi="Calibri"/>
                <w:sz w:val="13"/>
                <w:szCs w:val="13"/>
                <w:b w:val="1"/>
                <w:bCs w:val="1"/>
                <w:color w:val="FFFFFF"/>
                <w:w w:val="97"/>
              </w:rPr>
              <w:t>3Q24</w:t>
            </w:r>
          </w:p>
        </w:tc>
        <w:tc>
          <w:tcPr>
            <w:tcW w:w="740" w:type="dxa"/>
            <w:vAlign w:val="bottom"/>
            <w:tcBorders>
              <w:bottom w:val="single" w:sz="8" w:color="auto"/>
            </w:tcBorders>
            <w:shd w:val="clear" w:color="auto" w:fill="33CCCC"/>
          </w:tcPr>
          <w:p>
            <w:pPr>
              <w:ind w:left="380"/>
              <w:spacing w:after="0" w:line="149" w:lineRule="exact"/>
              <w:rPr>
                <w:sz w:val="20"/>
                <w:szCs w:val="20"/>
                <w:color w:val="auto"/>
              </w:rPr>
            </w:pPr>
            <w:r>
              <w:rPr>
                <w:rFonts w:ascii="Calibri" w:cs="Calibri" w:eastAsia="Calibri" w:hAnsi="Calibri"/>
                <w:sz w:val="13"/>
                <w:szCs w:val="13"/>
                <w:b w:val="1"/>
                <w:bCs w:val="1"/>
                <w:color w:val="FFFFFF"/>
              </w:rPr>
              <w:t>QoQ</w:t>
            </w:r>
          </w:p>
        </w:tc>
        <w:tc>
          <w:tcPr>
            <w:tcW w:w="1000" w:type="dxa"/>
            <w:vAlign w:val="bottom"/>
            <w:tcBorders>
              <w:bottom w:val="single" w:sz="8" w:color="auto"/>
            </w:tcBorders>
            <w:shd w:val="clear" w:color="auto" w:fill="33CCCC"/>
          </w:tcPr>
          <w:p>
            <w:pPr>
              <w:ind w:left="680"/>
              <w:spacing w:after="0" w:line="149" w:lineRule="exact"/>
              <w:rPr>
                <w:sz w:val="20"/>
                <w:szCs w:val="20"/>
                <w:color w:val="auto"/>
              </w:rPr>
            </w:pPr>
            <w:r>
              <w:rPr>
                <w:rFonts w:ascii="Calibri" w:cs="Calibri" w:eastAsia="Calibri" w:hAnsi="Calibri"/>
                <w:sz w:val="13"/>
                <w:szCs w:val="13"/>
                <w:b w:val="1"/>
                <w:bCs w:val="1"/>
                <w:color w:val="FFFFFF"/>
              </w:rPr>
              <w:t>YoY</w:t>
            </w:r>
          </w:p>
        </w:tc>
        <w:tc>
          <w:tcPr>
            <w:tcW w:w="320" w:type="dxa"/>
            <w:vAlign w:val="bottom"/>
            <w:tcBorders>
              <w:bottom w:val="single" w:sz="8" w:color="auto"/>
              <w:right w:val="single" w:sz="8" w:color="auto"/>
            </w:tcBorders>
            <w:shd w:val="clear" w:color="auto" w:fill="33CCCC"/>
          </w:tcPr>
          <w:p>
            <w:pPr>
              <w:spacing w:after="0"/>
              <w:rPr>
                <w:sz w:val="12"/>
                <w:szCs w:val="12"/>
                <w:color w:val="auto"/>
              </w:rPr>
            </w:pPr>
          </w:p>
        </w:tc>
        <w:tc>
          <w:tcPr>
            <w:tcW w:w="800" w:type="dxa"/>
            <w:vAlign w:val="bottom"/>
            <w:tcBorders>
              <w:bottom w:val="single" w:sz="8" w:color="auto"/>
            </w:tcBorders>
            <w:shd w:val="clear" w:color="auto" w:fill="33CCCC"/>
          </w:tcPr>
          <w:p>
            <w:pPr>
              <w:ind w:left="320"/>
              <w:spacing w:after="0" w:line="149" w:lineRule="exact"/>
              <w:rPr>
                <w:sz w:val="20"/>
                <w:szCs w:val="20"/>
                <w:color w:val="auto"/>
              </w:rPr>
            </w:pPr>
            <w:r>
              <w:rPr>
                <w:rFonts w:ascii="Calibri" w:cs="Calibri" w:eastAsia="Calibri" w:hAnsi="Calibri"/>
                <w:sz w:val="13"/>
                <w:szCs w:val="13"/>
                <w:b w:val="1"/>
                <w:bCs w:val="1"/>
                <w:color w:val="FFFFFF"/>
              </w:rPr>
              <w:t>Sep 23</w:t>
            </w:r>
          </w:p>
        </w:tc>
        <w:tc>
          <w:tcPr>
            <w:tcW w:w="1240" w:type="dxa"/>
            <w:vAlign w:val="bottom"/>
            <w:tcBorders>
              <w:bottom w:val="single" w:sz="8" w:color="auto"/>
              <w:right w:val="single" w:sz="8" w:color="auto"/>
            </w:tcBorders>
            <w:shd w:val="clear" w:color="auto" w:fill="33CCCC"/>
          </w:tcPr>
          <w:p>
            <w:pPr>
              <w:ind w:left="540"/>
              <w:spacing w:after="0" w:line="149" w:lineRule="exact"/>
              <w:rPr>
                <w:sz w:val="20"/>
                <w:szCs w:val="20"/>
                <w:color w:val="auto"/>
              </w:rPr>
            </w:pPr>
            <w:r>
              <w:rPr>
                <w:rFonts w:ascii="Calibri" w:cs="Calibri" w:eastAsia="Calibri" w:hAnsi="Calibri"/>
                <w:sz w:val="13"/>
                <w:szCs w:val="13"/>
                <w:b w:val="1"/>
                <w:bCs w:val="1"/>
                <w:color w:val="FFFFFF"/>
              </w:rPr>
              <w:t>Sep 24</w:t>
            </w:r>
          </w:p>
        </w:tc>
        <w:tc>
          <w:tcPr>
            <w:tcW w:w="180" w:type="dxa"/>
            <w:vAlign w:val="bottom"/>
            <w:tcBorders>
              <w:bottom w:val="single" w:sz="8" w:color="auto"/>
            </w:tcBorders>
            <w:shd w:val="clear" w:color="auto" w:fill="33CCCC"/>
          </w:tcPr>
          <w:p>
            <w:pPr>
              <w:spacing w:after="0"/>
              <w:rPr>
                <w:sz w:val="12"/>
                <w:szCs w:val="12"/>
                <w:color w:val="auto"/>
              </w:rPr>
            </w:pPr>
          </w:p>
        </w:tc>
        <w:tc>
          <w:tcPr>
            <w:tcW w:w="1060" w:type="dxa"/>
            <w:vAlign w:val="bottom"/>
            <w:tcBorders>
              <w:bottom w:val="single" w:sz="8" w:color="auto"/>
              <w:right w:val="single" w:sz="8" w:color="auto"/>
            </w:tcBorders>
            <w:shd w:val="clear" w:color="auto" w:fill="33CCCC"/>
          </w:tcPr>
          <w:p>
            <w:pPr>
              <w:jc w:val="center"/>
              <w:ind w:right="117"/>
              <w:spacing w:after="0" w:line="149" w:lineRule="exact"/>
              <w:rPr>
                <w:sz w:val="20"/>
                <w:szCs w:val="20"/>
                <w:color w:val="auto"/>
              </w:rPr>
            </w:pPr>
            <w:r>
              <w:rPr>
                <w:rFonts w:ascii="Calibri" w:cs="Calibri" w:eastAsia="Calibri" w:hAnsi="Calibri"/>
                <w:sz w:val="13"/>
                <w:szCs w:val="13"/>
                <w:b w:val="1"/>
                <w:bCs w:val="1"/>
                <w:color w:val="FFFFFF"/>
                <w:w w:val="96"/>
              </w:rPr>
              <w:t>Sep 24 / Sep 23</w:t>
            </w:r>
          </w:p>
        </w:tc>
      </w:tr>
      <w:tr>
        <w:trPr>
          <w:trHeight w:val="132"/>
        </w:trPr>
        <w:tc>
          <w:tcPr>
            <w:tcW w:w="228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3"/>
                <w:szCs w:val="13"/>
                <w:b w:val="1"/>
                <w:bCs w:val="1"/>
                <w:color w:val="auto"/>
              </w:rPr>
              <w:t>Results</w:t>
            </w:r>
          </w:p>
        </w:tc>
        <w:tc>
          <w:tcPr>
            <w:tcW w:w="5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Net earned premiums</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3"/>
              </w:rPr>
              <w:t>343,092</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3"/>
              </w:rPr>
              <w:t>357,033</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374,166</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3"/>
              </w:rPr>
              <w:t>4.8%</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3"/>
              </w:rPr>
              <w:t>9.1%</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w w:val="94"/>
              </w:rPr>
              <w:t>1,009,485</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4"/>
              </w:rPr>
              <w:t>1,089,198</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rPr>
              <w:t>7.9%</w:t>
            </w: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Net claims</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4"/>
              </w:rPr>
              <w:t>(273,212)</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4"/>
              </w:rPr>
              <w:t>(310,343)</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8"/>
              </w:rPr>
              <w:t>(315,869)</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3"/>
              </w:rPr>
              <w:t>1.8%</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8"/>
              </w:rPr>
              <w:t>15.6%</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w w:val="98"/>
              </w:rPr>
              <w:t>-810,004</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8"/>
              </w:rPr>
              <w:t>-916,478</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2"/>
              </w:rPr>
              <w:t>13.1%</w:t>
            </w: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Net fees</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9"/>
              </w:rPr>
              <w:t>(14,754)</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9"/>
              </w:rPr>
              <w:t>(15,515)</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5"/>
              </w:rPr>
              <w:t>(16,553)</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3"/>
              </w:rPr>
              <w:t>6.7%</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8"/>
              </w:rPr>
              <w:t>12.2%</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w w:val="94"/>
              </w:rPr>
              <w:t>-43,725</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4"/>
              </w:rPr>
              <w:t>-47,726</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rPr>
              <w:t>9.1%</w:t>
            </w: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Net underwritng expenses</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5"/>
              </w:rPr>
              <w:t>(2,890)</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5"/>
              </w:rPr>
              <w:t>(3,482)</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5"/>
              </w:rPr>
              <w:t>(4,433)</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8"/>
              </w:rPr>
              <w:t>27.3%</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8"/>
              </w:rPr>
              <w:t>53.4%</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rPr>
              <w:t>-8,788</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4"/>
              </w:rPr>
              <w:t>-11,221</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2"/>
              </w:rPr>
              <w:t>27.7%</w:t>
            </w:r>
          </w:p>
        </w:tc>
      </w:tr>
      <w:tr>
        <w:trPr>
          <w:trHeight w:val="149"/>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b w:val="1"/>
                <w:bCs w:val="1"/>
                <w:color w:val="auto"/>
              </w:rPr>
              <w:t>Underwritng result</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b w:val="1"/>
                <w:bCs w:val="1"/>
                <w:color w:val="auto"/>
                <w:w w:val="99"/>
              </w:rPr>
              <w:t>52,237</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b w:val="1"/>
                <w:bCs w:val="1"/>
                <w:color w:val="auto"/>
                <w:w w:val="99"/>
              </w:rPr>
              <w:t>27,693</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3"/>
              </w:rPr>
              <w:t>37,312</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b w:val="1"/>
                <w:bCs w:val="1"/>
                <w:color w:val="auto"/>
                <w:w w:val="97"/>
              </w:rPr>
              <w:t>34.7%</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b w:val="1"/>
                <w:bCs w:val="1"/>
                <w:color w:val="auto"/>
                <w:w w:val="97"/>
              </w:rPr>
              <w:t>-28.6%</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b w:val="1"/>
                <w:bCs w:val="1"/>
                <w:color w:val="auto"/>
                <w:w w:val="97"/>
              </w:rPr>
              <w:t>146,968</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b w:val="1"/>
                <w:bCs w:val="1"/>
                <w:color w:val="auto"/>
                <w:w w:val="97"/>
              </w:rPr>
              <w:t>113,774</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17"/>
              <w:spacing w:after="0" w:line="149" w:lineRule="exact"/>
              <w:rPr>
                <w:sz w:val="20"/>
                <w:szCs w:val="20"/>
                <w:color w:val="auto"/>
              </w:rPr>
            </w:pPr>
            <w:r>
              <w:rPr>
                <w:rFonts w:ascii="Calibri" w:cs="Calibri" w:eastAsia="Calibri" w:hAnsi="Calibri"/>
                <w:sz w:val="13"/>
                <w:szCs w:val="13"/>
                <w:b w:val="1"/>
                <w:bCs w:val="1"/>
                <w:color w:val="auto"/>
                <w:w w:val="97"/>
              </w:rPr>
              <w:t>-22.6%</w:t>
            </w:r>
          </w:p>
        </w:tc>
      </w:tr>
      <w:tr>
        <w:trPr>
          <w:trHeight w:val="297"/>
        </w:trPr>
        <w:tc>
          <w:tcPr>
            <w:tcW w:w="22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Net fnancial income</w:t>
            </w:r>
          </w:p>
        </w:tc>
        <w:tc>
          <w:tcPr>
            <w:tcW w:w="540" w:type="dxa"/>
            <w:vAlign w:val="bottom"/>
            <w:tcBorders>
              <w:right w:val="single" w:sz="8" w:color="auto"/>
            </w:tcBorders>
          </w:tcPr>
          <w:p>
            <w:pPr>
              <w:spacing w:after="0"/>
              <w:rPr>
                <w:sz w:val="24"/>
                <w:szCs w:val="24"/>
                <w:color w:val="auto"/>
              </w:rPr>
            </w:pPr>
          </w:p>
        </w:tc>
        <w:tc>
          <w:tcPr>
            <w:tcW w:w="900" w:type="dxa"/>
            <w:vAlign w:val="bottom"/>
          </w:tcPr>
          <w:p>
            <w:pPr>
              <w:jc w:val="center"/>
              <w:ind w:left="37"/>
              <w:spacing w:after="0"/>
              <w:rPr>
                <w:sz w:val="20"/>
                <w:szCs w:val="20"/>
                <w:color w:val="auto"/>
              </w:rPr>
            </w:pPr>
            <w:r>
              <w:rPr>
                <w:rFonts w:ascii="Calibri" w:cs="Calibri" w:eastAsia="Calibri" w:hAnsi="Calibri"/>
                <w:sz w:val="13"/>
                <w:szCs w:val="13"/>
                <w:color w:val="auto"/>
                <w:w w:val="94"/>
              </w:rPr>
              <w:t>3,741</w:t>
            </w:r>
          </w:p>
        </w:tc>
        <w:tc>
          <w:tcPr>
            <w:tcW w:w="1100" w:type="dxa"/>
            <w:vAlign w:val="bottom"/>
          </w:tcPr>
          <w:p>
            <w:pPr>
              <w:jc w:val="center"/>
              <w:ind w:left="76"/>
              <w:spacing w:after="0"/>
              <w:rPr>
                <w:sz w:val="20"/>
                <w:szCs w:val="20"/>
                <w:color w:val="auto"/>
              </w:rPr>
            </w:pPr>
            <w:r>
              <w:rPr>
                <w:rFonts w:ascii="Calibri" w:cs="Calibri" w:eastAsia="Calibri" w:hAnsi="Calibri"/>
                <w:sz w:val="13"/>
                <w:szCs w:val="13"/>
                <w:color w:val="auto"/>
                <w:w w:val="94"/>
              </w:rPr>
              <w:t>5,587</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5,834</w:t>
            </w:r>
          </w:p>
        </w:tc>
        <w:tc>
          <w:tcPr>
            <w:tcW w:w="740" w:type="dxa"/>
            <w:vAlign w:val="bottom"/>
          </w:tcPr>
          <w:p>
            <w:pPr>
              <w:jc w:val="center"/>
              <w:ind w:left="197"/>
              <w:spacing w:after="0"/>
              <w:rPr>
                <w:sz w:val="20"/>
                <w:szCs w:val="20"/>
                <w:color w:val="auto"/>
              </w:rPr>
            </w:pPr>
            <w:r>
              <w:rPr>
                <w:rFonts w:ascii="Calibri" w:cs="Calibri" w:eastAsia="Calibri" w:hAnsi="Calibri"/>
                <w:sz w:val="13"/>
                <w:szCs w:val="13"/>
                <w:color w:val="auto"/>
                <w:w w:val="93"/>
              </w:rPr>
              <w:t>4.4%</w:t>
            </w:r>
          </w:p>
        </w:tc>
        <w:tc>
          <w:tcPr>
            <w:tcW w:w="1000" w:type="dxa"/>
            <w:vAlign w:val="bottom"/>
          </w:tcPr>
          <w:p>
            <w:pPr>
              <w:jc w:val="center"/>
              <w:ind w:left="497"/>
              <w:spacing w:after="0"/>
              <w:rPr>
                <w:sz w:val="20"/>
                <w:szCs w:val="20"/>
                <w:color w:val="auto"/>
              </w:rPr>
            </w:pPr>
            <w:r>
              <w:rPr>
                <w:rFonts w:ascii="Calibri" w:cs="Calibri" w:eastAsia="Calibri" w:hAnsi="Calibri"/>
                <w:sz w:val="13"/>
                <w:szCs w:val="13"/>
                <w:color w:val="auto"/>
                <w:w w:val="98"/>
              </w:rPr>
              <w:t>55.9%</w:t>
            </w:r>
          </w:p>
        </w:tc>
        <w:tc>
          <w:tcPr>
            <w:tcW w:w="320" w:type="dxa"/>
            <w:vAlign w:val="bottom"/>
            <w:tcBorders>
              <w:right w:val="single" w:sz="8" w:color="auto"/>
            </w:tcBorders>
          </w:tcPr>
          <w:p>
            <w:pPr>
              <w:spacing w:after="0"/>
              <w:rPr>
                <w:sz w:val="24"/>
                <w:szCs w:val="24"/>
                <w:color w:val="auto"/>
              </w:rPr>
            </w:pPr>
          </w:p>
        </w:tc>
        <w:tc>
          <w:tcPr>
            <w:tcW w:w="800" w:type="dxa"/>
            <w:vAlign w:val="bottom"/>
          </w:tcPr>
          <w:p>
            <w:pPr>
              <w:jc w:val="center"/>
              <w:ind w:left="117"/>
              <w:spacing w:after="0"/>
              <w:rPr>
                <w:sz w:val="20"/>
                <w:szCs w:val="20"/>
                <w:color w:val="auto"/>
              </w:rPr>
            </w:pPr>
            <w:r>
              <w:rPr>
                <w:rFonts w:ascii="Calibri" w:cs="Calibri" w:eastAsia="Calibri" w:hAnsi="Calibri"/>
                <w:sz w:val="13"/>
                <w:szCs w:val="13"/>
                <w:color w:val="auto"/>
                <w:w w:val="93"/>
              </w:rPr>
              <w:t>11,527</w:t>
            </w:r>
          </w:p>
        </w:tc>
        <w:tc>
          <w:tcPr>
            <w:tcW w:w="1240" w:type="dxa"/>
            <w:vAlign w:val="bottom"/>
            <w:tcBorders>
              <w:right w:val="single" w:sz="8" w:color="auto"/>
            </w:tcBorders>
          </w:tcPr>
          <w:p>
            <w:pPr>
              <w:jc w:val="center"/>
              <w:ind w:left="117"/>
              <w:spacing w:after="0"/>
              <w:rPr>
                <w:sz w:val="20"/>
                <w:szCs w:val="20"/>
                <w:color w:val="auto"/>
              </w:rPr>
            </w:pPr>
            <w:r>
              <w:rPr>
                <w:rFonts w:ascii="Calibri" w:cs="Calibri" w:eastAsia="Calibri" w:hAnsi="Calibri"/>
                <w:sz w:val="13"/>
                <w:szCs w:val="13"/>
                <w:color w:val="auto"/>
                <w:w w:val="93"/>
              </w:rPr>
              <w:t>17,197</w:t>
            </w:r>
          </w:p>
        </w:tc>
        <w:tc>
          <w:tcPr>
            <w:tcW w:w="180" w:type="dxa"/>
            <w:vAlign w:val="bottom"/>
          </w:tcPr>
          <w:p>
            <w:pPr>
              <w:spacing w:after="0"/>
              <w:rPr>
                <w:sz w:val="24"/>
                <w:szCs w:val="24"/>
                <w:color w:val="auto"/>
              </w:rPr>
            </w:pPr>
          </w:p>
        </w:tc>
        <w:tc>
          <w:tcPr>
            <w:tcW w:w="1060" w:type="dxa"/>
            <w:vAlign w:val="bottom"/>
            <w:tcBorders>
              <w:right w:val="single" w:sz="8" w:color="auto"/>
            </w:tcBorders>
          </w:tcPr>
          <w:p>
            <w:pPr>
              <w:jc w:val="center"/>
              <w:ind w:right="137"/>
              <w:spacing w:after="0"/>
              <w:rPr>
                <w:sz w:val="20"/>
                <w:szCs w:val="20"/>
                <w:color w:val="auto"/>
              </w:rPr>
            </w:pPr>
            <w:r>
              <w:rPr>
                <w:rFonts w:ascii="Calibri" w:cs="Calibri" w:eastAsia="Calibri" w:hAnsi="Calibri"/>
                <w:sz w:val="13"/>
                <w:szCs w:val="13"/>
                <w:color w:val="auto"/>
                <w:w w:val="92"/>
              </w:rPr>
              <w:t>49.2%</w:t>
            </w: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Total expenses</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9"/>
              </w:rPr>
              <w:t>(23,152)</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9"/>
              </w:rPr>
              <w:t>(26,190)</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5"/>
              </w:rPr>
              <w:t>(24,998)</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4"/>
              </w:rPr>
              <w:t>-4.5%</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3"/>
              </w:rPr>
              <w:t>8.0%</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w w:val="94"/>
              </w:rPr>
              <w:t>-65,857</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4"/>
              </w:rPr>
              <w:t>-77,084</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2"/>
              </w:rPr>
              <w:t>17.0%</w:t>
            </w: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Other income</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5"/>
              </w:rPr>
              <w:t>(1,639)</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4"/>
              </w:rPr>
              <w:t>2,244</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rPr>
              <w:t>1,945</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8"/>
              </w:rPr>
              <w:t>-13.3%</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3"/>
              </w:rPr>
              <w:t>-218.7%</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rPr>
              <w:t>-4,722</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rPr>
              <w:t>6,405</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7"/>
              </w:rPr>
              <w:t>-235.6%</w:t>
            </w:r>
          </w:p>
        </w:tc>
      </w:tr>
      <w:tr>
        <w:trPr>
          <w:trHeight w:val="149"/>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Traslatons results</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4"/>
              </w:rPr>
              <w:t>2,769</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4"/>
              </w:rPr>
              <w:t>2,459</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5"/>
              </w:rPr>
              <w:t>(2,780)</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3"/>
              </w:rPr>
              <w:t>-213.0%</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3"/>
              </w:rPr>
              <w:t>-200.4%</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w w:val="92"/>
              </w:rPr>
              <w:t>-828</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2"/>
              </w:rPr>
              <w:t>-257</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3"/>
              </w:rPr>
              <w:t>-68.9%</w:t>
            </w:r>
          </w:p>
        </w:tc>
      </w:tr>
      <w:tr>
        <w:trPr>
          <w:trHeight w:val="148"/>
        </w:trPr>
        <w:tc>
          <w:tcPr>
            <w:tcW w:w="2280" w:type="dxa"/>
            <w:vAlign w:val="bottom"/>
            <w:tcBorders>
              <w:left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Income tax</w:t>
            </w:r>
          </w:p>
        </w:tc>
        <w:tc>
          <w:tcPr>
            <w:tcW w:w="540" w:type="dxa"/>
            <w:vAlign w:val="bottom"/>
            <w:tcBorders>
              <w:right w:val="single" w:sz="8" w:color="auto"/>
            </w:tcBorders>
          </w:tcPr>
          <w:p>
            <w:pPr>
              <w:spacing w:after="0"/>
              <w:rPr>
                <w:sz w:val="12"/>
                <w:szCs w:val="12"/>
                <w:color w:val="auto"/>
              </w:rPr>
            </w:pPr>
          </w:p>
        </w:tc>
        <w:tc>
          <w:tcPr>
            <w:tcW w:w="900" w:type="dxa"/>
            <w:vAlign w:val="bottom"/>
          </w:tcPr>
          <w:p>
            <w:pPr>
              <w:jc w:val="center"/>
              <w:ind w:left="37"/>
              <w:spacing w:after="0" w:line="149" w:lineRule="exact"/>
              <w:rPr>
                <w:sz w:val="20"/>
                <w:szCs w:val="20"/>
                <w:color w:val="auto"/>
              </w:rPr>
            </w:pPr>
            <w:r>
              <w:rPr>
                <w:rFonts w:ascii="Calibri" w:cs="Calibri" w:eastAsia="Calibri" w:hAnsi="Calibri"/>
                <w:sz w:val="13"/>
                <w:szCs w:val="13"/>
                <w:color w:val="auto"/>
                <w:w w:val="99"/>
              </w:rPr>
              <w:t>(11,778)</w:t>
            </w:r>
          </w:p>
        </w:tc>
        <w:tc>
          <w:tcPr>
            <w:tcW w:w="1100" w:type="dxa"/>
            <w:vAlign w:val="bottom"/>
          </w:tcPr>
          <w:p>
            <w:pPr>
              <w:jc w:val="center"/>
              <w:ind w:left="76"/>
              <w:spacing w:after="0" w:line="149" w:lineRule="exact"/>
              <w:rPr>
                <w:sz w:val="20"/>
                <w:szCs w:val="20"/>
                <w:color w:val="auto"/>
              </w:rPr>
            </w:pPr>
            <w:r>
              <w:rPr>
                <w:rFonts w:ascii="Calibri" w:cs="Calibri" w:eastAsia="Calibri" w:hAnsi="Calibri"/>
                <w:sz w:val="13"/>
                <w:szCs w:val="13"/>
                <w:color w:val="auto"/>
                <w:w w:val="95"/>
              </w:rPr>
              <w:t>(3,579)</w:t>
            </w:r>
          </w:p>
        </w:tc>
        <w:tc>
          <w:tcPr>
            <w:tcW w:w="10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color w:val="auto"/>
                <w:w w:val="95"/>
              </w:rPr>
              <w:t>(4,866)</w:t>
            </w:r>
          </w:p>
        </w:tc>
        <w:tc>
          <w:tcPr>
            <w:tcW w:w="740" w:type="dxa"/>
            <w:vAlign w:val="bottom"/>
          </w:tcPr>
          <w:p>
            <w:pPr>
              <w:jc w:val="center"/>
              <w:ind w:left="197"/>
              <w:spacing w:after="0" w:line="149" w:lineRule="exact"/>
              <w:rPr>
                <w:sz w:val="20"/>
                <w:szCs w:val="20"/>
                <w:color w:val="auto"/>
              </w:rPr>
            </w:pPr>
            <w:r>
              <w:rPr>
                <w:rFonts w:ascii="Calibri" w:cs="Calibri" w:eastAsia="Calibri" w:hAnsi="Calibri"/>
                <w:sz w:val="13"/>
                <w:szCs w:val="13"/>
                <w:color w:val="auto"/>
                <w:w w:val="98"/>
              </w:rPr>
              <w:t>36.0%</w:t>
            </w:r>
          </w:p>
        </w:tc>
        <w:tc>
          <w:tcPr>
            <w:tcW w:w="1000" w:type="dxa"/>
            <w:vAlign w:val="bottom"/>
          </w:tcPr>
          <w:p>
            <w:pPr>
              <w:jc w:val="center"/>
              <w:ind w:left="497"/>
              <w:spacing w:after="0" w:line="149" w:lineRule="exact"/>
              <w:rPr>
                <w:sz w:val="20"/>
                <w:szCs w:val="20"/>
                <w:color w:val="auto"/>
              </w:rPr>
            </w:pPr>
            <w:r>
              <w:rPr>
                <w:rFonts w:ascii="Calibri" w:cs="Calibri" w:eastAsia="Calibri" w:hAnsi="Calibri"/>
                <w:sz w:val="13"/>
                <w:szCs w:val="13"/>
                <w:color w:val="auto"/>
                <w:w w:val="98"/>
              </w:rPr>
              <w:t>-58.7%</w:t>
            </w:r>
          </w:p>
        </w:tc>
        <w:tc>
          <w:tcPr>
            <w:tcW w:w="320" w:type="dxa"/>
            <w:vAlign w:val="bottom"/>
            <w:tcBorders>
              <w:right w:val="single" w:sz="8" w:color="auto"/>
            </w:tcBorders>
          </w:tcPr>
          <w:p>
            <w:pPr>
              <w:spacing w:after="0"/>
              <w:rPr>
                <w:sz w:val="12"/>
                <w:szCs w:val="12"/>
                <w:color w:val="auto"/>
              </w:rPr>
            </w:pPr>
          </w:p>
        </w:tc>
        <w:tc>
          <w:tcPr>
            <w:tcW w:w="800" w:type="dxa"/>
            <w:vAlign w:val="bottom"/>
          </w:tcPr>
          <w:p>
            <w:pPr>
              <w:jc w:val="center"/>
              <w:ind w:left="117"/>
              <w:spacing w:after="0" w:line="149" w:lineRule="exact"/>
              <w:rPr>
                <w:sz w:val="20"/>
                <w:szCs w:val="20"/>
                <w:color w:val="auto"/>
              </w:rPr>
            </w:pPr>
            <w:r>
              <w:rPr>
                <w:rFonts w:ascii="Calibri" w:cs="Calibri" w:eastAsia="Calibri" w:hAnsi="Calibri"/>
                <w:sz w:val="13"/>
                <w:szCs w:val="13"/>
                <w:color w:val="auto"/>
                <w:w w:val="94"/>
              </w:rPr>
              <w:t>-31,322</w:t>
            </w:r>
          </w:p>
        </w:tc>
        <w:tc>
          <w:tcPr>
            <w:tcW w:w="1240" w:type="dxa"/>
            <w:vAlign w:val="bottom"/>
            <w:tcBorders>
              <w:right w:val="single" w:sz="8" w:color="auto"/>
            </w:tcBorders>
          </w:tcPr>
          <w:p>
            <w:pPr>
              <w:jc w:val="center"/>
              <w:ind w:left="117"/>
              <w:spacing w:after="0" w:line="149" w:lineRule="exact"/>
              <w:rPr>
                <w:sz w:val="20"/>
                <w:szCs w:val="20"/>
                <w:color w:val="auto"/>
              </w:rPr>
            </w:pPr>
            <w:r>
              <w:rPr>
                <w:rFonts w:ascii="Calibri" w:cs="Calibri" w:eastAsia="Calibri" w:hAnsi="Calibri"/>
                <w:sz w:val="13"/>
                <w:szCs w:val="13"/>
                <w:color w:val="auto"/>
                <w:w w:val="94"/>
              </w:rPr>
              <w:t>-17,638</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7"/>
              <w:spacing w:after="0" w:line="149" w:lineRule="exact"/>
              <w:rPr>
                <w:sz w:val="20"/>
                <w:szCs w:val="20"/>
                <w:color w:val="auto"/>
              </w:rPr>
            </w:pPr>
            <w:r>
              <w:rPr>
                <w:rFonts w:ascii="Calibri" w:cs="Calibri" w:eastAsia="Calibri" w:hAnsi="Calibri"/>
                <w:sz w:val="13"/>
                <w:szCs w:val="13"/>
                <w:color w:val="auto"/>
                <w:w w:val="93"/>
              </w:rPr>
              <w:t>-43.7%</w:t>
            </w:r>
          </w:p>
        </w:tc>
      </w:tr>
      <w:tr>
        <w:trPr>
          <w:trHeight w:val="297"/>
        </w:trPr>
        <w:tc>
          <w:tcPr>
            <w:tcW w:w="22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income before Medical services</w:t>
            </w:r>
          </w:p>
        </w:tc>
        <w:tc>
          <w:tcPr>
            <w:tcW w:w="540" w:type="dxa"/>
            <w:vAlign w:val="bottom"/>
            <w:tcBorders>
              <w:right w:val="single" w:sz="8" w:color="auto"/>
            </w:tcBorders>
          </w:tcPr>
          <w:p>
            <w:pPr>
              <w:spacing w:after="0"/>
              <w:rPr>
                <w:sz w:val="24"/>
                <w:szCs w:val="24"/>
                <w:color w:val="auto"/>
              </w:rPr>
            </w:pPr>
          </w:p>
        </w:tc>
        <w:tc>
          <w:tcPr>
            <w:tcW w:w="900" w:type="dxa"/>
            <w:vAlign w:val="bottom"/>
          </w:tcPr>
          <w:p>
            <w:pPr>
              <w:jc w:val="center"/>
              <w:ind w:left="37"/>
              <w:spacing w:after="0"/>
              <w:rPr>
                <w:sz w:val="20"/>
                <w:szCs w:val="20"/>
                <w:color w:val="auto"/>
              </w:rPr>
            </w:pPr>
            <w:r>
              <w:rPr>
                <w:rFonts w:ascii="Calibri" w:cs="Calibri" w:eastAsia="Calibri" w:hAnsi="Calibri"/>
                <w:sz w:val="13"/>
                <w:szCs w:val="13"/>
                <w:b w:val="1"/>
                <w:bCs w:val="1"/>
                <w:color w:val="auto"/>
                <w:w w:val="99"/>
              </w:rPr>
              <w:t>22,178</w:t>
            </w:r>
          </w:p>
        </w:tc>
        <w:tc>
          <w:tcPr>
            <w:tcW w:w="1100" w:type="dxa"/>
            <w:vAlign w:val="bottom"/>
          </w:tcPr>
          <w:p>
            <w:pPr>
              <w:jc w:val="center"/>
              <w:ind w:left="76"/>
              <w:spacing w:after="0"/>
              <w:rPr>
                <w:sz w:val="20"/>
                <w:szCs w:val="20"/>
                <w:color w:val="auto"/>
              </w:rPr>
            </w:pPr>
            <w:r>
              <w:rPr>
                <w:rFonts w:ascii="Calibri" w:cs="Calibri" w:eastAsia="Calibri" w:hAnsi="Calibri"/>
                <w:sz w:val="13"/>
                <w:szCs w:val="13"/>
                <w:b w:val="1"/>
                <w:bCs w:val="1"/>
                <w:color w:val="auto"/>
                <w:w w:val="94"/>
              </w:rPr>
              <w:t>8,215</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3"/>
              </w:rPr>
              <w:t>12,448</w:t>
            </w:r>
          </w:p>
        </w:tc>
        <w:tc>
          <w:tcPr>
            <w:tcW w:w="740" w:type="dxa"/>
            <w:vAlign w:val="bottom"/>
          </w:tcPr>
          <w:p>
            <w:pPr>
              <w:jc w:val="center"/>
              <w:ind w:left="197"/>
              <w:spacing w:after="0"/>
              <w:rPr>
                <w:sz w:val="20"/>
                <w:szCs w:val="20"/>
                <w:color w:val="auto"/>
              </w:rPr>
            </w:pPr>
            <w:r>
              <w:rPr>
                <w:rFonts w:ascii="Calibri" w:cs="Calibri" w:eastAsia="Calibri" w:hAnsi="Calibri"/>
                <w:sz w:val="13"/>
                <w:szCs w:val="13"/>
                <w:b w:val="1"/>
                <w:bCs w:val="1"/>
                <w:color w:val="auto"/>
                <w:w w:val="97"/>
              </w:rPr>
              <w:t>51.5%</w:t>
            </w:r>
          </w:p>
        </w:tc>
        <w:tc>
          <w:tcPr>
            <w:tcW w:w="1000" w:type="dxa"/>
            <w:vAlign w:val="bottom"/>
          </w:tcPr>
          <w:p>
            <w:pPr>
              <w:jc w:val="center"/>
              <w:ind w:left="497"/>
              <w:spacing w:after="0"/>
              <w:rPr>
                <w:sz w:val="20"/>
                <w:szCs w:val="20"/>
                <w:color w:val="auto"/>
              </w:rPr>
            </w:pPr>
            <w:r>
              <w:rPr>
                <w:rFonts w:ascii="Calibri" w:cs="Calibri" w:eastAsia="Calibri" w:hAnsi="Calibri"/>
                <w:sz w:val="13"/>
                <w:szCs w:val="13"/>
                <w:b w:val="1"/>
                <w:bCs w:val="1"/>
                <w:color w:val="auto"/>
                <w:w w:val="97"/>
              </w:rPr>
              <w:t>-43.9%</w:t>
            </w:r>
          </w:p>
        </w:tc>
        <w:tc>
          <w:tcPr>
            <w:tcW w:w="320" w:type="dxa"/>
            <w:vAlign w:val="bottom"/>
            <w:tcBorders>
              <w:right w:val="single" w:sz="8" w:color="auto"/>
            </w:tcBorders>
          </w:tcPr>
          <w:p>
            <w:pPr>
              <w:spacing w:after="0"/>
              <w:rPr>
                <w:sz w:val="24"/>
                <w:szCs w:val="24"/>
                <w:color w:val="auto"/>
              </w:rPr>
            </w:pPr>
          </w:p>
        </w:tc>
        <w:tc>
          <w:tcPr>
            <w:tcW w:w="800" w:type="dxa"/>
            <w:vAlign w:val="bottom"/>
          </w:tcPr>
          <w:p>
            <w:pPr>
              <w:jc w:val="center"/>
              <w:ind w:left="117"/>
              <w:spacing w:after="0"/>
              <w:rPr>
                <w:sz w:val="20"/>
                <w:szCs w:val="20"/>
                <w:color w:val="auto"/>
              </w:rPr>
            </w:pPr>
            <w:r>
              <w:rPr>
                <w:rFonts w:ascii="Calibri" w:cs="Calibri" w:eastAsia="Calibri" w:hAnsi="Calibri"/>
                <w:sz w:val="13"/>
                <w:szCs w:val="13"/>
                <w:b w:val="1"/>
                <w:bCs w:val="1"/>
                <w:color w:val="auto"/>
                <w:w w:val="93"/>
              </w:rPr>
              <w:t>55,765</w:t>
            </w:r>
          </w:p>
        </w:tc>
        <w:tc>
          <w:tcPr>
            <w:tcW w:w="1240" w:type="dxa"/>
            <w:vAlign w:val="bottom"/>
            <w:tcBorders>
              <w:right w:val="single" w:sz="8" w:color="auto"/>
            </w:tcBorders>
          </w:tcPr>
          <w:p>
            <w:pPr>
              <w:jc w:val="center"/>
              <w:ind w:left="117"/>
              <w:spacing w:after="0"/>
              <w:rPr>
                <w:sz w:val="20"/>
                <w:szCs w:val="20"/>
                <w:color w:val="auto"/>
              </w:rPr>
            </w:pPr>
            <w:r>
              <w:rPr>
                <w:rFonts w:ascii="Calibri" w:cs="Calibri" w:eastAsia="Calibri" w:hAnsi="Calibri"/>
                <w:sz w:val="13"/>
                <w:szCs w:val="13"/>
                <w:b w:val="1"/>
                <w:bCs w:val="1"/>
                <w:color w:val="auto"/>
                <w:w w:val="93"/>
              </w:rPr>
              <w:t>42,397</w:t>
            </w:r>
          </w:p>
        </w:tc>
        <w:tc>
          <w:tcPr>
            <w:tcW w:w="180" w:type="dxa"/>
            <w:vAlign w:val="bottom"/>
          </w:tcPr>
          <w:p>
            <w:pPr>
              <w:spacing w:after="0"/>
              <w:rPr>
                <w:sz w:val="24"/>
                <w:szCs w:val="24"/>
                <w:color w:val="auto"/>
              </w:rPr>
            </w:pPr>
          </w:p>
        </w:tc>
        <w:tc>
          <w:tcPr>
            <w:tcW w:w="1060" w:type="dxa"/>
            <w:vAlign w:val="bottom"/>
            <w:tcBorders>
              <w:right w:val="single" w:sz="8" w:color="auto"/>
            </w:tcBorders>
          </w:tcPr>
          <w:p>
            <w:pPr>
              <w:jc w:val="center"/>
              <w:ind w:right="117"/>
              <w:spacing w:after="0"/>
              <w:rPr>
                <w:sz w:val="20"/>
                <w:szCs w:val="20"/>
                <w:color w:val="auto"/>
              </w:rPr>
            </w:pPr>
            <w:r>
              <w:rPr>
                <w:rFonts w:ascii="Calibri" w:cs="Calibri" w:eastAsia="Calibri" w:hAnsi="Calibri"/>
                <w:sz w:val="13"/>
                <w:szCs w:val="13"/>
                <w:b w:val="1"/>
                <w:bCs w:val="1"/>
                <w:color w:val="auto"/>
                <w:w w:val="97"/>
              </w:rPr>
              <w:t>-24.0%</w:t>
            </w:r>
          </w:p>
        </w:tc>
      </w:tr>
      <w:tr>
        <w:trPr>
          <w:trHeight w:val="297"/>
        </w:trPr>
        <w:tc>
          <w:tcPr>
            <w:tcW w:w="228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income of Medical services</w:t>
            </w:r>
          </w:p>
        </w:tc>
        <w:tc>
          <w:tcPr>
            <w:tcW w:w="540" w:type="dxa"/>
            <w:vAlign w:val="bottom"/>
            <w:tcBorders>
              <w:right w:val="single" w:sz="8" w:color="auto"/>
            </w:tcBorders>
          </w:tcPr>
          <w:p>
            <w:pPr>
              <w:spacing w:after="0"/>
              <w:rPr>
                <w:sz w:val="24"/>
                <w:szCs w:val="24"/>
                <w:color w:val="auto"/>
              </w:rPr>
            </w:pPr>
          </w:p>
        </w:tc>
        <w:tc>
          <w:tcPr>
            <w:tcW w:w="900" w:type="dxa"/>
            <w:vAlign w:val="bottom"/>
          </w:tcPr>
          <w:p>
            <w:pPr>
              <w:jc w:val="center"/>
              <w:ind w:left="37"/>
              <w:spacing w:after="0"/>
              <w:rPr>
                <w:sz w:val="20"/>
                <w:szCs w:val="20"/>
                <w:color w:val="auto"/>
              </w:rPr>
            </w:pPr>
            <w:r>
              <w:rPr>
                <w:rFonts w:ascii="Calibri" w:cs="Calibri" w:eastAsia="Calibri" w:hAnsi="Calibri"/>
                <w:sz w:val="13"/>
                <w:szCs w:val="13"/>
                <w:b w:val="1"/>
                <w:bCs w:val="1"/>
                <w:color w:val="auto"/>
                <w:w w:val="99"/>
              </w:rPr>
              <w:t>26,436</w:t>
            </w:r>
          </w:p>
        </w:tc>
        <w:tc>
          <w:tcPr>
            <w:tcW w:w="1100" w:type="dxa"/>
            <w:vAlign w:val="bottom"/>
          </w:tcPr>
          <w:p>
            <w:pPr>
              <w:jc w:val="center"/>
              <w:ind w:left="76"/>
              <w:spacing w:after="0"/>
              <w:rPr>
                <w:sz w:val="20"/>
                <w:szCs w:val="20"/>
                <w:color w:val="auto"/>
              </w:rPr>
            </w:pPr>
            <w:r>
              <w:rPr>
                <w:rFonts w:ascii="Calibri" w:cs="Calibri" w:eastAsia="Calibri" w:hAnsi="Calibri"/>
                <w:sz w:val="13"/>
                <w:szCs w:val="13"/>
                <w:b w:val="1"/>
                <w:bCs w:val="1"/>
                <w:color w:val="auto"/>
                <w:w w:val="99"/>
              </w:rPr>
              <w:t>32,694</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3"/>
              </w:rPr>
              <w:t>40,519</w:t>
            </w:r>
          </w:p>
        </w:tc>
        <w:tc>
          <w:tcPr>
            <w:tcW w:w="740" w:type="dxa"/>
            <w:vAlign w:val="bottom"/>
          </w:tcPr>
          <w:p>
            <w:pPr>
              <w:jc w:val="center"/>
              <w:ind w:left="197"/>
              <w:spacing w:after="0"/>
              <w:rPr>
                <w:sz w:val="20"/>
                <w:szCs w:val="20"/>
                <w:color w:val="auto"/>
              </w:rPr>
            </w:pPr>
            <w:r>
              <w:rPr>
                <w:rFonts w:ascii="Calibri" w:cs="Calibri" w:eastAsia="Calibri" w:hAnsi="Calibri"/>
                <w:sz w:val="13"/>
                <w:szCs w:val="13"/>
                <w:b w:val="1"/>
                <w:bCs w:val="1"/>
                <w:color w:val="auto"/>
                <w:w w:val="97"/>
              </w:rPr>
              <w:t>23.9%</w:t>
            </w:r>
          </w:p>
        </w:tc>
        <w:tc>
          <w:tcPr>
            <w:tcW w:w="1000" w:type="dxa"/>
            <w:vAlign w:val="bottom"/>
          </w:tcPr>
          <w:p>
            <w:pPr>
              <w:jc w:val="center"/>
              <w:ind w:left="497"/>
              <w:spacing w:after="0"/>
              <w:rPr>
                <w:sz w:val="20"/>
                <w:szCs w:val="20"/>
                <w:color w:val="auto"/>
              </w:rPr>
            </w:pPr>
            <w:r>
              <w:rPr>
                <w:rFonts w:ascii="Calibri" w:cs="Calibri" w:eastAsia="Calibri" w:hAnsi="Calibri"/>
                <w:sz w:val="13"/>
                <w:szCs w:val="13"/>
                <w:b w:val="1"/>
                <w:bCs w:val="1"/>
                <w:color w:val="auto"/>
                <w:w w:val="97"/>
              </w:rPr>
              <w:t>53.3%</w:t>
            </w:r>
          </w:p>
        </w:tc>
        <w:tc>
          <w:tcPr>
            <w:tcW w:w="320" w:type="dxa"/>
            <w:vAlign w:val="bottom"/>
            <w:tcBorders>
              <w:right w:val="single" w:sz="8" w:color="auto"/>
            </w:tcBorders>
          </w:tcPr>
          <w:p>
            <w:pPr>
              <w:spacing w:after="0"/>
              <w:rPr>
                <w:sz w:val="24"/>
                <w:szCs w:val="24"/>
                <w:color w:val="auto"/>
              </w:rPr>
            </w:pPr>
          </w:p>
        </w:tc>
        <w:tc>
          <w:tcPr>
            <w:tcW w:w="800" w:type="dxa"/>
            <w:vAlign w:val="bottom"/>
          </w:tcPr>
          <w:p>
            <w:pPr>
              <w:jc w:val="center"/>
              <w:ind w:left="117"/>
              <w:spacing w:after="0"/>
              <w:rPr>
                <w:sz w:val="20"/>
                <w:szCs w:val="20"/>
                <w:color w:val="auto"/>
              </w:rPr>
            </w:pPr>
            <w:r>
              <w:rPr>
                <w:rFonts w:ascii="Calibri" w:cs="Calibri" w:eastAsia="Calibri" w:hAnsi="Calibri"/>
                <w:sz w:val="13"/>
                <w:szCs w:val="13"/>
                <w:b w:val="1"/>
                <w:bCs w:val="1"/>
                <w:color w:val="auto"/>
                <w:w w:val="93"/>
              </w:rPr>
              <w:t>88,366</w:t>
            </w:r>
          </w:p>
        </w:tc>
        <w:tc>
          <w:tcPr>
            <w:tcW w:w="1240" w:type="dxa"/>
            <w:vAlign w:val="bottom"/>
            <w:tcBorders>
              <w:right w:val="single" w:sz="8" w:color="auto"/>
            </w:tcBorders>
          </w:tcPr>
          <w:p>
            <w:pPr>
              <w:jc w:val="center"/>
              <w:ind w:left="117"/>
              <w:spacing w:after="0"/>
              <w:rPr>
                <w:sz w:val="20"/>
                <w:szCs w:val="20"/>
                <w:color w:val="auto"/>
              </w:rPr>
            </w:pPr>
            <w:r>
              <w:rPr>
                <w:rFonts w:ascii="Calibri" w:cs="Calibri" w:eastAsia="Calibri" w:hAnsi="Calibri"/>
                <w:sz w:val="13"/>
                <w:szCs w:val="13"/>
                <w:b w:val="1"/>
                <w:bCs w:val="1"/>
                <w:color w:val="auto"/>
                <w:w w:val="97"/>
              </w:rPr>
              <w:t>104,320</w:t>
            </w:r>
          </w:p>
        </w:tc>
        <w:tc>
          <w:tcPr>
            <w:tcW w:w="180" w:type="dxa"/>
            <w:vAlign w:val="bottom"/>
          </w:tcPr>
          <w:p>
            <w:pPr>
              <w:spacing w:after="0"/>
              <w:rPr>
                <w:sz w:val="24"/>
                <w:szCs w:val="24"/>
                <w:color w:val="auto"/>
              </w:rPr>
            </w:pPr>
          </w:p>
        </w:tc>
        <w:tc>
          <w:tcPr>
            <w:tcW w:w="1060" w:type="dxa"/>
            <w:vAlign w:val="bottom"/>
            <w:tcBorders>
              <w:right w:val="single" w:sz="8" w:color="auto"/>
            </w:tcBorders>
          </w:tcPr>
          <w:p>
            <w:pPr>
              <w:jc w:val="center"/>
              <w:ind w:right="117"/>
              <w:spacing w:after="0"/>
              <w:rPr>
                <w:sz w:val="20"/>
                <w:szCs w:val="20"/>
                <w:color w:val="auto"/>
              </w:rPr>
            </w:pPr>
            <w:r>
              <w:rPr>
                <w:rFonts w:ascii="Calibri" w:cs="Calibri" w:eastAsia="Calibri" w:hAnsi="Calibri"/>
                <w:sz w:val="13"/>
                <w:szCs w:val="13"/>
                <w:b w:val="1"/>
                <w:bCs w:val="1"/>
                <w:color w:val="auto"/>
                <w:w w:val="97"/>
              </w:rPr>
              <w:t>18.1%</w:t>
            </w:r>
          </w:p>
        </w:tc>
      </w:tr>
      <w:tr>
        <w:trPr>
          <w:trHeight w:val="302"/>
        </w:trPr>
        <w:tc>
          <w:tcPr>
            <w:tcW w:w="22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income</w:t>
            </w:r>
          </w:p>
        </w:tc>
        <w:tc>
          <w:tcPr>
            <w:tcW w:w="5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jc w:val="center"/>
              <w:ind w:left="37"/>
              <w:spacing w:after="0"/>
              <w:rPr>
                <w:sz w:val="20"/>
                <w:szCs w:val="20"/>
                <w:color w:val="auto"/>
              </w:rPr>
            </w:pPr>
            <w:r>
              <w:rPr>
                <w:rFonts w:ascii="Calibri" w:cs="Calibri" w:eastAsia="Calibri" w:hAnsi="Calibri"/>
                <w:sz w:val="13"/>
                <w:szCs w:val="13"/>
                <w:b w:val="1"/>
                <w:bCs w:val="1"/>
                <w:color w:val="auto"/>
                <w:w w:val="99"/>
              </w:rPr>
              <w:t>48,614</w:t>
            </w:r>
          </w:p>
        </w:tc>
        <w:tc>
          <w:tcPr>
            <w:tcW w:w="1100" w:type="dxa"/>
            <w:vAlign w:val="bottom"/>
            <w:tcBorders>
              <w:bottom w:val="single" w:sz="8" w:color="auto"/>
            </w:tcBorders>
          </w:tcPr>
          <w:p>
            <w:pPr>
              <w:jc w:val="center"/>
              <w:ind w:left="76"/>
              <w:spacing w:after="0"/>
              <w:rPr>
                <w:sz w:val="20"/>
                <w:szCs w:val="20"/>
                <w:color w:val="auto"/>
              </w:rPr>
            </w:pPr>
            <w:r>
              <w:rPr>
                <w:rFonts w:ascii="Calibri" w:cs="Calibri" w:eastAsia="Calibri" w:hAnsi="Calibri"/>
                <w:sz w:val="13"/>
                <w:szCs w:val="13"/>
                <w:b w:val="1"/>
                <w:bCs w:val="1"/>
                <w:color w:val="auto"/>
                <w:w w:val="99"/>
              </w:rPr>
              <w:t>40,909</w:t>
            </w:r>
          </w:p>
        </w:tc>
        <w:tc>
          <w:tcPr>
            <w:tcW w:w="10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3"/>
              </w:rPr>
              <w:t>52,967</w:t>
            </w:r>
          </w:p>
        </w:tc>
        <w:tc>
          <w:tcPr>
            <w:tcW w:w="740" w:type="dxa"/>
            <w:vAlign w:val="bottom"/>
            <w:tcBorders>
              <w:bottom w:val="single" w:sz="8" w:color="auto"/>
            </w:tcBorders>
          </w:tcPr>
          <w:p>
            <w:pPr>
              <w:jc w:val="center"/>
              <w:ind w:left="197"/>
              <w:spacing w:after="0"/>
              <w:rPr>
                <w:sz w:val="20"/>
                <w:szCs w:val="20"/>
                <w:color w:val="auto"/>
              </w:rPr>
            </w:pPr>
            <w:r>
              <w:rPr>
                <w:rFonts w:ascii="Calibri" w:cs="Calibri" w:eastAsia="Calibri" w:hAnsi="Calibri"/>
                <w:sz w:val="13"/>
                <w:szCs w:val="13"/>
                <w:b w:val="1"/>
                <w:bCs w:val="1"/>
                <w:color w:val="auto"/>
                <w:w w:val="97"/>
              </w:rPr>
              <w:t>29.5%</w:t>
            </w:r>
          </w:p>
        </w:tc>
        <w:tc>
          <w:tcPr>
            <w:tcW w:w="1000" w:type="dxa"/>
            <w:vAlign w:val="bottom"/>
            <w:tcBorders>
              <w:bottom w:val="single" w:sz="8" w:color="auto"/>
            </w:tcBorders>
          </w:tcPr>
          <w:p>
            <w:pPr>
              <w:jc w:val="center"/>
              <w:ind w:left="497"/>
              <w:spacing w:after="0"/>
              <w:rPr>
                <w:sz w:val="20"/>
                <w:szCs w:val="20"/>
                <w:color w:val="auto"/>
              </w:rPr>
            </w:pPr>
            <w:r>
              <w:rPr>
                <w:rFonts w:ascii="Calibri" w:cs="Calibri" w:eastAsia="Calibri" w:hAnsi="Calibri"/>
                <w:sz w:val="13"/>
                <w:szCs w:val="13"/>
                <w:b w:val="1"/>
                <w:bCs w:val="1"/>
                <w:color w:val="auto"/>
                <w:w w:val="91"/>
              </w:rPr>
              <w:t>9.0%</w:t>
            </w:r>
          </w:p>
        </w:tc>
        <w:tc>
          <w:tcPr>
            <w:tcW w:w="3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center"/>
              <w:ind w:left="117"/>
              <w:spacing w:after="0"/>
              <w:rPr>
                <w:sz w:val="20"/>
                <w:szCs w:val="20"/>
                <w:color w:val="auto"/>
              </w:rPr>
            </w:pPr>
            <w:r>
              <w:rPr>
                <w:rFonts w:ascii="Calibri" w:cs="Calibri" w:eastAsia="Calibri" w:hAnsi="Calibri"/>
                <w:sz w:val="13"/>
                <w:szCs w:val="13"/>
                <w:b w:val="1"/>
                <w:bCs w:val="1"/>
                <w:color w:val="auto"/>
                <w:w w:val="97"/>
              </w:rPr>
              <w:t>144,130</w:t>
            </w:r>
          </w:p>
        </w:tc>
        <w:tc>
          <w:tcPr>
            <w:tcW w:w="1240" w:type="dxa"/>
            <w:vAlign w:val="bottom"/>
            <w:tcBorders>
              <w:bottom w:val="single" w:sz="8" w:color="auto"/>
              <w:right w:val="single" w:sz="8" w:color="auto"/>
            </w:tcBorders>
          </w:tcPr>
          <w:p>
            <w:pPr>
              <w:jc w:val="center"/>
              <w:ind w:left="117"/>
              <w:spacing w:after="0"/>
              <w:rPr>
                <w:sz w:val="20"/>
                <w:szCs w:val="20"/>
                <w:color w:val="auto"/>
              </w:rPr>
            </w:pPr>
            <w:r>
              <w:rPr>
                <w:rFonts w:ascii="Calibri" w:cs="Calibri" w:eastAsia="Calibri" w:hAnsi="Calibri"/>
                <w:sz w:val="13"/>
                <w:szCs w:val="13"/>
                <w:b w:val="1"/>
                <w:bCs w:val="1"/>
                <w:color w:val="auto"/>
                <w:w w:val="97"/>
              </w:rPr>
              <w:t>146,717</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ind w:right="137"/>
              <w:spacing w:after="0"/>
              <w:rPr>
                <w:sz w:val="20"/>
                <w:szCs w:val="20"/>
                <w:color w:val="auto"/>
              </w:rPr>
            </w:pPr>
            <w:r>
              <w:rPr>
                <w:rFonts w:ascii="Calibri" w:cs="Calibri" w:eastAsia="Calibri" w:hAnsi="Calibri"/>
                <w:sz w:val="13"/>
                <w:szCs w:val="13"/>
                <w:b w:val="1"/>
                <w:bCs w:val="1"/>
                <w:color w:val="auto"/>
                <w:w w:val="99"/>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-2974340</wp:posOffset>
            </wp:positionV>
            <wp:extent cx="1080135"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Calibri" w:cs="Calibri" w:eastAsia="Calibri" w:hAnsi="Calibri"/>
          <w:sz w:val="13"/>
          <w:szCs w:val="13"/>
          <w:color w:val="auto"/>
        </w:rPr>
        <w:t>(1) Reported under IFRS 4 standards.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ind w:left="2700"/>
        <w:spacing w:after="0"/>
        <w:tabs>
          <w:tab w:leader="none" w:pos="2920" w:val="left"/>
          <w:tab w:leader="none" w:pos="7620" w:val="left"/>
        </w:tabs>
        <w:rPr>
          <w:sz w:val="20"/>
          <w:szCs w:val="20"/>
          <w:color w:val="auto"/>
        </w:rPr>
      </w:pPr>
      <w:r>
        <w:rPr>
          <w:rFonts w:ascii="Calibri" w:cs="Calibri" w:eastAsia="Calibri" w:hAnsi="Calibri"/>
          <w:sz w:val="20"/>
          <w:szCs w:val="20"/>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97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497205"/>
                    </a:xfrm>
                    <a:prstGeom prst="rect">
                      <a:avLst/>
                    </a:prstGeom>
                    <a:noFill/>
                  </pic:spPr>
                </pic:pic>
              </a:graphicData>
            </a:graphic>
          </wp:anchor>
        </w:drawing>
        <w:t>|</w:t>
      </w:r>
      <w:r>
        <w:rPr>
          <w:sz w:val="20"/>
          <w:szCs w:val="20"/>
          <w:color w:val="auto"/>
        </w:rPr>
        <w:tab/>
      </w:r>
      <w:r>
        <w:rPr>
          <w:rFonts w:ascii="Calibri" w:cs="Calibri" w:eastAsia="Calibri" w:hAnsi="Calibri"/>
          <w:sz w:val="16"/>
          <w:szCs w:val="16"/>
          <w:b w:val="1"/>
          <w:bCs w:val="1"/>
          <w:color w:val="BFBFBF"/>
        </w:rPr>
        <w:t>Earnings Release 3Q / 24</w:t>
      </w:r>
      <w:r>
        <w:rPr>
          <w:sz w:val="20"/>
          <w:szCs w:val="20"/>
          <w:color w:val="auto"/>
        </w:rPr>
        <w:tab/>
      </w:r>
      <w:r>
        <w:rPr>
          <w:rFonts w:ascii="Calibri" w:cs="Calibri" w:eastAsia="Calibri" w:hAnsi="Calibri"/>
          <w:sz w:val="16"/>
          <w:szCs w:val="16"/>
          <w:color w:val="ED3FA8"/>
        </w:rPr>
        <w:t>Analysis of 3Q24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2228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FFFFFF"/>
        </w:rPr>
        <w:t>12. Appendix</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354"/>
        </w:trPr>
        <w:tc>
          <w:tcPr>
            <w:tcW w:w="940" w:type="dxa"/>
            <w:vAlign w:val="bottom"/>
          </w:tcPr>
          <w:p>
            <w:pPr>
              <w:spacing w:after="0"/>
              <w:rPr>
                <w:sz w:val="20"/>
                <w:szCs w:val="20"/>
                <w:color w:val="auto"/>
              </w:rPr>
            </w:pPr>
            <w:r>
              <w:rPr>
                <w:rFonts w:ascii="Calibri" w:cs="Calibri" w:eastAsia="Calibri" w:hAnsi="Calibri"/>
                <w:sz w:val="18"/>
                <w:szCs w:val="18"/>
                <w:b w:val="1"/>
                <w:bCs w:val="1"/>
                <w:color w:val="auto"/>
              </w:rPr>
              <w:t>12.6.9.</w:t>
            </w:r>
          </w:p>
        </w:tc>
        <w:tc>
          <w:tcPr>
            <w:tcW w:w="2900" w:type="dxa"/>
            <w:vAlign w:val="bottom"/>
          </w:tcPr>
          <w:p>
            <w:pPr>
              <w:spacing w:after="0"/>
              <w:rPr>
                <w:sz w:val="20"/>
                <w:szCs w:val="20"/>
                <w:color w:val="auto"/>
              </w:rPr>
            </w:pPr>
            <w:r>
              <w:rPr>
                <w:rFonts w:ascii="Calibri" w:cs="Calibri" w:eastAsia="Calibri" w:hAnsi="Calibri"/>
                <w:sz w:val="18"/>
                <w:szCs w:val="18"/>
                <w:b w:val="1"/>
                <w:bCs w:val="1"/>
                <w:color w:val="auto"/>
                <w:w w:val="98"/>
              </w:rPr>
              <w:t xml:space="preserve">Investment Management &amp; Advisory </w:t>
            </w:r>
            <w:r>
              <w:rPr>
                <w:rFonts w:ascii="Calibri" w:cs="Calibri" w:eastAsia="Calibri" w:hAnsi="Calibri"/>
                <w:sz w:val="29"/>
                <w:szCs w:val="29"/>
                <w:b w:val="1"/>
                <w:bCs w:val="1"/>
                <w:color w:val="auto"/>
                <w:w w:val="98"/>
                <w:vertAlign w:val="superscript"/>
              </w:rPr>
              <w:t>*</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9"/>
        </w:trPr>
        <w:tc>
          <w:tcPr>
            <w:tcW w:w="3840" w:type="dxa"/>
            <w:vAlign w:val="bottom"/>
            <w:tcBorders>
              <w:bottom w:val="single" w:sz="8" w:color="auto"/>
            </w:tcBorders>
            <w:gridSpan w:val="2"/>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53"/>
        </w:trPr>
        <w:tc>
          <w:tcPr>
            <w:tcW w:w="3840" w:type="dxa"/>
            <w:vAlign w:val="bottom"/>
            <w:tcBorders>
              <w:left w:val="single" w:sz="8" w:color="auto"/>
              <w:right w:val="single" w:sz="8" w:color="auto"/>
            </w:tcBorders>
            <w:gridSpan w:val="2"/>
            <w:shd w:val="clear" w:color="auto" w:fill="33CCCC"/>
          </w:tcPr>
          <w:p>
            <w:pPr>
              <w:ind w:left="20"/>
              <w:spacing w:after="0" w:line="153" w:lineRule="exact"/>
              <w:rPr>
                <w:sz w:val="20"/>
                <w:szCs w:val="20"/>
                <w:color w:val="auto"/>
              </w:rPr>
            </w:pPr>
            <w:r>
              <w:rPr>
                <w:rFonts w:ascii="Calibri" w:cs="Calibri" w:eastAsia="Calibri" w:hAnsi="Calibri"/>
                <w:sz w:val="13"/>
                <w:szCs w:val="13"/>
                <w:b w:val="1"/>
                <w:bCs w:val="1"/>
                <w:color w:val="FFFFFF"/>
              </w:rPr>
              <w:t>Investment Management &amp; Advisory</w:t>
            </w:r>
          </w:p>
        </w:tc>
        <w:tc>
          <w:tcPr>
            <w:tcW w:w="940" w:type="dxa"/>
            <w:vAlign w:val="bottom"/>
            <w:shd w:val="clear" w:color="auto" w:fill="33CCCC"/>
          </w:tcPr>
          <w:p>
            <w:pPr>
              <w:spacing w:after="0"/>
              <w:rPr>
                <w:sz w:val="13"/>
                <w:szCs w:val="13"/>
                <w:color w:val="auto"/>
              </w:rPr>
            </w:pPr>
          </w:p>
        </w:tc>
        <w:tc>
          <w:tcPr>
            <w:tcW w:w="920" w:type="dxa"/>
            <w:vAlign w:val="bottom"/>
            <w:shd w:val="clear" w:color="auto" w:fill="33CCCC"/>
          </w:tcPr>
          <w:p>
            <w:pPr>
              <w:ind w:left="220"/>
              <w:spacing w:after="0" w:line="153" w:lineRule="exact"/>
              <w:rPr>
                <w:sz w:val="20"/>
                <w:szCs w:val="20"/>
                <w:color w:val="auto"/>
              </w:rPr>
            </w:pPr>
            <w:r>
              <w:rPr>
                <w:rFonts w:ascii="Calibri" w:cs="Calibri" w:eastAsia="Calibri" w:hAnsi="Calibri"/>
                <w:sz w:val="13"/>
                <w:szCs w:val="13"/>
                <w:b w:val="1"/>
                <w:bCs w:val="1"/>
                <w:color w:val="FFFFFF"/>
              </w:rPr>
              <w:t>Quarter</w:t>
            </w:r>
          </w:p>
        </w:tc>
        <w:tc>
          <w:tcPr>
            <w:tcW w:w="920" w:type="dxa"/>
            <w:vAlign w:val="bottom"/>
            <w:tcBorders>
              <w:right w:val="single" w:sz="8" w:color="auto"/>
            </w:tcBorders>
            <w:shd w:val="clear" w:color="auto" w:fill="33CCCC"/>
          </w:tcPr>
          <w:p>
            <w:pPr>
              <w:spacing w:after="0"/>
              <w:rPr>
                <w:sz w:val="13"/>
                <w:szCs w:val="13"/>
                <w:color w:val="auto"/>
              </w:rPr>
            </w:pPr>
          </w:p>
        </w:tc>
        <w:tc>
          <w:tcPr>
            <w:tcW w:w="1840" w:type="dxa"/>
            <w:vAlign w:val="bottom"/>
            <w:tcBorders>
              <w:right w:val="single" w:sz="8" w:color="auto"/>
            </w:tcBorders>
            <w:gridSpan w:val="2"/>
            <w:shd w:val="clear" w:color="auto" w:fill="33CCCC"/>
          </w:tcPr>
          <w:p>
            <w:pPr>
              <w:ind w:left="640"/>
              <w:spacing w:after="0" w:line="153" w:lineRule="exact"/>
              <w:rPr>
                <w:sz w:val="20"/>
                <w:szCs w:val="20"/>
                <w:color w:val="auto"/>
              </w:rPr>
            </w:pPr>
            <w:r>
              <w:rPr>
                <w:rFonts w:ascii="Calibri" w:cs="Calibri" w:eastAsia="Calibri" w:hAnsi="Calibri"/>
                <w:sz w:val="13"/>
                <w:szCs w:val="13"/>
                <w:b w:val="1"/>
                <w:bCs w:val="1"/>
                <w:color w:val="FFFFFF"/>
              </w:rPr>
              <w:t>% change</w:t>
            </w:r>
          </w:p>
        </w:tc>
        <w:tc>
          <w:tcPr>
            <w:tcW w:w="720" w:type="dxa"/>
            <w:vAlign w:val="bottom"/>
            <w:shd w:val="clear" w:color="auto" w:fill="33CCCC"/>
          </w:tcPr>
          <w:p>
            <w:pPr>
              <w:spacing w:after="0"/>
              <w:rPr>
                <w:sz w:val="13"/>
                <w:szCs w:val="13"/>
                <w:color w:val="auto"/>
              </w:rPr>
            </w:pPr>
          </w:p>
        </w:tc>
        <w:tc>
          <w:tcPr>
            <w:tcW w:w="1100" w:type="dxa"/>
            <w:vAlign w:val="bottom"/>
            <w:tcBorders>
              <w:right w:val="single" w:sz="8" w:color="auto"/>
            </w:tcBorders>
            <w:shd w:val="clear" w:color="auto" w:fill="33CCCC"/>
          </w:tcPr>
          <w:p>
            <w:pPr>
              <w:ind w:left="20"/>
              <w:spacing w:after="0" w:line="153" w:lineRule="exact"/>
              <w:rPr>
                <w:sz w:val="20"/>
                <w:szCs w:val="20"/>
                <w:color w:val="auto"/>
              </w:rPr>
            </w:pPr>
            <w:r>
              <w:rPr>
                <w:rFonts w:ascii="Calibri" w:cs="Calibri" w:eastAsia="Calibri" w:hAnsi="Calibri"/>
                <w:sz w:val="13"/>
                <w:szCs w:val="13"/>
                <w:b w:val="1"/>
                <w:bCs w:val="1"/>
                <w:color w:val="FFFFFF"/>
              </w:rPr>
              <w:t>Up to</w:t>
            </w:r>
          </w:p>
        </w:tc>
        <w:tc>
          <w:tcPr>
            <w:tcW w:w="960" w:type="dxa"/>
            <w:vAlign w:val="bottom"/>
            <w:tcBorders>
              <w:right w:val="single" w:sz="8" w:color="auto"/>
            </w:tcBorders>
            <w:shd w:val="clear" w:color="auto" w:fill="33CCCC"/>
          </w:tcPr>
          <w:p>
            <w:pPr>
              <w:jc w:val="center"/>
              <w:spacing w:after="0" w:line="153" w:lineRule="exact"/>
              <w:rPr>
                <w:sz w:val="20"/>
                <w:szCs w:val="20"/>
                <w:color w:val="auto"/>
              </w:rPr>
            </w:pPr>
            <w:r>
              <w:rPr>
                <w:rFonts w:ascii="Calibri" w:cs="Calibri" w:eastAsia="Calibri" w:hAnsi="Calibri"/>
                <w:sz w:val="13"/>
                <w:szCs w:val="13"/>
                <w:b w:val="1"/>
                <w:bCs w:val="1"/>
                <w:color w:val="FFFFFF"/>
              </w:rPr>
              <w:t>% change</w:t>
            </w:r>
          </w:p>
        </w:tc>
      </w:tr>
      <w:tr>
        <w:trPr>
          <w:trHeight w:val="197"/>
        </w:trPr>
        <w:tc>
          <w:tcPr>
            <w:tcW w:w="940" w:type="dxa"/>
            <w:vAlign w:val="bottom"/>
            <w:tcBorders>
              <w:left w:val="single" w:sz="8" w:color="auto"/>
              <w:bottom w:val="single" w:sz="8" w:color="33CCCC"/>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S/000</w:t>
            </w:r>
          </w:p>
        </w:tc>
        <w:tc>
          <w:tcPr>
            <w:tcW w:w="2900" w:type="dxa"/>
            <w:vAlign w:val="bottom"/>
            <w:tcBorders>
              <w:bottom w:val="single" w:sz="8" w:color="33CCCC"/>
              <w:right w:val="single" w:sz="8" w:color="auto"/>
            </w:tcBorders>
            <w:shd w:val="clear" w:color="auto" w:fill="33CCCC"/>
          </w:tcPr>
          <w:p>
            <w:pPr>
              <w:spacing w:after="0"/>
              <w:rPr>
                <w:sz w:val="16"/>
                <w:szCs w:val="16"/>
                <w:color w:val="auto"/>
              </w:rPr>
            </w:pPr>
          </w:p>
        </w:tc>
        <w:tc>
          <w:tcPr>
            <w:tcW w:w="94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3Q23</w:t>
            </w:r>
          </w:p>
        </w:tc>
        <w:tc>
          <w:tcPr>
            <w:tcW w:w="92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2Q24</w:t>
            </w:r>
          </w:p>
        </w:tc>
        <w:tc>
          <w:tcPr>
            <w:tcW w:w="92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3Q24</w:t>
            </w:r>
          </w:p>
        </w:tc>
        <w:tc>
          <w:tcPr>
            <w:tcW w:w="900" w:type="dxa"/>
            <w:vAlign w:val="bottom"/>
            <w:tcBorders>
              <w:bottom w:val="single" w:sz="8" w:color="33CCCC"/>
            </w:tcBorders>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QoQ</w:t>
            </w:r>
          </w:p>
        </w:tc>
        <w:tc>
          <w:tcPr>
            <w:tcW w:w="940" w:type="dxa"/>
            <w:vAlign w:val="bottom"/>
            <w:tcBorders>
              <w:bottom w:val="single" w:sz="8" w:color="33CCCC"/>
              <w:right w:val="single" w:sz="8" w:color="auto"/>
            </w:tcBorders>
            <w:shd w:val="clear" w:color="auto" w:fill="33CCCC"/>
          </w:tcPr>
          <w:p>
            <w:pPr>
              <w:ind w:left="360"/>
              <w:spacing w:after="0"/>
              <w:rPr>
                <w:sz w:val="20"/>
                <w:szCs w:val="20"/>
                <w:color w:val="auto"/>
              </w:rPr>
            </w:pPr>
            <w:r>
              <w:rPr>
                <w:rFonts w:ascii="Calibri" w:cs="Calibri" w:eastAsia="Calibri" w:hAnsi="Calibri"/>
                <w:sz w:val="13"/>
                <w:szCs w:val="13"/>
                <w:b w:val="1"/>
                <w:bCs w:val="1"/>
                <w:color w:val="FFFFFF"/>
              </w:rPr>
              <w:t>YoY</w:t>
            </w:r>
          </w:p>
        </w:tc>
        <w:tc>
          <w:tcPr>
            <w:tcW w:w="720" w:type="dxa"/>
            <w:vAlign w:val="bottom"/>
            <w:tcBorders>
              <w:bottom w:val="single" w:sz="8" w:color="33CCCC"/>
            </w:tcBorders>
            <w:shd w:val="clear" w:color="auto" w:fill="33CCCC"/>
          </w:tcPr>
          <w:p>
            <w:pPr>
              <w:ind w:left="260"/>
              <w:spacing w:after="0"/>
              <w:rPr>
                <w:sz w:val="20"/>
                <w:szCs w:val="20"/>
                <w:color w:val="auto"/>
              </w:rPr>
            </w:pPr>
            <w:r>
              <w:rPr>
                <w:rFonts w:ascii="Calibri" w:cs="Calibri" w:eastAsia="Calibri" w:hAnsi="Calibri"/>
                <w:sz w:val="13"/>
                <w:szCs w:val="13"/>
                <w:b w:val="1"/>
                <w:bCs w:val="1"/>
                <w:color w:val="FFFFFF"/>
              </w:rPr>
              <w:t>Set 23</w:t>
            </w:r>
          </w:p>
        </w:tc>
        <w:tc>
          <w:tcPr>
            <w:tcW w:w="1100" w:type="dxa"/>
            <w:vAlign w:val="bottom"/>
            <w:tcBorders>
              <w:bottom w:val="single" w:sz="8" w:color="33CCCC"/>
              <w:right w:val="single" w:sz="8" w:color="auto"/>
            </w:tcBorders>
            <w:shd w:val="clear" w:color="auto" w:fill="33CCCC"/>
          </w:tcPr>
          <w:p>
            <w:pPr>
              <w:ind w:left="460"/>
              <w:spacing w:after="0"/>
              <w:rPr>
                <w:sz w:val="20"/>
                <w:szCs w:val="20"/>
                <w:color w:val="auto"/>
              </w:rPr>
            </w:pPr>
            <w:r>
              <w:rPr>
                <w:rFonts w:ascii="Calibri" w:cs="Calibri" w:eastAsia="Calibri" w:hAnsi="Calibri"/>
                <w:sz w:val="13"/>
                <w:szCs w:val="13"/>
                <w:b w:val="1"/>
                <w:bCs w:val="1"/>
                <w:color w:val="FFFFFF"/>
              </w:rPr>
              <w:t>Set 24</w:t>
            </w:r>
          </w:p>
        </w:tc>
        <w:tc>
          <w:tcPr>
            <w:tcW w:w="9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Sep 23 / Sep 24</w:t>
            </w:r>
          </w:p>
        </w:tc>
      </w:tr>
      <w:tr>
        <w:trPr>
          <w:trHeight w:val="153"/>
        </w:trPr>
        <w:tc>
          <w:tcPr>
            <w:tcW w:w="3840" w:type="dxa"/>
            <w:vAlign w:val="bottom"/>
            <w:tcBorders>
              <w:top w:val="single" w:sz="8" w:color="auto"/>
              <w:left w:val="single" w:sz="8" w:color="auto"/>
              <w:right w:val="single" w:sz="8" w:color="auto"/>
            </w:tcBorders>
            <w:gridSpan w:val="2"/>
          </w:tcPr>
          <w:p>
            <w:pPr>
              <w:ind w:left="20"/>
              <w:spacing w:after="0" w:line="153" w:lineRule="exact"/>
              <w:rPr>
                <w:sz w:val="20"/>
                <w:szCs w:val="20"/>
                <w:color w:val="auto"/>
              </w:rPr>
            </w:pPr>
            <w:r>
              <w:rPr>
                <w:rFonts w:ascii="Calibri" w:cs="Calibri" w:eastAsia="Calibri" w:hAnsi="Calibri"/>
                <w:sz w:val="13"/>
                <w:szCs w:val="13"/>
                <w:color w:val="auto"/>
              </w:rPr>
              <w:t>Net interest income</w:t>
            </w:r>
          </w:p>
        </w:tc>
        <w:tc>
          <w:tcPr>
            <w:tcW w:w="940" w:type="dxa"/>
            <w:vAlign w:val="bottom"/>
            <w:tcBorders>
              <w:top w:val="single" w:sz="8" w:color="auto"/>
            </w:tcBorders>
          </w:tcPr>
          <w:p>
            <w:pPr>
              <w:jc w:val="center"/>
              <w:spacing w:after="0" w:line="153" w:lineRule="exact"/>
              <w:rPr>
                <w:sz w:val="20"/>
                <w:szCs w:val="20"/>
                <w:color w:val="auto"/>
              </w:rPr>
            </w:pPr>
            <w:r>
              <w:rPr>
                <w:rFonts w:ascii="Calibri" w:cs="Calibri" w:eastAsia="Calibri" w:hAnsi="Calibri"/>
                <w:sz w:val="13"/>
                <w:szCs w:val="13"/>
                <w:color w:val="auto"/>
                <w:w w:val="99"/>
              </w:rPr>
              <w:t>20,100</w:t>
            </w:r>
          </w:p>
        </w:tc>
        <w:tc>
          <w:tcPr>
            <w:tcW w:w="920" w:type="dxa"/>
            <w:vAlign w:val="bottom"/>
            <w:tcBorders>
              <w:top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5,277</w:t>
            </w:r>
          </w:p>
        </w:tc>
        <w:tc>
          <w:tcPr>
            <w:tcW w:w="920" w:type="dxa"/>
            <w:vAlign w:val="bottom"/>
            <w:tcBorders>
              <w:top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9,934</w:t>
            </w:r>
          </w:p>
        </w:tc>
        <w:tc>
          <w:tcPr>
            <w:tcW w:w="900" w:type="dxa"/>
            <w:vAlign w:val="bottom"/>
            <w:tcBorders>
              <w:top w:val="single" w:sz="8" w:color="auto"/>
            </w:tcBorders>
          </w:tcPr>
          <w:p>
            <w:pPr>
              <w:jc w:val="center"/>
              <w:spacing w:after="0" w:line="153" w:lineRule="exact"/>
              <w:rPr>
                <w:sz w:val="20"/>
                <w:szCs w:val="20"/>
                <w:color w:val="auto"/>
              </w:rPr>
            </w:pPr>
            <w:r>
              <w:rPr>
                <w:rFonts w:ascii="Calibri" w:cs="Calibri" w:eastAsia="Calibri" w:hAnsi="Calibri"/>
                <w:sz w:val="13"/>
                <w:szCs w:val="13"/>
                <w:color w:val="auto"/>
                <w:w w:val="98"/>
              </w:rPr>
              <w:t>88.3%</w:t>
            </w:r>
          </w:p>
        </w:tc>
        <w:tc>
          <w:tcPr>
            <w:tcW w:w="940" w:type="dxa"/>
            <w:vAlign w:val="bottom"/>
            <w:tcBorders>
              <w:top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-51%</w:t>
            </w:r>
          </w:p>
        </w:tc>
        <w:tc>
          <w:tcPr>
            <w:tcW w:w="720" w:type="dxa"/>
            <w:vAlign w:val="bottom"/>
            <w:tcBorders>
              <w:top w:val="single" w:sz="8" w:color="auto"/>
            </w:tcBorders>
          </w:tcPr>
          <w:p>
            <w:pPr>
              <w:jc w:val="center"/>
              <w:ind w:left="73"/>
              <w:spacing w:after="0" w:line="153" w:lineRule="exact"/>
              <w:rPr>
                <w:sz w:val="20"/>
                <w:szCs w:val="20"/>
                <w:color w:val="auto"/>
              </w:rPr>
            </w:pPr>
            <w:r>
              <w:rPr>
                <w:rFonts w:ascii="Calibri" w:cs="Calibri" w:eastAsia="Calibri" w:hAnsi="Calibri"/>
                <w:sz w:val="13"/>
                <w:szCs w:val="13"/>
                <w:color w:val="auto"/>
              </w:rPr>
              <w:t>63,348</w:t>
            </w:r>
          </w:p>
        </w:tc>
        <w:tc>
          <w:tcPr>
            <w:tcW w:w="1100" w:type="dxa"/>
            <w:vAlign w:val="bottom"/>
            <w:tcBorders>
              <w:top w:val="single" w:sz="8" w:color="auto"/>
              <w:right w:val="single" w:sz="8" w:color="auto"/>
            </w:tcBorders>
          </w:tcPr>
          <w:p>
            <w:pPr>
              <w:jc w:val="center"/>
              <w:ind w:left="93"/>
              <w:spacing w:after="0" w:line="153" w:lineRule="exact"/>
              <w:rPr>
                <w:sz w:val="20"/>
                <w:szCs w:val="20"/>
                <w:color w:val="auto"/>
              </w:rPr>
            </w:pPr>
            <w:r>
              <w:rPr>
                <w:rFonts w:ascii="Calibri" w:cs="Calibri" w:eastAsia="Calibri" w:hAnsi="Calibri"/>
                <w:sz w:val="13"/>
                <w:szCs w:val="13"/>
                <w:color w:val="auto"/>
              </w:rPr>
              <w:t>21,671</w:t>
            </w:r>
          </w:p>
        </w:tc>
        <w:tc>
          <w:tcPr>
            <w:tcW w:w="960" w:type="dxa"/>
            <w:vAlign w:val="bottom"/>
            <w:tcBorders>
              <w:top w:val="single" w:sz="8" w:color="auto"/>
              <w:right w:val="single" w:sz="8" w:color="auto"/>
            </w:tcBorders>
          </w:tcPr>
          <w:p>
            <w:pPr>
              <w:jc w:val="center"/>
              <w:spacing w:after="0" w:line="153" w:lineRule="exact"/>
              <w:rPr>
                <w:sz w:val="20"/>
                <w:szCs w:val="20"/>
                <w:color w:val="auto"/>
              </w:rPr>
            </w:pPr>
            <w:r>
              <w:rPr>
                <w:rFonts w:ascii="Calibri" w:cs="Calibri" w:eastAsia="Calibri" w:hAnsi="Calibri"/>
                <w:sz w:val="13"/>
                <w:szCs w:val="13"/>
                <w:color w:val="auto"/>
              </w:rPr>
              <w:t>-65.8%</w:t>
            </w:r>
          </w:p>
        </w:tc>
      </w:tr>
      <w:tr>
        <w:trPr>
          <w:trHeight w:val="170"/>
        </w:trPr>
        <w:tc>
          <w:tcPr>
            <w:tcW w:w="384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3"/>
                <w:szCs w:val="13"/>
                <w:color w:val="auto"/>
              </w:rPr>
              <w:t>Non-fnancial income</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182,989</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255,814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241,628</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-5.5%</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32.0%</w:t>
            </w:r>
          </w:p>
        </w:tc>
        <w:tc>
          <w:tcPr>
            <w:tcW w:w="720" w:type="dxa"/>
            <w:vAlign w:val="bottom"/>
          </w:tcPr>
          <w:p>
            <w:pPr>
              <w:jc w:val="center"/>
              <w:ind w:left="93"/>
              <w:spacing w:after="0"/>
              <w:rPr>
                <w:sz w:val="20"/>
                <w:szCs w:val="20"/>
                <w:color w:val="auto"/>
              </w:rPr>
            </w:pPr>
            <w:r>
              <w:rPr>
                <w:rFonts w:ascii="Calibri" w:cs="Calibri" w:eastAsia="Calibri" w:hAnsi="Calibri"/>
                <w:sz w:val="13"/>
                <w:szCs w:val="13"/>
                <w:color w:val="auto"/>
              </w:rPr>
              <w:t>583,309</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730,832</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25.3%</w:t>
            </w:r>
          </w:p>
        </w:tc>
      </w:tr>
      <w:tr>
        <w:trPr>
          <w:trHeight w:val="175"/>
        </w:trPr>
        <w:tc>
          <w:tcPr>
            <w:tcW w:w="940" w:type="dxa"/>
            <w:vAlign w:val="bottom"/>
            <w:tcBorders>
              <w:left w:val="single" w:sz="8" w:color="auto"/>
            </w:tcBorders>
          </w:tcPr>
          <w:p>
            <w:pPr>
              <w:ind w:left="180"/>
              <w:spacing w:after="0"/>
              <w:rPr>
                <w:sz w:val="20"/>
                <w:szCs w:val="20"/>
                <w:color w:val="auto"/>
              </w:rPr>
            </w:pPr>
            <w:r>
              <w:rPr>
                <w:rFonts w:ascii="Calibri" w:cs="Calibri" w:eastAsia="Calibri" w:hAnsi="Calibri"/>
                <w:sz w:val="13"/>
                <w:szCs w:val="13"/>
                <w:color w:val="auto"/>
              </w:rPr>
              <w:t>Fee income</w:t>
            </w:r>
          </w:p>
        </w:tc>
        <w:tc>
          <w:tcPr>
            <w:tcW w:w="2900" w:type="dxa"/>
            <w:vAlign w:val="bottom"/>
            <w:tcBorders>
              <w:right w:val="single" w:sz="8" w:color="auto"/>
            </w:tcBorders>
          </w:tcPr>
          <w:p>
            <w:pPr>
              <w:spacing w:after="0"/>
              <w:rPr>
                <w:sz w:val="15"/>
                <w:szCs w:val="15"/>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127,085</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168,822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157,828</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-6.5%</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24.2%</w:t>
            </w:r>
          </w:p>
        </w:tc>
        <w:tc>
          <w:tcPr>
            <w:tcW w:w="720" w:type="dxa"/>
            <w:vAlign w:val="bottom"/>
          </w:tcPr>
          <w:p>
            <w:pPr>
              <w:jc w:val="center"/>
              <w:ind w:left="93"/>
              <w:spacing w:after="0"/>
              <w:rPr>
                <w:sz w:val="20"/>
                <w:szCs w:val="20"/>
                <w:color w:val="auto"/>
              </w:rPr>
            </w:pPr>
            <w:r>
              <w:rPr>
                <w:rFonts w:ascii="Calibri" w:cs="Calibri" w:eastAsia="Calibri" w:hAnsi="Calibri"/>
                <w:sz w:val="13"/>
                <w:szCs w:val="13"/>
                <w:color w:val="auto"/>
              </w:rPr>
              <w:t>383,394</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471,749</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23.0%</w:t>
            </w:r>
          </w:p>
        </w:tc>
      </w:tr>
      <w:tr>
        <w:trPr>
          <w:trHeight w:val="176"/>
        </w:trPr>
        <w:tc>
          <w:tcPr>
            <w:tcW w:w="3840" w:type="dxa"/>
            <w:vAlign w:val="bottom"/>
            <w:tcBorders>
              <w:left w:val="single" w:sz="8" w:color="auto"/>
              <w:right w:val="single" w:sz="8" w:color="auto"/>
            </w:tcBorders>
            <w:gridSpan w:val="2"/>
          </w:tcPr>
          <w:p>
            <w:pPr>
              <w:ind w:left="180"/>
              <w:spacing w:after="0"/>
              <w:rPr>
                <w:sz w:val="20"/>
                <w:szCs w:val="20"/>
                <w:color w:val="auto"/>
              </w:rPr>
            </w:pPr>
            <w:r>
              <w:rPr>
                <w:rFonts w:ascii="Calibri" w:cs="Calibri" w:eastAsia="Calibri" w:hAnsi="Calibri"/>
                <w:sz w:val="13"/>
                <w:szCs w:val="13"/>
                <w:color w:val="auto"/>
              </w:rPr>
              <w:t>Net gain on foreign exchange transactons</w:t>
            </w:r>
          </w:p>
        </w:tc>
        <w:tc>
          <w:tcPr>
            <w:tcW w:w="940" w:type="dxa"/>
            <w:vAlign w:val="bottom"/>
          </w:tcPr>
          <w:p>
            <w:pPr>
              <w:jc w:val="center"/>
              <w:spacing w:after="0"/>
              <w:rPr>
                <w:sz w:val="20"/>
                <w:szCs w:val="20"/>
                <w:color w:val="auto"/>
              </w:rPr>
            </w:pPr>
            <w:r>
              <w:rPr>
                <w:rFonts w:ascii="Calibri" w:cs="Calibri" w:eastAsia="Calibri" w:hAnsi="Calibri"/>
                <w:sz w:val="13"/>
                <w:szCs w:val="13"/>
                <w:color w:val="auto"/>
                <w:w w:val="99"/>
              </w:rPr>
              <w:t>11,709</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9"/>
              </w:rPr>
              <w:t>19,082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19,448</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1.9%</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66.1%</w:t>
            </w:r>
          </w:p>
        </w:tc>
        <w:tc>
          <w:tcPr>
            <w:tcW w:w="720" w:type="dxa"/>
            <w:vAlign w:val="bottom"/>
          </w:tcPr>
          <w:p>
            <w:pPr>
              <w:jc w:val="center"/>
              <w:ind w:left="73"/>
              <w:spacing w:after="0"/>
              <w:rPr>
                <w:sz w:val="20"/>
                <w:szCs w:val="20"/>
                <w:color w:val="auto"/>
              </w:rPr>
            </w:pPr>
            <w:r>
              <w:rPr>
                <w:rFonts w:ascii="Calibri" w:cs="Calibri" w:eastAsia="Calibri" w:hAnsi="Calibri"/>
                <w:sz w:val="13"/>
                <w:szCs w:val="13"/>
                <w:color w:val="auto"/>
              </w:rPr>
              <w:t>40,629</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51,168</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25.9%</w:t>
            </w:r>
          </w:p>
        </w:tc>
      </w:tr>
      <w:tr>
        <w:trPr>
          <w:trHeight w:val="175"/>
        </w:trPr>
        <w:tc>
          <w:tcPr>
            <w:tcW w:w="3840" w:type="dxa"/>
            <w:vAlign w:val="bottom"/>
            <w:tcBorders>
              <w:left w:val="single" w:sz="8" w:color="auto"/>
              <w:right w:val="single" w:sz="8" w:color="auto"/>
            </w:tcBorders>
            <w:gridSpan w:val="2"/>
          </w:tcPr>
          <w:p>
            <w:pPr>
              <w:ind w:left="180"/>
              <w:spacing w:after="0"/>
              <w:rPr>
                <w:sz w:val="20"/>
                <w:szCs w:val="20"/>
                <w:color w:val="auto"/>
              </w:rPr>
            </w:pPr>
            <w:r>
              <w:rPr>
                <w:rFonts w:ascii="Calibri" w:cs="Calibri" w:eastAsia="Calibri" w:hAnsi="Calibri"/>
                <w:sz w:val="13"/>
                <w:szCs w:val="13"/>
                <w:color w:val="auto"/>
              </w:rPr>
              <w:t>Net gain on sales of securites</w:t>
            </w:r>
          </w:p>
        </w:tc>
        <w:tc>
          <w:tcPr>
            <w:tcW w:w="940" w:type="dxa"/>
            <w:vAlign w:val="bottom"/>
          </w:tcPr>
          <w:p>
            <w:pPr>
              <w:jc w:val="center"/>
              <w:spacing w:after="0"/>
              <w:rPr>
                <w:sz w:val="20"/>
                <w:szCs w:val="20"/>
                <w:color w:val="auto"/>
              </w:rPr>
            </w:pPr>
            <w:r>
              <w:rPr>
                <w:rFonts w:ascii="Calibri" w:cs="Calibri" w:eastAsia="Calibri" w:hAnsi="Calibri"/>
                <w:sz w:val="13"/>
                <w:szCs w:val="13"/>
                <w:color w:val="auto"/>
                <w:w w:val="99"/>
              </w:rPr>
              <w:t>28,120</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9"/>
              </w:rPr>
              <w:t>45,643</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72,105</w:t>
            </w:r>
          </w:p>
        </w:tc>
        <w:tc>
          <w:tcPr>
            <w:tcW w:w="900" w:type="dxa"/>
            <w:vAlign w:val="bottom"/>
          </w:tcPr>
          <w:p>
            <w:pPr>
              <w:jc w:val="center"/>
              <w:spacing w:after="0"/>
              <w:rPr>
                <w:sz w:val="20"/>
                <w:szCs w:val="20"/>
                <w:color w:val="auto"/>
              </w:rPr>
            </w:pPr>
            <w:r>
              <w:rPr>
                <w:rFonts w:ascii="Calibri" w:cs="Calibri" w:eastAsia="Calibri" w:hAnsi="Calibri"/>
                <w:sz w:val="13"/>
                <w:szCs w:val="13"/>
                <w:color w:val="auto"/>
                <w:w w:val="98"/>
              </w:rPr>
              <w:t>58.0%</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156.4%</w:t>
            </w:r>
          </w:p>
        </w:tc>
        <w:tc>
          <w:tcPr>
            <w:tcW w:w="720" w:type="dxa"/>
            <w:vAlign w:val="bottom"/>
          </w:tcPr>
          <w:p>
            <w:pPr>
              <w:jc w:val="center"/>
              <w:ind w:left="93"/>
              <w:spacing w:after="0"/>
              <w:rPr>
                <w:sz w:val="20"/>
                <w:szCs w:val="20"/>
                <w:color w:val="auto"/>
              </w:rPr>
            </w:pPr>
            <w:r>
              <w:rPr>
                <w:rFonts w:ascii="Calibri" w:cs="Calibri" w:eastAsia="Calibri" w:hAnsi="Calibri"/>
                <w:sz w:val="13"/>
                <w:szCs w:val="13"/>
                <w:color w:val="auto"/>
              </w:rPr>
              <w:t>144,138</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172,317</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19.6%</w:t>
            </w:r>
          </w:p>
        </w:tc>
      </w:tr>
      <w:tr>
        <w:trPr>
          <w:trHeight w:val="176"/>
        </w:trPr>
        <w:tc>
          <w:tcPr>
            <w:tcW w:w="3840" w:type="dxa"/>
            <w:vAlign w:val="bottom"/>
            <w:tcBorders>
              <w:left w:val="single" w:sz="8" w:color="auto"/>
              <w:right w:val="single" w:sz="8" w:color="auto"/>
            </w:tcBorders>
            <w:gridSpan w:val="2"/>
          </w:tcPr>
          <w:p>
            <w:pPr>
              <w:ind w:left="180"/>
              <w:spacing w:after="0"/>
              <w:rPr>
                <w:sz w:val="20"/>
                <w:szCs w:val="20"/>
                <w:color w:val="auto"/>
              </w:rPr>
            </w:pPr>
            <w:r>
              <w:rPr>
                <w:rFonts w:ascii="Calibri" w:cs="Calibri" w:eastAsia="Calibri" w:hAnsi="Calibri"/>
                <w:sz w:val="13"/>
                <w:szCs w:val="13"/>
                <w:color w:val="auto"/>
              </w:rPr>
              <w:t>Derivatve Result</w:t>
            </w:r>
          </w:p>
        </w:tc>
        <w:tc>
          <w:tcPr>
            <w:tcW w:w="940" w:type="dxa"/>
            <w:vAlign w:val="bottom"/>
          </w:tcPr>
          <w:p>
            <w:pPr>
              <w:jc w:val="center"/>
              <w:spacing w:after="0"/>
              <w:rPr>
                <w:sz w:val="20"/>
                <w:szCs w:val="20"/>
                <w:color w:val="auto"/>
              </w:rPr>
            </w:pPr>
            <w:r>
              <w:rPr>
                <w:rFonts w:ascii="Calibri" w:cs="Calibri" w:eastAsia="Calibri" w:hAnsi="Calibri"/>
                <w:sz w:val="13"/>
                <w:szCs w:val="13"/>
                <w:color w:val="auto"/>
                <w:w w:val="99"/>
              </w:rPr>
              <w:t>21,771</w:t>
            </w:r>
          </w:p>
        </w:tc>
        <w:tc>
          <w:tcPr>
            <w:tcW w:w="920" w:type="dxa"/>
            <w:vAlign w:val="bottom"/>
          </w:tcPr>
          <w:p>
            <w:pPr>
              <w:jc w:val="center"/>
              <w:spacing w:after="0"/>
              <w:rPr>
                <w:sz w:val="20"/>
                <w:szCs w:val="20"/>
                <w:color w:val="auto"/>
              </w:rPr>
            </w:pPr>
            <w:r>
              <w:rPr>
                <w:rFonts w:ascii="Calibri" w:cs="Calibri" w:eastAsia="Calibri" w:hAnsi="Calibri"/>
                <w:sz w:val="13"/>
                <w:szCs w:val="13"/>
                <w:color w:val="auto"/>
                <w:w w:val="99"/>
              </w:rPr>
              <w:t>20,551</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(17,139)</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-183.4%</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-178.7%</w:t>
            </w:r>
          </w:p>
        </w:tc>
        <w:tc>
          <w:tcPr>
            <w:tcW w:w="720" w:type="dxa"/>
            <w:vAlign w:val="bottom"/>
          </w:tcPr>
          <w:p>
            <w:pPr>
              <w:jc w:val="center"/>
              <w:ind w:left="73"/>
              <w:spacing w:after="0"/>
              <w:rPr>
                <w:sz w:val="20"/>
                <w:szCs w:val="20"/>
                <w:color w:val="auto"/>
              </w:rPr>
            </w:pPr>
            <w:r>
              <w:rPr>
                <w:rFonts w:ascii="Calibri" w:cs="Calibri" w:eastAsia="Calibri" w:hAnsi="Calibri"/>
                <w:sz w:val="13"/>
                <w:szCs w:val="13"/>
                <w:color w:val="auto"/>
              </w:rPr>
              <w:t>(28,766)</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25,440</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-188.4%</w:t>
            </w:r>
          </w:p>
        </w:tc>
      </w:tr>
      <w:tr>
        <w:trPr>
          <w:trHeight w:val="176"/>
        </w:trPr>
        <w:tc>
          <w:tcPr>
            <w:tcW w:w="3840" w:type="dxa"/>
            <w:vAlign w:val="bottom"/>
            <w:tcBorders>
              <w:left w:val="single" w:sz="8" w:color="auto"/>
              <w:right w:val="single" w:sz="8" w:color="auto"/>
            </w:tcBorders>
            <w:gridSpan w:val="2"/>
          </w:tcPr>
          <w:p>
            <w:pPr>
              <w:ind w:left="180"/>
              <w:spacing w:after="0"/>
              <w:rPr>
                <w:sz w:val="20"/>
                <w:szCs w:val="20"/>
                <w:color w:val="auto"/>
              </w:rPr>
            </w:pPr>
            <w:r>
              <w:rPr>
                <w:rFonts w:ascii="Calibri" w:cs="Calibri" w:eastAsia="Calibri" w:hAnsi="Calibri"/>
                <w:sz w:val="13"/>
                <w:szCs w:val="13"/>
                <w:color w:val="auto"/>
              </w:rPr>
              <w:t>Result from exposure to the exchange rate</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(7,650)</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(4,378)</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6,061</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-238.4%</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-179.2%</w:t>
            </w:r>
          </w:p>
        </w:tc>
        <w:tc>
          <w:tcPr>
            <w:tcW w:w="720" w:type="dxa"/>
            <w:vAlign w:val="bottom"/>
          </w:tcPr>
          <w:p>
            <w:pPr>
              <w:jc w:val="center"/>
              <w:ind w:left="73"/>
              <w:spacing w:after="0"/>
              <w:rPr>
                <w:sz w:val="20"/>
                <w:szCs w:val="20"/>
                <w:color w:val="auto"/>
              </w:rPr>
            </w:pPr>
            <w:r>
              <w:rPr>
                <w:rFonts w:ascii="Calibri" w:cs="Calibri" w:eastAsia="Calibri" w:hAnsi="Calibri"/>
                <w:sz w:val="13"/>
                <w:szCs w:val="13"/>
                <w:color w:val="auto"/>
              </w:rPr>
              <w:t>23,860</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(11,290)</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-147.3%</w:t>
            </w:r>
          </w:p>
        </w:tc>
      </w:tr>
      <w:tr>
        <w:trPr>
          <w:trHeight w:val="175"/>
        </w:trPr>
        <w:tc>
          <w:tcPr>
            <w:tcW w:w="940" w:type="dxa"/>
            <w:vAlign w:val="bottom"/>
            <w:tcBorders>
              <w:left w:val="single" w:sz="8" w:color="auto"/>
            </w:tcBorders>
          </w:tcPr>
          <w:p>
            <w:pPr>
              <w:ind w:left="180"/>
              <w:spacing w:after="0"/>
              <w:rPr>
                <w:sz w:val="20"/>
                <w:szCs w:val="20"/>
                <w:color w:val="auto"/>
              </w:rPr>
            </w:pPr>
            <w:r>
              <w:rPr>
                <w:rFonts w:ascii="Calibri" w:cs="Calibri" w:eastAsia="Calibri" w:hAnsi="Calibri"/>
                <w:sz w:val="13"/>
                <w:szCs w:val="13"/>
                <w:color w:val="auto"/>
              </w:rPr>
              <w:t>Other income</w:t>
            </w:r>
          </w:p>
        </w:tc>
        <w:tc>
          <w:tcPr>
            <w:tcW w:w="2900" w:type="dxa"/>
            <w:vAlign w:val="bottom"/>
            <w:tcBorders>
              <w:right w:val="single" w:sz="8" w:color="auto"/>
            </w:tcBorders>
          </w:tcPr>
          <w:p>
            <w:pPr>
              <w:spacing w:after="0"/>
              <w:rPr>
                <w:sz w:val="15"/>
                <w:szCs w:val="15"/>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1,954</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6,094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3,325</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-45.4%</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70.2%</w:t>
            </w:r>
          </w:p>
        </w:tc>
        <w:tc>
          <w:tcPr>
            <w:tcW w:w="720" w:type="dxa"/>
            <w:vAlign w:val="bottom"/>
          </w:tcPr>
          <w:p>
            <w:pPr>
              <w:jc w:val="center"/>
              <w:ind w:left="73"/>
              <w:spacing w:after="0"/>
              <w:rPr>
                <w:sz w:val="20"/>
                <w:szCs w:val="20"/>
                <w:color w:val="auto"/>
              </w:rPr>
            </w:pPr>
            <w:r>
              <w:rPr>
                <w:rFonts w:ascii="Calibri" w:cs="Calibri" w:eastAsia="Calibri" w:hAnsi="Calibri"/>
                <w:sz w:val="13"/>
                <w:szCs w:val="13"/>
                <w:color w:val="auto"/>
              </w:rPr>
              <w:t>20,054</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21,448</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7.0%</w:t>
            </w:r>
          </w:p>
        </w:tc>
      </w:tr>
      <w:tr>
        <w:trPr>
          <w:trHeight w:val="176"/>
        </w:trPr>
        <w:tc>
          <w:tcPr>
            <w:tcW w:w="384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3"/>
                <w:szCs w:val="13"/>
                <w:color w:val="auto"/>
              </w:rPr>
              <w:t>Operatng expenses (1)</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(175,514)</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(172,693)</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(187,915)</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8.8%</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7.1%</w:t>
            </w:r>
          </w:p>
        </w:tc>
        <w:tc>
          <w:tcPr>
            <w:tcW w:w="720" w:type="dxa"/>
            <w:vAlign w:val="bottom"/>
          </w:tcPr>
          <w:p>
            <w:pPr>
              <w:jc w:val="center"/>
              <w:ind w:left="93"/>
              <w:spacing w:after="0"/>
              <w:rPr>
                <w:sz w:val="20"/>
                <w:szCs w:val="20"/>
                <w:color w:val="auto"/>
              </w:rPr>
            </w:pPr>
            <w:r>
              <w:rPr>
                <w:rFonts w:ascii="Calibri" w:cs="Calibri" w:eastAsia="Calibri" w:hAnsi="Calibri"/>
                <w:sz w:val="13"/>
                <w:szCs w:val="13"/>
                <w:color w:val="auto"/>
              </w:rPr>
              <w:t>(506,605)</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(540,699)</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6.7%</w:t>
            </w:r>
          </w:p>
        </w:tc>
      </w:tr>
      <w:tr>
        <w:trPr>
          <w:trHeight w:val="22"/>
        </w:trPr>
        <w:tc>
          <w:tcPr>
            <w:tcW w:w="38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Calibri" w:cs="Calibri" w:eastAsia="Calibri" w:hAnsi="Calibri"/>
                <w:sz w:val="13"/>
                <w:szCs w:val="13"/>
                <w:b w:val="1"/>
                <w:bCs w:val="1"/>
                <w:color w:val="auto"/>
              </w:rPr>
              <w:t>Operatng income</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9"/>
              </w:rPr>
              <w:t>27,575</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9"/>
              </w:rPr>
              <w:t>88,398</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63,647</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rPr>
              <w:t>-28.0%</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130.8%</w:t>
            </w:r>
          </w:p>
        </w:tc>
        <w:tc>
          <w:tcPr>
            <w:tcW w:w="720" w:type="dxa"/>
            <w:vAlign w:val="bottom"/>
            <w:tcBorders>
              <w:bottom w:val="single" w:sz="8" w:color="auto"/>
            </w:tcBorders>
          </w:tcPr>
          <w:p>
            <w:pPr>
              <w:jc w:val="center"/>
              <w:ind w:left="93"/>
              <w:spacing w:after="0"/>
              <w:rPr>
                <w:sz w:val="20"/>
                <w:szCs w:val="20"/>
                <w:color w:val="auto"/>
              </w:rPr>
            </w:pPr>
            <w:r>
              <w:rPr>
                <w:rFonts w:ascii="Calibri" w:cs="Calibri" w:eastAsia="Calibri" w:hAnsi="Calibri"/>
                <w:sz w:val="13"/>
                <w:szCs w:val="13"/>
                <w:b w:val="1"/>
                <w:bCs w:val="1"/>
                <w:color w:val="auto"/>
              </w:rPr>
              <w:t>140,052</w:t>
            </w:r>
          </w:p>
        </w:tc>
        <w:tc>
          <w:tcPr>
            <w:tcW w:w="1100" w:type="dxa"/>
            <w:vAlign w:val="bottom"/>
            <w:tcBorders>
              <w:bottom w:val="single" w:sz="8" w:color="auto"/>
              <w:right w:val="single" w:sz="8" w:color="auto"/>
            </w:tcBorders>
          </w:tcPr>
          <w:p>
            <w:pPr>
              <w:jc w:val="center"/>
              <w:ind w:left="93"/>
              <w:spacing w:after="0"/>
              <w:rPr>
                <w:sz w:val="20"/>
                <w:szCs w:val="20"/>
                <w:color w:val="auto"/>
              </w:rPr>
            </w:pPr>
            <w:r>
              <w:rPr>
                <w:rFonts w:ascii="Calibri" w:cs="Calibri" w:eastAsia="Calibri" w:hAnsi="Calibri"/>
                <w:sz w:val="13"/>
                <w:szCs w:val="13"/>
                <w:b w:val="1"/>
                <w:bCs w:val="1"/>
                <w:color w:val="auto"/>
              </w:rPr>
              <w:t>211,804</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51.2%</w:t>
            </w:r>
          </w:p>
        </w:tc>
      </w:tr>
      <w:tr>
        <w:trPr>
          <w:trHeight w:val="159"/>
        </w:trPr>
        <w:tc>
          <w:tcPr>
            <w:tcW w:w="94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Income taxes</w:t>
            </w:r>
          </w:p>
        </w:tc>
        <w:tc>
          <w:tcPr>
            <w:tcW w:w="2900" w:type="dxa"/>
            <w:vAlign w:val="bottom"/>
            <w:tcBorders>
              <w:right w:val="single" w:sz="8" w:color="auto"/>
            </w:tcBorders>
          </w:tcPr>
          <w:p>
            <w:pPr>
              <w:spacing w:after="0"/>
              <w:rPr>
                <w:sz w:val="13"/>
                <w:szCs w:val="13"/>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(4,937)</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(23,942)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(11,053)</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-53.8%</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123.9%</w:t>
            </w:r>
          </w:p>
        </w:tc>
        <w:tc>
          <w:tcPr>
            <w:tcW w:w="720" w:type="dxa"/>
            <w:vAlign w:val="bottom"/>
          </w:tcPr>
          <w:p>
            <w:pPr>
              <w:jc w:val="center"/>
              <w:ind w:left="73"/>
              <w:spacing w:after="0"/>
              <w:rPr>
                <w:sz w:val="20"/>
                <w:szCs w:val="20"/>
                <w:color w:val="auto"/>
              </w:rPr>
            </w:pPr>
            <w:r>
              <w:rPr>
                <w:rFonts w:ascii="Calibri" w:cs="Calibri" w:eastAsia="Calibri" w:hAnsi="Calibri"/>
                <w:sz w:val="13"/>
                <w:szCs w:val="13"/>
                <w:color w:val="auto"/>
              </w:rPr>
              <w:t>(21,388)</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(45,938)</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114.8%</w:t>
            </w:r>
          </w:p>
        </w:tc>
      </w:tr>
      <w:tr>
        <w:trPr>
          <w:trHeight w:val="170"/>
        </w:trPr>
        <w:tc>
          <w:tcPr>
            <w:tcW w:w="384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3"/>
                <w:szCs w:val="13"/>
                <w:color w:val="auto"/>
              </w:rPr>
              <w:t>Non-controlling interest</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(3,281)</w:t>
            </w:r>
          </w:p>
        </w:tc>
        <w:tc>
          <w:tcPr>
            <w:tcW w:w="920" w:type="dxa"/>
            <w:vAlign w:val="bottom"/>
          </w:tcPr>
          <w:p>
            <w:pPr>
              <w:jc w:val="center"/>
              <w:spacing w:after="0"/>
              <w:rPr>
                <w:sz w:val="20"/>
                <w:szCs w:val="20"/>
                <w:color w:val="auto"/>
              </w:rPr>
            </w:pPr>
            <w:r>
              <w:rPr>
                <w:rFonts w:ascii="Calibri" w:cs="Calibri" w:eastAsia="Calibri" w:hAnsi="Calibri"/>
                <w:sz w:val="13"/>
                <w:szCs w:val="13"/>
                <w:color w:val="auto"/>
              </w:rPr>
              <w:t>(2,426)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86</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-103.5%</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-102.6%</w:t>
            </w:r>
          </w:p>
        </w:tc>
        <w:tc>
          <w:tcPr>
            <w:tcW w:w="720" w:type="dxa"/>
            <w:vAlign w:val="bottom"/>
          </w:tcPr>
          <w:p>
            <w:pPr>
              <w:jc w:val="center"/>
              <w:ind w:left="93"/>
              <w:spacing w:after="0"/>
              <w:rPr>
                <w:sz w:val="20"/>
                <w:szCs w:val="20"/>
                <w:color w:val="auto"/>
              </w:rPr>
            </w:pPr>
            <w:r>
              <w:rPr>
                <w:rFonts w:ascii="Calibri" w:cs="Calibri" w:eastAsia="Calibri" w:hAnsi="Calibri"/>
                <w:sz w:val="13"/>
                <w:szCs w:val="13"/>
                <w:color w:val="auto"/>
              </w:rPr>
              <w:t>(5,137)</w:t>
            </w:r>
          </w:p>
        </w:tc>
        <w:tc>
          <w:tcPr>
            <w:tcW w:w="1100" w:type="dxa"/>
            <w:vAlign w:val="bottom"/>
            <w:tcBorders>
              <w:right w:val="single" w:sz="8" w:color="auto"/>
            </w:tcBorders>
          </w:tcPr>
          <w:p>
            <w:pPr>
              <w:jc w:val="center"/>
              <w:ind w:left="93"/>
              <w:spacing w:after="0"/>
              <w:rPr>
                <w:sz w:val="20"/>
                <w:szCs w:val="20"/>
                <w:color w:val="auto"/>
              </w:rPr>
            </w:pPr>
            <w:r>
              <w:rPr>
                <w:rFonts w:ascii="Calibri" w:cs="Calibri" w:eastAsia="Calibri" w:hAnsi="Calibri"/>
                <w:sz w:val="13"/>
                <w:szCs w:val="13"/>
                <w:color w:val="auto"/>
              </w:rPr>
              <w:t>236</w:t>
            </w:r>
          </w:p>
        </w:tc>
        <w:tc>
          <w:tcPr>
            <w:tcW w:w="96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-104.6%</w:t>
            </w:r>
          </w:p>
        </w:tc>
      </w:tr>
      <w:tr>
        <w:trPr>
          <w:trHeight w:val="22"/>
        </w:trPr>
        <w:tc>
          <w:tcPr>
            <w:tcW w:w="940" w:type="dxa"/>
            <w:vAlign w:val="bottom"/>
            <w:tcBorders>
              <w:left w:val="single" w:sz="8" w:color="auto"/>
              <w:bottom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94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3"/>
                <w:szCs w:val="13"/>
                <w:b w:val="1"/>
                <w:bCs w:val="1"/>
                <w:color w:val="auto"/>
              </w:rPr>
              <w:t>Net income</w:t>
            </w:r>
          </w:p>
        </w:tc>
        <w:tc>
          <w:tcPr>
            <w:tcW w:w="2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9"/>
              </w:rPr>
              <w:t>25,919</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w w:val="99"/>
              </w:rPr>
              <w:t>66,882</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52,508</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3"/>
                <w:szCs w:val="13"/>
                <w:b w:val="1"/>
                <w:bCs w:val="1"/>
                <w:color w:val="auto"/>
              </w:rPr>
              <w:t>-21.5%</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102.6%</w:t>
            </w:r>
          </w:p>
        </w:tc>
        <w:tc>
          <w:tcPr>
            <w:tcW w:w="720" w:type="dxa"/>
            <w:vAlign w:val="bottom"/>
            <w:tcBorders>
              <w:bottom w:val="single" w:sz="8" w:color="auto"/>
            </w:tcBorders>
          </w:tcPr>
          <w:p>
            <w:pPr>
              <w:jc w:val="center"/>
              <w:ind w:left="93"/>
              <w:spacing w:after="0"/>
              <w:rPr>
                <w:sz w:val="20"/>
                <w:szCs w:val="20"/>
                <w:color w:val="auto"/>
              </w:rPr>
            </w:pPr>
            <w:r>
              <w:rPr>
                <w:rFonts w:ascii="Calibri" w:cs="Calibri" w:eastAsia="Calibri" w:hAnsi="Calibri"/>
                <w:sz w:val="13"/>
                <w:szCs w:val="13"/>
                <w:b w:val="1"/>
                <w:bCs w:val="1"/>
                <w:color w:val="auto"/>
              </w:rPr>
              <w:t>123,801</w:t>
            </w:r>
          </w:p>
        </w:tc>
        <w:tc>
          <w:tcPr>
            <w:tcW w:w="1100" w:type="dxa"/>
            <w:vAlign w:val="bottom"/>
            <w:tcBorders>
              <w:bottom w:val="single" w:sz="8" w:color="auto"/>
              <w:right w:val="single" w:sz="8" w:color="auto"/>
            </w:tcBorders>
          </w:tcPr>
          <w:p>
            <w:pPr>
              <w:jc w:val="center"/>
              <w:ind w:left="93"/>
              <w:spacing w:after="0"/>
              <w:rPr>
                <w:sz w:val="20"/>
                <w:szCs w:val="20"/>
                <w:color w:val="auto"/>
              </w:rPr>
            </w:pPr>
            <w:r>
              <w:rPr>
                <w:rFonts w:ascii="Calibri" w:cs="Calibri" w:eastAsia="Calibri" w:hAnsi="Calibri"/>
                <w:sz w:val="13"/>
                <w:szCs w:val="13"/>
                <w:b w:val="1"/>
                <w:bCs w:val="1"/>
                <w:color w:val="auto"/>
              </w:rPr>
              <w:t>165,630</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33.8%</w:t>
            </w:r>
          </w:p>
        </w:tc>
      </w:tr>
    </w:tbl>
    <w:p>
      <w:pPr>
        <w:spacing w:after="0" w:line="179" w:lineRule="exact"/>
        <w:rPr>
          <w:sz w:val="20"/>
          <w:szCs w:val="20"/>
          <w:color w:val="auto"/>
        </w:rPr>
      </w:pPr>
    </w:p>
    <w:p>
      <w:pPr>
        <w:ind w:left="660"/>
        <w:spacing w:after="0"/>
        <w:tabs>
          <w:tab w:leader="none" w:pos="800" w:val="left"/>
        </w:tabs>
        <w:rPr>
          <w:sz w:val="20"/>
          <w:szCs w:val="20"/>
          <w:color w:val="auto"/>
        </w:rPr>
      </w:pPr>
      <w:r>
        <w:rPr>
          <w:rFonts w:ascii="Calibri" w:cs="Calibri" w:eastAsia="Calibri" w:hAnsi="Calibri"/>
          <w:sz w:val="12"/>
          <w:szCs w:val="12"/>
          <w:color w:val="auto"/>
        </w:rPr>
        <w:t>*</w:t>
      </w:r>
      <w:r>
        <w:rPr>
          <w:sz w:val="20"/>
          <w:szCs w:val="20"/>
          <w:color w:val="auto"/>
        </w:rPr>
        <w:tab/>
      </w:r>
      <w:r>
        <w:rPr>
          <w:rFonts w:ascii="Calibri" w:cs="Calibri" w:eastAsia="Calibri" w:hAnsi="Calibri"/>
          <w:sz w:val="11"/>
          <w:szCs w:val="11"/>
          <w:color w:val="auto"/>
        </w:rPr>
        <w:t>Includes ASB and Credicorp Capital. Does not include Wealth Management at BCP.</w:t>
      </w:r>
    </w:p>
    <w:p>
      <w:pPr>
        <w:spacing w:after="0" w:line="56" w:lineRule="exact"/>
        <w:rPr>
          <w:sz w:val="20"/>
          <w:szCs w:val="20"/>
          <w:color w:val="auto"/>
        </w:rPr>
      </w:pPr>
    </w:p>
    <w:p>
      <w:pPr>
        <w:ind w:left="660"/>
        <w:spacing w:after="0"/>
        <w:rPr>
          <w:sz w:val="20"/>
          <w:szCs w:val="20"/>
          <w:color w:val="auto"/>
        </w:rPr>
      </w:pPr>
      <w:r>
        <w:rPr>
          <w:rFonts w:ascii="Calibri" w:cs="Calibri" w:eastAsia="Calibri" w:hAnsi="Calibri"/>
          <w:sz w:val="12"/>
          <w:szCs w:val="12"/>
          <w:color w:val="auto"/>
        </w:rPr>
        <w:t>(1) Includes: Salaries and employee’s benefts + Administratve expenses + Assigned expenses + Depreciaton and amortzaton + Tax and contributons + Other expenses.</w:t>
      </w:r>
    </w:p>
    <w:p>
      <w:pPr>
        <w:spacing w:after="0" w:line="200" w:lineRule="exact"/>
        <w:rPr>
          <w:sz w:val="20"/>
          <w:szCs w:val="20"/>
          <w:color w:val="auto"/>
        </w:rPr>
      </w:pPr>
    </w:p>
    <w:p>
      <w:pPr>
        <w:spacing w:after="0" w:line="23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453"/>
        </w:trPr>
        <w:tc>
          <w:tcPr>
            <w:tcW w:w="580" w:type="dxa"/>
            <w:vAlign w:val="bottom"/>
            <w:shd w:val="clear" w:color="auto" w:fill="000000"/>
          </w:tcPr>
          <w:p>
            <w:pPr>
              <w:spacing w:after="0"/>
              <w:rPr>
                <w:sz w:val="24"/>
                <w:szCs w:val="24"/>
                <w:color w:val="auto"/>
              </w:rPr>
            </w:pPr>
          </w:p>
        </w:tc>
        <w:tc>
          <w:tcPr>
            <w:tcW w:w="300" w:type="dxa"/>
            <w:vAlign w:val="bottom"/>
            <w:tcBorders>
              <w:right w:val="single" w:sz="8" w:color="auto"/>
            </w:tcBorders>
            <w:shd w:val="clear" w:color="auto" w:fill="000000"/>
          </w:tcPr>
          <w:p>
            <w:pPr>
              <w:spacing w:after="0"/>
              <w:rPr>
                <w:sz w:val="24"/>
                <w:szCs w:val="24"/>
                <w:color w:val="auto"/>
              </w:rPr>
            </w:pPr>
          </w:p>
        </w:tc>
        <w:tc>
          <w:tcPr>
            <w:tcW w:w="1100" w:type="dxa"/>
            <w:vAlign w:val="bottom"/>
            <w:tcBorders>
              <w:right w:val="single" w:sz="8" w:color="auto"/>
            </w:tcBorders>
            <w:shd w:val="clear" w:color="auto" w:fill="000000"/>
          </w:tcPr>
          <w:p>
            <w:pPr>
              <w:spacing w:after="0"/>
              <w:rPr>
                <w:sz w:val="24"/>
                <w:szCs w:val="24"/>
                <w:color w:val="auto"/>
              </w:rPr>
            </w:pPr>
          </w:p>
        </w:tc>
        <w:tc>
          <w:tcPr>
            <w:tcW w:w="2640" w:type="dxa"/>
            <w:vAlign w:val="bottom"/>
            <w:gridSpan w:val="3"/>
            <w:shd w:val="clear" w:color="auto" w:fill="000000"/>
          </w:tcPr>
          <w:p>
            <w:pPr>
              <w:ind w:left="72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8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4400" w:type="dxa"/>
            <w:vAlign w:val="bottom"/>
            <w:gridSpan w:val="15"/>
            <w:shd w:val="clear" w:color="auto" w:fill="000000"/>
          </w:tcPr>
          <w:p>
            <w:pPr>
              <w:ind w:left="800"/>
              <w:spacing w:after="0"/>
              <w:rPr>
                <w:sz w:val="20"/>
                <w:szCs w:val="20"/>
                <w:color w:val="auto"/>
              </w:rPr>
            </w:pPr>
            <w:r>
              <w:rPr>
                <w:rFonts w:ascii="Calibri" w:cs="Calibri" w:eastAsia="Calibri" w:hAnsi="Calibri"/>
                <w:sz w:val="16"/>
                <w:szCs w:val="16"/>
                <w:color w:val="ED3FA8"/>
              </w:rPr>
              <w:t>Analysis of 3Q24 Consolidated Results</w:t>
            </w:r>
          </w:p>
        </w:tc>
        <w:tc>
          <w:tcPr>
            <w:tcW w:w="0" w:type="dxa"/>
            <w:vAlign w:val="bottom"/>
          </w:tcPr>
          <w:p>
            <w:pPr>
              <w:spacing w:after="0"/>
              <w:rPr>
                <w:sz w:val="1"/>
                <w:szCs w:val="1"/>
                <w:color w:val="auto"/>
              </w:rPr>
            </w:pPr>
          </w:p>
        </w:tc>
      </w:tr>
      <w:tr>
        <w:trPr>
          <w:trHeight w:val="330"/>
        </w:trPr>
        <w:tc>
          <w:tcPr>
            <w:tcW w:w="880" w:type="dxa"/>
            <w:vAlign w:val="bottom"/>
            <w:tcBorders>
              <w:right w:val="single" w:sz="8" w:color="auto"/>
            </w:tcBorders>
            <w:gridSpan w:val="2"/>
            <w:shd w:val="clear" w:color="auto" w:fill="000000"/>
          </w:tcPr>
          <w:p>
            <w:pPr>
              <w:spacing w:after="0"/>
              <w:rPr>
                <w:sz w:val="24"/>
                <w:szCs w:val="24"/>
                <w:color w:val="auto"/>
              </w:rPr>
            </w:pPr>
          </w:p>
        </w:tc>
        <w:tc>
          <w:tcPr>
            <w:tcW w:w="1100" w:type="dxa"/>
            <w:vAlign w:val="bottom"/>
            <w:tcBorders>
              <w:right w:val="single" w:sz="8" w:color="auto"/>
            </w:tcBorders>
            <w:shd w:val="clear" w:color="auto" w:fill="000000"/>
          </w:tcPr>
          <w:p>
            <w:pPr>
              <w:spacing w:after="0"/>
              <w:rPr>
                <w:sz w:val="24"/>
                <w:szCs w:val="24"/>
                <w:color w:val="auto"/>
              </w:rPr>
            </w:pPr>
          </w:p>
        </w:tc>
        <w:tc>
          <w:tcPr>
            <w:tcW w:w="224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92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32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260" w:type="dxa"/>
            <w:vAlign w:val="bottom"/>
            <w:tcBorders>
              <w:right w:val="single" w:sz="8" w:color="auto"/>
            </w:tcBorders>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80" w:type="dxa"/>
            <w:vAlign w:val="bottom"/>
            <w:tcBorders>
              <w:right w:val="single" w:sz="8" w:color="E93BAC"/>
            </w:tcBorders>
            <w:gridSpan w:val="3"/>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2240" w:type="dxa"/>
            <w:vAlign w:val="bottom"/>
            <w:tcBorders>
              <w:right w:val="single" w:sz="8" w:color="E93BAC"/>
            </w:tcBorders>
            <w:shd w:val="clear" w:color="auto" w:fill="E93BAC"/>
          </w:tcPr>
          <w:p>
            <w:pPr>
              <w:spacing w:after="0"/>
              <w:rPr>
                <w:sz w:val="22"/>
                <w:szCs w:val="22"/>
                <w:color w:val="auto"/>
              </w:rPr>
            </w:pPr>
          </w:p>
        </w:tc>
        <w:tc>
          <w:tcPr>
            <w:tcW w:w="240" w:type="dxa"/>
            <w:vAlign w:val="bottom"/>
            <w:shd w:val="clear" w:color="auto" w:fill="E93BAC"/>
          </w:tcPr>
          <w:p>
            <w:pPr>
              <w:spacing w:after="0"/>
              <w:rPr>
                <w:sz w:val="22"/>
                <w:szCs w:val="22"/>
                <w:color w:val="auto"/>
              </w:rPr>
            </w:pPr>
          </w:p>
        </w:tc>
        <w:tc>
          <w:tcPr>
            <w:tcW w:w="160" w:type="dxa"/>
            <w:vAlign w:val="bottom"/>
            <w:shd w:val="clear" w:color="auto" w:fill="E93BAC"/>
          </w:tcPr>
          <w:p>
            <w:pPr>
              <w:spacing w:after="0"/>
              <w:rPr>
                <w:sz w:val="22"/>
                <w:szCs w:val="22"/>
                <w:color w:val="auto"/>
              </w:rPr>
            </w:pPr>
          </w:p>
        </w:tc>
        <w:tc>
          <w:tcPr>
            <w:tcW w:w="80" w:type="dxa"/>
            <w:vAlign w:val="bottom"/>
            <w:shd w:val="clear" w:color="auto" w:fill="E93BAC"/>
          </w:tcPr>
          <w:p>
            <w:pPr>
              <w:spacing w:after="0"/>
              <w:rPr>
                <w:sz w:val="22"/>
                <w:szCs w:val="22"/>
                <w:color w:val="auto"/>
              </w:rPr>
            </w:pPr>
          </w:p>
        </w:tc>
        <w:tc>
          <w:tcPr>
            <w:tcW w:w="420" w:type="dxa"/>
            <w:vAlign w:val="bottom"/>
            <w:shd w:val="clear" w:color="auto" w:fill="E93BAC"/>
          </w:tcPr>
          <w:p>
            <w:pPr>
              <w:spacing w:after="0"/>
              <w:rPr>
                <w:sz w:val="22"/>
                <w:szCs w:val="22"/>
                <w:color w:val="auto"/>
              </w:rPr>
            </w:pPr>
          </w:p>
        </w:tc>
        <w:tc>
          <w:tcPr>
            <w:tcW w:w="300" w:type="dxa"/>
            <w:vAlign w:val="bottom"/>
            <w:shd w:val="clear" w:color="auto" w:fill="E93BAC"/>
          </w:tcPr>
          <w:p>
            <w:pPr>
              <w:spacing w:after="0"/>
              <w:rPr>
                <w:sz w:val="22"/>
                <w:szCs w:val="22"/>
                <w:color w:val="auto"/>
              </w:rPr>
            </w:pPr>
          </w:p>
        </w:tc>
        <w:tc>
          <w:tcPr>
            <w:tcW w:w="120" w:type="dxa"/>
            <w:vAlign w:val="bottom"/>
            <w:shd w:val="clear" w:color="auto" w:fill="E93BAC"/>
          </w:tcPr>
          <w:p>
            <w:pPr>
              <w:spacing w:after="0"/>
              <w:rPr>
                <w:sz w:val="22"/>
                <w:szCs w:val="22"/>
                <w:color w:val="auto"/>
              </w:rPr>
            </w:pPr>
          </w:p>
        </w:tc>
        <w:tc>
          <w:tcPr>
            <w:tcW w:w="100" w:type="dxa"/>
            <w:vAlign w:val="bottom"/>
            <w:shd w:val="clear" w:color="auto" w:fill="E93BAC"/>
          </w:tcPr>
          <w:p>
            <w:pPr>
              <w:spacing w:after="0"/>
              <w:rPr>
                <w:sz w:val="22"/>
                <w:szCs w:val="22"/>
                <w:color w:val="auto"/>
              </w:rPr>
            </w:pPr>
          </w:p>
        </w:tc>
        <w:tc>
          <w:tcPr>
            <w:tcW w:w="420" w:type="dxa"/>
            <w:vAlign w:val="bottom"/>
            <w:shd w:val="clear" w:color="auto" w:fill="E93BAC"/>
          </w:tcPr>
          <w:p>
            <w:pPr>
              <w:spacing w:after="0"/>
              <w:rPr>
                <w:sz w:val="22"/>
                <w:szCs w:val="22"/>
                <w:color w:val="auto"/>
              </w:rPr>
            </w:pPr>
          </w:p>
        </w:tc>
        <w:tc>
          <w:tcPr>
            <w:tcW w:w="140" w:type="dxa"/>
            <w:vAlign w:val="bottom"/>
            <w:shd w:val="clear" w:color="auto" w:fill="E93BAC"/>
          </w:tcPr>
          <w:p>
            <w:pPr>
              <w:spacing w:after="0"/>
              <w:rPr>
                <w:sz w:val="22"/>
                <w:szCs w:val="22"/>
                <w:color w:val="auto"/>
              </w:rPr>
            </w:pPr>
          </w:p>
        </w:tc>
        <w:tc>
          <w:tcPr>
            <w:tcW w:w="280" w:type="dxa"/>
            <w:vAlign w:val="bottom"/>
            <w:shd w:val="clear" w:color="auto" w:fill="E93BAC"/>
          </w:tcPr>
          <w:p>
            <w:pPr>
              <w:spacing w:after="0"/>
              <w:rPr>
                <w:sz w:val="22"/>
                <w:szCs w:val="22"/>
                <w:color w:val="auto"/>
              </w:rPr>
            </w:pPr>
          </w:p>
        </w:tc>
        <w:tc>
          <w:tcPr>
            <w:tcW w:w="160" w:type="dxa"/>
            <w:vAlign w:val="bottom"/>
            <w:shd w:val="clear" w:color="auto" w:fill="E93BAC"/>
          </w:tcPr>
          <w:p>
            <w:pPr>
              <w:spacing w:after="0"/>
              <w:rPr>
                <w:sz w:val="22"/>
                <w:szCs w:val="22"/>
                <w:color w:val="auto"/>
              </w:rPr>
            </w:pPr>
          </w:p>
        </w:tc>
        <w:tc>
          <w:tcPr>
            <w:tcW w:w="80" w:type="dxa"/>
            <w:vAlign w:val="bottom"/>
            <w:shd w:val="clear" w:color="auto" w:fill="E93BAC"/>
          </w:tcPr>
          <w:p>
            <w:pPr>
              <w:spacing w:after="0"/>
              <w:rPr>
                <w:sz w:val="22"/>
                <w:szCs w:val="22"/>
                <w:color w:val="auto"/>
              </w:rPr>
            </w:pPr>
          </w:p>
        </w:tc>
        <w:tc>
          <w:tcPr>
            <w:tcW w:w="120" w:type="dxa"/>
            <w:vAlign w:val="bottom"/>
            <w:shd w:val="clear" w:color="auto" w:fill="E93BAC"/>
          </w:tcPr>
          <w:p>
            <w:pPr>
              <w:spacing w:after="0"/>
              <w:rPr>
                <w:sz w:val="22"/>
                <w:szCs w:val="22"/>
                <w:color w:val="auto"/>
              </w:rPr>
            </w:pPr>
          </w:p>
        </w:tc>
        <w:tc>
          <w:tcPr>
            <w:tcW w:w="920" w:type="dxa"/>
            <w:vAlign w:val="bottom"/>
            <w:shd w:val="clear" w:color="auto" w:fill="E93BAC"/>
          </w:tcPr>
          <w:p>
            <w:pPr>
              <w:spacing w:after="0"/>
              <w:rPr>
                <w:sz w:val="22"/>
                <w:szCs w:val="22"/>
                <w:color w:val="auto"/>
              </w:rPr>
            </w:pPr>
          </w:p>
        </w:tc>
        <w:tc>
          <w:tcPr>
            <w:tcW w:w="120" w:type="dxa"/>
            <w:vAlign w:val="bottom"/>
            <w:shd w:val="clear" w:color="auto" w:fill="E93BAC"/>
          </w:tcPr>
          <w:p>
            <w:pPr>
              <w:spacing w:after="0"/>
              <w:rPr>
                <w:sz w:val="22"/>
                <w:szCs w:val="22"/>
                <w:color w:val="auto"/>
              </w:rPr>
            </w:pPr>
          </w:p>
        </w:tc>
        <w:tc>
          <w:tcPr>
            <w:tcW w:w="80" w:type="dxa"/>
            <w:vAlign w:val="bottom"/>
            <w:shd w:val="clear" w:color="auto" w:fill="E93BAC"/>
          </w:tcPr>
          <w:p>
            <w:pPr>
              <w:spacing w:after="0"/>
              <w:rPr>
                <w:sz w:val="22"/>
                <w:szCs w:val="22"/>
                <w:color w:val="auto"/>
              </w:rPr>
            </w:pPr>
          </w:p>
        </w:tc>
        <w:tc>
          <w:tcPr>
            <w:tcW w:w="140" w:type="dxa"/>
            <w:vAlign w:val="bottom"/>
            <w:shd w:val="clear" w:color="auto" w:fill="E93BAC"/>
          </w:tcPr>
          <w:p>
            <w:pPr>
              <w:spacing w:after="0"/>
              <w:rPr>
                <w:sz w:val="22"/>
                <w:szCs w:val="22"/>
                <w:color w:val="auto"/>
              </w:rPr>
            </w:pPr>
          </w:p>
        </w:tc>
        <w:tc>
          <w:tcPr>
            <w:tcW w:w="300" w:type="dxa"/>
            <w:vAlign w:val="bottom"/>
            <w:shd w:val="clear" w:color="auto" w:fill="E93BAC"/>
          </w:tcPr>
          <w:p>
            <w:pPr>
              <w:spacing w:after="0"/>
              <w:rPr>
                <w:sz w:val="22"/>
                <w:szCs w:val="22"/>
                <w:color w:val="auto"/>
              </w:rPr>
            </w:pPr>
          </w:p>
        </w:tc>
        <w:tc>
          <w:tcPr>
            <w:tcW w:w="140" w:type="dxa"/>
            <w:vAlign w:val="bottom"/>
            <w:shd w:val="clear" w:color="auto" w:fill="E93BAC"/>
          </w:tcPr>
          <w:p>
            <w:pPr>
              <w:spacing w:after="0"/>
              <w:rPr>
                <w:sz w:val="22"/>
                <w:szCs w:val="22"/>
                <w:color w:val="auto"/>
              </w:rPr>
            </w:pPr>
          </w:p>
        </w:tc>
        <w:tc>
          <w:tcPr>
            <w:tcW w:w="420" w:type="dxa"/>
            <w:vAlign w:val="bottom"/>
            <w:shd w:val="clear" w:color="auto" w:fill="E93BAC"/>
          </w:tcPr>
          <w:p>
            <w:pPr>
              <w:spacing w:after="0"/>
              <w:rPr>
                <w:sz w:val="22"/>
                <w:szCs w:val="22"/>
                <w:color w:val="auto"/>
              </w:rPr>
            </w:pPr>
          </w:p>
        </w:tc>
        <w:tc>
          <w:tcPr>
            <w:tcW w:w="100" w:type="dxa"/>
            <w:vAlign w:val="bottom"/>
            <w:shd w:val="clear" w:color="auto" w:fill="E93BAC"/>
          </w:tcPr>
          <w:p>
            <w:pPr>
              <w:spacing w:after="0"/>
              <w:rPr>
                <w:sz w:val="22"/>
                <w:szCs w:val="22"/>
                <w:color w:val="auto"/>
              </w:rPr>
            </w:pPr>
          </w:p>
        </w:tc>
        <w:tc>
          <w:tcPr>
            <w:tcW w:w="100" w:type="dxa"/>
            <w:vAlign w:val="bottom"/>
            <w:shd w:val="clear" w:color="auto" w:fill="E93BAC"/>
          </w:tcPr>
          <w:p>
            <w:pPr>
              <w:spacing w:after="0"/>
              <w:rPr>
                <w:sz w:val="22"/>
                <w:szCs w:val="22"/>
                <w:color w:val="auto"/>
              </w:rPr>
            </w:pPr>
          </w:p>
        </w:tc>
        <w:tc>
          <w:tcPr>
            <w:tcW w:w="320" w:type="dxa"/>
            <w:vAlign w:val="bottom"/>
            <w:shd w:val="clear" w:color="auto" w:fill="E93BAC"/>
          </w:tcPr>
          <w:p>
            <w:pPr>
              <w:spacing w:after="0"/>
              <w:rPr>
                <w:sz w:val="22"/>
                <w:szCs w:val="22"/>
                <w:color w:val="auto"/>
              </w:rPr>
            </w:pPr>
          </w:p>
        </w:tc>
        <w:tc>
          <w:tcPr>
            <w:tcW w:w="420" w:type="dxa"/>
            <w:vAlign w:val="bottom"/>
            <w:shd w:val="clear" w:color="auto" w:fill="E93BAC"/>
          </w:tcPr>
          <w:p>
            <w:pPr>
              <w:spacing w:after="0"/>
              <w:rPr>
                <w:sz w:val="22"/>
                <w:szCs w:val="22"/>
                <w:color w:val="auto"/>
              </w:rPr>
            </w:pPr>
          </w:p>
        </w:tc>
        <w:tc>
          <w:tcPr>
            <w:tcW w:w="80" w:type="dxa"/>
            <w:vAlign w:val="bottom"/>
            <w:shd w:val="clear" w:color="auto" w:fill="E93BAC"/>
          </w:tcPr>
          <w:p>
            <w:pPr>
              <w:spacing w:after="0"/>
              <w:rPr>
                <w:sz w:val="22"/>
                <w:szCs w:val="22"/>
                <w:color w:val="auto"/>
              </w:rPr>
            </w:pPr>
          </w:p>
        </w:tc>
        <w:tc>
          <w:tcPr>
            <w:tcW w:w="160" w:type="dxa"/>
            <w:vAlign w:val="bottom"/>
            <w:shd w:val="clear" w:color="auto" w:fill="E93BAC"/>
          </w:tcPr>
          <w:p>
            <w:pPr>
              <w:spacing w:after="0"/>
              <w:rPr>
                <w:sz w:val="22"/>
                <w:szCs w:val="22"/>
                <w:color w:val="auto"/>
              </w:rPr>
            </w:pPr>
          </w:p>
        </w:tc>
        <w:tc>
          <w:tcPr>
            <w:tcW w:w="260" w:type="dxa"/>
            <w:vAlign w:val="bottom"/>
            <w:tcBorders>
              <w:right w:val="single" w:sz="8" w:color="E93BAC"/>
            </w:tcBorders>
            <w:shd w:val="clear" w:color="auto" w:fill="E93BAC"/>
          </w:tcPr>
          <w:p>
            <w:pPr>
              <w:spacing w:after="0"/>
              <w:rPr>
                <w:sz w:val="22"/>
                <w:szCs w:val="22"/>
                <w:color w:val="auto"/>
              </w:rPr>
            </w:pPr>
          </w:p>
        </w:tc>
        <w:tc>
          <w:tcPr>
            <w:tcW w:w="840" w:type="dxa"/>
            <w:vAlign w:val="bottom"/>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580" w:type="dxa"/>
            <w:vAlign w:val="bottom"/>
            <w:shd w:val="clear" w:color="auto" w:fill="E93BAC"/>
          </w:tcPr>
          <w:p>
            <w:pPr>
              <w:spacing w:after="0"/>
              <w:rPr>
                <w:sz w:val="7"/>
                <w:szCs w:val="7"/>
                <w:color w:val="auto"/>
              </w:rPr>
            </w:pPr>
          </w:p>
        </w:tc>
        <w:tc>
          <w:tcPr>
            <w:tcW w:w="300" w:type="dxa"/>
            <w:vAlign w:val="bottom"/>
            <w:tcBorders>
              <w:right w:val="single" w:sz="8" w:color="E93BAC"/>
            </w:tcBorders>
            <w:shd w:val="clear" w:color="auto" w:fill="E93BAC"/>
          </w:tcPr>
          <w:p>
            <w:pPr>
              <w:spacing w:after="0"/>
              <w:rPr>
                <w:sz w:val="7"/>
                <w:szCs w:val="7"/>
                <w:color w:val="auto"/>
              </w:rPr>
            </w:pPr>
          </w:p>
        </w:tc>
        <w:tc>
          <w:tcPr>
            <w:tcW w:w="1100" w:type="dxa"/>
            <w:vAlign w:val="bottom"/>
            <w:tcBorders>
              <w:right w:val="single" w:sz="8" w:color="E93BAC"/>
            </w:tcBorders>
            <w:shd w:val="clear" w:color="auto" w:fill="E93BAC"/>
          </w:tcPr>
          <w:p>
            <w:pPr>
              <w:spacing w:after="0"/>
              <w:rPr>
                <w:sz w:val="7"/>
                <w:szCs w:val="7"/>
                <w:color w:val="auto"/>
              </w:rPr>
            </w:pPr>
          </w:p>
        </w:tc>
        <w:tc>
          <w:tcPr>
            <w:tcW w:w="2240" w:type="dxa"/>
            <w:vAlign w:val="bottom"/>
            <w:tcBorders>
              <w:right w:val="single" w:sz="8" w:color="E93BAC"/>
            </w:tcBorders>
            <w:shd w:val="clear" w:color="auto" w:fill="E93BAC"/>
          </w:tcPr>
          <w:p>
            <w:pPr>
              <w:spacing w:after="0"/>
              <w:rPr>
                <w:sz w:val="7"/>
                <w:szCs w:val="7"/>
                <w:color w:val="auto"/>
              </w:rPr>
            </w:pPr>
          </w:p>
        </w:tc>
        <w:tc>
          <w:tcPr>
            <w:tcW w:w="240" w:type="dxa"/>
            <w:vAlign w:val="bottom"/>
            <w:shd w:val="clear" w:color="auto" w:fill="E93BAC"/>
          </w:tcPr>
          <w:p>
            <w:pPr>
              <w:spacing w:after="0"/>
              <w:rPr>
                <w:sz w:val="7"/>
                <w:szCs w:val="7"/>
                <w:color w:val="auto"/>
              </w:rPr>
            </w:pPr>
          </w:p>
        </w:tc>
        <w:tc>
          <w:tcPr>
            <w:tcW w:w="160" w:type="dxa"/>
            <w:vAlign w:val="bottom"/>
            <w:shd w:val="clear" w:color="auto" w:fill="E93BAC"/>
          </w:tcPr>
          <w:p>
            <w:pPr>
              <w:spacing w:after="0"/>
              <w:rPr>
                <w:sz w:val="7"/>
                <w:szCs w:val="7"/>
                <w:color w:val="auto"/>
              </w:rPr>
            </w:pPr>
          </w:p>
        </w:tc>
        <w:tc>
          <w:tcPr>
            <w:tcW w:w="80" w:type="dxa"/>
            <w:vAlign w:val="bottom"/>
            <w:shd w:val="clear" w:color="auto" w:fill="E93BAC"/>
          </w:tcPr>
          <w:p>
            <w:pPr>
              <w:spacing w:after="0"/>
              <w:rPr>
                <w:sz w:val="7"/>
                <w:szCs w:val="7"/>
                <w:color w:val="auto"/>
              </w:rPr>
            </w:pPr>
          </w:p>
        </w:tc>
        <w:tc>
          <w:tcPr>
            <w:tcW w:w="420" w:type="dxa"/>
            <w:vAlign w:val="bottom"/>
            <w:shd w:val="clear" w:color="auto" w:fill="E93BAC"/>
          </w:tcPr>
          <w:p>
            <w:pPr>
              <w:spacing w:after="0"/>
              <w:rPr>
                <w:sz w:val="7"/>
                <w:szCs w:val="7"/>
                <w:color w:val="auto"/>
              </w:rPr>
            </w:pPr>
          </w:p>
        </w:tc>
        <w:tc>
          <w:tcPr>
            <w:tcW w:w="300" w:type="dxa"/>
            <w:vAlign w:val="bottom"/>
            <w:shd w:val="clear" w:color="auto" w:fill="E93BAC"/>
          </w:tcPr>
          <w:p>
            <w:pPr>
              <w:spacing w:after="0"/>
              <w:rPr>
                <w:sz w:val="7"/>
                <w:szCs w:val="7"/>
                <w:color w:val="auto"/>
              </w:rPr>
            </w:pPr>
          </w:p>
        </w:tc>
        <w:tc>
          <w:tcPr>
            <w:tcW w:w="120" w:type="dxa"/>
            <w:vAlign w:val="bottom"/>
            <w:shd w:val="clear" w:color="auto" w:fill="E93BAC"/>
          </w:tcPr>
          <w:p>
            <w:pPr>
              <w:spacing w:after="0"/>
              <w:rPr>
                <w:sz w:val="7"/>
                <w:szCs w:val="7"/>
                <w:color w:val="auto"/>
              </w:rPr>
            </w:pPr>
          </w:p>
        </w:tc>
        <w:tc>
          <w:tcPr>
            <w:tcW w:w="100" w:type="dxa"/>
            <w:vAlign w:val="bottom"/>
            <w:shd w:val="clear" w:color="auto" w:fill="E93BAC"/>
          </w:tcPr>
          <w:p>
            <w:pPr>
              <w:spacing w:after="0"/>
              <w:rPr>
                <w:sz w:val="7"/>
                <w:szCs w:val="7"/>
                <w:color w:val="auto"/>
              </w:rPr>
            </w:pPr>
          </w:p>
        </w:tc>
        <w:tc>
          <w:tcPr>
            <w:tcW w:w="420" w:type="dxa"/>
            <w:vAlign w:val="bottom"/>
            <w:shd w:val="clear" w:color="auto" w:fill="E93BAC"/>
          </w:tcPr>
          <w:p>
            <w:pPr>
              <w:spacing w:after="0"/>
              <w:rPr>
                <w:sz w:val="7"/>
                <w:szCs w:val="7"/>
                <w:color w:val="auto"/>
              </w:rPr>
            </w:pPr>
          </w:p>
        </w:tc>
        <w:tc>
          <w:tcPr>
            <w:tcW w:w="140" w:type="dxa"/>
            <w:vAlign w:val="bottom"/>
            <w:shd w:val="clear" w:color="auto" w:fill="E93BAC"/>
          </w:tcPr>
          <w:p>
            <w:pPr>
              <w:spacing w:after="0"/>
              <w:rPr>
                <w:sz w:val="7"/>
                <w:szCs w:val="7"/>
                <w:color w:val="auto"/>
              </w:rPr>
            </w:pPr>
          </w:p>
        </w:tc>
        <w:tc>
          <w:tcPr>
            <w:tcW w:w="280" w:type="dxa"/>
            <w:vAlign w:val="bottom"/>
            <w:shd w:val="clear" w:color="auto" w:fill="E93BAC"/>
          </w:tcPr>
          <w:p>
            <w:pPr>
              <w:spacing w:after="0"/>
              <w:rPr>
                <w:sz w:val="7"/>
                <w:szCs w:val="7"/>
                <w:color w:val="auto"/>
              </w:rPr>
            </w:pPr>
          </w:p>
        </w:tc>
        <w:tc>
          <w:tcPr>
            <w:tcW w:w="160" w:type="dxa"/>
            <w:vAlign w:val="bottom"/>
            <w:shd w:val="clear" w:color="auto" w:fill="E93BAC"/>
          </w:tcPr>
          <w:p>
            <w:pPr>
              <w:spacing w:after="0"/>
              <w:rPr>
                <w:sz w:val="7"/>
                <w:szCs w:val="7"/>
                <w:color w:val="auto"/>
              </w:rPr>
            </w:pPr>
          </w:p>
        </w:tc>
        <w:tc>
          <w:tcPr>
            <w:tcW w:w="80" w:type="dxa"/>
            <w:vAlign w:val="bottom"/>
            <w:shd w:val="clear" w:color="auto" w:fill="E93BAC"/>
          </w:tcPr>
          <w:p>
            <w:pPr>
              <w:spacing w:after="0"/>
              <w:rPr>
                <w:sz w:val="7"/>
                <w:szCs w:val="7"/>
                <w:color w:val="auto"/>
              </w:rPr>
            </w:pPr>
          </w:p>
        </w:tc>
        <w:tc>
          <w:tcPr>
            <w:tcW w:w="120" w:type="dxa"/>
            <w:vAlign w:val="bottom"/>
            <w:shd w:val="clear" w:color="auto" w:fill="E93BAC"/>
          </w:tcPr>
          <w:p>
            <w:pPr>
              <w:spacing w:after="0"/>
              <w:rPr>
                <w:sz w:val="7"/>
                <w:szCs w:val="7"/>
                <w:color w:val="auto"/>
              </w:rPr>
            </w:pPr>
          </w:p>
        </w:tc>
        <w:tc>
          <w:tcPr>
            <w:tcW w:w="920" w:type="dxa"/>
            <w:vAlign w:val="bottom"/>
            <w:shd w:val="clear" w:color="auto" w:fill="E93BAC"/>
          </w:tcPr>
          <w:p>
            <w:pPr>
              <w:spacing w:after="0"/>
              <w:rPr>
                <w:sz w:val="7"/>
                <w:szCs w:val="7"/>
                <w:color w:val="auto"/>
              </w:rPr>
            </w:pPr>
          </w:p>
        </w:tc>
        <w:tc>
          <w:tcPr>
            <w:tcW w:w="120" w:type="dxa"/>
            <w:vAlign w:val="bottom"/>
            <w:shd w:val="clear" w:color="auto" w:fill="E93BAC"/>
          </w:tcPr>
          <w:p>
            <w:pPr>
              <w:spacing w:after="0"/>
              <w:rPr>
                <w:sz w:val="7"/>
                <w:szCs w:val="7"/>
                <w:color w:val="auto"/>
              </w:rPr>
            </w:pPr>
          </w:p>
        </w:tc>
        <w:tc>
          <w:tcPr>
            <w:tcW w:w="80" w:type="dxa"/>
            <w:vAlign w:val="bottom"/>
            <w:shd w:val="clear" w:color="auto" w:fill="E93BAC"/>
          </w:tcPr>
          <w:p>
            <w:pPr>
              <w:spacing w:after="0"/>
              <w:rPr>
                <w:sz w:val="7"/>
                <w:szCs w:val="7"/>
                <w:color w:val="auto"/>
              </w:rPr>
            </w:pPr>
          </w:p>
        </w:tc>
        <w:tc>
          <w:tcPr>
            <w:tcW w:w="140" w:type="dxa"/>
            <w:vAlign w:val="bottom"/>
            <w:shd w:val="clear" w:color="auto" w:fill="E93BAC"/>
          </w:tcPr>
          <w:p>
            <w:pPr>
              <w:spacing w:after="0"/>
              <w:rPr>
                <w:sz w:val="7"/>
                <w:szCs w:val="7"/>
                <w:color w:val="auto"/>
              </w:rPr>
            </w:pPr>
          </w:p>
        </w:tc>
        <w:tc>
          <w:tcPr>
            <w:tcW w:w="300" w:type="dxa"/>
            <w:vAlign w:val="bottom"/>
            <w:shd w:val="clear" w:color="auto" w:fill="E93BAC"/>
          </w:tcPr>
          <w:p>
            <w:pPr>
              <w:spacing w:after="0"/>
              <w:rPr>
                <w:sz w:val="7"/>
                <w:szCs w:val="7"/>
                <w:color w:val="auto"/>
              </w:rPr>
            </w:pPr>
          </w:p>
        </w:tc>
        <w:tc>
          <w:tcPr>
            <w:tcW w:w="140" w:type="dxa"/>
            <w:vAlign w:val="bottom"/>
            <w:shd w:val="clear" w:color="auto" w:fill="E93BAC"/>
          </w:tcPr>
          <w:p>
            <w:pPr>
              <w:spacing w:after="0"/>
              <w:rPr>
                <w:sz w:val="7"/>
                <w:szCs w:val="7"/>
                <w:color w:val="auto"/>
              </w:rPr>
            </w:pPr>
          </w:p>
        </w:tc>
        <w:tc>
          <w:tcPr>
            <w:tcW w:w="420" w:type="dxa"/>
            <w:vAlign w:val="bottom"/>
            <w:shd w:val="clear" w:color="auto" w:fill="E93BAC"/>
          </w:tcPr>
          <w:p>
            <w:pPr>
              <w:spacing w:after="0"/>
              <w:rPr>
                <w:sz w:val="7"/>
                <w:szCs w:val="7"/>
                <w:color w:val="auto"/>
              </w:rPr>
            </w:pPr>
          </w:p>
        </w:tc>
        <w:tc>
          <w:tcPr>
            <w:tcW w:w="100" w:type="dxa"/>
            <w:vAlign w:val="bottom"/>
            <w:shd w:val="clear" w:color="auto" w:fill="E93BAC"/>
          </w:tcPr>
          <w:p>
            <w:pPr>
              <w:spacing w:after="0"/>
              <w:rPr>
                <w:sz w:val="7"/>
                <w:szCs w:val="7"/>
                <w:color w:val="auto"/>
              </w:rPr>
            </w:pPr>
          </w:p>
        </w:tc>
        <w:tc>
          <w:tcPr>
            <w:tcW w:w="100" w:type="dxa"/>
            <w:vAlign w:val="bottom"/>
            <w:shd w:val="clear" w:color="auto" w:fill="E93BAC"/>
          </w:tcPr>
          <w:p>
            <w:pPr>
              <w:spacing w:after="0"/>
              <w:rPr>
                <w:sz w:val="7"/>
                <w:szCs w:val="7"/>
                <w:color w:val="auto"/>
              </w:rPr>
            </w:pPr>
          </w:p>
        </w:tc>
        <w:tc>
          <w:tcPr>
            <w:tcW w:w="320" w:type="dxa"/>
            <w:vAlign w:val="bottom"/>
            <w:shd w:val="clear" w:color="auto" w:fill="E93BAC"/>
          </w:tcPr>
          <w:p>
            <w:pPr>
              <w:spacing w:after="0"/>
              <w:rPr>
                <w:sz w:val="7"/>
                <w:szCs w:val="7"/>
                <w:color w:val="auto"/>
              </w:rPr>
            </w:pPr>
          </w:p>
        </w:tc>
        <w:tc>
          <w:tcPr>
            <w:tcW w:w="420" w:type="dxa"/>
            <w:vAlign w:val="bottom"/>
            <w:shd w:val="clear" w:color="auto" w:fill="E93BAC"/>
          </w:tcPr>
          <w:p>
            <w:pPr>
              <w:spacing w:after="0"/>
              <w:rPr>
                <w:sz w:val="7"/>
                <w:szCs w:val="7"/>
                <w:color w:val="auto"/>
              </w:rPr>
            </w:pPr>
          </w:p>
        </w:tc>
        <w:tc>
          <w:tcPr>
            <w:tcW w:w="80" w:type="dxa"/>
            <w:vAlign w:val="bottom"/>
            <w:shd w:val="clear" w:color="auto" w:fill="E93BAC"/>
          </w:tcPr>
          <w:p>
            <w:pPr>
              <w:spacing w:after="0"/>
              <w:rPr>
                <w:sz w:val="7"/>
                <w:szCs w:val="7"/>
                <w:color w:val="auto"/>
              </w:rPr>
            </w:pPr>
          </w:p>
        </w:tc>
        <w:tc>
          <w:tcPr>
            <w:tcW w:w="160" w:type="dxa"/>
            <w:vAlign w:val="bottom"/>
            <w:shd w:val="clear" w:color="auto" w:fill="E93BAC"/>
          </w:tcPr>
          <w:p>
            <w:pPr>
              <w:spacing w:after="0"/>
              <w:rPr>
                <w:sz w:val="7"/>
                <w:szCs w:val="7"/>
                <w:color w:val="auto"/>
              </w:rPr>
            </w:pPr>
          </w:p>
        </w:tc>
        <w:tc>
          <w:tcPr>
            <w:tcW w:w="260" w:type="dxa"/>
            <w:vAlign w:val="bottom"/>
            <w:tcBorders>
              <w:right w:val="single" w:sz="8" w:color="E93BAC"/>
            </w:tcBorders>
            <w:shd w:val="clear" w:color="auto" w:fill="E93BAC"/>
          </w:tcPr>
          <w:p>
            <w:pPr>
              <w:spacing w:after="0"/>
              <w:rPr>
                <w:sz w:val="7"/>
                <w:szCs w:val="7"/>
                <w:color w:val="auto"/>
              </w:rPr>
            </w:pPr>
          </w:p>
        </w:tc>
        <w:tc>
          <w:tcPr>
            <w:tcW w:w="840" w:type="dxa"/>
            <w:vAlign w:val="bottom"/>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580" w:type="dxa"/>
            <w:vAlign w:val="bottom"/>
          </w:tcPr>
          <w:p>
            <w:pPr>
              <w:jc w:val="right"/>
              <w:ind w:right="126"/>
              <w:spacing w:after="0"/>
              <w:rPr>
                <w:sz w:val="20"/>
                <w:szCs w:val="20"/>
                <w:color w:val="auto"/>
              </w:rPr>
            </w:pPr>
            <w:r>
              <w:rPr>
                <w:rFonts w:ascii="Calibri" w:cs="Calibri" w:eastAsia="Calibri" w:hAnsi="Calibri"/>
                <w:sz w:val="18"/>
                <w:szCs w:val="18"/>
                <w:b w:val="1"/>
                <w:bCs w:val="1"/>
                <w:color w:val="auto"/>
                <w:w w:val="91"/>
              </w:rPr>
              <w:t>12.7.</w:t>
            </w:r>
          </w:p>
        </w:tc>
        <w:tc>
          <w:tcPr>
            <w:tcW w:w="4040" w:type="dxa"/>
            <w:vAlign w:val="bottom"/>
            <w:gridSpan w:val="5"/>
          </w:tcPr>
          <w:p>
            <w:pPr>
              <w:ind w:left="220"/>
              <w:spacing w:after="0"/>
              <w:rPr>
                <w:sz w:val="20"/>
                <w:szCs w:val="20"/>
                <w:color w:val="auto"/>
              </w:rPr>
            </w:pPr>
            <w:r>
              <w:rPr>
                <w:rFonts w:ascii="Calibri" w:cs="Calibri" w:eastAsia="Calibri" w:hAnsi="Calibri"/>
                <w:sz w:val="18"/>
                <w:szCs w:val="18"/>
                <w:b w:val="1"/>
                <w:bCs w:val="1"/>
                <w:color w:val="auto"/>
              </w:rPr>
              <w:t>Table of calculatons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100" w:type="dxa"/>
            <w:vAlign w:val="bottom"/>
            <w:tcBorders>
              <w:bottom w:val="single" w:sz="8" w:color="auto"/>
              <w:right w:val="single" w:sz="8" w:color="33CCCC"/>
            </w:tcBorders>
            <w:shd w:val="clear" w:color="auto" w:fill="33CCCC"/>
          </w:tcPr>
          <w:p>
            <w:pPr>
              <w:spacing w:after="0"/>
              <w:rPr>
                <w:sz w:val="21"/>
                <w:szCs w:val="21"/>
                <w:color w:val="auto"/>
              </w:rPr>
            </w:pPr>
          </w:p>
        </w:tc>
        <w:tc>
          <w:tcPr>
            <w:tcW w:w="2240" w:type="dxa"/>
            <w:vAlign w:val="bottom"/>
            <w:tcBorders>
              <w:bottom w:val="single" w:sz="8" w:color="auto"/>
              <w:right w:val="single" w:sz="8" w:color="33CCCC"/>
            </w:tcBorders>
            <w:shd w:val="clear" w:color="auto" w:fill="33CCCC"/>
          </w:tcPr>
          <w:p>
            <w:pPr>
              <w:spacing w:after="0"/>
              <w:rPr>
                <w:sz w:val="21"/>
                <w:szCs w:val="21"/>
                <w:color w:val="auto"/>
              </w:rPr>
            </w:pPr>
          </w:p>
        </w:tc>
        <w:tc>
          <w:tcPr>
            <w:tcW w:w="240" w:type="dxa"/>
            <w:vAlign w:val="bottom"/>
            <w:tcBorders>
              <w:bottom w:val="single" w:sz="8" w:color="auto"/>
            </w:tcBorders>
            <w:shd w:val="clear" w:color="auto" w:fill="33CCCC"/>
          </w:tcPr>
          <w:p>
            <w:pPr>
              <w:spacing w:after="0"/>
              <w:rPr>
                <w:sz w:val="21"/>
                <w:szCs w:val="21"/>
                <w:color w:val="auto"/>
              </w:rPr>
            </w:pPr>
          </w:p>
        </w:tc>
        <w:tc>
          <w:tcPr>
            <w:tcW w:w="160" w:type="dxa"/>
            <w:vAlign w:val="bottom"/>
            <w:tcBorders>
              <w:bottom w:val="single" w:sz="8" w:color="auto"/>
            </w:tcBorders>
            <w:shd w:val="clear" w:color="auto" w:fill="33CCCC"/>
          </w:tcPr>
          <w:p>
            <w:pPr>
              <w:spacing w:after="0"/>
              <w:rPr>
                <w:sz w:val="21"/>
                <w:szCs w:val="21"/>
                <w:color w:val="auto"/>
              </w:rPr>
            </w:pPr>
          </w:p>
        </w:tc>
        <w:tc>
          <w:tcPr>
            <w:tcW w:w="80" w:type="dxa"/>
            <w:vAlign w:val="bottom"/>
            <w:tcBorders>
              <w:bottom w:val="single" w:sz="8" w:color="auto"/>
            </w:tcBorders>
            <w:shd w:val="clear" w:color="auto" w:fill="33CCCC"/>
          </w:tcPr>
          <w:p>
            <w:pPr>
              <w:spacing w:after="0"/>
              <w:rPr>
                <w:sz w:val="21"/>
                <w:szCs w:val="21"/>
                <w:color w:val="auto"/>
              </w:rPr>
            </w:pPr>
          </w:p>
        </w:tc>
        <w:tc>
          <w:tcPr>
            <w:tcW w:w="5700" w:type="dxa"/>
            <w:vAlign w:val="bottom"/>
            <w:tcBorders>
              <w:bottom w:val="single" w:sz="8" w:color="auto"/>
              <w:right w:val="single" w:sz="8" w:color="auto"/>
            </w:tcBorders>
            <w:gridSpan w:val="24"/>
            <w:shd w:val="clear" w:color="auto" w:fill="33CCCC"/>
          </w:tcPr>
          <w:p>
            <w:pPr>
              <w:ind w:left="320"/>
              <w:spacing w:after="0"/>
              <w:rPr>
                <w:sz w:val="20"/>
                <w:szCs w:val="20"/>
                <w:color w:val="auto"/>
              </w:rPr>
            </w:pPr>
            <w:r>
              <w:rPr>
                <w:rFonts w:ascii="Calibri" w:cs="Calibri" w:eastAsia="Calibri" w:hAnsi="Calibri"/>
                <w:sz w:val="13"/>
                <w:szCs w:val="13"/>
                <w:b w:val="1"/>
                <w:bCs w:val="1"/>
                <w:color w:val="FFFFFF"/>
              </w:rPr>
              <w:t xml:space="preserve">Table of calculatons </w:t>
            </w:r>
            <w:r>
              <w:rPr>
                <w:rFonts w:ascii="Calibri" w:cs="Calibri" w:eastAsia="Calibri" w:hAnsi="Calibri"/>
                <w:sz w:val="20"/>
                <w:szCs w:val="20"/>
                <w:color w:val="FFFFFF"/>
                <w:vertAlign w:val="superscript"/>
              </w:rPr>
              <w:t>(1)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Interest earning assets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40" w:type="dxa"/>
            <w:vAlign w:val="bottom"/>
            <w:tcBorders>
              <w:right w:val="single" w:sz="8" w:color="auto"/>
            </w:tcBorders>
            <w:gridSpan w:val="19"/>
          </w:tcPr>
          <w:p>
            <w:pPr>
              <w:jc w:val="center"/>
              <w:ind w:right="1860"/>
              <w:spacing w:after="0"/>
              <w:rPr>
                <w:sz w:val="20"/>
                <w:szCs w:val="20"/>
                <w:color w:val="auto"/>
              </w:rPr>
            </w:pPr>
            <w:r>
              <w:rPr>
                <w:rFonts w:ascii="Calibri" w:cs="Calibri" w:eastAsia="Calibri" w:hAnsi="Calibri"/>
                <w:sz w:val="13"/>
                <w:szCs w:val="13"/>
                <w:color w:val="auto"/>
                <w:w w:val="96"/>
              </w:rPr>
              <w:t>Cash and due from banks + Total investments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4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80" w:type="dxa"/>
            <w:vAlign w:val="bottom"/>
            <w:tcBorders>
              <w:right w:val="single" w:sz="8" w:color="auto"/>
            </w:tcBorders>
            <w:gridSpan w:val="23"/>
            <w:vMerge w:val="restart"/>
          </w:tcPr>
          <w:p>
            <w:pPr>
              <w:jc w:val="center"/>
              <w:ind w:right="920"/>
              <w:spacing w:after="0" w:line="149" w:lineRule="exact"/>
              <w:rPr>
                <w:sz w:val="20"/>
                <w:szCs w:val="20"/>
                <w:color w:val="auto"/>
              </w:rPr>
            </w:pPr>
            <w:r>
              <w:rPr>
                <w:rFonts w:ascii="Calibri" w:cs="Calibri" w:eastAsia="Calibri" w:hAnsi="Calibri"/>
                <w:sz w:val="13"/>
                <w:szCs w:val="13"/>
                <w:color w:val="auto"/>
                <w:w w:val="96"/>
              </w:rPr>
              <w:t>+ Cash collateral, reverse repurchase agreements and securites borrowing + Loans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80" w:type="dxa"/>
            <w:vAlign w:val="bottom"/>
            <w:tcBorders>
              <w:right w:val="single" w:sz="8" w:color="auto"/>
            </w:tcBorders>
            <w:gridSpan w:val="23"/>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Funding</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80" w:type="dxa"/>
            <w:vAlign w:val="bottom"/>
            <w:tcBorders>
              <w:right w:val="single" w:sz="8" w:color="auto"/>
            </w:tcBorders>
            <w:gridSpan w:val="23"/>
          </w:tcPr>
          <w:p>
            <w:pPr>
              <w:jc w:val="center"/>
              <w:ind w:right="920"/>
              <w:spacing w:after="0"/>
              <w:rPr>
                <w:sz w:val="20"/>
                <w:szCs w:val="20"/>
                <w:color w:val="auto"/>
              </w:rPr>
            </w:pPr>
            <w:r>
              <w:rPr>
                <w:rFonts w:ascii="Calibri" w:cs="Calibri" w:eastAsia="Calibri" w:hAnsi="Calibri"/>
                <w:sz w:val="13"/>
                <w:szCs w:val="13"/>
                <w:color w:val="auto"/>
                <w:w w:val="97"/>
              </w:rPr>
              <w:t>Deposits and obligatons + Due to banks and correspondents + BCRP instruments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4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80" w:type="dxa"/>
            <w:vAlign w:val="bottom"/>
            <w:tcBorders>
              <w:right w:val="single" w:sz="8" w:color="auto"/>
            </w:tcBorders>
            <w:gridSpan w:val="23"/>
            <w:vMerge w:val="restart"/>
          </w:tcPr>
          <w:p>
            <w:pPr>
              <w:jc w:val="center"/>
              <w:ind w:right="920"/>
              <w:spacing w:after="0" w:line="149" w:lineRule="exact"/>
              <w:rPr>
                <w:sz w:val="20"/>
                <w:szCs w:val="20"/>
                <w:color w:val="auto"/>
              </w:rPr>
            </w:pPr>
            <w:r>
              <w:rPr>
                <w:rFonts w:ascii="Calibri" w:cs="Calibri" w:eastAsia="Calibri" w:hAnsi="Calibri"/>
                <w:sz w:val="13"/>
                <w:szCs w:val="13"/>
                <w:color w:val="auto"/>
                <w:w w:val="96"/>
              </w:rPr>
              <w:t>+ Repurchase agreements with clients and third partes + Bonds and notes issued</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80" w:type="dxa"/>
            <w:vAlign w:val="bottom"/>
            <w:tcBorders>
              <w:right w:val="single" w:sz="8" w:color="auto"/>
            </w:tcBorders>
            <w:gridSpan w:val="23"/>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Net Interest Margin (NIM)</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Borders>
              <w:right w:val="single" w:sz="8" w:color="auto"/>
            </w:tcBorders>
            <w:gridSpan w:val="21"/>
          </w:tcPr>
          <w:p>
            <w:pPr>
              <w:jc w:val="center"/>
              <w:ind w:right="1340"/>
              <w:spacing w:after="0"/>
              <w:rPr>
                <w:sz w:val="20"/>
                <w:szCs w:val="20"/>
                <w:color w:val="auto"/>
              </w:rPr>
            </w:pPr>
            <w:r>
              <w:rPr>
                <w:rFonts w:ascii="Calibri" w:cs="Calibri" w:eastAsia="Calibri" w:hAnsi="Calibri"/>
                <w:sz w:val="13"/>
                <w:szCs w:val="13"/>
                <w:color w:val="auto"/>
                <w:w w:val="96"/>
              </w:rPr>
              <w:t>Net Interest Income (excluding Net Insurance Financial Expenses)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480" w:type="dxa"/>
            <w:vAlign w:val="bottom"/>
            <w:tcBorders>
              <w:top w:val="single" w:sz="8" w:color="auto"/>
            </w:tcBorders>
            <w:gridSpan w:val="10"/>
            <w:vMerge w:val="restart"/>
          </w:tcPr>
          <w:p>
            <w:pPr>
              <w:jc w:val="center"/>
              <w:ind w:right="840"/>
              <w:spacing w:after="0" w:line="145" w:lineRule="exact"/>
              <w:rPr>
                <w:sz w:val="20"/>
                <w:szCs w:val="20"/>
                <w:color w:val="auto"/>
              </w:rPr>
            </w:pPr>
            <w:r>
              <w:rPr>
                <w:rFonts w:ascii="Calibri" w:cs="Calibri" w:eastAsia="Calibri" w:hAnsi="Calibri"/>
                <w:sz w:val="13"/>
                <w:szCs w:val="13"/>
                <w:color w:val="auto"/>
                <w:w w:val="95"/>
              </w:rPr>
              <w:t>Average Interest Earning Assets</w:t>
            </w:r>
          </w:p>
        </w:tc>
        <w:tc>
          <w:tcPr>
            <w:tcW w:w="1440" w:type="dxa"/>
            <w:vAlign w:val="bottom"/>
            <w:tcBorders>
              <w:right w:val="single" w:sz="8" w:color="auto"/>
            </w:tcBorders>
            <w:gridSpan w:val="7"/>
            <w:vMerge w:val="restart"/>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80" w:type="dxa"/>
            <w:vAlign w:val="bottom"/>
            <w:gridSpan w:val="10"/>
            <w:vMerge w:val="continue"/>
          </w:tcPr>
          <w:p>
            <w:pPr>
              <w:spacing w:after="0"/>
              <w:rPr>
                <w:sz w:val="7"/>
                <w:szCs w:val="7"/>
                <w:color w:val="auto"/>
              </w:rPr>
            </w:pPr>
          </w:p>
        </w:tc>
        <w:tc>
          <w:tcPr>
            <w:tcW w:w="1440" w:type="dxa"/>
            <w:vAlign w:val="bottom"/>
            <w:tcBorders>
              <w:right w:val="single" w:sz="8" w:color="auto"/>
            </w:tcBorders>
            <w:gridSpan w:val="7"/>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Risk-adjusted Net Interest Margin</w:t>
            </w:r>
          </w:p>
        </w:tc>
        <w:tc>
          <w:tcPr>
            <w:tcW w:w="400" w:type="dxa"/>
            <w:vAlign w:val="bottom"/>
            <w:gridSpan w:val="2"/>
          </w:tcPr>
          <w:p>
            <w:pPr>
              <w:spacing w:after="0"/>
              <w:rPr>
                <w:sz w:val="20"/>
                <w:szCs w:val="20"/>
                <w:color w:val="auto"/>
              </w:rPr>
            </w:pPr>
          </w:p>
        </w:tc>
        <w:tc>
          <w:tcPr>
            <w:tcW w:w="5780" w:type="dxa"/>
            <w:vAlign w:val="bottom"/>
            <w:tcBorders>
              <w:right w:val="single" w:sz="8" w:color="auto"/>
            </w:tcBorders>
            <w:gridSpan w:val="25"/>
          </w:tcPr>
          <w:p>
            <w:pPr>
              <w:jc w:val="center"/>
              <w:ind w:right="420"/>
              <w:spacing w:after="0"/>
              <w:rPr>
                <w:sz w:val="20"/>
                <w:szCs w:val="20"/>
                <w:color w:val="auto"/>
              </w:rPr>
            </w:pPr>
            <w:r>
              <w:rPr>
                <w:rFonts w:ascii="Calibri" w:cs="Calibri" w:eastAsia="Calibri" w:hAnsi="Calibri"/>
                <w:sz w:val="13"/>
                <w:szCs w:val="13"/>
                <w:color w:val="auto"/>
                <w:w w:val="96"/>
              </w:rPr>
              <w:t>Annualized Net Interest Income (excluding Net Insurance Financial Expenses) — Annualized Provisions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ind w:left="80"/>
              <w:spacing w:after="0" w:line="145" w:lineRule="exact"/>
              <w:rPr>
                <w:sz w:val="20"/>
                <w:szCs w:val="20"/>
                <w:color w:val="auto"/>
              </w:rPr>
            </w:pPr>
            <w:r>
              <w:rPr>
                <w:rFonts w:ascii="Calibri" w:cs="Calibri" w:eastAsia="Calibri" w:hAnsi="Calibri"/>
                <w:sz w:val="13"/>
                <w:szCs w:val="13"/>
                <w:b w:val="1"/>
                <w:bCs w:val="1"/>
                <w:color w:val="auto"/>
              </w:rPr>
              <w:t>(Risk-adjusted NIM)</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60" w:type="dxa"/>
            <w:vAlign w:val="bottom"/>
            <w:tcBorders>
              <w:top w:val="single" w:sz="8" w:color="auto"/>
            </w:tcBorders>
            <w:gridSpan w:val="17"/>
          </w:tcPr>
          <w:p>
            <w:pPr>
              <w:jc w:val="center"/>
              <w:ind w:right="940"/>
              <w:spacing w:after="0" w:line="145" w:lineRule="exact"/>
              <w:rPr>
                <w:sz w:val="20"/>
                <w:szCs w:val="20"/>
                <w:color w:val="auto"/>
              </w:rPr>
            </w:pPr>
            <w:r>
              <w:rPr>
                <w:rFonts w:ascii="Calibri" w:cs="Calibri" w:eastAsia="Calibri" w:hAnsi="Calibri"/>
                <w:sz w:val="13"/>
                <w:szCs w:val="13"/>
                <w:color w:val="auto"/>
                <w:w w:val="96"/>
              </w:rPr>
              <w:t>Average period end and period beginning interest earning assets</w:t>
            </w:r>
          </w:p>
        </w:tc>
        <w:tc>
          <w:tcPr>
            <w:tcW w:w="500" w:type="dxa"/>
            <w:vAlign w:val="bottom"/>
            <w:tcBorders>
              <w:right w:val="single" w:sz="8" w:color="auto"/>
            </w:tcBorders>
            <w:gridSpan w:val="3"/>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Funding 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Borders>
              <w:right w:val="single" w:sz="8" w:color="auto"/>
            </w:tcBorders>
            <w:gridSpan w:val="21"/>
          </w:tcPr>
          <w:p>
            <w:pPr>
              <w:jc w:val="center"/>
              <w:ind w:right="1340"/>
              <w:spacing w:after="0"/>
              <w:rPr>
                <w:sz w:val="20"/>
                <w:szCs w:val="20"/>
                <w:color w:val="auto"/>
              </w:rPr>
            </w:pPr>
            <w:r>
              <w:rPr>
                <w:rFonts w:ascii="Calibri" w:cs="Calibri" w:eastAsia="Calibri" w:hAnsi="Calibri"/>
                <w:sz w:val="13"/>
                <w:szCs w:val="13"/>
                <w:color w:val="auto"/>
                <w:w w:val="96"/>
              </w:rPr>
              <w:t>Interest Expense (Does not Include Net Insurance Financial Expenses)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b w:val="1"/>
                <w:bCs w:val="1"/>
                <w:color w:val="auto"/>
              </w:rPr>
              <w:t>Proftability</w:t>
            </w: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20" w:type="dxa"/>
            <w:vAlign w:val="bottom"/>
            <w:tcBorders>
              <w:top w:val="single" w:sz="8" w:color="auto"/>
            </w:tcBorders>
            <w:gridSpan w:val="8"/>
            <w:vMerge w:val="restart"/>
          </w:tcPr>
          <w:p>
            <w:pPr>
              <w:jc w:val="center"/>
              <w:ind w:right="1300"/>
              <w:spacing w:after="0" w:line="145" w:lineRule="exact"/>
              <w:rPr>
                <w:sz w:val="20"/>
                <w:szCs w:val="20"/>
                <w:color w:val="auto"/>
              </w:rPr>
            </w:pPr>
            <w:r>
              <w:rPr>
                <w:rFonts w:ascii="Calibri" w:cs="Calibri" w:eastAsia="Calibri" w:hAnsi="Calibri"/>
                <w:sz w:val="13"/>
                <w:szCs w:val="13"/>
                <w:color w:val="auto"/>
                <w:w w:val="94"/>
              </w:rPr>
              <w:t>Average Funding</w:t>
            </w:r>
          </w:p>
        </w:tc>
        <w:tc>
          <w:tcPr>
            <w:tcW w:w="1340" w:type="dxa"/>
            <w:vAlign w:val="bottom"/>
            <w:tcBorders>
              <w:right w:val="single" w:sz="8" w:color="auto"/>
            </w:tcBorders>
            <w:gridSpan w:val="6"/>
            <w:vMerge w:val="restart"/>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20" w:type="dxa"/>
            <w:vAlign w:val="bottom"/>
            <w:gridSpan w:val="8"/>
            <w:vMerge w:val="continue"/>
          </w:tcPr>
          <w:p>
            <w:pPr>
              <w:spacing w:after="0"/>
              <w:rPr>
                <w:sz w:val="7"/>
                <w:szCs w:val="7"/>
                <w:color w:val="auto"/>
              </w:rPr>
            </w:pPr>
          </w:p>
        </w:tc>
        <w:tc>
          <w:tcPr>
            <w:tcW w:w="1340" w:type="dxa"/>
            <w:vAlign w:val="bottom"/>
            <w:tcBorders>
              <w:right w:val="single" w:sz="8" w:color="auto"/>
            </w:tcBorders>
            <w:gridSpan w:val="6"/>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58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100" w:type="dxa"/>
            <w:vAlign w:val="bottom"/>
            <w:tcBorders>
              <w:right w:val="single" w:sz="8" w:color="auto"/>
            </w:tcBorders>
            <w:vMerge w:val="continue"/>
          </w:tcPr>
          <w:p>
            <w:pPr>
              <w:spacing w:after="0"/>
              <w:rPr>
                <w:sz w:val="3"/>
                <w:szCs w:val="3"/>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Core income</w:t>
            </w: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80" w:type="dxa"/>
            <w:vAlign w:val="bottom"/>
            <w:tcBorders>
              <w:right w:val="single" w:sz="8" w:color="auto"/>
            </w:tcBorders>
            <w:gridSpan w:val="23"/>
            <w:vMerge w:val="restart"/>
          </w:tcPr>
          <w:p>
            <w:pPr>
              <w:jc w:val="center"/>
              <w:ind w:right="920"/>
              <w:spacing w:after="0"/>
              <w:rPr>
                <w:sz w:val="20"/>
                <w:szCs w:val="20"/>
                <w:color w:val="auto"/>
              </w:rPr>
            </w:pPr>
            <w:r>
              <w:rPr>
                <w:rFonts w:ascii="Calibri" w:cs="Calibri" w:eastAsia="Calibri" w:hAnsi="Calibri"/>
                <w:sz w:val="13"/>
                <w:szCs w:val="13"/>
                <w:color w:val="auto"/>
                <w:w w:val="96"/>
              </w:rPr>
              <w:t>Net Interest Margin + Fee Income + Net Gain on Foreign exchange transactons</w:t>
            </w: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vMerge w:val="continue"/>
          </w:tcPr>
          <w:p>
            <w:pPr>
              <w:spacing w:after="0"/>
              <w:rPr>
                <w:sz w:val="18"/>
                <w:szCs w:val="18"/>
                <w:color w:val="auto"/>
              </w:rPr>
            </w:pPr>
          </w:p>
        </w:tc>
        <w:tc>
          <w:tcPr>
            <w:tcW w:w="4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Borders>
              <w:right w:val="single" w:sz="8" w:color="auto"/>
            </w:tcBorders>
            <w:gridSpan w:val="23"/>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5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Other core income</w:t>
            </w:r>
          </w:p>
        </w:tc>
        <w:tc>
          <w:tcPr>
            <w:tcW w:w="4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60" w:type="dxa"/>
            <w:vAlign w:val="bottom"/>
            <w:tcBorders>
              <w:right w:val="single" w:sz="8" w:color="auto"/>
            </w:tcBorders>
            <w:gridSpan w:val="20"/>
          </w:tcPr>
          <w:p>
            <w:pPr>
              <w:jc w:val="center"/>
              <w:ind w:right="1440"/>
              <w:spacing w:after="0"/>
              <w:rPr>
                <w:sz w:val="20"/>
                <w:szCs w:val="20"/>
                <w:color w:val="auto"/>
              </w:rPr>
            </w:pPr>
            <w:r>
              <w:rPr>
                <w:rFonts w:ascii="Calibri" w:cs="Calibri" w:eastAsia="Calibri" w:hAnsi="Calibri"/>
                <w:sz w:val="13"/>
                <w:szCs w:val="13"/>
                <w:color w:val="auto"/>
                <w:w w:val="96"/>
              </w:rPr>
              <w:t>Fee Income + Net Gain on Foreign exchange transactons</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Other non-core income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00" w:type="dxa"/>
            <w:vAlign w:val="bottom"/>
            <w:tcBorders>
              <w:right w:val="single" w:sz="8" w:color="auto"/>
            </w:tcBorders>
            <w:gridSpan w:val="24"/>
          </w:tcPr>
          <w:p>
            <w:pPr>
              <w:jc w:val="center"/>
              <w:ind w:right="520"/>
              <w:spacing w:after="0"/>
              <w:rPr>
                <w:sz w:val="20"/>
                <w:szCs w:val="20"/>
                <w:color w:val="auto"/>
              </w:rPr>
            </w:pPr>
            <w:r>
              <w:rPr>
                <w:rFonts w:ascii="Calibri" w:cs="Calibri" w:eastAsia="Calibri" w:hAnsi="Calibri"/>
                <w:sz w:val="13"/>
                <w:szCs w:val="13"/>
                <w:color w:val="auto"/>
                <w:w w:val="97"/>
              </w:rPr>
              <w:t>Net Gain Securites + Net Gain from associates + Net Gain of derivatves held for trading</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4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60" w:type="dxa"/>
            <w:vAlign w:val="bottom"/>
            <w:tcBorders>
              <w:right w:val="single" w:sz="8" w:color="auto"/>
            </w:tcBorders>
            <w:gridSpan w:val="21"/>
            <w:vMerge w:val="restart"/>
          </w:tcPr>
          <w:p>
            <w:pPr>
              <w:jc w:val="center"/>
              <w:ind w:right="1340"/>
              <w:spacing w:after="0" w:line="149" w:lineRule="exact"/>
              <w:rPr>
                <w:sz w:val="20"/>
                <w:szCs w:val="20"/>
                <w:color w:val="auto"/>
              </w:rPr>
            </w:pPr>
            <w:r>
              <w:rPr>
                <w:rFonts w:ascii="Calibri" w:cs="Calibri" w:eastAsia="Calibri" w:hAnsi="Calibri"/>
                <w:sz w:val="13"/>
                <w:szCs w:val="13"/>
                <w:color w:val="auto"/>
                <w:w w:val="98"/>
              </w:rPr>
              <w:t>+ Net Gain from exchange diferences + Other non operatve income</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60" w:type="dxa"/>
            <w:vAlign w:val="bottom"/>
            <w:tcBorders>
              <w:right w:val="single" w:sz="8" w:color="auto"/>
            </w:tcBorders>
            <w:gridSpan w:val="21"/>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Return on average assets (ROA)</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Borders>
              <w:bottom w:val="single" w:sz="8" w:color="auto"/>
            </w:tcBorders>
            <w:gridSpan w:val="11"/>
          </w:tcPr>
          <w:p>
            <w:pPr>
              <w:jc w:val="center"/>
              <w:spacing w:after="0"/>
              <w:rPr>
                <w:sz w:val="20"/>
                <w:szCs w:val="20"/>
                <w:color w:val="auto"/>
              </w:rPr>
            </w:pPr>
            <w:r>
              <w:rPr>
                <w:rFonts w:ascii="Calibri" w:cs="Calibri" w:eastAsia="Calibri" w:hAnsi="Calibri"/>
                <w:sz w:val="13"/>
                <w:szCs w:val="13"/>
                <w:color w:val="auto"/>
                <w:w w:val="97"/>
              </w:rPr>
              <w:t>Annualized Net Income atributable to Credicorp</w:t>
            </w:r>
          </w:p>
        </w:tc>
        <w:tc>
          <w:tcPr>
            <w:tcW w:w="1860" w:type="dxa"/>
            <w:vAlign w:val="bottom"/>
            <w:tcBorders>
              <w:right w:val="single" w:sz="8" w:color="auto"/>
            </w:tcBorders>
            <w:gridSpan w:val="8"/>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60" w:type="dxa"/>
            <w:vAlign w:val="bottom"/>
            <w:tcBorders>
              <w:right w:val="single" w:sz="8" w:color="auto"/>
            </w:tcBorders>
            <w:gridSpan w:val="14"/>
            <w:vMerge w:val="restart"/>
          </w:tcPr>
          <w:p>
            <w:pPr>
              <w:jc w:val="center"/>
              <w:ind w:right="2640"/>
              <w:spacing w:after="0" w:line="145" w:lineRule="exact"/>
              <w:rPr>
                <w:sz w:val="20"/>
                <w:szCs w:val="20"/>
                <w:color w:val="auto"/>
              </w:rPr>
            </w:pPr>
            <w:r>
              <w:rPr>
                <w:rFonts w:ascii="Calibri" w:cs="Calibri" w:eastAsia="Calibri" w:hAnsi="Calibri"/>
                <w:sz w:val="13"/>
                <w:szCs w:val="13"/>
                <w:color w:val="auto"/>
                <w:w w:val="95"/>
              </w:rPr>
              <w:t>Average Assets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60" w:type="dxa"/>
            <w:vAlign w:val="bottom"/>
            <w:tcBorders>
              <w:right w:val="single" w:sz="8" w:color="auto"/>
            </w:tcBorders>
            <w:gridSpan w:val="14"/>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Return on average equity (ROE)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tcBorders>
              <w:bottom w:val="single" w:sz="8" w:color="auto"/>
            </w:tcBorders>
            <w:gridSpan w:val="11"/>
          </w:tcPr>
          <w:p>
            <w:pPr>
              <w:jc w:val="center"/>
              <w:spacing w:after="0"/>
              <w:rPr>
                <w:sz w:val="20"/>
                <w:szCs w:val="20"/>
                <w:color w:val="auto"/>
              </w:rPr>
            </w:pPr>
            <w:r>
              <w:rPr>
                <w:rFonts w:ascii="Calibri" w:cs="Calibri" w:eastAsia="Calibri" w:hAnsi="Calibri"/>
                <w:sz w:val="13"/>
                <w:szCs w:val="13"/>
                <w:color w:val="auto"/>
                <w:w w:val="97"/>
              </w:rPr>
              <w:t>Annualized Net Income atributable to Credicorp</w:t>
            </w:r>
          </w:p>
        </w:tc>
        <w:tc>
          <w:tcPr>
            <w:tcW w:w="1860" w:type="dxa"/>
            <w:vAlign w:val="bottom"/>
            <w:tcBorders>
              <w:right w:val="single" w:sz="8" w:color="auto"/>
            </w:tcBorders>
            <w:gridSpan w:val="8"/>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Borders>
              <w:right w:val="single" w:sz="8" w:color="auto"/>
            </w:tcBorders>
            <w:gridSpan w:val="15"/>
            <w:vMerge w:val="restart"/>
          </w:tcPr>
          <w:p>
            <w:pPr>
              <w:jc w:val="center"/>
              <w:ind w:right="2520"/>
              <w:spacing w:after="0" w:line="145" w:lineRule="exact"/>
              <w:rPr>
                <w:sz w:val="20"/>
                <w:szCs w:val="20"/>
                <w:color w:val="auto"/>
              </w:rPr>
            </w:pPr>
            <w:r>
              <w:rPr>
                <w:rFonts w:ascii="Calibri" w:cs="Calibri" w:eastAsia="Calibri" w:hAnsi="Calibri"/>
                <w:sz w:val="13"/>
                <w:szCs w:val="13"/>
                <w:color w:val="auto"/>
                <w:w w:val="94"/>
              </w:rPr>
              <w:t>Average Net Equity</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right w:val="single" w:sz="8" w:color="auto"/>
            </w:tcBorders>
            <w:gridSpan w:val="15"/>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Internal overdue rato</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Calibri" w:cs="Calibri" w:eastAsia="Calibri" w:hAnsi="Calibri"/>
                <w:sz w:val="13"/>
                <w:szCs w:val="13"/>
                <w:color w:val="auto"/>
                <w:w w:val="97"/>
              </w:rPr>
              <w:t>Internal overdue loans</w:t>
            </w:r>
          </w:p>
        </w:tc>
        <w:tc>
          <w:tcPr>
            <w:tcW w:w="2520" w:type="dxa"/>
            <w:vAlign w:val="bottom"/>
            <w:tcBorders>
              <w:right w:val="single" w:sz="8" w:color="auto"/>
            </w:tcBorders>
            <w:gridSpan w:val="12"/>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60" w:type="dxa"/>
            <w:vAlign w:val="bottom"/>
            <w:tcBorders>
              <w:right w:val="single" w:sz="8" w:color="auto"/>
            </w:tcBorders>
            <w:gridSpan w:val="14"/>
            <w:vMerge w:val="restart"/>
          </w:tcPr>
          <w:p>
            <w:pPr>
              <w:jc w:val="center"/>
              <w:ind w:right="2640"/>
              <w:spacing w:after="0" w:line="145" w:lineRule="exact"/>
              <w:rPr>
                <w:sz w:val="20"/>
                <w:szCs w:val="20"/>
                <w:color w:val="auto"/>
              </w:rPr>
            </w:pPr>
            <w:r>
              <w:rPr>
                <w:rFonts w:ascii="Calibri" w:cs="Calibri" w:eastAsia="Calibri" w:hAnsi="Calibri"/>
                <w:sz w:val="13"/>
                <w:szCs w:val="13"/>
                <w:color w:val="auto"/>
                <w:w w:val="93"/>
              </w:rPr>
              <w:t>Total Loans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60" w:type="dxa"/>
            <w:vAlign w:val="bottom"/>
            <w:tcBorders>
              <w:right w:val="single" w:sz="8" w:color="auto"/>
            </w:tcBorders>
            <w:gridSpan w:val="14"/>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Non – performing loans rato (NPL</w:t>
            </w:r>
          </w:p>
        </w:tc>
        <w:tc>
          <w:tcPr>
            <w:tcW w:w="4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Borders>
              <w:right w:val="single" w:sz="8" w:color="auto"/>
            </w:tcBorders>
            <w:gridSpan w:val="19"/>
          </w:tcPr>
          <w:p>
            <w:pPr>
              <w:jc w:val="center"/>
              <w:ind w:right="1860"/>
              <w:spacing w:after="0"/>
              <w:rPr>
                <w:sz w:val="20"/>
                <w:szCs w:val="20"/>
                <w:color w:val="auto"/>
              </w:rPr>
            </w:pPr>
            <w:r>
              <w:rPr>
                <w:rFonts w:ascii="Calibri" w:cs="Calibri" w:eastAsia="Calibri" w:hAnsi="Calibri"/>
                <w:sz w:val="13"/>
                <w:szCs w:val="13"/>
                <w:color w:val="auto"/>
                <w:w w:val="97"/>
              </w:rPr>
              <w:t>(Internal overdue loans + Refnanced loans)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ind w:left="80"/>
              <w:spacing w:after="0" w:line="145" w:lineRule="exact"/>
              <w:rPr>
                <w:sz w:val="20"/>
                <w:szCs w:val="20"/>
                <w:color w:val="auto"/>
              </w:rPr>
            </w:pPr>
            <w:r>
              <w:rPr>
                <w:rFonts w:ascii="Calibri" w:cs="Calibri" w:eastAsia="Calibri" w:hAnsi="Calibri"/>
                <w:sz w:val="13"/>
                <w:szCs w:val="13"/>
                <w:b w:val="1"/>
                <w:bCs w:val="1"/>
                <w:color w:val="auto"/>
              </w:rPr>
              <w:t>rato)</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center"/>
              <w:ind w:right="640"/>
              <w:spacing w:after="0" w:line="145" w:lineRule="exact"/>
              <w:rPr>
                <w:sz w:val="20"/>
                <w:szCs w:val="20"/>
                <w:color w:val="auto"/>
              </w:rPr>
            </w:pPr>
            <w:r>
              <w:rPr>
                <w:rFonts w:ascii="Calibri" w:cs="Calibri" w:eastAsia="Calibri" w:hAnsi="Calibri"/>
                <w:sz w:val="13"/>
                <w:szCs w:val="13"/>
                <w:color w:val="auto"/>
                <w:w w:val="93"/>
              </w:rPr>
              <w:t>Total Loans</w:t>
            </w:r>
          </w:p>
        </w:tc>
        <w:tc>
          <w:tcPr>
            <w:tcW w:w="2000" w:type="dxa"/>
            <w:vAlign w:val="bottom"/>
            <w:tcBorders>
              <w:right w:val="single" w:sz="8" w:color="auto"/>
            </w:tcBorders>
            <w:gridSpan w:val="9"/>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b w:val="1"/>
                <w:bCs w:val="1"/>
                <w:color w:val="auto"/>
              </w:rPr>
              <w:t>Portolio quality</w:t>
            </w:r>
          </w:p>
        </w:tc>
        <w:tc>
          <w:tcPr>
            <w:tcW w:w="2240" w:type="dxa"/>
            <w:vAlign w:val="bottom"/>
            <w:tcBorders>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Coverage rato of internal overdue</w:t>
            </w:r>
          </w:p>
        </w:tc>
        <w:tc>
          <w:tcPr>
            <w:tcW w:w="4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tcBorders>
              <w:right w:val="single" w:sz="8" w:color="auto"/>
            </w:tcBorders>
            <w:gridSpan w:val="16"/>
          </w:tcPr>
          <w:p>
            <w:pPr>
              <w:jc w:val="center"/>
              <w:ind w:right="2440"/>
              <w:spacing w:after="0"/>
              <w:rPr>
                <w:sz w:val="20"/>
                <w:szCs w:val="20"/>
                <w:color w:val="auto"/>
              </w:rPr>
            </w:pPr>
            <w:r>
              <w:rPr>
                <w:rFonts w:ascii="Calibri" w:cs="Calibri" w:eastAsia="Calibri" w:hAnsi="Calibri"/>
                <w:sz w:val="13"/>
                <w:szCs w:val="13"/>
                <w:color w:val="auto"/>
                <w:w w:val="95"/>
              </w:rPr>
              <w:t>Allowance for loans losses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tcPr>
          <w:p>
            <w:pPr>
              <w:ind w:left="80"/>
              <w:spacing w:after="0" w:line="145" w:lineRule="exact"/>
              <w:rPr>
                <w:sz w:val="20"/>
                <w:szCs w:val="20"/>
                <w:color w:val="auto"/>
              </w:rPr>
            </w:pPr>
            <w:r>
              <w:rPr>
                <w:rFonts w:ascii="Calibri" w:cs="Calibri" w:eastAsia="Calibri" w:hAnsi="Calibri"/>
                <w:sz w:val="13"/>
                <w:szCs w:val="13"/>
                <w:b w:val="1"/>
                <w:bCs w:val="1"/>
                <w:color w:val="auto"/>
              </w:rPr>
              <w:t>loans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gridSpan w:val="5"/>
          </w:tcPr>
          <w:p>
            <w:pPr>
              <w:jc w:val="center"/>
              <w:spacing w:after="0" w:line="145" w:lineRule="exact"/>
              <w:rPr>
                <w:sz w:val="20"/>
                <w:szCs w:val="20"/>
                <w:color w:val="auto"/>
              </w:rPr>
            </w:pPr>
            <w:r>
              <w:rPr>
                <w:rFonts w:ascii="Calibri" w:cs="Calibri" w:eastAsia="Calibri" w:hAnsi="Calibri"/>
                <w:sz w:val="13"/>
                <w:szCs w:val="13"/>
                <w:color w:val="auto"/>
                <w:w w:val="97"/>
              </w:rPr>
              <w:t>Internal overdue loans</w:t>
            </w:r>
          </w:p>
        </w:tc>
        <w:tc>
          <w:tcPr>
            <w:tcW w:w="2440" w:type="dxa"/>
            <w:vAlign w:val="bottom"/>
            <w:tcBorders>
              <w:right w:val="single" w:sz="8" w:color="auto"/>
            </w:tcBorders>
            <w:gridSpan w:val="11"/>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Coverage rato of non – performing</w:t>
            </w:r>
          </w:p>
        </w:tc>
        <w:tc>
          <w:tcPr>
            <w:tcW w:w="4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tcBorders>
              <w:right w:val="single" w:sz="8" w:color="auto"/>
            </w:tcBorders>
            <w:gridSpan w:val="16"/>
          </w:tcPr>
          <w:p>
            <w:pPr>
              <w:jc w:val="center"/>
              <w:ind w:right="2440"/>
              <w:spacing w:after="0"/>
              <w:rPr>
                <w:sz w:val="20"/>
                <w:szCs w:val="20"/>
                <w:color w:val="auto"/>
              </w:rPr>
            </w:pPr>
            <w:r>
              <w:rPr>
                <w:rFonts w:ascii="Calibri" w:cs="Calibri" w:eastAsia="Calibri" w:hAnsi="Calibri"/>
                <w:sz w:val="13"/>
                <w:szCs w:val="13"/>
                <w:color w:val="auto"/>
                <w:w w:val="95"/>
              </w:rPr>
              <w:t>Allowance for loans losses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ind w:left="80"/>
              <w:spacing w:after="0" w:line="145" w:lineRule="exact"/>
              <w:rPr>
                <w:sz w:val="20"/>
                <w:szCs w:val="20"/>
                <w:color w:val="auto"/>
              </w:rPr>
            </w:pPr>
            <w:r>
              <w:rPr>
                <w:rFonts w:ascii="Calibri" w:cs="Calibri" w:eastAsia="Calibri" w:hAnsi="Calibri"/>
                <w:sz w:val="13"/>
                <w:szCs w:val="13"/>
                <w:b w:val="1"/>
                <w:bCs w:val="1"/>
                <w:color w:val="auto"/>
              </w:rPr>
              <w:t>loans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gridSpan w:val="5"/>
          </w:tcPr>
          <w:p>
            <w:pPr>
              <w:jc w:val="center"/>
              <w:spacing w:after="0" w:line="145" w:lineRule="exact"/>
              <w:rPr>
                <w:sz w:val="20"/>
                <w:szCs w:val="20"/>
                <w:color w:val="auto"/>
              </w:rPr>
            </w:pPr>
            <w:r>
              <w:rPr>
                <w:rFonts w:ascii="Calibri" w:cs="Calibri" w:eastAsia="Calibri" w:hAnsi="Calibri"/>
                <w:sz w:val="13"/>
                <w:szCs w:val="13"/>
                <w:color w:val="auto"/>
                <w:w w:val="96"/>
              </w:rPr>
              <w:t>Non – performing loans</w:t>
            </w:r>
          </w:p>
        </w:tc>
        <w:tc>
          <w:tcPr>
            <w:tcW w:w="2440" w:type="dxa"/>
            <w:vAlign w:val="bottom"/>
            <w:tcBorders>
              <w:right w:val="single" w:sz="8" w:color="auto"/>
            </w:tcBorders>
            <w:gridSpan w:val="11"/>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Cost of risk</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tcBorders>
              <w:right w:val="single" w:sz="8" w:color="auto"/>
            </w:tcBorders>
            <w:gridSpan w:val="22"/>
          </w:tcPr>
          <w:p>
            <w:pPr>
              <w:jc w:val="center"/>
              <w:ind w:right="1240"/>
              <w:spacing w:after="0"/>
              <w:rPr>
                <w:sz w:val="20"/>
                <w:szCs w:val="20"/>
                <w:color w:val="auto"/>
              </w:rPr>
            </w:pPr>
            <w:r>
              <w:rPr>
                <w:rFonts w:ascii="Calibri" w:cs="Calibri" w:eastAsia="Calibri" w:hAnsi="Calibri"/>
                <w:sz w:val="13"/>
                <w:szCs w:val="13"/>
                <w:color w:val="auto"/>
                <w:w w:val="97"/>
              </w:rPr>
              <w:t>Annualized provision for credit losses on loans portolio, net of recoveries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40" w:type="dxa"/>
            <w:vAlign w:val="bottom"/>
            <w:tcBorders>
              <w:top w:val="single" w:sz="8" w:color="auto"/>
            </w:tcBorders>
            <w:gridSpan w:val="10"/>
            <w:vMerge w:val="restart"/>
          </w:tcPr>
          <w:p>
            <w:pPr>
              <w:jc w:val="center"/>
              <w:ind w:right="1280"/>
              <w:spacing w:after="0" w:line="145" w:lineRule="exact"/>
              <w:rPr>
                <w:sz w:val="20"/>
                <w:szCs w:val="20"/>
                <w:color w:val="auto"/>
              </w:rPr>
            </w:pPr>
            <w:r>
              <w:rPr>
                <w:rFonts w:ascii="Calibri" w:cs="Calibri" w:eastAsia="Calibri" w:hAnsi="Calibri"/>
                <w:sz w:val="13"/>
                <w:szCs w:val="13"/>
                <w:color w:val="auto"/>
                <w:w w:val="94"/>
              </w:rPr>
              <w:t>Average Total Loans</w:t>
            </w:r>
          </w:p>
        </w:tc>
        <w:tc>
          <w:tcPr>
            <w:tcW w:w="1240" w:type="dxa"/>
            <w:vAlign w:val="bottom"/>
            <w:tcBorders>
              <w:right w:val="single" w:sz="8" w:color="auto"/>
            </w:tcBorders>
            <w:gridSpan w:val="5"/>
            <w:vMerge w:val="restart"/>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10"/>
            <w:vMerge w:val="continue"/>
          </w:tcPr>
          <w:p>
            <w:pPr>
              <w:spacing w:after="0"/>
              <w:rPr>
                <w:sz w:val="7"/>
                <w:szCs w:val="7"/>
                <w:color w:val="auto"/>
              </w:rPr>
            </w:pPr>
          </w:p>
        </w:tc>
        <w:tc>
          <w:tcPr>
            <w:tcW w:w="1240" w:type="dxa"/>
            <w:vAlign w:val="bottom"/>
            <w:tcBorders>
              <w:right w:val="single" w:sz="8" w:color="auto"/>
            </w:tcBorders>
            <w:gridSpan w:val="5"/>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5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Operatng expenses</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00" w:type="dxa"/>
            <w:vAlign w:val="bottom"/>
            <w:tcBorders>
              <w:right w:val="single" w:sz="8" w:color="auto"/>
            </w:tcBorders>
            <w:gridSpan w:val="24"/>
          </w:tcPr>
          <w:p>
            <w:pPr>
              <w:jc w:val="center"/>
              <w:ind w:right="500"/>
              <w:spacing w:after="0"/>
              <w:rPr>
                <w:sz w:val="20"/>
                <w:szCs w:val="20"/>
                <w:color w:val="auto"/>
              </w:rPr>
            </w:pPr>
            <w:r>
              <w:rPr>
                <w:rFonts w:ascii="Calibri" w:cs="Calibri" w:eastAsia="Calibri" w:hAnsi="Calibri"/>
                <w:sz w:val="13"/>
                <w:szCs w:val="13"/>
                <w:color w:val="auto"/>
                <w:w w:val="99"/>
              </w:rPr>
              <w:t>Salaries and employees benefts + Administratve expenses + Depreciaton and amortzaton</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4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340" w:type="dxa"/>
            <w:vAlign w:val="bottom"/>
            <w:tcBorders>
              <w:right w:val="single" w:sz="8" w:color="auto"/>
            </w:tcBorders>
            <w:gridSpan w:val="19"/>
            <w:vMerge w:val="restart"/>
          </w:tcPr>
          <w:p>
            <w:pPr>
              <w:jc w:val="center"/>
              <w:ind w:right="1860"/>
              <w:spacing w:after="0" w:line="149" w:lineRule="exact"/>
              <w:rPr>
                <w:sz w:val="20"/>
                <w:szCs w:val="20"/>
                <w:color w:val="auto"/>
              </w:rPr>
            </w:pPr>
            <w:r>
              <w:rPr>
                <w:rFonts w:ascii="Calibri" w:cs="Calibri" w:eastAsia="Calibri" w:hAnsi="Calibri"/>
                <w:sz w:val="13"/>
                <w:szCs w:val="13"/>
                <w:color w:val="auto"/>
              </w:rPr>
              <w:t>+ Associaton in partcipaton + Acquisiton cost</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340" w:type="dxa"/>
            <w:vAlign w:val="bottom"/>
            <w:tcBorders>
              <w:right w:val="single" w:sz="8" w:color="auto"/>
            </w:tcBorders>
            <w:gridSpan w:val="19"/>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5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Operatng Income</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00" w:type="dxa"/>
            <w:vAlign w:val="bottom"/>
            <w:tcBorders>
              <w:right w:val="single" w:sz="8" w:color="auto"/>
            </w:tcBorders>
            <w:gridSpan w:val="24"/>
          </w:tcPr>
          <w:p>
            <w:pPr>
              <w:jc w:val="center"/>
              <w:ind w:right="500"/>
              <w:spacing w:after="0"/>
              <w:rPr>
                <w:sz w:val="20"/>
                <w:szCs w:val="20"/>
                <w:color w:val="auto"/>
              </w:rPr>
            </w:pPr>
            <w:r>
              <w:rPr>
                <w:rFonts w:ascii="Calibri" w:cs="Calibri" w:eastAsia="Calibri" w:hAnsi="Calibri"/>
                <w:sz w:val="13"/>
                <w:szCs w:val="13"/>
                <w:color w:val="auto"/>
                <w:w w:val="96"/>
              </w:rPr>
              <w:t>Net interest, similar income, and expenses + Fee income + Net gain on foreign exchange transactons</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400" w:type="dxa"/>
            <w:vAlign w:val="bottom"/>
            <w:gridSpan w:val="2"/>
          </w:tcPr>
          <w:p>
            <w:pPr>
              <w:spacing w:after="0"/>
              <w:rPr>
                <w:sz w:val="5"/>
                <w:szCs w:val="5"/>
                <w:color w:val="auto"/>
              </w:rPr>
            </w:pPr>
          </w:p>
        </w:tc>
        <w:tc>
          <w:tcPr>
            <w:tcW w:w="5780" w:type="dxa"/>
            <w:vAlign w:val="bottom"/>
            <w:tcBorders>
              <w:right w:val="single" w:sz="8" w:color="auto"/>
            </w:tcBorders>
            <w:gridSpan w:val="25"/>
            <w:vMerge w:val="restart"/>
          </w:tcPr>
          <w:p>
            <w:pPr>
              <w:jc w:val="center"/>
              <w:ind w:right="420"/>
              <w:spacing w:after="0" w:line="149" w:lineRule="exact"/>
              <w:rPr>
                <w:sz w:val="20"/>
                <w:szCs w:val="20"/>
                <w:color w:val="auto"/>
              </w:rPr>
            </w:pPr>
            <w:r>
              <w:rPr>
                <w:rFonts w:ascii="Calibri" w:cs="Calibri" w:eastAsia="Calibri" w:hAnsi="Calibri"/>
                <w:sz w:val="13"/>
                <w:szCs w:val="13"/>
                <w:color w:val="auto"/>
                <w:w w:val="97"/>
              </w:rPr>
              <w:t>+ Net gain from associates + Net gain on derivatves held for trading + Net gain from exchange diferences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b w:val="1"/>
                <w:bCs w:val="1"/>
                <w:color w:val="auto"/>
              </w:rPr>
              <w:t>Operatng</w:t>
            </w: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tcBorders>
              <w:right w:val="single" w:sz="8" w:color="auto"/>
            </w:tcBorders>
            <w:gridSpan w:val="25"/>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4"/>
              </w:rPr>
              <w:t>performance</w:t>
            </w:r>
          </w:p>
        </w:tc>
        <w:tc>
          <w:tcPr>
            <w:tcW w:w="2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58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700" w:type="dxa"/>
            <w:vAlign w:val="bottom"/>
            <w:tcBorders>
              <w:right w:val="single" w:sz="8" w:color="auto"/>
            </w:tcBorders>
            <w:gridSpan w:val="24"/>
            <w:vMerge w:val="restart"/>
          </w:tcPr>
          <w:p>
            <w:pPr>
              <w:jc w:val="center"/>
              <w:ind w:right="500"/>
              <w:spacing w:after="0"/>
              <w:rPr>
                <w:sz w:val="20"/>
                <w:szCs w:val="20"/>
                <w:color w:val="auto"/>
              </w:rPr>
            </w:pPr>
            <w:r>
              <w:rPr>
                <w:rFonts w:ascii="Calibri" w:cs="Calibri" w:eastAsia="Calibri" w:hAnsi="Calibri"/>
                <w:sz w:val="13"/>
                <w:szCs w:val="13"/>
                <w:color w:val="auto"/>
                <w:w w:val="99"/>
              </w:rPr>
              <w:t>Salaries and employee benefts + Administratve expenses + Depreciaton and amortzaton</w:t>
            </w: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00" w:type="dxa"/>
            <w:vAlign w:val="bottom"/>
            <w:tcBorders>
              <w:right w:val="single" w:sz="8" w:color="auto"/>
            </w:tcBorders>
            <w:gridSpan w:val="24"/>
            <w:vMerge w:val="continue"/>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15"/>
          </w:tcPr>
          <w:p>
            <w:pPr>
              <w:jc w:val="center"/>
              <w:ind w:right="1860"/>
              <w:spacing w:after="0" w:line="149" w:lineRule="exact"/>
              <w:rPr>
                <w:sz w:val="20"/>
                <w:szCs w:val="20"/>
                <w:color w:val="auto"/>
              </w:rPr>
            </w:pPr>
            <w:r>
              <w:rPr>
                <w:rFonts w:ascii="Calibri" w:cs="Calibri" w:eastAsia="Calibri" w:hAnsi="Calibri"/>
                <w:sz w:val="13"/>
                <w:szCs w:val="13"/>
                <w:color w:val="auto"/>
              </w:rPr>
              <w:t>+ Associaton in partcipaton</w:t>
            </w:r>
          </w:p>
        </w:tc>
        <w:tc>
          <w:tcPr>
            <w:tcW w:w="420" w:type="dxa"/>
            <w:vAlign w:val="bottom"/>
            <w:tcBorders>
              <w:right w:val="single" w:sz="8" w:color="auto"/>
            </w:tcBorders>
            <w:gridSpan w:val="2"/>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80"/>
              <w:spacing w:after="0" w:line="138" w:lineRule="exact"/>
              <w:rPr>
                <w:sz w:val="20"/>
                <w:szCs w:val="20"/>
                <w:color w:val="auto"/>
              </w:rPr>
            </w:pPr>
            <w:r>
              <w:rPr>
                <w:rFonts w:ascii="Calibri" w:cs="Calibri" w:eastAsia="Calibri" w:hAnsi="Calibri"/>
                <w:sz w:val="13"/>
                <w:szCs w:val="13"/>
                <w:b w:val="1"/>
                <w:bCs w:val="1"/>
                <w:color w:val="auto"/>
              </w:rPr>
              <w:t>Efciency rato</w:t>
            </w:r>
          </w:p>
        </w:tc>
        <w:tc>
          <w:tcPr>
            <w:tcW w:w="4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80" w:type="dxa"/>
            <w:vAlign w:val="bottom"/>
            <w:tcBorders>
              <w:right w:val="single" w:sz="8" w:color="auto"/>
            </w:tcBorders>
            <w:gridSpan w:val="23"/>
          </w:tcPr>
          <w:p>
            <w:pPr>
              <w:jc w:val="center"/>
              <w:ind w:right="940"/>
              <w:spacing w:after="0" w:line="152" w:lineRule="exact"/>
              <w:rPr>
                <w:sz w:val="20"/>
                <w:szCs w:val="20"/>
                <w:color w:val="auto"/>
              </w:rPr>
            </w:pPr>
            <w:r>
              <w:rPr>
                <w:rFonts w:ascii="Calibri" w:cs="Calibri" w:eastAsia="Calibri" w:hAnsi="Calibri"/>
                <w:sz w:val="13"/>
                <w:szCs w:val="13"/>
                <w:color w:val="auto"/>
                <w:w w:val="96"/>
              </w:rPr>
              <w:t>Net interest, similar income and expenses + Fee Income + Net gain on foreign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00" w:type="dxa"/>
            <w:vAlign w:val="bottom"/>
            <w:tcBorders>
              <w:right w:val="single" w:sz="8" w:color="auto"/>
            </w:tcBorders>
            <w:gridSpan w:val="24"/>
          </w:tcPr>
          <w:p>
            <w:pPr>
              <w:jc w:val="center"/>
              <w:ind w:right="500"/>
              <w:spacing w:after="0" w:line="149" w:lineRule="exact"/>
              <w:rPr>
                <w:sz w:val="20"/>
                <w:szCs w:val="20"/>
                <w:color w:val="auto"/>
              </w:rPr>
            </w:pPr>
            <w:r>
              <w:rPr>
                <w:rFonts w:ascii="Calibri" w:cs="Calibri" w:eastAsia="Calibri" w:hAnsi="Calibri"/>
                <w:sz w:val="13"/>
                <w:szCs w:val="13"/>
                <w:color w:val="auto"/>
                <w:w w:val="97"/>
              </w:rPr>
              <w:t>exchange transactons + Net gain from associates+Net gain on derivatves held for trading</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760" w:type="dxa"/>
            <w:vAlign w:val="bottom"/>
            <w:tcBorders>
              <w:right w:val="single" w:sz="8" w:color="auto"/>
            </w:tcBorders>
            <w:gridSpan w:val="20"/>
          </w:tcPr>
          <w:p>
            <w:pPr>
              <w:jc w:val="center"/>
              <w:ind w:right="1440"/>
              <w:spacing w:after="0" w:line="149" w:lineRule="exact"/>
              <w:rPr>
                <w:sz w:val="20"/>
                <w:szCs w:val="20"/>
                <w:color w:val="auto"/>
              </w:rPr>
            </w:pPr>
            <w:r>
              <w:rPr>
                <w:rFonts w:ascii="Calibri" w:cs="Calibri" w:eastAsia="Calibri" w:hAnsi="Calibri"/>
                <w:sz w:val="13"/>
                <w:szCs w:val="13"/>
                <w:color w:val="auto"/>
                <w:w w:val="98"/>
              </w:rPr>
              <w:t>+ Result on exchange diferences+Insurance Underwritng Result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Liquidity Coverage rato</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00" w:type="dxa"/>
            <w:vAlign w:val="bottom"/>
            <w:tcBorders>
              <w:right w:val="single" w:sz="8" w:color="auto"/>
            </w:tcBorders>
            <w:gridSpan w:val="24"/>
          </w:tcPr>
          <w:p>
            <w:pPr>
              <w:jc w:val="center"/>
              <w:ind w:right="500"/>
              <w:spacing w:after="0"/>
              <w:rPr>
                <w:sz w:val="20"/>
                <w:szCs w:val="20"/>
                <w:color w:val="auto"/>
              </w:rPr>
            </w:pPr>
            <w:r>
              <w:rPr>
                <w:rFonts w:ascii="Calibri" w:cs="Calibri" w:eastAsia="Calibri" w:hAnsi="Calibri"/>
                <w:sz w:val="13"/>
                <w:szCs w:val="13"/>
                <w:color w:val="auto"/>
                <w:w w:val="98"/>
              </w:rPr>
              <w:t>Total High Quality Liquid Assets + Min( Total Infow</w:t>
            </w:r>
            <w:r>
              <w:rPr>
                <w:rFonts w:ascii="Calibri" w:cs="Calibri" w:eastAsia="Calibri" w:hAnsi="Calibri"/>
                <w:sz w:val="10"/>
                <w:szCs w:val="10"/>
                <w:color w:val="auto"/>
                <w:w w:val="98"/>
              </w:rPr>
              <w:t>30 days</w:t>
            </w:r>
            <w:r>
              <w:rPr>
                <w:rFonts w:ascii="Calibri" w:cs="Calibri" w:eastAsia="Calibri" w:hAnsi="Calibri"/>
                <w:sz w:val="13"/>
                <w:szCs w:val="13"/>
                <w:color w:val="auto"/>
                <w:w w:val="98"/>
              </w:rPr>
              <w:t xml:space="preserve"> ; 75% * Total Outlow</w:t>
            </w:r>
            <w:r>
              <w:rPr>
                <w:rFonts w:ascii="Calibri" w:cs="Calibri" w:eastAsia="Calibri" w:hAnsi="Calibri"/>
                <w:sz w:val="10"/>
                <w:szCs w:val="10"/>
                <w:color w:val="auto"/>
                <w:w w:val="98"/>
              </w:rPr>
              <w:t>30 days</w:t>
            </w:r>
            <w:r>
              <w:rPr>
                <w:rFonts w:ascii="Calibri" w:cs="Calibri" w:eastAsia="Calibri" w:hAnsi="Calibri"/>
                <w:sz w:val="13"/>
                <w:szCs w:val="13"/>
                <w:color w:val="auto"/>
                <w:w w:val="98"/>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760" w:type="dxa"/>
            <w:vAlign w:val="bottom"/>
            <w:tcBorders>
              <w:top w:val="single" w:sz="8" w:color="auto"/>
            </w:tcBorders>
            <w:gridSpan w:val="11"/>
            <w:vMerge w:val="restart"/>
          </w:tcPr>
          <w:p>
            <w:pPr>
              <w:jc w:val="center"/>
              <w:ind w:right="1620"/>
              <w:spacing w:after="0" w:line="145" w:lineRule="exact"/>
              <w:rPr>
                <w:sz w:val="20"/>
                <w:szCs w:val="20"/>
                <w:color w:val="auto"/>
              </w:rPr>
            </w:pPr>
            <w:r>
              <w:rPr>
                <w:rFonts w:ascii="Calibri" w:cs="Calibri" w:eastAsia="Calibri" w:hAnsi="Calibri"/>
                <w:sz w:val="13"/>
                <w:szCs w:val="13"/>
                <w:color w:val="auto"/>
                <w:w w:val="98"/>
              </w:rPr>
              <w:t>Total Outlow 30 days</w:t>
            </w:r>
          </w:p>
        </w:tc>
        <w:tc>
          <w:tcPr>
            <w:tcW w:w="920" w:type="dxa"/>
            <w:vAlign w:val="bottom"/>
            <w:tcBorders>
              <w:right w:val="single" w:sz="8" w:color="auto"/>
            </w:tcBorders>
            <w:gridSpan w:val="4"/>
            <w:vMerge w:val="restart"/>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gridSpan w:val="11"/>
            <w:vMerge w:val="continue"/>
          </w:tcPr>
          <w:p>
            <w:pPr>
              <w:spacing w:after="0"/>
              <w:rPr>
                <w:sz w:val="7"/>
                <w:szCs w:val="7"/>
                <w:color w:val="auto"/>
              </w:rPr>
            </w:pPr>
          </w:p>
        </w:tc>
        <w:tc>
          <w:tcPr>
            <w:tcW w:w="920" w:type="dxa"/>
            <w:vAlign w:val="bottom"/>
            <w:tcBorders>
              <w:right w:val="single" w:sz="8" w:color="auto"/>
            </w:tcBorders>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gridSpan w:val="3"/>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Regulatory Capital rato</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Borders>
              <w:right w:val="single" w:sz="8" w:color="auto"/>
            </w:tcBorders>
            <w:gridSpan w:val="15"/>
          </w:tcPr>
          <w:p>
            <w:pPr>
              <w:jc w:val="center"/>
              <w:ind w:right="2520"/>
              <w:spacing w:after="0"/>
              <w:rPr>
                <w:sz w:val="20"/>
                <w:szCs w:val="20"/>
                <w:color w:val="auto"/>
              </w:rPr>
            </w:pPr>
            <w:r>
              <w:rPr>
                <w:rFonts w:ascii="Calibri" w:cs="Calibri" w:eastAsia="Calibri" w:hAnsi="Calibri"/>
                <w:sz w:val="13"/>
                <w:szCs w:val="13"/>
                <w:color w:val="auto"/>
                <w:w w:val="95"/>
              </w:rPr>
              <w:t>Regulatory Capital</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240" w:type="dxa"/>
            <w:vAlign w:val="bottom"/>
            <w:tcBorders>
              <w:right w:val="single" w:sz="8" w:color="auto"/>
            </w:tcBorders>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760" w:type="dxa"/>
            <w:vAlign w:val="bottom"/>
            <w:tcBorders>
              <w:right w:val="single" w:sz="8" w:color="auto"/>
            </w:tcBorders>
            <w:gridSpan w:val="16"/>
            <w:vMerge w:val="restart"/>
          </w:tcPr>
          <w:p>
            <w:pPr>
              <w:jc w:val="center"/>
              <w:ind w:right="2440"/>
              <w:spacing w:after="0" w:line="145" w:lineRule="exact"/>
              <w:rPr>
                <w:sz w:val="20"/>
                <w:szCs w:val="20"/>
                <w:color w:val="auto"/>
              </w:rPr>
            </w:pPr>
            <w:r>
              <w:rPr>
                <w:rFonts w:ascii="Calibri" w:cs="Calibri" w:eastAsia="Calibri" w:hAnsi="Calibri"/>
                <w:sz w:val="13"/>
                <w:szCs w:val="13"/>
                <w:color w:val="auto"/>
                <w:w w:val="97"/>
              </w:rPr>
              <w:t>Risk — weighted assets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60" w:type="dxa"/>
            <w:vAlign w:val="bottom"/>
            <w:tcBorders>
              <w:right w:val="single" w:sz="8" w:color="auto"/>
            </w:tcBorders>
            <w:gridSpan w:val="16"/>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b w:val="1"/>
                <w:bCs w:val="1"/>
                <w:color w:val="auto"/>
                <w:w w:val="95"/>
              </w:rPr>
              <w:t>Capital</w:t>
            </w: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3"/>
                <w:szCs w:val="13"/>
                <w:b w:val="1"/>
                <w:bCs w:val="1"/>
                <w:color w:val="auto"/>
                <w:w w:val="97"/>
              </w:rPr>
              <w:t>Adequacy</w:t>
            </w: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Tier 1 rato</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340"/>
              <w:spacing w:after="0" w:line="200" w:lineRule="exact"/>
              <w:rPr>
                <w:sz w:val="20"/>
                <w:szCs w:val="20"/>
                <w:color w:val="auto"/>
              </w:rPr>
            </w:pPr>
            <w:r>
              <w:rPr>
                <w:rFonts w:ascii="Calibri" w:cs="Calibri" w:eastAsia="Calibri" w:hAnsi="Calibri"/>
                <w:sz w:val="13"/>
                <w:szCs w:val="13"/>
                <w:color w:val="auto"/>
                <w:w w:val="89"/>
              </w:rPr>
              <w:t>Tier 1</w:t>
            </w:r>
            <w:r>
              <w:rPr>
                <w:rFonts w:ascii="Calibri" w:cs="Calibri" w:eastAsia="Calibri" w:hAnsi="Calibri"/>
                <w:sz w:val="20"/>
                <w:szCs w:val="20"/>
                <w:color w:val="auto"/>
                <w:w w:val="89"/>
                <w:vertAlign w:val="superscript"/>
              </w:rPr>
              <w:t>(2)</w:t>
            </w:r>
          </w:p>
        </w:tc>
        <w:tc>
          <w:tcPr>
            <w:tcW w:w="2300" w:type="dxa"/>
            <w:vAlign w:val="bottom"/>
            <w:tcBorders>
              <w:right w:val="single" w:sz="8" w:color="auto"/>
            </w:tcBorders>
            <w:gridSpan w:val="10"/>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8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760" w:type="dxa"/>
            <w:vAlign w:val="bottom"/>
            <w:tcBorders>
              <w:right w:val="single" w:sz="8" w:color="auto"/>
            </w:tcBorders>
            <w:gridSpan w:val="16"/>
            <w:vMerge w:val="restart"/>
          </w:tcPr>
          <w:p>
            <w:pPr>
              <w:jc w:val="center"/>
              <w:ind w:right="2440"/>
              <w:spacing w:after="0" w:line="145" w:lineRule="exact"/>
              <w:rPr>
                <w:sz w:val="20"/>
                <w:szCs w:val="20"/>
                <w:color w:val="auto"/>
              </w:rPr>
            </w:pPr>
            <w:r>
              <w:rPr>
                <w:rFonts w:ascii="Calibri" w:cs="Calibri" w:eastAsia="Calibri" w:hAnsi="Calibri"/>
                <w:sz w:val="13"/>
                <w:szCs w:val="13"/>
                <w:color w:val="auto"/>
                <w:w w:val="97"/>
              </w:rPr>
              <w:t>Risk — weighted assets</w:t>
            </w: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60" w:type="dxa"/>
            <w:vAlign w:val="bottom"/>
            <w:tcBorders>
              <w:right w:val="single" w:sz="8" w:color="auto"/>
            </w:tcBorders>
            <w:gridSpan w:val="16"/>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gridSpan w:val="3"/>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3"/>
                <w:szCs w:val="13"/>
                <w:b w:val="1"/>
                <w:bCs w:val="1"/>
                <w:color w:val="auto"/>
              </w:rPr>
              <w:t xml:space="preserve">Common Equity Tier 1 rato </w:t>
            </w:r>
            <w:r>
              <w:rPr>
                <w:rFonts w:ascii="Calibri" w:cs="Calibri" w:eastAsia="Calibri" w:hAnsi="Calibri"/>
                <w:sz w:val="20"/>
                <w:szCs w:val="20"/>
                <w:b w:val="1"/>
                <w:bCs w:val="1"/>
                <w:color w:val="auto"/>
                <w:vertAlign w:val="superscript"/>
              </w:rPr>
              <w:t>(3)</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520" w:type="dxa"/>
            <w:vAlign w:val="bottom"/>
            <w:tcBorders>
              <w:bottom w:val="single" w:sz="8" w:color="auto"/>
            </w:tcBorders>
            <w:gridSpan w:val="24"/>
          </w:tcPr>
          <w:p>
            <w:pPr>
              <w:jc w:val="center"/>
              <w:ind w:right="180"/>
              <w:spacing w:after="0"/>
              <w:rPr>
                <w:sz w:val="20"/>
                <w:szCs w:val="20"/>
                <w:color w:val="auto"/>
              </w:rPr>
            </w:pPr>
            <w:r>
              <w:rPr>
                <w:rFonts w:ascii="Calibri" w:cs="Calibri" w:eastAsia="Calibri" w:hAnsi="Calibri"/>
                <w:sz w:val="13"/>
                <w:szCs w:val="13"/>
                <w:color w:val="auto"/>
                <w:w w:val="96"/>
              </w:rPr>
              <w:t xml:space="preserve">Capital + Reserves — 100% of applicable deductons </w:t>
            </w:r>
            <w:r>
              <w:rPr>
                <w:rFonts w:ascii="Calibri" w:cs="Calibri" w:eastAsia="Calibri" w:hAnsi="Calibri"/>
                <w:sz w:val="20"/>
                <w:szCs w:val="20"/>
                <w:color w:val="auto"/>
                <w:w w:val="96"/>
                <w:vertAlign w:val="superscript"/>
              </w:rPr>
              <w:t>(4)</w:t>
            </w:r>
            <w:r>
              <w:rPr>
                <w:rFonts w:ascii="Calibri" w:cs="Calibri" w:eastAsia="Calibri" w:hAnsi="Calibri"/>
                <w:sz w:val="13"/>
                <w:szCs w:val="13"/>
                <w:color w:val="auto"/>
                <w:w w:val="96"/>
              </w:rPr>
              <w:t xml:space="preserve"> + Retained Earnings + Unrealized gains or losses</w:t>
            </w:r>
          </w:p>
        </w:tc>
        <w:tc>
          <w:tcPr>
            <w:tcW w:w="260" w:type="dxa"/>
            <w:vAlign w:val="bottom"/>
            <w:tcBorders>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tcBorders>
              <w:right w:val="single" w:sz="8" w:color="auto"/>
            </w:tcBorders>
            <w:gridSpan w:val="16"/>
            <w:vMerge w:val="restart"/>
          </w:tcPr>
          <w:p>
            <w:pPr>
              <w:jc w:val="center"/>
              <w:ind w:right="2440"/>
              <w:spacing w:after="0" w:line="145" w:lineRule="exact"/>
              <w:rPr>
                <w:sz w:val="20"/>
                <w:szCs w:val="20"/>
                <w:color w:val="auto"/>
              </w:rPr>
            </w:pPr>
            <w:r>
              <w:rPr>
                <w:rFonts w:ascii="Calibri" w:cs="Calibri" w:eastAsia="Calibri" w:hAnsi="Calibri"/>
                <w:sz w:val="13"/>
                <w:szCs w:val="13"/>
                <w:color w:val="auto"/>
                <w:w w:val="97"/>
              </w:rPr>
              <w:t>Risk — weighted assets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Borders>
              <w:right w:val="single" w:sz="8" w:color="auto"/>
            </w:tcBorders>
            <w:gridSpan w:val="16"/>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-8306435</wp:posOffset>
            </wp:positionV>
            <wp:extent cx="108013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159" w:lineRule="exact"/>
        <w:rPr>
          <w:sz w:val="20"/>
          <w:szCs w:val="20"/>
          <w:color w:val="auto"/>
        </w:rPr>
      </w:pPr>
    </w:p>
    <w:p>
      <w:pPr>
        <w:ind w:left="180" w:hanging="172"/>
        <w:spacing w:after="0"/>
        <w:tabs>
          <w:tab w:leader="none" w:pos="180" w:val="left"/>
        </w:tabs>
        <w:numPr>
          <w:ilvl w:val="0"/>
          <w:numId w:val="65"/>
        </w:numPr>
        <w:rPr>
          <w:rFonts w:ascii="Calibri" w:cs="Calibri" w:eastAsia="Calibri" w:hAnsi="Calibri"/>
          <w:sz w:val="12"/>
          <w:szCs w:val="12"/>
          <w:color w:val="auto"/>
        </w:rPr>
      </w:pPr>
      <w:r>
        <w:rPr>
          <w:rFonts w:ascii="Calibri" w:cs="Calibri" w:eastAsia="Calibri" w:hAnsi="Calibri"/>
          <w:sz w:val="12"/>
          <w:szCs w:val="12"/>
          <w:color w:val="auto"/>
        </w:rPr>
        <w:t>Averages are determined as the average of period-beginning and period-ending balances.</w:t>
      </w:r>
    </w:p>
    <w:p>
      <w:pPr>
        <w:ind w:left="180" w:hanging="172"/>
        <w:spacing w:after="0" w:line="221" w:lineRule="auto"/>
        <w:tabs>
          <w:tab w:leader="none" w:pos="180" w:val="left"/>
        </w:tabs>
        <w:numPr>
          <w:ilvl w:val="0"/>
          <w:numId w:val="65"/>
        </w:numPr>
        <w:rPr>
          <w:rFonts w:ascii="Calibri" w:cs="Calibri" w:eastAsia="Calibri" w:hAnsi="Calibri"/>
          <w:sz w:val="12"/>
          <w:szCs w:val="12"/>
          <w:color w:val="auto"/>
        </w:rPr>
      </w:pPr>
      <w:r>
        <w:rPr>
          <w:rFonts w:ascii="Calibri" w:cs="Calibri" w:eastAsia="Calibri" w:hAnsi="Calibri"/>
          <w:sz w:val="12"/>
          <w:szCs w:val="12"/>
          <w:color w:val="auto"/>
        </w:rPr>
        <w:t>Includes investment in subsidiaries, goodwill, intangibles, and deferred tax that rely on future proftability.</w:t>
      </w:r>
    </w:p>
    <w:p>
      <w:pPr>
        <w:ind w:left="180" w:hanging="172"/>
        <w:spacing w:after="0" w:line="221" w:lineRule="auto"/>
        <w:tabs>
          <w:tab w:leader="none" w:pos="180" w:val="left"/>
        </w:tabs>
        <w:numPr>
          <w:ilvl w:val="0"/>
          <w:numId w:val="65"/>
        </w:numPr>
        <w:rPr>
          <w:rFonts w:ascii="Calibri" w:cs="Calibri" w:eastAsia="Calibri" w:hAnsi="Calibri"/>
          <w:sz w:val="12"/>
          <w:szCs w:val="12"/>
          <w:color w:val="auto"/>
        </w:rPr>
      </w:pPr>
      <w:r>
        <w:rPr>
          <w:rFonts w:ascii="Calibri" w:cs="Calibri" w:eastAsia="Calibri" w:hAnsi="Calibri"/>
          <w:sz w:val="12"/>
          <w:szCs w:val="12"/>
          <w:color w:val="auto"/>
        </w:rPr>
        <w:t>Common Equity Tier 1 = Capital Stock + Reserves + Accumulated earnings – Unrealized profts or losses - 100% deductons (investment in subsidiaries, goodwill, intangible assets, and deferred tax assets based on future returns).</w:t>
      </w:r>
    </w:p>
    <w:p>
      <w:pPr>
        <w:ind w:left="180" w:hanging="172"/>
        <w:spacing w:after="0" w:line="221" w:lineRule="auto"/>
        <w:tabs>
          <w:tab w:leader="none" w:pos="180" w:val="left"/>
        </w:tabs>
        <w:numPr>
          <w:ilvl w:val="0"/>
          <w:numId w:val="65"/>
        </w:numPr>
        <w:rPr>
          <w:rFonts w:ascii="Calibri" w:cs="Calibri" w:eastAsia="Calibri" w:hAnsi="Calibri"/>
          <w:sz w:val="12"/>
          <w:szCs w:val="12"/>
          <w:color w:val="auto"/>
        </w:rPr>
      </w:pPr>
      <w:r>
        <w:rPr>
          <w:rFonts w:ascii="Calibri" w:cs="Calibri" w:eastAsia="Calibri" w:hAnsi="Calibri"/>
          <w:sz w:val="12"/>
          <w:szCs w:val="12"/>
          <w:color w:val="auto"/>
        </w:rPr>
        <w:t>Includes investment in subsidiaries, goodwill, intangible assets, and deferred taxes based on future returns.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453"/>
        </w:trPr>
        <w:tc>
          <w:tcPr>
            <w:tcW w:w="580" w:type="dxa"/>
            <w:vAlign w:val="bottom"/>
            <w:tcBorders>
              <w:left w:val="single" w:sz="8" w:color="auto"/>
            </w:tcBorders>
            <w:shd w:val="clear" w:color="auto" w:fill="000000"/>
          </w:tcPr>
          <w:p>
            <w:pPr>
              <w:spacing w:after="0"/>
              <w:rPr>
                <w:sz w:val="24"/>
                <w:szCs w:val="24"/>
                <w:color w:val="auto"/>
              </w:rPr>
            </w:pPr>
          </w:p>
        </w:tc>
        <w:tc>
          <w:tcPr>
            <w:tcW w:w="6660" w:type="dxa"/>
            <w:vAlign w:val="bottom"/>
            <w:gridSpan w:val="2"/>
            <w:shd w:val="clear" w:color="auto" w:fill="000000"/>
          </w:tcPr>
          <w:p>
            <w:pPr>
              <w:ind w:left="2120"/>
              <w:spacing w:after="0"/>
              <w:rPr>
                <w:sz w:val="20"/>
                <w:szCs w:val="20"/>
                <w:color w:val="auto"/>
              </w:rPr>
            </w:pPr>
            <w:r>
              <w:rPr>
                <w:rFonts w:ascii="Calibri" w:cs="Calibri" w:eastAsia="Calibri" w:hAnsi="Calibri"/>
                <w:sz w:val="20"/>
                <w:szCs w:val="20"/>
                <w:color w:val="A6A6A6"/>
              </w:rPr>
              <w:t xml:space="preserve">|  </w:t>
            </w:r>
            <w:r>
              <w:rPr>
                <w:rFonts w:ascii="Calibri" w:cs="Calibri" w:eastAsia="Calibri" w:hAnsi="Calibri"/>
                <w:sz w:val="16"/>
                <w:szCs w:val="16"/>
                <w:b w:val="1"/>
                <w:bCs w:val="1"/>
                <w:color w:val="BFBFBF"/>
              </w:rPr>
              <w:t>Earnings Release 3Q / 24</w:t>
            </w:r>
          </w:p>
        </w:tc>
        <w:tc>
          <w:tcPr>
            <w:tcW w:w="4000" w:type="dxa"/>
            <w:vAlign w:val="bottom"/>
            <w:tcBorders>
              <w:right w:val="single" w:sz="8" w:color="auto"/>
            </w:tcBorders>
            <w:shd w:val="clear" w:color="auto" w:fill="000000"/>
          </w:tcPr>
          <w:p>
            <w:pPr>
              <w:jc w:val="right"/>
              <w:ind w:right="1025"/>
              <w:spacing w:after="0"/>
              <w:rPr>
                <w:sz w:val="20"/>
                <w:szCs w:val="20"/>
                <w:color w:val="auto"/>
              </w:rPr>
            </w:pPr>
            <w:r>
              <w:rPr>
                <w:rFonts w:ascii="Calibri" w:cs="Calibri" w:eastAsia="Calibri" w:hAnsi="Calibri"/>
                <w:sz w:val="16"/>
                <w:szCs w:val="16"/>
                <w:color w:val="ED3FA8"/>
              </w:rPr>
              <w:t>Analysis of 3Q24 Consolidated Results</w:t>
            </w:r>
          </w:p>
        </w:tc>
        <w:tc>
          <w:tcPr>
            <w:tcW w:w="20" w:type="dxa"/>
            <w:vAlign w:val="bottom"/>
          </w:tcPr>
          <w:p>
            <w:pPr>
              <w:spacing w:after="0"/>
              <w:rPr>
                <w:sz w:val="24"/>
                <w:szCs w:val="24"/>
                <w:color w:val="auto"/>
              </w:rPr>
            </w:pPr>
          </w:p>
        </w:tc>
      </w:tr>
      <w:tr>
        <w:trPr>
          <w:trHeight w:val="330"/>
        </w:trPr>
        <w:tc>
          <w:tcPr>
            <w:tcW w:w="4520" w:type="dxa"/>
            <w:vAlign w:val="bottom"/>
            <w:tcBorders>
              <w:left w:val="single" w:sz="8" w:color="auto"/>
              <w:right w:val="single" w:sz="8" w:color="auto"/>
            </w:tcBorders>
            <w:gridSpan w:val="2"/>
            <w:shd w:val="clear" w:color="auto" w:fill="000000"/>
          </w:tcPr>
          <w:p>
            <w:pPr>
              <w:spacing w:after="0"/>
              <w:rPr>
                <w:sz w:val="24"/>
                <w:szCs w:val="24"/>
                <w:color w:val="auto"/>
              </w:rPr>
            </w:pPr>
          </w:p>
        </w:tc>
        <w:tc>
          <w:tcPr>
            <w:tcW w:w="2720" w:type="dxa"/>
            <w:vAlign w:val="bottom"/>
            <w:shd w:val="clear" w:color="auto" w:fill="000000"/>
          </w:tcPr>
          <w:p>
            <w:pPr>
              <w:spacing w:after="0"/>
              <w:rPr>
                <w:sz w:val="24"/>
                <w:szCs w:val="24"/>
                <w:color w:val="auto"/>
              </w:rPr>
            </w:pPr>
          </w:p>
        </w:tc>
        <w:tc>
          <w:tcPr>
            <w:tcW w:w="4000" w:type="dxa"/>
            <w:vAlign w:val="bottom"/>
            <w:tcBorders>
              <w:right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520" w:type="dxa"/>
            <w:vAlign w:val="bottom"/>
            <w:tcBorders>
              <w:left w:val="single" w:sz="8" w:color="E93BAC"/>
              <w:right w:val="single" w:sz="8" w:color="E93BAC"/>
            </w:tcBorders>
            <w:gridSpan w:val="2"/>
            <w:shd w:val="clear" w:color="auto" w:fill="E93BAC"/>
          </w:tcPr>
          <w:p>
            <w:pPr>
              <w:ind w:left="80"/>
              <w:spacing w:after="0"/>
              <w:rPr>
                <w:sz w:val="20"/>
                <w:szCs w:val="20"/>
                <w:color w:val="auto"/>
              </w:rPr>
            </w:pPr>
            <w:r>
              <w:rPr>
                <w:rFonts w:ascii="Calibri" w:cs="Calibri" w:eastAsia="Calibri" w:hAnsi="Calibri"/>
                <w:sz w:val="20"/>
                <w:szCs w:val="20"/>
                <w:b w:val="1"/>
                <w:bCs w:val="1"/>
                <w:color w:val="FFFFFF"/>
              </w:rPr>
              <w:t>12. Appendix</w:t>
            </w:r>
          </w:p>
        </w:tc>
        <w:tc>
          <w:tcPr>
            <w:tcW w:w="2720" w:type="dxa"/>
            <w:vAlign w:val="bottom"/>
            <w:shd w:val="clear" w:color="auto" w:fill="E93BAC"/>
          </w:tcPr>
          <w:p>
            <w:pPr>
              <w:spacing w:after="0"/>
              <w:rPr>
                <w:sz w:val="22"/>
                <w:szCs w:val="22"/>
                <w:color w:val="auto"/>
              </w:rPr>
            </w:pPr>
          </w:p>
        </w:tc>
        <w:tc>
          <w:tcPr>
            <w:tcW w:w="4000" w:type="dxa"/>
            <w:vAlign w:val="bottom"/>
            <w:tcBorders>
              <w:right w:val="single" w:sz="8" w:color="E93BAC"/>
            </w:tcBorders>
            <w:shd w:val="clear" w:color="auto" w:fill="E93BAC"/>
          </w:tcPr>
          <w:p>
            <w:pPr>
              <w:spacing w:after="0"/>
              <w:rPr>
                <w:sz w:val="22"/>
                <w:szCs w:val="22"/>
                <w:color w:val="auto"/>
              </w:rPr>
            </w:pPr>
          </w:p>
        </w:tc>
        <w:tc>
          <w:tcPr>
            <w:tcW w:w="20" w:type="dxa"/>
            <w:vAlign w:val="bottom"/>
          </w:tcPr>
          <w:p>
            <w:pPr>
              <w:spacing w:after="0"/>
              <w:rPr>
                <w:sz w:val="22"/>
                <w:szCs w:val="22"/>
                <w:color w:val="auto"/>
              </w:rPr>
            </w:pPr>
          </w:p>
        </w:tc>
      </w:tr>
      <w:tr>
        <w:trPr>
          <w:trHeight w:val="87"/>
        </w:trPr>
        <w:tc>
          <w:tcPr>
            <w:tcW w:w="580" w:type="dxa"/>
            <w:vAlign w:val="bottom"/>
            <w:tcBorders>
              <w:left w:val="single" w:sz="8" w:color="E93BAC"/>
            </w:tcBorders>
            <w:shd w:val="clear" w:color="auto" w:fill="E93BAC"/>
          </w:tcPr>
          <w:p>
            <w:pPr>
              <w:spacing w:after="0"/>
              <w:rPr>
                <w:sz w:val="7"/>
                <w:szCs w:val="7"/>
                <w:color w:val="auto"/>
              </w:rPr>
            </w:pPr>
          </w:p>
        </w:tc>
        <w:tc>
          <w:tcPr>
            <w:tcW w:w="3940" w:type="dxa"/>
            <w:vAlign w:val="bottom"/>
            <w:tcBorders>
              <w:right w:val="single" w:sz="8" w:color="E93BAC"/>
            </w:tcBorders>
            <w:shd w:val="clear" w:color="auto" w:fill="E93BAC"/>
          </w:tcPr>
          <w:p>
            <w:pPr>
              <w:spacing w:after="0"/>
              <w:rPr>
                <w:sz w:val="7"/>
                <w:szCs w:val="7"/>
                <w:color w:val="auto"/>
              </w:rPr>
            </w:pPr>
          </w:p>
        </w:tc>
        <w:tc>
          <w:tcPr>
            <w:tcW w:w="2720" w:type="dxa"/>
            <w:vAlign w:val="bottom"/>
            <w:shd w:val="clear" w:color="auto" w:fill="E93BAC"/>
          </w:tcPr>
          <w:p>
            <w:pPr>
              <w:spacing w:after="0"/>
              <w:rPr>
                <w:sz w:val="7"/>
                <w:szCs w:val="7"/>
                <w:color w:val="auto"/>
              </w:rPr>
            </w:pPr>
          </w:p>
        </w:tc>
        <w:tc>
          <w:tcPr>
            <w:tcW w:w="4000" w:type="dxa"/>
            <w:vAlign w:val="bottom"/>
            <w:tcBorders>
              <w:right w:val="single" w:sz="8" w:color="E93BAC"/>
            </w:tcBorders>
            <w:shd w:val="clear" w:color="auto" w:fill="E93BAC"/>
          </w:tcPr>
          <w:p>
            <w:pPr>
              <w:spacing w:after="0"/>
              <w:rPr>
                <w:sz w:val="7"/>
                <w:szCs w:val="7"/>
                <w:color w:val="auto"/>
              </w:rPr>
            </w:pPr>
          </w:p>
        </w:tc>
        <w:tc>
          <w:tcPr>
            <w:tcW w:w="20" w:type="dxa"/>
            <w:vAlign w:val="bottom"/>
          </w:tcPr>
          <w:p>
            <w:pPr>
              <w:spacing w:after="0"/>
              <w:rPr>
                <w:sz w:val="7"/>
                <w:szCs w:val="7"/>
                <w:color w:val="auto"/>
              </w:rPr>
            </w:pPr>
          </w:p>
        </w:tc>
      </w:tr>
      <w:tr>
        <w:trPr>
          <w:trHeight w:val="354"/>
        </w:trPr>
        <w:tc>
          <w:tcPr>
            <w:tcW w:w="580" w:type="dxa"/>
            <w:vAlign w:val="bottom"/>
          </w:tcPr>
          <w:p>
            <w:pPr>
              <w:spacing w:after="0"/>
              <w:rPr>
                <w:sz w:val="20"/>
                <w:szCs w:val="20"/>
                <w:color w:val="auto"/>
              </w:rPr>
            </w:pPr>
            <w:r>
              <w:rPr>
                <w:rFonts w:ascii="Calibri" w:cs="Calibri" w:eastAsia="Calibri" w:hAnsi="Calibri"/>
                <w:sz w:val="18"/>
                <w:szCs w:val="18"/>
                <w:b w:val="1"/>
                <w:bCs w:val="1"/>
                <w:color w:val="auto"/>
              </w:rPr>
              <w:t>12.8.</w:t>
            </w:r>
          </w:p>
        </w:tc>
        <w:tc>
          <w:tcPr>
            <w:tcW w:w="3940" w:type="dxa"/>
            <w:vAlign w:val="bottom"/>
          </w:tcPr>
          <w:p>
            <w:pPr>
              <w:ind w:left="220"/>
              <w:spacing w:after="0"/>
              <w:rPr>
                <w:sz w:val="20"/>
                <w:szCs w:val="20"/>
                <w:color w:val="auto"/>
              </w:rPr>
            </w:pPr>
            <w:r>
              <w:rPr>
                <w:rFonts w:ascii="Calibri" w:cs="Calibri" w:eastAsia="Calibri" w:hAnsi="Calibri"/>
                <w:sz w:val="18"/>
                <w:szCs w:val="18"/>
                <w:b w:val="1"/>
                <w:bCs w:val="1"/>
                <w:color w:val="auto"/>
              </w:rPr>
              <w:t>Glossary of terms</w:t>
            </w:r>
          </w:p>
        </w:tc>
        <w:tc>
          <w:tcPr>
            <w:tcW w:w="2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5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63"/>
        </w:trPr>
        <w:tc>
          <w:tcPr>
            <w:tcW w:w="580" w:type="dxa"/>
            <w:vAlign w:val="bottom"/>
            <w:tcBorders>
              <w:left w:val="single" w:sz="8" w:color="auto"/>
              <w:bottom w:val="single" w:sz="8" w:color="auto"/>
            </w:tcBorders>
            <w:shd w:val="clear" w:color="auto" w:fill="33CCCC"/>
          </w:tcPr>
          <w:p>
            <w:pPr>
              <w:spacing w:after="0"/>
              <w:rPr>
                <w:sz w:val="14"/>
                <w:szCs w:val="14"/>
                <w:color w:val="auto"/>
              </w:rPr>
            </w:pPr>
          </w:p>
        </w:tc>
        <w:tc>
          <w:tcPr>
            <w:tcW w:w="3940" w:type="dxa"/>
            <w:vAlign w:val="bottom"/>
            <w:tcBorders>
              <w:bottom w:val="single" w:sz="8" w:color="auto"/>
              <w:right w:val="single" w:sz="8" w:color="auto"/>
            </w:tcBorders>
            <w:shd w:val="clear" w:color="auto" w:fill="33CCCC"/>
          </w:tcPr>
          <w:p>
            <w:pPr>
              <w:ind w:left="1540"/>
              <w:spacing w:after="0" w:line="164" w:lineRule="exact"/>
              <w:rPr>
                <w:sz w:val="20"/>
                <w:szCs w:val="20"/>
                <w:color w:val="auto"/>
              </w:rPr>
            </w:pPr>
            <w:r>
              <w:rPr>
                <w:rFonts w:ascii="Calibri" w:cs="Calibri" w:eastAsia="Calibri" w:hAnsi="Calibri"/>
                <w:sz w:val="14"/>
                <w:szCs w:val="14"/>
                <w:b w:val="1"/>
                <w:bCs w:val="1"/>
                <w:color w:val="FFFFFF"/>
              </w:rPr>
              <w:t>Term</w:t>
            </w:r>
          </w:p>
        </w:tc>
        <w:tc>
          <w:tcPr>
            <w:tcW w:w="2720" w:type="dxa"/>
            <w:vAlign w:val="bottom"/>
            <w:tcBorders>
              <w:bottom w:val="single" w:sz="8" w:color="auto"/>
            </w:tcBorders>
            <w:shd w:val="clear" w:color="auto" w:fill="33CCCC"/>
          </w:tcPr>
          <w:p>
            <w:pPr>
              <w:spacing w:after="0"/>
              <w:rPr>
                <w:sz w:val="14"/>
                <w:szCs w:val="14"/>
                <w:color w:val="auto"/>
              </w:rPr>
            </w:pPr>
          </w:p>
        </w:tc>
        <w:tc>
          <w:tcPr>
            <w:tcW w:w="4000" w:type="dxa"/>
            <w:vAlign w:val="bottom"/>
            <w:tcBorders>
              <w:bottom w:val="single" w:sz="8" w:color="auto"/>
              <w:right w:val="single" w:sz="8" w:color="auto"/>
            </w:tcBorders>
            <w:shd w:val="clear" w:color="auto" w:fill="33CCCC"/>
          </w:tcPr>
          <w:p>
            <w:pPr>
              <w:jc w:val="right"/>
              <w:ind w:right="3005"/>
              <w:spacing w:after="0" w:line="164" w:lineRule="exact"/>
              <w:rPr>
                <w:sz w:val="20"/>
                <w:szCs w:val="20"/>
                <w:color w:val="auto"/>
              </w:rPr>
            </w:pPr>
            <w:r>
              <w:rPr>
                <w:rFonts w:ascii="Calibri" w:cs="Calibri" w:eastAsia="Calibri" w:hAnsi="Calibri"/>
                <w:sz w:val="14"/>
                <w:szCs w:val="14"/>
                <w:b w:val="1"/>
                <w:bCs w:val="1"/>
                <w:color w:val="FFFFFF"/>
              </w:rPr>
              <w:t>Defniton</w:t>
            </w:r>
          </w:p>
        </w:tc>
        <w:tc>
          <w:tcPr>
            <w:tcW w:w="20" w:type="dxa"/>
            <w:vAlign w:val="bottom"/>
          </w:tcPr>
          <w:p>
            <w:pPr>
              <w:spacing w:after="0"/>
              <w:rPr>
                <w:sz w:val="14"/>
                <w:szCs w:val="14"/>
                <w:color w:val="auto"/>
              </w:rPr>
            </w:pPr>
          </w:p>
        </w:tc>
      </w:tr>
      <w:tr>
        <w:trPr>
          <w:trHeight w:val="169"/>
        </w:trPr>
        <w:tc>
          <w:tcPr>
            <w:tcW w:w="580" w:type="dxa"/>
            <w:vAlign w:val="bottom"/>
            <w:tcBorders>
              <w:left w:val="single" w:sz="8" w:color="auto"/>
              <w:bottom w:val="single" w:sz="8" w:color="auto"/>
            </w:tcBorders>
          </w:tcPr>
          <w:p>
            <w:pPr>
              <w:ind w:left="20"/>
              <w:spacing w:after="0" w:line="169" w:lineRule="exact"/>
              <w:rPr>
                <w:sz w:val="20"/>
                <w:szCs w:val="20"/>
                <w:color w:val="auto"/>
              </w:rPr>
            </w:pPr>
            <w:r>
              <w:rPr>
                <w:rFonts w:ascii="Calibri" w:cs="Calibri" w:eastAsia="Calibri" w:hAnsi="Calibri"/>
                <w:sz w:val="14"/>
                <w:szCs w:val="14"/>
                <w:b w:val="1"/>
                <w:bCs w:val="1"/>
                <w:color w:val="auto"/>
              </w:rPr>
              <w:t>AFP</w:t>
            </w:r>
          </w:p>
        </w:tc>
        <w:tc>
          <w:tcPr>
            <w:tcW w:w="3940" w:type="dxa"/>
            <w:vAlign w:val="bottom"/>
            <w:tcBorders>
              <w:bottom w:val="single" w:sz="8" w:color="auto"/>
              <w:right w:val="single" w:sz="8" w:color="auto"/>
            </w:tcBorders>
          </w:tcPr>
          <w:p>
            <w:pPr>
              <w:spacing w:after="0"/>
              <w:rPr>
                <w:sz w:val="14"/>
                <w:szCs w:val="14"/>
                <w:color w:val="auto"/>
              </w:rPr>
            </w:pPr>
          </w:p>
        </w:tc>
        <w:tc>
          <w:tcPr>
            <w:tcW w:w="6720" w:type="dxa"/>
            <w:vAlign w:val="bottom"/>
            <w:tcBorders>
              <w:bottom w:val="single" w:sz="8" w:color="auto"/>
              <w:right w:val="single" w:sz="8" w:color="auto"/>
            </w:tcBorders>
            <w:gridSpan w:val="2"/>
          </w:tcPr>
          <w:p>
            <w:pPr>
              <w:spacing w:after="0" w:line="169" w:lineRule="exact"/>
              <w:rPr>
                <w:sz w:val="20"/>
                <w:szCs w:val="20"/>
                <w:color w:val="auto"/>
              </w:rPr>
            </w:pPr>
            <w:r>
              <w:rPr>
                <w:rFonts w:ascii="Calibri" w:cs="Calibri" w:eastAsia="Calibri" w:hAnsi="Calibri"/>
                <w:sz w:val="14"/>
                <w:szCs w:val="14"/>
                <w:color w:val="auto"/>
              </w:rPr>
              <w:t>Administradora de Fondo de Pensiones or Private Pension Funds Administrators</w:t>
            </w:r>
          </w:p>
        </w:tc>
        <w:tc>
          <w:tcPr>
            <w:tcW w:w="20" w:type="dxa"/>
            <w:vAlign w:val="bottom"/>
          </w:tcPr>
          <w:p>
            <w:pPr>
              <w:spacing w:after="0"/>
              <w:rPr>
                <w:sz w:val="14"/>
                <w:szCs w:val="14"/>
                <w:color w:val="auto"/>
              </w:rPr>
            </w:pPr>
          </w:p>
        </w:tc>
      </w:tr>
      <w:tr>
        <w:trPr>
          <w:trHeight w:val="169"/>
        </w:trPr>
        <w:tc>
          <w:tcPr>
            <w:tcW w:w="580" w:type="dxa"/>
            <w:vAlign w:val="bottom"/>
            <w:tcBorders>
              <w:left w:val="single" w:sz="8" w:color="auto"/>
              <w:bottom w:val="single" w:sz="8" w:color="auto"/>
            </w:tcBorders>
          </w:tcPr>
          <w:p>
            <w:pPr>
              <w:ind w:left="20"/>
              <w:spacing w:after="0" w:line="169" w:lineRule="exact"/>
              <w:rPr>
                <w:sz w:val="20"/>
                <w:szCs w:val="20"/>
                <w:color w:val="auto"/>
              </w:rPr>
            </w:pPr>
            <w:r>
              <w:rPr>
                <w:rFonts w:ascii="Calibri" w:cs="Calibri" w:eastAsia="Calibri" w:hAnsi="Calibri"/>
                <w:sz w:val="14"/>
                <w:szCs w:val="14"/>
                <w:b w:val="1"/>
                <w:bCs w:val="1"/>
                <w:color w:val="auto"/>
              </w:rPr>
              <w:t>BCRP</w:t>
            </w:r>
          </w:p>
        </w:tc>
        <w:tc>
          <w:tcPr>
            <w:tcW w:w="3940" w:type="dxa"/>
            <w:vAlign w:val="bottom"/>
            <w:tcBorders>
              <w:bottom w:val="single" w:sz="8" w:color="auto"/>
              <w:right w:val="single" w:sz="8" w:color="auto"/>
            </w:tcBorders>
          </w:tcPr>
          <w:p>
            <w:pPr>
              <w:spacing w:after="0"/>
              <w:rPr>
                <w:sz w:val="14"/>
                <w:szCs w:val="14"/>
                <w:color w:val="auto"/>
              </w:rPr>
            </w:pPr>
          </w:p>
        </w:tc>
        <w:tc>
          <w:tcPr>
            <w:tcW w:w="6720" w:type="dxa"/>
            <w:vAlign w:val="bottom"/>
            <w:tcBorders>
              <w:bottom w:val="single" w:sz="8" w:color="auto"/>
              <w:right w:val="single" w:sz="8" w:color="auto"/>
            </w:tcBorders>
            <w:gridSpan w:val="2"/>
          </w:tcPr>
          <w:p>
            <w:pPr>
              <w:spacing w:after="0" w:line="169" w:lineRule="exact"/>
              <w:rPr>
                <w:sz w:val="20"/>
                <w:szCs w:val="20"/>
                <w:color w:val="auto"/>
              </w:rPr>
            </w:pPr>
            <w:r>
              <w:rPr>
                <w:rFonts w:ascii="Calibri" w:cs="Calibri" w:eastAsia="Calibri" w:hAnsi="Calibri"/>
                <w:sz w:val="14"/>
                <w:szCs w:val="14"/>
                <w:color w:val="auto"/>
              </w:rPr>
              <w:t>Banco Central de Reserva del Perú or Peruvian Central Bank</w:t>
            </w:r>
          </w:p>
        </w:tc>
        <w:tc>
          <w:tcPr>
            <w:tcW w:w="20" w:type="dxa"/>
            <w:vAlign w:val="bottom"/>
          </w:tcPr>
          <w:p>
            <w:pPr>
              <w:spacing w:after="0"/>
              <w:rPr>
                <w:sz w:val="14"/>
                <w:szCs w:val="14"/>
                <w:color w:val="auto"/>
              </w:rPr>
            </w:pPr>
          </w:p>
        </w:tc>
      </w:tr>
      <w:tr>
        <w:trPr>
          <w:trHeight w:val="160"/>
        </w:trPr>
        <w:tc>
          <w:tcPr>
            <w:tcW w:w="4520" w:type="dxa"/>
            <w:vAlign w:val="bottom"/>
            <w:tcBorders>
              <w:left w:val="single" w:sz="8" w:color="auto"/>
              <w:right w:val="single" w:sz="8" w:color="auto"/>
            </w:tcBorders>
            <w:gridSpan w:val="2"/>
          </w:tcPr>
          <w:p>
            <w:pPr>
              <w:ind w:left="20"/>
              <w:spacing w:after="0" w:line="160" w:lineRule="exact"/>
              <w:rPr>
                <w:sz w:val="20"/>
                <w:szCs w:val="20"/>
                <w:color w:val="auto"/>
              </w:rPr>
            </w:pPr>
            <w:r>
              <w:rPr>
                <w:rFonts w:ascii="Calibri" w:cs="Calibri" w:eastAsia="Calibri" w:hAnsi="Calibri"/>
                <w:sz w:val="14"/>
                <w:szCs w:val="14"/>
                <w:b w:val="1"/>
                <w:bCs w:val="1"/>
                <w:color w:val="auto"/>
              </w:rPr>
              <w:t>Financially Included</w:t>
            </w:r>
          </w:p>
        </w:tc>
        <w:tc>
          <w:tcPr>
            <w:tcW w:w="6720" w:type="dxa"/>
            <w:vAlign w:val="bottom"/>
            <w:tcBorders>
              <w:right w:val="single" w:sz="8" w:color="auto"/>
            </w:tcBorders>
            <w:gridSpan w:val="2"/>
          </w:tcPr>
          <w:p>
            <w:pPr>
              <w:spacing w:after="0" w:line="160" w:lineRule="exact"/>
              <w:rPr>
                <w:sz w:val="20"/>
                <w:szCs w:val="20"/>
                <w:color w:val="auto"/>
              </w:rPr>
            </w:pPr>
            <w:r>
              <w:rPr>
                <w:rFonts w:ascii="Calibri" w:cs="Calibri" w:eastAsia="Calibri" w:hAnsi="Calibri"/>
                <w:sz w:val="14"/>
                <w:szCs w:val="14"/>
                <w:color w:val="auto"/>
              </w:rPr>
              <w:t>Stock of fnancially included clients through BCP since 2020. New clients with BCP savings accounts or new Yape</w:t>
            </w:r>
          </w:p>
        </w:tc>
        <w:tc>
          <w:tcPr>
            <w:tcW w:w="20" w:type="dxa"/>
            <w:vAlign w:val="bottom"/>
          </w:tcPr>
          <w:p>
            <w:pPr>
              <w:spacing w:after="0"/>
              <w:rPr>
                <w:sz w:val="13"/>
                <w:szCs w:val="13"/>
                <w:color w:val="auto"/>
              </w:rPr>
            </w:pPr>
          </w:p>
        </w:tc>
      </w:tr>
      <w:tr>
        <w:trPr>
          <w:trHeight w:val="170"/>
        </w:trPr>
        <w:tc>
          <w:tcPr>
            <w:tcW w:w="580" w:type="dxa"/>
            <w:vAlign w:val="bottom"/>
            <w:tcBorders>
              <w:left w:val="single" w:sz="8" w:color="auto"/>
            </w:tcBorders>
          </w:tcPr>
          <w:p>
            <w:pPr>
              <w:spacing w:after="0"/>
              <w:rPr>
                <w:sz w:val="14"/>
                <w:szCs w:val="14"/>
                <w:color w:val="auto"/>
              </w:rPr>
            </w:pPr>
          </w:p>
        </w:tc>
        <w:tc>
          <w:tcPr>
            <w:tcW w:w="3940" w:type="dxa"/>
            <w:vAlign w:val="bottom"/>
            <w:tcBorders>
              <w:right w:val="single" w:sz="8" w:color="auto"/>
            </w:tcBorders>
          </w:tcPr>
          <w:p>
            <w:pPr>
              <w:spacing w:after="0"/>
              <w:rPr>
                <w:sz w:val="14"/>
                <w:szCs w:val="14"/>
                <w:color w:val="auto"/>
              </w:rPr>
            </w:pPr>
          </w:p>
        </w:tc>
        <w:tc>
          <w:tcPr>
            <w:tcW w:w="6720" w:type="dxa"/>
            <w:vAlign w:val="bottom"/>
            <w:tcBorders>
              <w:right w:val="single" w:sz="8" w:color="auto"/>
            </w:tcBorders>
            <w:gridSpan w:val="2"/>
          </w:tcPr>
          <w:p>
            <w:pPr>
              <w:spacing w:after="0"/>
              <w:rPr>
                <w:sz w:val="20"/>
                <w:szCs w:val="20"/>
                <w:color w:val="auto"/>
              </w:rPr>
            </w:pPr>
            <w:r>
              <w:rPr>
                <w:rFonts w:ascii="Calibri" w:cs="Calibri" w:eastAsia="Calibri" w:hAnsi="Calibri"/>
                <w:sz w:val="14"/>
                <w:szCs w:val="14"/>
                <w:color w:val="auto"/>
              </w:rPr>
              <w:t>afliates that: (i) Do not have debt in the fnancial system nor other BCP products in the 12 months prior to their</w:t>
            </w:r>
          </w:p>
        </w:tc>
        <w:tc>
          <w:tcPr>
            <w:tcW w:w="20" w:type="dxa"/>
            <w:vAlign w:val="bottom"/>
          </w:tcPr>
          <w:p>
            <w:pPr>
              <w:spacing w:after="0"/>
              <w:rPr>
                <w:sz w:val="14"/>
                <w:szCs w:val="14"/>
                <w:color w:val="auto"/>
              </w:rPr>
            </w:pPr>
          </w:p>
        </w:tc>
      </w:tr>
      <w:tr>
        <w:trPr>
          <w:trHeight w:val="176"/>
        </w:trPr>
        <w:tc>
          <w:tcPr>
            <w:tcW w:w="580" w:type="dxa"/>
            <w:vAlign w:val="bottom"/>
            <w:tcBorders>
              <w:left w:val="single" w:sz="8" w:color="auto"/>
            </w:tcBorders>
          </w:tcPr>
          <w:p>
            <w:pPr>
              <w:spacing w:after="0"/>
              <w:rPr>
                <w:sz w:val="15"/>
                <w:szCs w:val="15"/>
                <w:color w:val="auto"/>
              </w:rPr>
            </w:pPr>
          </w:p>
        </w:tc>
        <w:tc>
          <w:tcPr>
            <w:tcW w:w="3940" w:type="dxa"/>
            <w:vAlign w:val="bottom"/>
            <w:tcBorders>
              <w:right w:val="single" w:sz="8" w:color="auto"/>
            </w:tcBorders>
          </w:tcPr>
          <w:p>
            <w:pPr>
              <w:spacing w:after="0"/>
              <w:rPr>
                <w:sz w:val="15"/>
                <w:szCs w:val="15"/>
                <w:color w:val="auto"/>
              </w:rPr>
            </w:pPr>
          </w:p>
        </w:tc>
        <w:tc>
          <w:tcPr>
            <w:tcW w:w="6720" w:type="dxa"/>
            <w:vAlign w:val="bottom"/>
            <w:tcBorders>
              <w:right w:val="single" w:sz="8" w:color="auto"/>
            </w:tcBorders>
            <w:gridSpan w:val="2"/>
          </w:tcPr>
          <w:p>
            <w:pPr>
              <w:spacing w:after="0"/>
              <w:rPr>
                <w:sz w:val="20"/>
                <w:szCs w:val="20"/>
                <w:color w:val="auto"/>
              </w:rPr>
            </w:pPr>
            <w:r>
              <w:rPr>
                <w:rFonts w:ascii="Calibri" w:cs="Calibri" w:eastAsia="Calibri" w:hAnsi="Calibri"/>
                <w:sz w:val="14"/>
                <w:szCs w:val="14"/>
                <w:color w:val="auto"/>
              </w:rPr>
              <w:t>inclusion, and (ii) Have performed at least 3 monthly transactons on average through any BCP channel in the last 3</w:t>
            </w:r>
          </w:p>
        </w:tc>
        <w:tc>
          <w:tcPr>
            <w:tcW w:w="20" w:type="dxa"/>
            <w:vAlign w:val="bottom"/>
          </w:tcPr>
          <w:p>
            <w:pPr>
              <w:spacing w:after="0"/>
              <w:rPr>
                <w:sz w:val="15"/>
                <w:szCs w:val="15"/>
                <w:color w:val="auto"/>
              </w:rPr>
            </w:pPr>
          </w:p>
        </w:tc>
      </w:tr>
      <w:tr>
        <w:trPr>
          <w:trHeight w:val="189"/>
        </w:trPr>
        <w:tc>
          <w:tcPr>
            <w:tcW w:w="580" w:type="dxa"/>
            <w:vAlign w:val="bottom"/>
            <w:tcBorders>
              <w:left w:val="single" w:sz="8" w:color="auto"/>
              <w:bottom w:val="single" w:sz="8" w:color="auto"/>
            </w:tcBorders>
          </w:tcPr>
          <w:p>
            <w:pPr>
              <w:spacing w:after="0"/>
              <w:rPr>
                <w:sz w:val="16"/>
                <w:szCs w:val="16"/>
                <w:color w:val="auto"/>
              </w:rPr>
            </w:pPr>
          </w:p>
        </w:tc>
        <w:tc>
          <w:tcPr>
            <w:tcW w:w="394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20"/>
                <w:szCs w:val="20"/>
                <w:color w:val="auto"/>
              </w:rPr>
            </w:pPr>
            <w:r>
              <w:rPr>
                <w:rFonts w:ascii="Calibri" w:cs="Calibri" w:eastAsia="Calibri" w:hAnsi="Calibri"/>
                <w:sz w:val="14"/>
                <w:szCs w:val="14"/>
                <w:color w:val="auto"/>
              </w:rPr>
              <w:t>months</w:t>
            </w:r>
          </w:p>
        </w:tc>
        <w:tc>
          <w:tcPr>
            <w:tcW w:w="400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5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GMV</w:t>
            </w:r>
          </w:p>
        </w:tc>
        <w:tc>
          <w:tcPr>
            <w:tcW w:w="394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Calibri" w:cs="Calibri" w:eastAsia="Calibri" w:hAnsi="Calibri"/>
                <w:sz w:val="14"/>
                <w:szCs w:val="14"/>
                <w:color w:val="auto"/>
              </w:rPr>
              <w:t>Gross Merchant Volume</w:t>
            </w:r>
          </w:p>
        </w:tc>
        <w:tc>
          <w:tcPr>
            <w:tcW w:w="40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4520" w:type="dxa"/>
            <w:vAlign w:val="bottom"/>
            <w:tcBorders>
              <w:left w:val="single" w:sz="8" w:color="auto"/>
              <w:right w:val="single" w:sz="8" w:color="auto"/>
            </w:tcBorders>
            <w:gridSpan w:val="2"/>
          </w:tcPr>
          <w:p>
            <w:pPr>
              <w:ind w:left="20"/>
              <w:spacing w:after="0" w:line="160" w:lineRule="exact"/>
              <w:rPr>
                <w:sz w:val="20"/>
                <w:szCs w:val="20"/>
                <w:color w:val="auto"/>
              </w:rPr>
            </w:pPr>
            <w:r>
              <w:rPr>
                <w:rFonts w:ascii="Calibri" w:cs="Calibri" w:eastAsia="Calibri" w:hAnsi="Calibri"/>
                <w:sz w:val="14"/>
                <w:szCs w:val="14"/>
                <w:b w:val="1"/>
                <w:bCs w:val="1"/>
                <w:color w:val="auto"/>
              </w:rPr>
              <w:t>Government Program Loans ("GP" or "GP Loans")</w:t>
            </w:r>
          </w:p>
        </w:tc>
        <w:tc>
          <w:tcPr>
            <w:tcW w:w="6720" w:type="dxa"/>
            <w:vAlign w:val="bottom"/>
            <w:tcBorders>
              <w:right w:val="single" w:sz="8" w:color="auto"/>
            </w:tcBorders>
            <w:gridSpan w:val="2"/>
          </w:tcPr>
          <w:p>
            <w:pPr>
              <w:spacing w:after="0" w:line="160" w:lineRule="exact"/>
              <w:rPr>
                <w:sz w:val="20"/>
                <w:szCs w:val="20"/>
                <w:color w:val="auto"/>
              </w:rPr>
            </w:pPr>
            <w:r>
              <w:rPr>
                <w:rFonts w:ascii="Calibri" w:cs="Calibri" w:eastAsia="Calibri" w:hAnsi="Calibri"/>
                <w:sz w:val="14"/>
                <w:szCs w:val="14"/>
                <w:color w:val="auto"/>
              </w:rPr>
              <w:t>Loan Portolio related to Reactva Peru, FAE-Mype and Impulso Myperu programs to respond quickly and</w:t>
            </w:r>
          </w:p>
        </w:tc>
        <w:tc>
          <w:tcPr>
            <w:tcW w:w="20" w:type="dxa"/>
            <w:vAlign w:val="bottom"/>
          </w:tcPr>
          <w:p>
            <w:pPr>
              <w:spacing w:after="0"/>
              <w:rPr>
                <w:sz w:val="13"/>
                <w:szCs w:val="13"/>
                <w:color w:val="auto"/>
              </w:rPr>
            </w:pPr>
          </w:p>
        </w:tc>
      </w:tr>
      <w:tr>
        <w:trPr>
          <w:trHeight w:val="183"/>
        </w:trPr>
        <w:tc>
          <w:tcPr>
            <w:tcW w:w="580" w:type="dxa"/>
            <w:vAlign w:val="bottom"/>
            <w:tcBorders>
              <w:left w:val="single" w:sz="8" w:color="auto"/>
              <w:bottom w:val="single" w:sz="8" w:color="auto"/>
            </w:tcBorders>
          </w:tcPr>
          <w:p>
            <w:pPr>
              <w:spacing w:after="0"/>
              <w:rPr>
                <w:sz w:val="15"/>
                <w:szCs w:val="15"/>
                <w:color w:val="auto"/>
              </w:rPr>
            </w:pPr>
          </w:p>
        </w:tc>
        <w:tc>
          <w:tcPr>
            <w:tcW w:w="3940" w:type="dxa"/>
            <w:vAlign w:val="bottom"/>
            <w:tcBorders>
              <w:bottom w:val="single" w:sz="8" w:color="auto"/>
              <w:right w:val="single" w:sz="8" w:color="auto"/>
            </w:tcBorders>
          </w:tcPr>
          <w:p>
            <w:pPr>
              <w:spacing w:after="0"/>
              <w:rPr>
                <w:sz w:val="15"/>
                <w:szCs w:val="15"/>
                <w:color w:val="auto"/>
              </w:rPr>
            </w:pPr>
          </w:p>
        </w:tc>
        <w:tc>
          <w:tcPr>
            <w:tcW w:w="6720" w:type="dxa"/>
            <w:vAlign w:val="bottom"/>
            <w:tcBorders>
              <w:bottom w:val="single" w:sz="8" w:color="auto"/>
              <w:right w:val="single" w:sz="8" w:color="auto"/>
            </w:tcBorders>
            <w:gridSpan w:val="2"/>
          </w:tcPr>
          <w:p>
            <w:pPr>
              <w:spacing w:after="0"/>
              <w:rPr>
                <w:sz w:val="20"/>
                <w:szCs w:val="20"/>
                <w:color w:val="auto"/>
              </w:rPr>
            </w:pPr>
            <w:r>
              <w:rPr>
                <w:rFonts w:ascii="Calibri" w:cs="Calibri" w:eastAsia="Calibri" w:hAnsi="Calibri"/>
                <w:sz w:val="14"/>
                <w:szCs w:val="14"/>
                <w:color w:val="auto"/>
              </w:rPr>
              <w:t>efectvely to liquidity needs and maintain the payment chain</w:t>
            </w:r>
          </w:p>
        </w:tc>
        <w:tc>
          <w:tcPr>
            <w:tcW w:w="20" w:type="dxa"/>
            <w:vAlign w:val="bottom"/>
          </w:tcPr>
          <w:p>
            <w:pPr>
              <w:spacing w:after="0"/>
              <w:rPr>
                <w:sz w:val="15"/>
                <w:szCs w:val="15"/>
                <w:color w:val="auto"/>
              </w:rPr>
            </w:pPr>
          </w:p>
        </w:tc>
      </w:tr>
      <w:tr>
        <w:trPr>
          <w:trHeight w:val="173"/>
        </w:trPr>
        <w:tc>
          <w:tcPr>
            <w:tcW w:w="58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4"/>
                <w:szCs w:val="14"/>
                <w:b w:val="1"/>
                <w:bCs w:val="1"/>
                <w:color w:val="auto"/>
              </w:rPr>
              <w:t>MAU</w:t>
            </w:r>
          </w:p>
        </w:tc>
        <w:tc>
          <w:tcPr>
            <w:tcW w:w="394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20"/>
                <w:szCs w:val="20"/>
                <w:color w:val="auto"/>
              </w:rPr>
            </w:pPr>
            <w:r>
              <w:rPr>
                <w:rFonts w:ascii="Calibri" w:cs="Calibri" w:eastAsia="Calibri" w:hAnsi="Calibri"/>
                <w:sz w:val="14"/>
                <w:szCs w:val="14"/>
                <w:color w:val="auto"/>
              </w:rPr>
              <w:t>Monthly Actve Users</w:t>
            </w:r>
          </w:p>
        </w:tc>
        <w:tc>
          <w:tcPr>
            <w:tcW w:w="400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80" w:type="dxa"/>
            <w:vAlign w:val="bottom"/>
            <w:tcBorders>
              <w:left w:val="single" w:sz="8" w:color="auto"/>
              <w:bottom w:val="single" w:sz="8" w:color="auto"/>
            </w:tcBorders>
          </w:tcPr>
          <w:p>
            <w:pPr>
              <w:ind w:left="20"/>
              <w:spacing w:after="0" w:line="169" w:lineRule="exact"/>
              <w:rPr>
                <w:sz w:val="20"/>
                <w:szCs w:val="20"/>
                <w:color w:val="auto"/>
              </w:rPr>
            </w:pPr>
            <w:r>
              <w:rPr>
                <w:rFonts w:ascii="Calibri" w:cs="Calibri" w:eastAsia="Calibri" w:hAnsi="Calibri"/>
                <w:sz w:val="14"/>
                <w:szCs w:val="14"/>
                <w:b w:val="1"/>
                <w:bCs w:val="1"/>
                <w:color w:val="auto"/>
              </w:rPr>
              <w:t>MEF</w:t>
            </w:r>
          </w:p>
        </w:tc>
        <w:tc>
          <w:tcPr>
            <w:tcW w:w="394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color w:val="auto"/>
              </w:rPr>
              <w:t>Ministry of Economy and Finance of Peru</w:t>
            </w:r>
          </w:p>
        </w:tc>
        <w:tc>
          <w:tcPr>
            <w:tcW w:w="40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Borders>
              <w:left w:val="single" w:sz="8" w:color="auto"/>
              <w:bottom w:val="single" w:sz="8" w:color="auto"/>
            </w:tcBorders>
          </w:tcPr>
          <w:p>
            <w:pPr>
              <w:ind w:left="20"/>
              <w:spacing w:after="0" w:line="169" w:lineRule="exact"/>
              <w:rPr>
                <w:sz w:val="20"/>
                <w:szCs w:val="20"/>
                <w:color w:val="auto"/>
              </w:rPr>
            </w:pPr>
            <w:r>
              <w:rPr>
                <w:rFonts w:ascii="Calibri" w:cs="Calibri" w:eastAsia="Calibri" w:hAnsi="Calibri"/>
                <w:sz w:val="14"/>
                <w:szCs w:val="14"/>
                <w:b w:val="1"/>
                <w:bCs w:val="1"/>
                <w:color w:val="auto"/>
              </w:rPr>
              <w:t>TPV</w:t>
            </w:r>
          </w:p>
        </w:tc>
        <w:tc>
          <w:tcPr>
            <w:tcW w:w="394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color w:val="auto"/>
              </w:rPr>
              <w:t>Total Payment Volume</w:t>
            </w:r>
          </w:p>
        </w:tc>
        <w:tc>
          <w:tcPr>
            <w:tcW w:w="40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582"/>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20" w:type="dxa"/>
            <w:vAlign w:val="bottom"/>
            <w:gridSpan w:val="2"/>
          </w:tcPr>
          <w:p>
            <w:pPr>
              <w:jc w:val="right"/>
              <w:ind w:right="20"/>
              <w:spacing w:after="0"/>
              <w:rPr>
                <w:sz w:val="20"/>
                <w:szCs w:val="20"/>
                <w:color w:val="auto"/>
              </w:rPr>
            </w:pPr>
            <w:r>
              <w:rPr>
                <w:rFonts w:ascii="Arial" w:cs="Arial" w:eastAsia="Arial" w:hAnsi="Arial"/>
                <w:sz w:val="14"/>
                <w:szCs w:val="14"/>
                <w:color w:val="auto"/>
              </w:rPr>
              <w:t>69</w:t>
            </w:r>
          </w:p>
        </w:tc>
      </w:tr>
      <w:tr>
        <w:trPr>
          <w:trHeight w:val="69"/>
        </w:trPr>
        <w:tc>
          <w:tcPr>
            <w:tcW w:w="58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-2896870</wp:posOffset>
            </wp:positionV>
            <wp:extent cx="108013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Roman"/>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o"/>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2"/>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lvl w:ilvl="1">
      <w:lvlJc w:val="left"/>
      <w:lvlText w:val="(%2)"/>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bullet"/>
      <w:start w:val="1"/>
    </w:lvl>
  </w:abstractNum>
  <w:abstractNum w:abstractNumId="41">
    <w:nsid w:val="520EEDD1"/>
    <w:multiLevelType w:val="hybridMultilevel"/>
    <w:lvl w:ilvl="0">
      <w:lvlJc w:val="left"/>
      <w:lvlText w:val="%1."/>
      <w:numFmt w:val="decimal"/>
      <w:start w:val="7"/>
    </w:lvl>
    <w:lvl w:ilvl="1">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bullet"/>
      <w:start w:val="1"/>
    </w:lvl>
  </w:abstractNum>
  <w:abstractNum w:abstractNumId="51">
    <w:nsid w:val="47398C89"/>
    <w:multiLevelType w:val="hybridMultilevel"/>
    <w:lvl w:ilvl="0">
      <w:lvlJc w:val="left"/>
      <w:lvlText w:val="2"/>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lowerRoman"/>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2024-11-12T08:37:08Z</dcterms:created>
  <dcterms:modified xsi:type="dcterms:W3CDTF">2024-11-12T08:37:08Z</dcterms:modified>
</cp:coreProperties>
</file>