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4196715</wp:posOffset>
            </wp:positionH>
            <wp:positionV relativeFrom="page">
              <wp:posOffset>311785</wp:posOffset>
            </wp:positionV>
            <wp:extent cx="134620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66065"/>
                    </a:xfrm>
                    <a:prstGeom prst="rect">
                      <a:avLst/>
                    </a:prstGeom>
                    <a:noFill/>
                  </pic:spPr>
                </pic:pic>
              </a:graphicData>
            </a:graphic>
          </wp:anchor>
        </w:drawing>
        <w:t>First Quarter 2013 Results</w:t>
      </w:r>
    </w:p>
    <w:p>
      <w:pPr>
        <w:spacing w:after="0" w:line="225" w:lineRule="exact"/>
        <w:rPr>
          <w:sz w:val="24"/>
          <w:szCs w:val="24"/>
          <w:color w:val="auto"/>
        </w:rPr>
      </w:pPr>
    </w:p>
    <w:p>
      <w:pPr>
        <w:jc w:val="both"/>
        <w:ind w:left="2240"/>
        <w:spacing w:after="0" w:line="266" w:lineRule="auto"/>
        <w:rPr>
          <w:sz w:val="20"/>
          <w:szCs w:val="20"/>
          <w:color w:val="auto"/>
        </w:rPr>
      </w:pPr>
      <w:r>
        <w:rPr>
          <w:rFonts w:ascii="Arial" w:cs="Arial" w:eastAsia="Arial" w:hAnsi="Arial"/>
          <w:sz w:val="18"/>
          <w:szCs w:val="18"/>
          <w:b w:val="1"/>
          <w:bCs w:val="1"/>
          <w:color w:val="auto"/>
        </w:rPr>
        <w:t xml:space="preserve">Lima, Peru, May 06, 2013 - </w:t>
      </w:r>
      <w:r>
        <w:rPr>
          <w:rFonts w:ascii="Arial" w:cs="Arial" w:eastAsia="Arial" w:hAnsi="Arial"/>
          <w:sz w:val="18"/>
          <w:szCs w:val="18"/>
          <w:color w:val="auto"/>
        </w:rPr>
        <w:t>Credicorp (NYSE:BAP) announced today its unaudited results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2013. These results are reported on a consolidated basis in accordance with IFRS in nominal U.S. Dollars.</w:t>
      </w:r>
    </w:p>
    <w:p>
      <w:pPr>
        <w:spacing w:after="0" w:line="392"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4"/>
          <w:szCs w:val="24"/>
          <w:color w:val="auto"/>
        </w:rPr>
      </w:pPr>
    </w:p>
    <w:p>
      <w:pPr>
        <w:jc w:val="both"/>
        <w:ind w:left="2800" w:hanging="562"/>
        <w:spacing w:after="0" w:line="253" w:lineRule="auto"/>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a period of volatility in the markets for the US currency which led to a 1.5% devaluation of the local currency by the end of the 1Q13, Credicorp reported for this 1Q of the year net earnings after minority interest of US$181.52 million, after deducting a US$18.6 million translation loss from its operating results. This result was 9.3% lower than the US$200.2 million reported in the last Q of 2012, which in turn included a translation gain of US$30.5 million. Consequently, ROAE fell to reach 17.5% for the Q.</w:t>
      </w:r>
    </w:p>
    <w:p>
      <w:pPr>
        <w:spacing w:after="0" w:line="1" w:lineRule="exact"/>
        <w:rPr>
          <w:rFonts w:ascii="Arial" w:cs="Arial" w:eastAsia="Arial" w:hAnsi="Arial"/>
          <w:sz w:val="18"/>
          <w:szCs w:val="18"/>
          <w:color w:val="auto"/>
        </w:rPr>
      </w:pPr>
    </w:p>
    <w:p>
      <w:pPr>
        <w:jc w:val="both"/>
        <w:ind w:left="2800" w:hanging="562"/>
        <w:spacing w:after="0" w:line="265" w:lineRule="auto"/>
        <w:tabs>
          <w:tab w:leader="none" w:pos="2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Nevertheless, operating trends were very strong with operating income increasing 16% to reach US$276.5 million this 1Q. Loan book growth, measured in average daily balances was also in line with business activity in the Peruvian markets and reached 4.1% for the Q. However, Q-end balances do not adequately reflect this solid growth and showed an increase of only 0.9%. This is the result of a very steep peak in booked balances at the end of the year 2012.</w:t>
      </w:r>
    </w:p>
    <w:p>
      <w:pPr>
        <w:spacing w:after="0" w:line="1" w:lineRule="exact"/>
        <w:rPr>
          <w:rFonts w:ascii="Arial" w:cs="Arial" w:eastAsia="Arial" w:hAnsi="Arial"/>
          <w:sz w:val="17"/>
          <w:szCs w:val="17"/>
          <w:color w:val="auto"/>
        </w:rPr>
      </w:pPr>
    </w:p>
    <w:p>
      <w:pPr>
        <w:jc w:val="both"/>
        <w:ind w:left="2800" w:hanging="562"/>
        <w:spacing w:after="0" w:line="250" w:lineRule="auto"/>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Given the good growth in average daily balances, net interest income expanded 4.6%. This number understates growth slightly given the effect of the devaluation of the local currency. Furthermore, NIM for loans improved 16bps to 8.15% as a result of the good expansion of outstanding balances in most of retail products and better pricing. However, a 9bp decrease in BAP´s global NIM was reported for the Q as a result of increased investments in Central Bank CDs, which led this indicator to situate at 4.87% in 1Q13.</w:t>
      </w:r>
    </w:p>
    <w:p>
      <w:pPr>
        <w:spacing w:after="0" w:line="2" w:lineRule="exact"/>
        <w:rPr>
          <w:rFonts w:ascii="Arial" w:cs="Arial" w:eastAsia="Arial" w:hAnsi="Arial"/>
          <w:sz w:val="18"/>
          <w:szCs w:val="18"/>
          <w:color w:val="auto"/>
        </w:rPr>
      </w:pPr>
    </w:p>
    <w:p>
      <w:pPr>
        <w:ind w:left="2800" w:hanging="562"/>
        <w:spacing w:after="0"/>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contracted slightly mainly due to lower gains on the sale of securities.</w:t>
      </w:r>
    </w:p>
    <w:p>
      <w:pPr>
        <w:spacing w:after="0" w:line="9" w:lineRule="exact"/>
        <w:rPr>
          <w:rFonts w:ascii="Arial" w:cs="Arial" w:eastAsia="Arial" w:hAnsi="Arial"/>
          <w:sz w:val="18"/>
          <w:szCs w:val="18"/>
          <w:color w:val="auto"/>
        </w:rPr>
      </w:pPr>
    </w:p>
    <w:p>
      <w:pPr>
        <w:jc w:val="both"/>
        <w:ind w:left="2800" w:hanging="562"/>
        <w:spacing w:after="0" w:line="250" w:lineRule="auto"/>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(excluding the medical venture) was impacted by higher claims in the P&amp;C businesses, which were associated with the rainy season which extends from December to March, and reported a 29.8% drop in its underwriting result.</w:t>
      </w:r>
    </w:p>
    <w:p>
      <w:pPr>
        <w:spacing w:after="0" w:line="1" w:lineRule="exact"/>
        <w:rPr>
          <w:rFonts w:ascii="Arial" w:cs="Arial" w:eastAsia="Arial" w:hAnsi="Arial"/>
          <w:sz w:val="18"/>
          <w:szCs w:val="18"/>
          <w:color w:val="auto"/>
        </w:rPr>
      </w:pPr>
    </w:p>
    <w:p>
      <w:pPr>
        <w:jc w:val="both"/>
        <w:ind w:left="2800" w:hanging="562"/>
        <w:spacing w:after="0" w:line="281" w:lineRule="auto"/>
        <w:tabs>
          <w:tab w:leader="none" w:pos="2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Q-end balances, which fail to reflect growth with the same clarity as average daily balances, reported low growth of 0.9% and made the PDL-ratio increase stronger. PDL expansion was, however, within our expectation as the retail portfolio matures, and the portfolio mix continues to move towards a higher concentration of retail banking loans. Thus, Credicorp’s PDL ratio jumped 24 bps to 1.97% in the 1Q. In fact, given that delinquencies are well within expected ranges, the level of provisions has remained below the expected level of 2% of loans, reaching only 1.8% of the average portfolio.</w:t>
      </w:r>
    </w:p>
    <w:p>
      <w:pPr>
        <w:spacing w:after="0" w:line="4" w:lineRule="exact"/>
        <w:rPr>
          <w:rFonts w:ascii="Arial" w:cs="Arial" w:eastAsia="Arial" w:hAnsi="Arial"/>
          <w:sz w:val="16"/>
          <w:szCs w:val="16"/>
          <w:color w:val="auto"/>
        </w:rPr>
      </w:pPr>
    </w:p>
    <w:p>
      <w:pPr>
        <w:jc w:val="both"/>
        <w:ind w:left="2800" w:hanging="562"/>
        <w:spacing w:after="0" w:line="250" w:lineRule="auto"/>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expenses dropped 8.1% after the seasonally high peak of the 4Q. This pattern in expenses repeats every year. The contraction this Q was also helped by the exchange rate move and was mainly reflected in the administrative and general expenses.</w:t>
      </w:r>
    </w:p>
    <w:p>
      <w:pPr>
        <w:spacing w:after="0" w:line="1" w:lineRule="exact"/>
        <w:rPr>
          <w:rFonts w:ascii="Arial" w:cs="Arial" w:eastAsia="Arial" w:hAnsi="Arial"/>
          <w:sz w:val="18"/>
          <w:szCs w:val="18"/>
          <w:color w:val="auto"/>
        </w:rPr>
      </w:pPr>
    </w:p>
    <w:p>
      <w:pPr>
        <w:jc w:val="both"/>
        <w:ind w:left="2800" w:hanging="562"/>
        <w:spacing w:after="0" w:line="250" w:lineRule="auto"/>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all reported lines, the 1.5% devaluation for the 1Q13 softened growth numbers, and ultimately led to a translation loss of US$18.6 million and an 18% increase in the effective tax rate. These factors resulted in the substantial drop in bottom line results and ROAE reported.</w:t>
      </w:r>
    </w:p>
    <w:p>
      <w:pPr>
        <w:spacing w:after="0" w:line="1" w:lineRule="exact"/>
        <w:rPr>
          <w:rFonts w:ascii="Arial" w:cs="Arial" w:eastAsia="Arial" w:hAnsi="Arial"/>
          <w:sz w:val="18"/>
          <w:szCs w:val="18"/>
          <w:color w:val="auto"/>
        </w:rPr>
      </w:pPr>
    </w:p>
    <w:p>
      <w:pPr>
        <w:jc w:val="both"/>
        <w:ind w:left="2800" w:hanging="562"/>
        <w:spacing w:after="0" w:line="265" w:lineRule="auto"/>
        <w:tabs>
          <w:tab w:leader="none" w:pos="2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Similar as for Credicorp, this 1Q13, BCP was affected by the exchange rate move and reported US$142 million in net income, which led to a 17% decrease in its contribution to Credicorp, which totaled US$138.7 million. ROAE for BCP reflected this effect and dropped to 20.8%</w:t>
      </w:r>
    </w:p>
    <w:p>
      <w:pPr>
        <w:ind w:left="2800" w:hanging="562"/>
        <w:spacing w:after="0" w:line="265" w:lineRule="auto"/>
        <w:tabs>
          <w:tab w:leader="none" w:pos="2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 Bolivia reported net income of US$4.8 million, up 19.7% QoQ. Net interest income remained stable as its loan book was flat, but income generation was supported by growth in non-financial income (+7.8%) and a decline in provisions, leading to a stronger bottom line despite the tax levied on sales of foreign currency (in effect since December 2012). Edyficar on the other hand, posted a 32.8% higher operating result, but was also affected by translation results and reported a lower contribution to BAP for the Q of US$7.9 million vs. US$11 million last Q.</w:t>
      </w:r>
    </w:p>
    <w:p>
      <w:pPr>
        <w:spacing w:after="0" w:line="1" w:lineRule="exact"/>
        <w:rPr>
          <w:rFonts w:ascii="Arial" w:cs="Arial" w:eastAsia="Arial" w:hAnsi="Arial"/>
          <w:sz w:val="17"/>
          <w:szCs w:val="17"/>
          <w:color w:val="auto"/>
        </w:rPr>
      </w:pPr>
    </w:p>
    <w:p>
      <w:pPr>
        <w:jc w:val="both"/>
        <w:ind w:left="2800" w:hanging="562"/>
        <w:spacing w:after="0" w:line="250" w:lineRule="auto"/>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Atlantic Security Bank (ASB) reported net income of US$15.5 million in 1Q13, which represented an increase of 13.1% with regard to 4Q12’s figure. This increase, which was primarily attributable to income from sales of investment assets, helped increase its annualized ROAE this quarter to 30.8%, up from 25.8% in 4Q12.</w:t>
      </w:r>
    </w:p>
    <w:p>
      <w:pPr>
        <w:spacing w:after="0" w:line="1" w:lineRule="exact"/>
        <w:rPr>
          <w:rFonts w:ascii="Arial" w:cs="Arial" w:eastAsia="Arial" w:hAnsi="Arial"/>
          <w:sz w:val="18"/>
          <w:szCs w:val="18"/>
          <w:color w:val="auto"/>
        </w:rPr>
      </w:pPr>
    </w:p>
    <w:p>
      <w:pPr>
        <w:jc w:val="both"/>
        <w:ind w:left="2800" w:hanging="562"/>
        <w:spacing w:after="0" w:line="281" w:lineRule="auto"/>
        <w:tabs>
          <w:tab w:leader="none" w:pos="2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At Pacifico Grupo Asegurador (PGA), net premium growth was 2.9% for the 1Q. However, due to recurring seasonal increases in claims during the rainy season which stretches from December through March of each year, technical results in the P&amp;C business posted a drop of 67% QoQ, leading to 26.9% lower total underwriting result for PGA. The medical insurance business and the Life business had better results; however PGA also had to absorb a translation loss of about US$2 million. Consequently, PGS´s contribution to Credicorp was US$11.3 million this Q, which reflects a 33% decrease QoQ, but represents a significant improvement of 133% YoY. ROAE was therefore 6%, or 10% when adjusting its equity for unrealized gains on the life business portfolio-investments.</w:t>
      </w:r>
    </w:p>
    <w:p>
      <w:pPr>
        <w:spacing w:after="0" w:line="5" w:lineRule="exact"/>
        <w:rPr>
          <w:rFonts w:ascii="Arial" w:cs="Arial" w:eastAsia="Arial" w:hAnsi="Arial"/>
          <w:sz w:val="16"/>
          <w:szCs w:val="16"/>
          <w:color w:val="auto"/>
        </w:rPr>
      </w:pPr>
    </w:p>
    <w:p>
      <w:pPr>
        <w:jc w:val="both"/>
        <w:ind w:left="2800" w:hanging="562"/>
        <w:spacing w:after="0" w:line="250" w:lineRule="auto"/>
        <w:tabs>
          <w:tab w:leader="none" w:pos="2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1Q13, Prima AFP’s net income and contribution to Credicorp totaled US$ 11.6 million, up 43% with regard to 4Q12. This reflects Prima’s privileged position as the only entity authorized to capture all new affiliations until the new AFP winner of the latest bid is up and running. In addition, in 4Q an extraordinary deferral of income had to be implemented and explains part of the differential. Prima’s ROAE reached a very strong 29.6%.</w:t>
      </w:r>
    </w:p>
    <w:p>
      <w:pPr>
        <w:spacing w:after="0" w:line="2" w:lineRule="exact"/>
        <w:rPr>
          <w:rFonts w:ascii="Arial" w:cs="Arial" w:eastAsia="Arial" w:hAnsi="Arial"/>
          <w:sz w:val="18"/>
          <w:szCs w:val="18"/>
          <w:color w:val="auto"/>
        </w:rPr>
      </w:pPr>
    </w:p>
    <w:p>
      <w:pPr>
        <w:ind w:left="2800" w:hanging="562"/>
        <w:spacing w:after="0"/>
        <w:tabs>
          <w:tab w:leader="none" w:pos="2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Overall, Credicorp posted good operating growth, but negatively affected by the exchange rate move.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-8126095</wp:posOffset>
            </wp:positionV>
            <wp:extent cx="7246620" cy="8567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567420"/>
                    </a:xfrm>
                    <a:prstGeom prst="rect">
                      <a:avLst/>
                    </a:prstGeom>
                    <a:noFill/>
                  </pic:spPr>
                </pic:pic>
              </a:graphicData>
            </a:graphic>
          </wp:anchor>
        </w:drawing>
      </w:r>
    </w:p>
    <w:p>
      <w:pPr>
        <w:sectPr>
          <w:pgSz w:w="11900" w:h="16838" w:orient="portrait"/>
          <w:cols w:equalWidth="0" w:num="1">
            <w:col w:w="10220"/>
          </w:cols>
          <w:pgMar w:left="1440" w:top="1107" w:right="239" w:bottom="270" w:gutter="0" w:footer="0" w:header="0"/>
        </w:sectPr>
      </w:pPr>
    </w:p>
    <w:bookmarkStart w:id="1" w:name="page2"/>
    <w:bookmarkEnd w:id="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a period of volatility in the markets for the US currency which led to some strengthening of the US Dollar, our local currency devalued 1.5% by the end of the 1Q13. In this context, Credicorp reported net earnings after minority interest of US$181.5 million this Q, after deducting a US$18.6 million translation loss from its operating results. This result was 9.3% lower than the US$200.2 million reported in the last Q of 2012, which in turn included a translation gain of US$30.5 million. Consequently, ROAE dropped to 17.5% for the Q.</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operating trends were very strong with operating income increasing 16% to US$276.5 million this 1Q from US$ 238.3 million in 4Q12. This result is particularly positive given the impact that local currency devaluation has on income generation.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book growth, measured in average daily balances was also in line with the good business activity in the Peruvian markets and reached 4.1% for the Q. However, Q-end balances fail to reflect this solid growth and showed an increase of only 0.9%. This is the result of a very steep peak in booked balances given the good commercial activity that accompanies the holiday season and beginning of summer at the end of the year and typical post-Holidays loan-repayments.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expansion in average daily balances was reported across the portfolio. Wholesale banking grew its average daily balances 4% in the 1Q due to a strong demand for medium and long term financing despite strong competition from capital market alternatives and international banks. Further, retail banking daily outstanding balances including Edyficar grew 4.4% and reflected some seasonality: loan growth is typically lower the 1Q of every year after the Christmas season. The most extraordinary QoQ growth rates were reported at Edyficar, which posted am expansion of 11.2%, followed by mortgages with 5.6%, and consumer lending with 4.5%, while the credit card business which is being carefully monitored grew at a lower 1.7% for the Q.</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sound growth in average daily balances throughout the Q, net interest income expanded 4.6%. The strength of this growth is not fully evident given the effect of the devaluation. Furthermore, NIM for loans improved 16bps to 8.15% as a result of the good expansion of outstanding balances for most retail products, as well as stronger income generation following the price corrections introduced last year. However, a 9bp decrease in BAP´s global NIM was reported for the Q as a result of increased investments in Central Bank CDs, an activity which depresses the total NIM given that they offer low or negligible margins, but reduces the effective tax rate though the tax shields they generate, which in turn makes them an attractive investment. This led this indicator to situate at 4.87% in 1Q13.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Non-financial income contracted slightly mainly due to lower gains on the sale of securities.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Q-end balances, which fail to reflect growth with the same clarity as average daily balances, reported low growth of 0.9% and made the PDL-ratio increase stronger. PDL expansion was, however, within our expectation as the retail portfolio matures, and the portfolio mix continues to move towards a higher concentration of retail banking loans. Thus, Credicorp’s PDL ratio jumped 24 bps to 1.97% in the 1Q for total delinquencies and 21bps to 1.35% for 90-day delinquencies. In fact, given that delinquencies are well within expected ranges, and the low growth in Q-end balances, the level of provisions remained below the expected level of 2% of loans, reaching only 1.8% of the average portfolio.</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insurance business, however, did not have a good quarter since the P&amp;C segment of the insurance business, suffered severe casualties during the rainy season which extends from December to March, and reported a sharp drop in technical results of 67% QoQ, leading to the 29.8% drop in total underwriting results of the insurance group. Furthermore, the medical services venture reported also 26.6% lower technical results of US$5.5 million for the Q.</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dropped 8.1% after the seasonally high peak of the 4Q. This trend repeats every year, and is also present this 1Q despite the continuing expansion of the business (14 new branches opened and 81 new ATMs installed in the period). The contraction in expenses reported in our USD results was helped along by the exchange rate move and was mainly evident in the administrative and general expenses.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fluctuations in the exchange rate, which resulted in 1.5% devaluation for the 1Q13, affected several lines softening growth of both income and expenses, and led to a translation loss of US$18.6 million and an 18% increase in the effective tax rate, which resulted in a substantial drop in both bottom line results and ROAE.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behind the impact of the devaluation of the currency, the results of Credicorp’s businesses are strong and in line with the expected growth and profitability ratios, portfolio quality is sound, provisions are lower than expected and fee income remains strong, which led to solid growth in operating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4Q12</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450,648</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430,736</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372,252</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Net provisions for loan losses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(94,782)</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(102,964)</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(69,639)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282,199</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290,576</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237,819</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Insurance services technical result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35,717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50,894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5,536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Medical Services Technical Result</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5,534</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7,538</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4,306</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(402,857)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(438,465)</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(310,571)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 (2)</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276,459</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238,315</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239,703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Core operating income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276,459</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238,315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239,703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 core operating income</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(18,646)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30,475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13,185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-161.2%</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taxes</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(72,400)</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(61,585)</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(60,073)</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185,413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207,204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192,814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3,891</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7,016</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3,702</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181,522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200,189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189,113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 share (US$)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2.37</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Total loans</w:t>
            </w: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21,674,015</w:t>
            </w:r>
          </w:p>
        </w:tc>
        <w:tc>
          <w:tcPr>
            <w:tcW w:w="26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21,476,520</w:t>
            </w:r>
          </w:p>
        </w:tc>
        <w:tc>
          <w:tcPr>
            <w:tcW w:w="26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18,094,523</w:t>
            </w:r>
          </w:p>
        </w:tc>
        <w:tc>
          <w:tcPr>
            <w:tcW w:w="280" w:type="dxa"/>
            <w:vAlign w:val="bottom"/>
            <w:vMerge w:val="continue"/>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25,303,600</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24,050,779</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21,181,704</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Net shareholders' equity</w:t>
            </w:r>
          </w:p>
        </w:tc>
        <w:tc>
          <w:tcPr>
            <w:tcW w:w="1240" w:type="dxa"/>
            <w:vAlign w:val="bottom"/>
          </w:tcPr>
          <w:p>
            <w:pPr>
              <w:jc w:val="right"/>
              <w:spacing w:after="0"/>
              <w:rPr>
                <w:sz w:val="20"/>
                <w:szCs w:val="20"/>
                <w:color w:val="auto"/>
              </w:rPr>
            </w:pPr>
            <w:r>
              <w:rPr>
                <w:rFonts w:ascii="Arial" w:cs="Arial" w:eastAsia="Arial" w:hAnsi="Arial"/>
                <w:sz w:val="18"/>
                <w:szCs w:val="18"/>
                <w:color w:val="auto"/>
              </w:rPr>
              <w:t>4,120,184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4,167,968</w:t>
            </w:r>
          </w:p>
        </w:tc>
        <w:tc>
          <w:tcPr>
            <w:tcW w:w="2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3,493,753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shd w:val="clear" w:color="auto" w:fill="CCFFCC"/>
          </w:tcPr>
          <w:p>
            <w:pPr>
              <w:spacing w:after="0"/>
              <w:rPr>
                <w:sz w:val="18"/>
                <w:szCs w:val="18"/>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5.03%</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shareholders' equity</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PDL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over 90 days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NPL ratio (3)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172.8%</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187.7%</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188.0%</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27,013</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26,541</w:t>
            </w:r>
          </w:p>
        </w:tc>
        <w:tc>
          <w:tcPr>
            <w:tcW w:w="2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22,863</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Credicorp’s business development in 1Q13 continued to be strong, but felt the impact of a slight devaluation which, given the nature of our business and the particularities of our financial system generated some translation losses and distorted to certain extent the evaluation of our business performance given that significant portions of our business are today Nuevos Soles denominated, and our portfolios are becoming also predominantly denominated in Nuevos Soles.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Therefore, we focus on analyzing our real business trends and results beyond the distortions generated by the exchange rate fluctuations to make the appropriate management decisions to support growth over the next few years. Our strategy remains focused on growth, and we are confident that we are taking an adequate approach to growing our retail business using cutting-edge tools for retail risk management, adjusting our pension fund business to the new regulatory framework, and confronting the challenges that lay ahead in the process to get our new Regional Investment Bank up and running.</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Similar to Credicorp, BCP was also affected by the exchange rate move and reported US$141.9 million in net income. This led to a 17% decrease in its contribution to Credicorp, which totaled US$138.7 million (excluding the investment banking activities which are now reported separately at BCP Capital and in the future at Credicorp Capital). As previously explained, BCP’s business expansion this Q was sound and income generation remained strong, though affected by the translation losses generated by the small devaluation of our local currency we referred to before. ROAE for BCP reflected this effect and dropped to 20.8% for the Q.</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to Credicorp</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 (1)</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138,740</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166,701</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166,602</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080" w:type="dxa"/>
            <w:vAlign w:val="bottom"/>
            <w:gridSpan w:val="2"/>
          </w:tcPr>
          <w:p>
            <w:pPr>
              <w:ind w:left="160"/>
              <w:spacing w:after="0"/>
              <w:rPr>
                <w:sz w:val="20"/>
                <w:szCs w:val="20"/>
                <w:color w:val="auto"/>
              </w:rPr>
            </w:pPr>
            <w:r>
              <w:rPr>
                <w:rFonts w:ascii="Arial" w:cs="Arial" w:eastAsia="Arial" w:hAnsi="Arial"/>
                <w:sz w:val="18"/>
                <w:szCs w:val="18"/>
                <w:i w:val="1"/>
                <w:iCs w:val="1"/>
                <w:color w:val="auto"/>
              </w:rPr>
              <w:t>BCB (2)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3,904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5,420</w:t>
            </w:r>
          </w:p>
        </w:tc>
        <w:tc>
          <w:tcPr>
            <w:tcW w:w="9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4080" w:type="dxa"/>
            <w:vAlign w:val="bottom"/>
            <w:gridSpan w:val="2"/>
            <w:shd w:val="clear" w:color="auto" w:fill="CCFFCC"/>
          </w:tcPr>
          <w:p>
            <w:pPr>
              <w:ind w:left="160"/>
              <w:spacing w:after="0"/>
              <w:rPr>
                <w:sz w:val="20"/>
                <w:szCs w:val="20"/>
                <w:color w:val="auto"/>
              </w:rPr>
            </w:pPr>
            <w:r>
              <w:rPr>
                <w:rFonts w:ascii="Arial" w:cs="Arial" w:eastAsia="Arial" w:hAnsi="Arial"/>
                <w:sz w:val="18"/>
                <w:szCs w:val="18"/>
                <w:i w:val="1"/>
                <w:iCs w:val="1"/>
                <w:color w:val="auto"/>
              </w:rPr>
              <w:t>Edyficar</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7,853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10,942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7,733</w:t>
            </w: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BCP Capital (3)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2,891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Pacifico Grupo Asegurador</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11,259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16,895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4,823</w:t>
            </w: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15,501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13,706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11,552</w:t>
            </w:r>
          </w:p>
        </w:tc>
        <w:tc>
          <w:tcPr>
            <w:tcW w:w="9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Prima</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11,617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8,123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9,166</w:t>
            </w: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080" w:type="dxa"/>
            <w:vAlign w:val="bottom"/>
            <w:gridSpan w:val="2"/>
          </w:tcPr>
          <w:p>
            <w:pPr>
              <w:ind w:left="160"/>
              <w:spacing w:after="0"/>
              <w:rPr>
                <w:sz w:val="20"/>
                <w:szCs w:val="20"/>
                <w:color w:val="auto"/>
              </w:rPr>
            </w:pPr>
            <w:r>
              <w:rPr>
                <w:rFonts w:ascii="Arial" w:cs="Arial" w:eastAsia="Arial" w:hAnsi="Arial"/>
                <w:sz w:val="18"/>
                <w:szCs w:val="18"/>
                <w:i w:val="1"/>
                <w:iCs w:val="1"/>
                <w:color w:val="auto"/>
              </w:rPr>
              <w:t>Eliminations (4)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(4,284)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Credicorp Inv. (5)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3,337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Credicorp Ltd. (6)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1,884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(5,681)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(2,499)</w:t>
            </w:r>
          </w:p>
        </w:tc>
        <w:tc>
          <w:tcPr>
            <w:tcW w:w="9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(7)</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(2,601)</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(1,667)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(532)</w:t>
            </w: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-389%</w:t>
            </w:r>
          </w:p>
        </w:tc>
      </w:t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181,522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200,189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189,113</w:t>
            </w:r>
          </w:p>
        </w:tc>
        <w:tc>
          <w:tcPr>
            <w:tcW w:w="9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-2540</wp:posOffset>
            </wp:positionV>
            <wp:extent cx="4545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Edyficar.</w:t>
      </w:r>
    </w:p>
    <w:p>
      <w:pPr>
        <w:spacing w:after="0" w:line="17"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Figure is lower than the net income generated by BCB because Credicorp owns directly and indirectly 97.7% of BCP.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BCP Capital is composed of Credibolsa, Credifondo, Credititulos and the Corporate Finance Business.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Elimination resulted from Prima's sale of property to PPS.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Credicorp Investments is composed of BCP Chile, IMTrust, Credicorp Inv. Individual.</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firstLine="8"/>
        <w:spacing w:after="0" w:line="261" w:lineRule="auto"/>
        <w:tabs>
          <w:tab w:leader="none" w:pos="256"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 reported net income of US$ 4.8 million, up 19.7% QoQ. Net interest income remained solid thanks to good portfolio growth that was supported by an expansion in non-financial income (+7.8%) and a decline in provisions, which led to a stronger bottom line despite the tax levied on sales of foreign currency (in effect since December 2012).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Edyficar evolved extremely well this 1Q13 and reported a 32.8% increase in operating income to reach US$ 14 million. This was primarily due to excellent portfolio growth of 6.6% for the Q, low delinquencies and therefore low provisions. However, also Edyficar suffered the effects of the currency fluctuation and the strengthening of the US Dollar and reported a translation loss that depressed net income to US$ 8 million, 28.2% down from US$11.2 million in 4Q12.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Atlantic Security Bank (ASB) reported net income of US$15.5 million in 1Q13, which represented an increase of 13.1% with regard to 4Q12’s figure. Although ASB´s wealth management business performed well and increased its core results 3.6% for the Q, the stronger bottom line increase was attributable primarily to income from sales of investment assets as a specific fund was liquidated, which helped increase its annualized ROAE this quarter to 30.8%, up from the 25.8% reported in 4Q12.</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Pacifico Grupo Asegurador (PGA), net premium growth was 2.9% for the 1Q. However, recurring seasonal increases in claims during the rainy season which stretches from December through March of each year, led to 67% lower technical results QoQ for that business segment (but 220% better than a year ago), becoming the main reason for the drop in total underwriting results for PGA of 29.8%. The Life business also had a good contribution to PGA of US$ 14.9 million. Furthermore, it is important to point out that the FX impact on the insurance group represented US$2 million in translation losses, contributing to the drop of PGA’s contribution to Credicorp, which reached US$11.3 million this Q, 33% less than the 4Q12. However, on a yearly comparison, PGA performed significantly better in all business segments, something reflected in its bottom line results which were 133% higher this 1Q of 2013. ROAE was therefore 10% when adjusting its equity deducting unrealized gains on the life business portfolio-investments, and 6% with reported equity.</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In 1Q13, Prima AFP’s net income and contribution to Credicorp totaled US$11.6 million, up 43% with regard to 4Q12. This reflects Prima’s privileged position as the only entity authorized to capture new affiliations until the new AFP winner of the latest bid is up and running, which is expected to be until June. In addition, in 4Q an extraordinary deferral of income had to be implemented and explains part of the differential. Consequently, Prima’s ROAE reached a very strong 29.6%.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Credicorp Investments </w:t>
      </w:r>
      <w:r>
        <w:rPr>
          <w:rFonts w:ascii="Arial" w:cs="Arial" w:eastAsia="Arial" w:hAnsi="Arial"/>
          <w:sz w:val="18"/>
          <w:szCs w:val="18"/>
          <w:color w:val="auto"/>
        </w:rPr>
        <w:t>consolidated part of the results of the investment bank (IM Trust, Chile) because the process of transferring assets and business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newly created regional investment bank, Credicorp Capital, is still underway.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Credicorp Ltd’s </w:t>
      </w:r>
      <w:r>
        <w:rPr>
          <w:rFonts w:ascii="Arial" w:cs="Arial" w:eastAsia="Arial" w:hAnsi="Arial"/>
          <w:sz w:val="16"/>
          <w:szCs w:val="16"/>
          <w:color w:val="auto"/>
        </w:rPr>
        <w:t>line mainly includes provisions for tax retention on dividends paid to Credicorp and interest on investments in specific Peruvian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1Q, tax provisions were extensively off-sett by dividend income leaving US$1.9 million additional income for Credicorp.</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Others</w:t>
      </w:r>
      <w:r>
        <w:rPr>
          <w:rFonts w:ascii="Arial" w:cs="Arial" w:eastAsia="Arial" w:hAnsi="Arial"/>
          <w:sz w:val="18"/>
          <w:szCs w:val="18"/>
          <w:color w:val="auto"/>
        </w:rPr>
        <w:t xml:space="preserve"> account encompasses the holding’s different companies, mainly Grupo Crédito, which controls start-up operations such as Tarjeta Naranja (which is still in the red and explains most of the loss reported) and no longer holds the investment banking entities which are now separate and in the process of consolidation under Credicorp Capital.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Credicorp posted good growth and operating performance for the Q. Its earnings generation was robust despite significant investments and cost expansion, but significantly affected by the FX volatility and devaluation of the local currency for the period. ROAE was therefore strongly affected and dropped to 17.5% for the 1Q13.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is included for the first time in this report and reflects Credicorp’s capital requirements and capital position as a holding.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Balance as of</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5280" w:type="dxa"/>
            <w:vAlign w:val="bottom"/>
            <w:gridSpan w:val="3"/>
          </w:tcPr>
          <w:p>
            <w:pPr>
              <w:spacing w:after="0"/>
              <w:rPr>
                <w:sz w:val="20"/>
                <w:szCs w:val="20"/>
                <w:color w:val="auto"/>
              </w:rPr>
            </w:pPr>
            <w:r>
              <w:rPr>
                <w:rFonts w:ascii="Arial" w:cs="Arial" w:eastAsia="Arial" w:hAnsi="Arial"/>
                <w:sz w:val="14"/>
                <w:szCs w:val="14"/>
                <w:color w:val="auto"/>
              </w:rPr>
              <w:t>US$ (000)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Mar13</w:t>
            </w: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Dec12</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Mar12</w:t>
            </w:r>
          </w:p>
        </w:tc>
        <w:tc>
          <w:tcPr>
            <w:tcW w:w="12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Mar 13 / Dic 12</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9"/>
              </w:rPr>
              <w:t>Mar 13 / Mar 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(1)</w:t>
            </w:r>
          </w:p>
        </w:tc>
        <w:tc>
          <w:tcPr>
            <w:tcW w:w="120" w:type="dxa"/>
            <w:vAlign w:val="bottom"/>
            <w:vMerge w:val="continue"/>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490,051</w:t>
            </w:r>
          </w:p>
        </w:tc>
        <w:tc>
          <w:tcPr>
            <w:tcW w:w="220" w:type="dxa"/>
            <w:vAlign w:val="bottom"/>
            <w:vMerge w:val="continue"/>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505,164</w:t>
            </w:r>
          </w:p>
        </w:tc>
        <w:tc>
          <w:tcPr>
            <w:tcW w:w="220" w:type="dxa"/>
            <w:vAlign w:val="bottom"/>
            <w:vMerge w:val="continue"/>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504,256</w:t>
            </w:r>
          </w:p>
        </w:tc>
        <w:tc>
          <w:tcPr>
            <w:tcW w:w="200" w:type="dxa"/>
            <w:vAlign w:val="bottom"/>
            <w:vMerge w:val="continue"/>
            <w:shd w:val="clear" w:color="auto" w:fill="CCFFCC"/>
          </w:tcPr>
          <w:p>
            <w:pPr>
              <w:spacing w:after="0"/>
              <w:rPr>
                <w:sz w:val="12"/>
                <w:szCs w:val="12"/>
                <w:color w:val="auto"/>
              </w:rPr>
            </w:pPr>
          </w:p>
        </w:tc>
        <w:tc>
          <w:tcPr>
            <w:tcW w:w="128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-3.0%</w:t>
            </w:r>
          </w:p>
        </w:tc>
        <w:tc>
          <w:tcPr>
            <w:tcW w:w="11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 (2)</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2,895,550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2,306,561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2,319,050</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 (3)</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105,263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95,450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53,513</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10.3%</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(4)</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300,817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297,825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242,969</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227,500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227,500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222,439</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1,138,246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1,133,970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790,057</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Investments in equity and subordinated debt of financial and insurance companies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(203,023)</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(198,756)</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(208,257)</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(376,410)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(392,097)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(195,655)</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Deduction for Tier I Limit (50% of Regulatory capital) (5)</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(3,721)</w:t>
            </w:r>
          </w:p>
        </w:tc>
        <w:tc>
          <w:tcPr>
            <w:tcW w:w="128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Total Regulatory Capital (A)</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4,577,993</w:t>
            </w:r>
          </w:p>
        </w:tc>
        <w:tc>
          <w:tcPr>
            <w:tcW w:w="220" w:type="dxa"/>
            <w:vAlign w:val="bottom"/>
            <w:tcBorders>
              <w:bottom w:val="single" w:sz="8" w:color="CCFFCC"/>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3,975,616</w:t>
            </w:r>
          </w:p>
        </w:tc>
        <w:tc>
          <w:tcPr>
            <w:tcW w:w="220" w:type="dxa"/>
            <w:vAlign w:val="bottom"/>
            <w:tcBorders>
              <w:bottom w:val="single" w:sz="8" w:color="CCFFCC"/>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3,728,372</w:t>
            </w:r>
          </w:p>
        </w:tc>
        <w:tc>
          <w:tcPr>
            <w:tcW w:w="200" w:type="dxa"/>
            <w:vAlign w:val="bottom"/>
            <w:tcBorders>
              <w:bottom w:val="single" w:sz="8" w:color="CCFFCC"/>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15.2</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Tier I (6)</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2,801,815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2,168,561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1,862,326</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II (7) + Tier III (8)</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1,776,178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1,807,055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1,862,326</w:t>
            </w:r>
          </w:p>
        </w:tc>
        <w:tc>
          <w:tcPr>
            <w:tcW w:w="128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-1.7%</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Financial Consolidated Group (FCG) Regulatory Capital Requirements (9)</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3,476,635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3,367,681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2,452,058</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Insurance Consolidated Group (ICG) Capital Requirements (10)</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294,896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274,620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231,416</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7.4%</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Deduction from consolidation on the Financial Consolidated Group</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(48,136)</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(24,179)</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(24,363)</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99.1%</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Deduction from consolidation on the Insurance Consolidated Group</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Regulatory Capital Requirements (B)</w:t>
            </w: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3,723,395</w:t>
            </w: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3,618,122</w:t>
            </w: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2,659,111</w:t>
            </w: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Regulatory Capital Ratio (A) / (B)</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1.23</w:t>
            </w:r>
          </w:p>
        </w:tc>
        <w:tc>
          <w:tcPr>
            <w:tcW w:w="220" w:type="dxa"/>
            <w:vAlign w:val="bottom"/>
            <w:tcBorders>
              <w:bottom w:val="single" w:sz="8" w:color="CCFFCC"/>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w:t>
            </w:r>
          </w:p>
        </w:tc>
        <w:tc>
          <w:tcPr>
            <w:tcW w:w="220" w:type="dxa"/>
            <w:vAlign w:val="bottom"/>
            <w:tcBorders>
              <w:bottom w:val="single" w:sz="8" w:color="CCFFCC"/>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1.40</w:t>
            </w:r>
          </w:p>
        </w:tc>
        <w:tc>
          <w:tcPr>
            <w:tcW w:w="200" w:type="dxa"/>
            <w:vAlign w:val="bottom"/>
            <w:tcBorders>
              <w:bottom w:val="single" w:sz="8" w:color="CCFFCC"/>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-12.3</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gridSpan w:val="2"/>
            <w:shd w:val="clear" w:color="auto" w:fill="CCFFCC"/>
          </w:tcPr>
          <w:p>
            <w:pPr>
              <w:spacing w:after="0" w:line="155" w:lineRule="exact"/>
              <w:rPr>
                <w:sz w:val="20"/>
                <w:szCs w:val="20"/>
                <w:color w:val="auto"/>
              </w:rPr>
            </w:pPr>
            <w:r>
              <w:rPr>
                <w:rFonts w:ascii="Arial" w:cs="Arial" w:eastAsia="Arial" w:hAnsi="Arial"/>
                <w:sz w:val="14"/>
                <w:szCs w:val="14"/>
                <w:b w:val="1"/>
                <w:bCs w:val="1"/>
                <w:color w:val="auto"/>
              </w:rPr>
              <w:t>Required Regulatory Capital Ratio (11)</w:t>
            </w:r>
          </w:p>
        </w:tc>
        <w:tc>
          <w:tcPr>
            <w:tcW w:w="104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20" w:type="dxa"/>
            <w:vAlign w:val="bottom"/>
            <w:shd w:val="clear" w:color="auto" w:fill="CCFFCC"/>
          </w:tcPr>
          <w:p>
            <w:pPr>
              <w:spacing w:after="0"/>
              <w:rPr>
                <w:sz w:val="13"/>
                <w:szCs w:val="13"/>
                <w:color w:val="auto"/>
              </w:rPr>
            </w:pPr>
          </w:p>
        </w:tc>
        <w:tc>
          <w:tcPr>
            <w:tcW w:w="100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20" w:type="dxa"/>
            <w:vAlign w:val="bottom"/>
            <w:shd w:val="clear" w:color="auto" w:fill="CCFFCC"/>
          </w:tcPr>
          <w:p>
            <w:pPr>
              <w:spacing w:after="0"/>
              <w:rPr>
                <w:sz w:val="13"/>
                <w:szCs w:val="13"/>
                <w:color w:val="auto"/>
              </w:rPr>
            </w:pPr>
          </w:p>
        </w:tc>
        <w:tc>
          <w:tcPr>
            <w:tcW w:w="102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0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8"/>
          <w:szCs w:val="18"/>
          <w:i w:val="1"/>
          <w:iCs w:val="1"/>
          <w:color w:val="auto"/>
        </w:rPr>
        <w:t>FCG = Financial consolidated group.</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ICG = Insurance consolidated group.</w:t>
      </w:r>
    </w:p>
    <w:p>
      <w:pPr>
        <w:spacing w:after="0" w:line="9" w:lineRule="exact"/>
        <w:rPr>
          <w:sz w:val="20"/>
          <w:szCs w:val="20"/>
          <w:color w:val="auto"/>
        </w:rPr>
      </w:pPr>
    </w:p>
    <w:p>
      <w:pPr>
        <w:ind w:left="360" w:hanging="255"/>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march, 2013, capital includes US$ 471.9 million of capital stock , US$ 93.0 million of additional capital and (US$ 74.9 million) of treasury stocks.</w:t>
      </w:r>
    </w:p>
    <w:p>
      <w:pPr>
        <w:spacing w:after="0" w:line="32" w:lineRule="exact"/>
        <w:rPr>
          <w:rFonts w:ascii="Arial" w:cs="Arial" w:eastAsia="Arial" w:hAnsi="Arial"/>
          <w:sz w:val="16"/>
          <w:szCs w:val="16"/>
          <w:color w:val="auto"/>
        </w:rPr>
      </w:pPr>
    </w:p>
    <w:p>
      <w:pPr>
        <w:ind w:left="100" w:right="300" w:firstLine="5"/>
        <w:spacing w:after="0" w:line="250" w:lineRule="auto"/>
        <w:tabs>
          <w:tab w:leader="none" w:pos="3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Legal and Other capital reserves include special reserves (those that can be reduced only after receiving approval from the Peruvian regulator - US$ 2,458 million, "reservas restringidas") and voluntary reserves ("reservas facultativas", US$ 437 million).</w:t>
      </w:r>
    </w:p>
    <w:p>
      <w:pPr>
        <w:ind w:left="100" w:right="300" w:firstLine="5"/>
        <w:spacing w:after="0" w:line="250" w:lineRule="auto"/>
        <w:tabs>
          <w:tab w:leader="none" w:pos="3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Minority Interest includes US$ 105.1 million from minority interest Tier I capital stock and reserves and USS 0.1 million from minority interest tier II capital stock and reserves.</w:t>
      </w:r>
    </w:p>
    <w:p>
      <w:pPr>
        <w:ind w:left="100" w:right="60" w:firstLine="5"/>
        <w:spacing w:after="0" w:line="281" w:lineRule="auto"/>
        <w:tabs>
          <w:tab w:leader="none" w:pos="35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Up to 1.25% of total risk-weighted assets of Banco de Crédito del Perú (US$ 2,210.5 million), Banco de Crédito de Bolivia (US$ 88.0 million), Solución Empresa Administradora Hipotecaria (US$ 14.9 million), Financiera Edyficar (US$ 86.1 million) and Atlantic Security Bank (US$ 113.9 million).</w:t>
      </w:r>
    </w:p>
    <w:p>
      <w:pPr>
        <w:spacing w:after="0" w:line="1" w:lineRule="exact"/>
        <w:rPr>
          <w:rFonts w:ascii="Arial" w:cs="Arial" w:eastAsia="Arial" w:hAnsi="Arial"/>
          <w:sz w:val="16"/>
          <w:szCs w:val="16"/>
          <w:i w:val="1"/>
          <w:iCs w:val="1"/>
          <w:color w:val="auto"/>
        </w:rPr>
      </w:pPr>
    </w:p>
    <w:p>
      <w:pPr>
        <w:ind w:left="360" w:hanging="255"/>
        <w:spacing w:after="0"/>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II + Tier III can not be more than 50% of total regulatory capital.</w:t>
      </w:r>
    </w:p>
    <w:p>
      <w:pPr>
        <w:spacing w:after="0" w:line="9" w:lineRule="exact"/>
        <w:rPr>
          <w:rFonts w:ascii="Arial" w:cs="Arial" w:eastAsia="Arial" w:hAnsi="Arial"/>
          <w:sz w:val="18"/>
          <w:szCs w:val="18"/>
          <w:i w:val="1"/>
          <w:iCs w:val="1"/>
          <w:color w:val="auto"/>
        </w:rPr>
      </w:pPr>
    </w:p>
    <w:p>
      <w:pPr>
        <w:ind w:left="100" w:right="340" w:firstLine="5"/>
        <w:spacing w:after="0" w:line="250" w:lineRule="auto"/>
        <w:tabs>
          <w:tab w:leader="none" w:pos="3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II = Capital + special reserves + tier I capital stock and reserves from minority interest Goodwill - (0.5 x Investment in equity and subordinated debt of financial and insurance companies) + Perpetual subordinated debt.</w:t>
      </w:r>
    </w:p>
    <w:p>
      <w:pPr>
        <w:ind w:left="100" w:right="40" w:firstLine="5"/>
        <w:spacing w:after="0" w:line="250" w:lineRule="auto"/>
        <w:tabs>
          <w:tab w:leader="none" w:pos="3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II = Subordinated debt + minority interest tier II capital stock and reserves + Loan loss reserves - (0.5 x Investment in equity and subordinated debt of financial and insurance companies).</w:t>
      </w:r>
    </w:p>
    <w:p>
      <w:pPr>
        <w:ind w:left="360" w:hanging="255"/>
        <w:spacing w:after="0"/>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III = Subordinated debt covering market risk only.</w:t>
      </w:r>
    </w:p>
    <w:p>
      <w:pPr>
        <w:spacing w:after="0" w:line="9" w:lineRule="exact"/>
        <w:rPr>
          <w:rFonts w:ascii="Arial" w:cs="Arial" w:eastAsia="Arial" w:hAnsi="Arial"/>
          <w:sz w:val="18"/>
          <w:szCs w:val="18"/>
          <w:i w:val="1"/>
          <w:iCs w:val="1"/>
          <w:color w:val="auto"/>
        </w:rPr>
      </w:pPr>
    </w:p>
    <w:p>
      <w:pPr>
        <w:ind w:left="360" w:hanging="255"/>
        <w:spacing w:after="0"/>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financial consolidated group.</w:t>
      </w:r>
    </w:p>
    <w:p>
      <w:pPr>
        <w:spacing w:after="0" w:line="9" w:lineRule="exact"/>
        <w:rPr>
          <w:rFonts w:ascii="Arial" w:cs="Arial" w:eastAsia="Arial" w:hAnsi="Arial"/>
          <w:sz w:val="18"/>
          <w:szCs w:val="18"/>
          <w:i w:val="1"/>
          <w:iCs w:val="1"/>
          <w:color w:val="auto"/>
        </w:rPr>
      </w:pPr>
    </w:p>
    <w:p>
      <w:pPr>
        <w:ind w:left="460" w:hanging="355"/>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insurance consolidated group.</w:t>
      </w:r>
    </w:p>
    <w:p>
      <w:pPr>
        <w:spacing w:after="0" w:line="9" w:lineRule="exact"/>
        <w:rPr>
          <w:rFonts w:ascii="Arial" w:cs="Arial" w:eastAsia="Arial" w:hAnsi="Arial"/>
          <w:sz w:val="18"/>
          <w:szCs w:val="18"/>
          <w:i w:val="1"/>
          <w:iCs w:val="1"/>
          <w:color w:val="auto"/>
        </w:rPr>
      </w:pPr>
    </w:p>
    <w:p>
      <w:pPr>
        <w:ind w:left="440" w:hanging="335"/>
        <w:spacing w:after="0"/>
        <w:tabs>
          <w:tab w:leader="none" w:pos="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Total Regulatory Capital Requirements (legal minimum = 1.00).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terms, Credicorp maintains a comfortable level of capitalization, which is 1.23 times higher than the minimum required regulatory capital according to the regulator’s principles (Basel 2). It is important to point out that Tier1 capital represents 61.2% of Credicorp’s total regulatory capital as of March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is evident in the table, the lion’s share of capital requirements is associated to the financial business, where BCP represents 77.9%.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income generation, coupled with the corporation’s policies on retained earnings, dividend payments, capitalization of earnings and reserve building, has allowed Credicorp to build a comfortable capital reserve to support its business expansion.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Credicorp has approximately US$ 600 million in liquid investments that could be used at any time to reinforce its regulatory capital.</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t>II. Banco de Crédito del Perú 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1Q13</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1Q13, BCP reported net income of US$ 141.9 million, which represents a ROAE of 20.8% and a ROAA of 1.6%. Although this figure is 17% lower than that registered last quarter, it is important to note that this decline was attributable to the 1.5% quarterly devaluation in the Nuevo Sol against the US Dollar. In fact, if we analyze the operating income (US$ 221.6 million on 1Q13), which is also affected by the devaluation of the Nuevo Sol, it reported a significant increase of 16.7% QoQ, which indicates that the banking business has actually performed extremely well despite the variation in the exchange rate.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exclude the impact of approximately US$ 24.2 million that was generated by a devaluation in the Nuevo Sol (US$ 15.7 million for translation loss, US$ 4.7 million for expenses related to foreign currency forwards, and US$ 3.8 million to increase income tax provisions), net income would have totaled US$ 166.1 million in 1Q13 with a ROAE of 24.4% and an ROAA of 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Good business development this quarter is evident in the growth posted in BCP’s operating income, which was due primarily to:</w:t>
      </w:r>
    </w:p>
    <w:p>
      <w:pPr>
        <w:spacing w:after="0" w:line="225" w:lineRule="exact"/>
        <w:rPr>
          <w:sz w:val="20"/>
          <w:szCs w:val="20"/>
          <w:color w:val="auto"/>
        </w:rPr>
      </w:pPr>
    </w:p>
    <w:p>
      <w:pPr>
        <w:jc w:val="both"/>
        <w:ind w:left="880" w:hanging="372"/>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of +4.4% in net interest income (NII), which would have been +5.7% had the Nuevo Sol not devaluated. This expansion was due primarily to +3.1% growth in interest income on loans; this was in line with a +4.1% QoQ increase in average daily balances, which was due primarily to the good dynamic seen in Wholesale Banking (+4% QoQ) and Retail Banking (+3.8% QoQ). The aforementioned offset the slight increase in interest expenses (+1.7% QoQ);</w:t>
      </w:r>
    </w:p>
    <w:p>
      <w:pPr>
        <w:spacing w:after="0" w:line="186" w:lineRule="exact"/>
        <w:rPr>
          <w:rFonts w:ascii="Arial" w:cs="Arial" w:eastAsia="Arial" w:hAnsi="Arial"/>
          <w:sz w:val="18"/>
          <w:szCs w:val="18"/>
          <w:color w:val="auto"/>
        </w:rPr>
      </w:pPr>
    </w:p>
    <w:p>
      <w:pPr>
        <w:ind w:left="880" w:hanging="372"/>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+7.2% increase in fee income from banking services, which helped significantly offset the decline in gains on sales of securities (-75.9%);</w:t>
      </w:r>
    </w:p>
    <w:p>
      <w:pPr>
        <w:spacing w:after="0" w:line="248" w:lineRule="exact"/>
        <w:rPr>
          <w:rFonts w:ascii="Arial" w:cs="Arial" w:eastAsia="Arial" w:hAnsi="Arial"/>
          <w:sz w:val="16"/>
          <w:szCs w:val="16"/>
          <w:color w:val="auto"/>
        </w:rPr>
      </w:pPr>
    </w:p>
    <w:p>
      <w:pPr>
        <w:ind w:left="880" w:hanging="3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-8.2% reduction in net provisions for loan losses due to fewer charge-offs of this quarter; and</w:t>
      </w:r>
    </w:p>
    <w:p>
      <w:pPr>
        <w:spacing w:after="0" w:line="225" w:lineRule="exact"/>
        <w:rPr>
          <w:rFonts w:ascii="Arial" w:cs="Arial" w:eastAsia="Arial" w:hAnsi="Arial"/>
          <w:sz w:val="18"/>
          <w:szCs w:val="18"/>
          <w:color w:val="auto"/>
        </w:rPr>
      </w:pPr>
    </w:p>
    <w:p>
      <w:pPr>
        <w:jc w:val="both"/>
        <w:ind w:left="880" w:hanging="37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-5.1% decline in operating expenses. This was due primarily to the -14.5% contraction in administrative expenses, which is in line with the seasonality that affects these items in the fourth quarter of every year and the effect of the devaluation of the Nuevo Sol, which accounts for approximately 23% of the reduction in operating expenses in 1Q13.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satisfactory evolution of NII contributed to the fact that the NIM only fell 11 bps -despite a significant investment in BCR Certificates of Deposits (which reduce the NIM given that their benefit is reflected in the tax shield they generate)- and situated at 4.96% this quarter. Nevertheless, the NIM on loans continued its upward trend and increased 16 bps due to the dynamic in Retail Banking as well as the slight improvement in Corporate Banking’s margins, which was associated with the mid-term financing placed this quarter.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efficiency ratio improved significantly, going from 55.7% last quarter to 50.6% due to a 4.6% QoQ increase in core income and the aforementioned reduction in operating expenses.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6" w:name="page7"/>
    <w:bookmarkEnd w:id="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Banco de Credito and Subsidiaries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4Q12</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411,903</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394,419</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342,499</w:t>
            </w:r>
          </w:p>
        </w:tc>
        <w:tc>
          <w:tcPr>
            <w:tcW w:w="2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Total provisions for loan loasses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(94,673)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(103,083)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(69,842)</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230,333</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242,145</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198,699</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(326,006)</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(343,561)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(257,250)</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 (2)</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221,557</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189,920</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214,106</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Core operating income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221,557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189,920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214,106</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 core operating income (3)</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(15,707)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26,132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11,414</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-160.1%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taxes</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(63,123)</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(44,102)</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(54,654)</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43.1%</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141,947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170,956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170,619</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-17.0%</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10"/>
        </w:trPr>
        <w:tc>
          <w:tcPr>
            <w:tcW w:w="40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 share (US$)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0.046</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0.055</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0.055</w:t>
            </w:r>
          </w:p>
        </w:tc>
        <w:tc>
          <w:tcPr>
            <w:tcW w:w="26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Borders>
              <w:top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74"/>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240" w:type="dxa"/>
            <w:vAlign w:val="bottom"/>
          </w:tcPr>
          <w:p>
            <w:pPr>
              <w:jc w:val="right"/>
              <w:spacing w:after="0"/>
              <w:rPr>
                <w:sz w:val="20"/>
                <w:szCs w:val="20"/>
                <w:color w:val="auto"/>
              </w:rPr>
            </w:pPr>
            <w:r>
              <w:rPr>
                <w:rFonts w:ascii="Arial" w:cs="Arial" w:eastAsia="Arial" w:hAnsi="Arial"/>
                <w:sz w:val="18"/>
                <w:szCs w:val="18"/>
                <w:color w:val="auto"/>
              </w:rPr>
              <w:t>20,905,587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20,754,941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17,570,093</w:t>
            </w:r>
          </w:p>
        </w:tc>
        <w:tc>
          <w:tcPr>
            <w:tcW w:w="26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24,090,873</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22,838,086</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19,969,835</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Net shareholders' equity</w:t>
            </w:r>
          </w:p>
        </w:tc>
        <w:tc>
          <w:tcPr>
            <w:tcW w:w="1240" w:type="dxa"/>
            <w:vAlign w:val="bottom"/>
          </w:tcPr>
          <w:p>
            <w:pPr>
              <w:jc w:val="right"/>
              <w:spacing w:after="0"/>
              <w:rPr>
                <w:sz w:val="20"/>
                <w:szCs w:val="20"/>
                <w:color w:val="auto"/>
              </w:rPr>
            </w:pPr>
            <w:r>
              <w:rPr>
                <w:rFonts w:ascii="Arial" w:cs="Arial" w:eastAsia="Arial" w:hAnsi="Arial"/>
                <w:sz w:val="18"/>
                <w:szCs w:val="18"/>
                <w:color w:val="auto"/>
              </w:rPr>
              <w:t>2,692,647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2,775,351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2,337,052</w:t>
            </w:r>
          </w:p>
        </w:tc>
        <w:tc>
          <w:tcPr>
            <w:tcW w:w="260" w:type="dxa"/>
            <w:vAlign w:val="bottom"/>
          </w:tcPr>
          <w:p>
            <w:pPr>
              <w:spacing w:after="0"/>
              <w:rPr>
                <w:sz w:val="19"/>
                <w:szCs w:val="19"/>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Net financial margin</w:t>
            </w: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shd w:val="clear" w:color="auto" w:fill="CCFFCC"/>
          </w:tcPr>
          <w:p>
            <w:pPr>
              <w:spacing w:after="0"/>
              <w:rPr>
                <w:sz w:val="18"/>
                <w:szCs w:val="18"/>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4.96%</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5.16%</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20.8%</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PDL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NPL ratio (4)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Coverage ratio of PDLs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172.8%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188.6%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188.1%</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131.2%</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141.0%</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BIS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14.65%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14.72%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15.35%</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379</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365</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346</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Agentes BCP</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5,627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5,713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5,081</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ATMs</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1,925</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1,844</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1,559</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22,833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22,330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18,993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-8255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expanded 3.6% QoQ. This was due primarily to an increase in deposits in domestic and foreign banks, a larger stock of BCR CDs, and a slight increase in loans. Loan growth in terms of quarter-end balances was only 0.7%, which was due primarily to the seasonality of the first quarter of every year when the loans granted during the Christmas campaign are canceled. As such, 1Q tends to post the lowest figure for quarterly loan growth every year. The devaluation of the Nuevo Sol also had a significant impact on local currency loans, which are the most dynamic component of the loan portfolio. This effect was particularly evident in the Retail Banking business. If we extract the effect of devaluation, quarter-end balances would have grown 1.4% QoQ. The aforementioned was also reflected in the evolution of average daily balances, which increased 4.1% QoQ; in this scenario, both Wholesale Banking and Retail Banking reported a positive evolution.</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terms of liabilities, deposits grew more (+5.5% QoQ) than any other funding source, followed by a slight increase in due to banks and correspondents. The fact that deposits grew more than loans was reflected in a lower Loan/Deposit ratio, which fell from 91% in 4Q12 to 86.8% in 1Q13.</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regard to portfolio quality, the past due loan (PDL) ratio increased from 1.78% to 2.04%, which was due to the fact that loan growth was relatively low (in quarter-end balances, which are used to calculate this ratio) and the PDL portfolio grew 15.2% QoQ. A vintage analysis of the loan portfolio indicates that growth in PDL portfolio is due to the maturation of credit cards, consumer and SME vintages (they are reaching the peak of PDL ratio) that were conceded prior to the adjustments made to the bank’s credit policy at the end of 2Q12 (credit cards and consumer loans) and September 2012 (SME). If we analyze post-adjustment vintages, we see an improvement mainly in credit cards and consumer loans. It is also important to note that seasonal factors also affect the PDL portfolio during the first quarter of every year; as such, 1Q tends to register the highest quarterly increase of the year.</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provisions for loan losses fell slightly (8.2% QoQ), which was due primarily to the lower level of charge- offs this quarter (US$59.3 million vs. US$ 88.2 million in 4Q12); nevertheless, the provisions stock increased +5.6% QoQ, which represents an increase higher than last quarter’s figure (+4.3%). Finally, the coverage ratio for PDLs fell from 188.6% to 172.8% QoQ given that PDL portfolio grew (+15.2% QoQ), a growth rate higher than that of the provisions stock. The effect was less significant in the coverage ratio for the non-performing loan (NPL) portfolio, which went from 136.4% in 4Q12 to 131.2% in 1Q13, given that these loans grew at a slower pace (+9.8% QoQ).</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Core income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 %</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411,903</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394,419</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342,499</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20.3%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Banking services commissions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161,794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150,940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141,985</w:t>
            </w:r>
          </w:p>
        </w:tc>
        <w:tc>
          <w:tcPr>
            <w:tcW w:w="90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14.0%</w:t>
            </w:r>
          </w:p>
        </w:tc>
      </w:tr>
      <w:tr>
        <w:trPr>
          <w:trHeight w:val="230"/>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47,930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49,178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39,330</w:t>
            </w:r>
          </w:p>
        </w:tc>
        <w:tc>
          <w:tcPr>
            <w:tcW w:w="90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21.9%</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Core income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621,627</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594,537</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523,814</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85"/>
              </w:rPr>
              <w:t>18.7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earning assets increased 4.6% QoQ and 20.9% YoY due to growth in deposits in BCRP and other banks (+11.4%) as well as investments available for sale (+10%).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7,606,034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6,827,621</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5,394,307</w:t>
            </w: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7"/>
              </w:rPr>
              <w:t>11.4%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17,441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3,750</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326.7%</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224,103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119,500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90,268</w:t>
            </w: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7"/>
              </w:rPr>
              <w:t>87.5%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5,192,909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4,719,668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5,020,347</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Loans (1)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20,905,587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20,754,941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17,570,093</w:t>
            </w:r>
          </w:p>
        </w:tc>
        <w:tc>
          <w:tcPr>
            <w:tcW w:w="88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19.0%</w:t>
            </w:r>
          </w:p>
        </w:tc>
      </w:tr>
      <w:tr>
        <w:trPr>
          <w:trHeight w:val="225"/>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33,944,633</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32,439,171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28,078,765</w:t>
            </w: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-8890</wp:posOffset>
            </wp:positionV>
            <wp:extent cx="4545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We have adjusted this account to include all loans (current and past due loans).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1Q13, interest earning assets increased 4.6%, which was mainly attributable to an increase in deposits in other banks in the country and in foreign institutions. Additionally, investments available for sale expanded 10% QoQ due to an increase in the stock of BCR certificates of deposit (+10.3% QoQ).This helped BCP increase the profitability of its liquidity, particularly given the tax benefit that these instruments generate. Loans also grew slightly (+0.7%), as we will explain later in this report.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analysis of the YoY evolution indicates solid growth of +20.9% in interest earning assets. This was primarily attributable to loan growth (+19% YoY), which is associated to the expansion of the Retail Banking portfolio, including Edyficar.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end of the first quarter of 2013, BCP’s total loan balance was US$ 20,906 million, which represented growth of 0.7% QoQ and 19% YoY. The low growth posted in accounting balances was due primarily to seasonality in the fourth and first quarter of every year. As such, 1Q generally reports the lowest growth of the year given the loan peak that is registered during the Christmas campaign in 4Q and the fact that many of the loans made during this period are paid in 1Q. It is worthy to note that YoY growth, which eliminates seasonality, is significant and in line with the economy’s evolution. Additionally, any analysis must consider the impact of the devaluation of the Nuevo Sol against the US Dollar, without which the accounting balances would have expanded 1.4% QoQ.</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focus on the evolution of average daily balances, which are closely related to the performance of net interest income. In terms of average daily balances, loans grew 4.1% QoQ and 21.5% YoY.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difference in the growth rate of quarter-end balances versus average daily balances is due primarily to the large disbursements that were made at the tag end of December last year, which led the quarter-end balances to post significantly higher figures than average daily balances in 4Q12. For this reason, quarterly growth was higher in average daily balances than in quarter-end balances this quarter.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chart shows the evolution of balances at the end of the quarter and average daily balances for each month; it is evident that average daily balances followed an upward trend during the first few months of the year.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2369820</wp:posOffset>
            </wp:positionH>
            <wp:positionV relativeFrom="page">
              <wp:posOffset>568960</wp:posOffset>
            </wp:positionV>
            <wp:extent cx="5034280" cy="2658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3428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average daily balances by banking division indicates that expansion was posted in almost all segments: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Wholesale Banking reported an increase of 4% QoQ, which was higher than the figure registered in the same quarter of last year. This result was due to the favorable evolution of Corporate Banking (+7.1%), which grew due to an increase in mid and long term financing.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Corporate Banking’s results are particularly significant given that more companies are recurring to the capital markets as a financing alternative and the fact that international banks, which have the capacity to offer lower financing rates, are creating more competition on the local scene.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Retail Banking posted slower growth (+3.8%) due to the seasonal nature of this business in 1Q. As we have already mentioned, the first quarter of every year generally posts the period’s lowest growth due to payments against loans made at year-end. It is important to mention that the mortgage segment led portfolio expansion with growth of 5.6% QoQ, followed by the SME segment (+3.6%). Edyficar continued to perform extraordinarily with growth of 11.2% QoQ.</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evolution created a similar portfolio mix to that seen in 4Q12, when the Retail Banking portfolio reported a 51.3% share (versus 51.2% in 4Q12) and Wholesale Banking accounted for 48.8% of all loans (versus 48.7% at the end of December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ind w:left="400"/>
              <w:spacing w:after="0"/>
              <w:rPr>
                <w:sz w:val="20"/>
                <w:szCs w:val="20"/>
                <w:color w:val="auto"/>
              </w:rPr>
            </w:pPr>
            <w:r>
              <w:rPr>
                <w:rFonts w:ascii="Arial" w:cs="Arial" w:eastAsia="Arial" w:hAnsi="Arial"/>
                <w:sz w:val="18"/>
                <w:szCs w:val="18"/>
                <w:b w:val="1"/>
                <w:bCs w:val="1"/>
                <w:color w:val="auto"/>
              </w:rPr>
              <w:t>Average Daily Balances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99"/>
              </w:rPr>
              <w:t>TOTAL LOANS (1)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i w:val="1"/>
                <w:iCs w:val="1"/>
                <w:color w:val="auto"/>
                <w:w w:val="95"/>
              </w:rPr>
              <w:t>(US$ million)</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1Q13</w:t>
            </w:r>
          </w:p>
        </w:tc>
        <w:tc>
          <w:tcPr>
            <w:tcW w:w="18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4Q12</w:t>
            </w:r>
          </w:p>
        </w:tc>
        <w:tc>
          <w:tcPr>
            <w:tcW w:w="16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1Q12</w:t>
            </w:r>
          </w:p>
        </w:tc>
        <w:tc>
          <w:tcPr>
            <w:tcW w:w="1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9,687.5</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9,313.6</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8,472.3</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4.0%</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980" w:type="dxa"/>
            <w:vAlign w:val="bottom"/>
          </w:tcPr>
          <w:p>
            <w:pPr>
              <w:jc w:val="right"/>
              <w:spacing w:after="0"/>
              <w:rPr>
                <w:sz w:val="20"/>
                <w:szCs w:val="20"/>
                <w:color w:val="auto"/>
              </w:rPr>
            </w:pPr>
            <w:r>
              <w:rPr>
                <w:rFonts w:ascii="Arial" w:cs="Arial" w:eastAsia="Arial" w:hAnsi="Arial"/>
                <w:sz w:val="18"/>
                <w:szCs w:val="18"/>
                <w:color w:val="auto"/>
              </w:rPr>
              <w:t>6,195.6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5,783.9</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5,457.2</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3,491.9</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3,529.7</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3,015.1</w:t>
            </w: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9,438.1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9,088.7</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7,295.9</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3,302.4</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3,222.6</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2,493.2</w:t>
            </w: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980" w:type="dxa"/>
            <w:vAlign w:val="bottom"/>
          </w:tcPr>
          <w:p>
            <w:pPr>
              <w:jc w:val="right"/>
              <w:spacing w:after="0"/>
              <w:rPr>
                <w:sz w:val="20"/>
                <w:szCs w:val="20"/>
                <w:color w:val="auto"/>
              </w:rPr>
            </w:pPr>
            <w:r>
              <w:rPr>
                <w:rFonts w:ascii="Arial" w:cs="Arial" w:eastAsia="Arial" w:hAnsi="Arial"/>
                <w:sz w:val="18"/>
                <w:szCs w:val="18"/>
                <w:color w:val="auto"/>
              </w:rPr>
              <w:t>3,292.9</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3,119.2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2,570.5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1,818.2</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1,739.6</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1,380.6</w:t>
            </w: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980" w:type="dxa"/>
            <w:vAlign w:val="bottom"/>
          </w:tcPr>
          <w:p>
            <w:pPr>
              <w:jc w:val="right"/>
              <w:spacing w:after="0"/>
              <w:rPr>
                <w:sz w:val="20"/>
                <w:szCs w:val="20"/>
                <w:color w:val="auto"/>
              </w:rPr>
            </w:pPr>
            <w:r>
              <w:rPr>
                <w:rFonts w:ascii="Arial" w:cs="Arial" w:eastAsia="Arial" w:hAnsi="Arial"/>
                <w:sz w:val="18"/>
                <w:szCs w:val="18"/>
                <w:color w:val="auto"/>
              </w:rPr>
              <w:t>1,024.6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1,007.3</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851.7</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779.3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700.8</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521.2</w:t>
            </w: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1,017.6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988.0</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936.0</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20,922.5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20,091.1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17,225.4</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-2540</wp:posOffset>
            </wp:positionV>
            <wp:extent cx="3610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ind w:left="1240" w:hanging="260"/>
        <w:spacing w:after="0"/>
        <w:tabs>
          <w:tab w:leader="none" w:pos="12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980" w:right="6080"/>
        <w:spacing w:after="0" w:line="261" w:lineRule="auto"/>
        <w:tabs>
          <w:tab w:leader="none" w:pos="12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An analysis of loan evolution by currency type indicates that the local currency portfolio (LC) led growth in the portfolio with a 5.7% expansion QoQ while the foreign currency portfolio (FC) grew 3.3% QoQ. This result is in line with the results seen throughout 2012.</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Average Daily Balances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gridSpan w:val="6"/>
          </w:tcPr>
          <w:p>
            <w:pPr>
              <w:jc w:val="center"/>
              <w:ind w:right="260"/>
              <w:spacing w:after="0"/>
              <w:rPr>
                <w:sz w:val="20"/>
                <w:szCs w:val="20"/>
                <w:color w:val="auto"/>
              </w:rPr>
            </w:pPr>
            <w:r>
              <w:rPr>
                <w:rFonts w:ascii="Arial" w:cs="Arial" w:eastAsia="Arial" w:hAnsi="Arial"/>
                <w:sz w:val="11"/>
                <w:szCs w:val="11"/>
                <w:b w:val="1"/>
                <w:bCs w:val="1"/>
                <w:color w:val="auto"/>
                <w:w w:val="98"/>
              </w:rPr>
              <w:t>DOMESTIC CURRENCY LOANS (1)</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20" w:type="dxa"/>
            <w:vAlign w:val="bottom"/>
            <w:gridSpan w:val="7"/>
          </w:tcPr>
          <w:p>
            <w:pPr>
              <w:jc w:val="center"/>
              <w:ind w:right="220"/>
              <w:spacing w:after="0"/>
              <w:rPr>
                <w:sz w:val="20"/>
                <w:szCs w:val="20"/>
                <w:color w:val="auto"/>
              </w:rPr>
            </w:pPr>
            <w:r>
              <w:rPr>
                <w:rFonts w:ascii="Arial" w:cs="Arial" w:eastAsia="Arial" w:hAnsi="Arial"/>
                <w:sz w:val="11"/>
                <w:szCs w:val="11"/>
                <w:b w:val="1"/>
                <w:bCs w:val="1"/>
                <w:color w:val="auto"/>
                <w:w w:val="97"/>
              </w:rPr>
              <w:t>FOREIGN CURRENCY LOANS (1)</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1"/>
                <w:szCs w:val="11"/>
                <w:i w:val="1"/>
                <w:iCs w:val="1"/>
                <w:color w:val="auto"/>
                <w:w w:val="89"/>
              </w:rPr>
              <w:t>(Nuevos Soles million)</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1"/>
                <w:szCs w:val="11"/>
                <w:i w:val="1"/>
                <w:iCs w:val="1"/>
                <w:color w:val="auto"/>
                <w:w w:val="95"/>
              </w:rPr>
              <w:t>(US$ million)</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Borders>
              <w:bottom w:val="single" w:sz="8" w:color="CCFFCC"/>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1Q13</w:t>
            </w:r>
          </w:p>
        </w:tc>
        <w:tc>
          <w:tcPr>
            <w:tcW w:w="240" w:type="dxa"/>
            <w:vAlign w:val="bottom"/>
            <w:tcBorders>
              <w:bottom w:val="single" w:sz="8" w:color="CCFFCC"/>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4Q12</w:t>
            </w:r>
          </w:p>
        </w:tc>
        <w:tc>
          <w:tcPr>
            <w:tcW w:w="240" w:type="dxa"/>
            <w:vAlign w:val="bottom"/>
            <w:tcBorders>
              <w:bottom w:val="single" w:sz="8" w:color="CCFFCC"/>
            </w:tcBorders>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1Q12</w:t>
            </w:r>
          </w:p>
        </w:tc>
        <w:tc>
          <w:tcPr>
            <w:tcW w:w="260" w:type="dxa"/>
            <w:vAlign w:val="bottom"/>
            <w:tcBorders>
              <w:bottom w:val="single" w:sz="8" w:color="CCFFCC"/>
            </w:tcBorders>
          </w:tcPr>
          <w:p>
            <w:pPr>
              <w:spacing w:after="0"/>
              <w:rPr>
                <w:sz w:val="11"/>
                <w:szCs w:val="11"/>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QoQ</w:t>
            </w:r>
          </w:p>
        </w:tc>
        <w:tc>
          <w:tcPr>
            <w:tcW w:w="240" w:type="dxa"/>
            <w:vAlign w:val="bottom"/>
            <w:tcBorders>
              <w:bottom w:val="single" w:sz="8" w:color="CCFFCC"/>
            </w:tcBorders>
          </w:tcPr>
          <w:p>
            <w:pPr>
              <w:spacing w:after="0"/>
              <w:rPr>
                <w:sz w:val="11"/>
                <w:szCs w:val="11"/>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YoY</w:t>
            </w:r>
          </w:p>
        </w:tc>
        <w:tc>
          <w:tcPr>
            <w:tcW w:w="240" w:type="dxa"/>
            <w:vAlign w:val="bottom"/>
            <w:tcBorders>
              <w:bottom w:val="single" w:sz="8" w:color="CCFFCC"/>
            </w:tcBorders>
          </w:tcPr>
          <w:p>
            <w:pPr>
              <w:spacing w:after="0"/>
              <w:rPr>
                <w:sz w:val="11"/>
                <w:szCs w:val="1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1Q13</w:t>
            </w:r>
          </w:p>
        </w:tc>
        <w:tc>
          <w:tcPr>
            <w:tcW w:w="200" w:type="dxa"/>
            <w:vAlign w:val="bottom"/>
            <w:tcBorders>
              <w:bottom w:val="single" w:sz="8" w:color="CCFFCC"/>
            </w:tcBorders>
          </w:tcPr>
          <w:p>
            <w:pPr>
              <w:spacing w:after="0"/>
              <w:rPr>
                <w:sz w:val="11"/>
                <w:szCs w:val="1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4Q12</w:t>
            </w: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1Q12</w:t>
            </w:r>
          </w:p>
        </w:tc>
        <w:tc>
          <w:tcPr>
            <w:tcW w:w="200" w:type="dxa"/>
            <w:vAlign w:val="bottom"/>
            <w:tcBorders>
              <w:bottom w:val="single" w:sz="8" w:color="CCFFCC"/>
            </w:tcBorders>
          </w:tcPr>
          <w:p>
            <w:pPr>
              <w:spacing w:after="0"/>
              <w:rPr>
                <w:sz w:val="11"/>
                <w:szCs w:val="11"/>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QoQ</w:t>
            </w:r>
          </w:p>
        </w:tc>
        <w:tc>
          <w:tcPr>
            <w:tcW w:w="220" w:type="dxa"/>
            <w:vAlign w:val="bottom"/>
            <w:tcBorders>
              <w:bottom w:val="single" w:sz="8" w:color="CCFFCC"/>
            </w:tcBorders>
          </w:tcPr>
          <w:p>
            <w:pPr>
              <w:spacing w:after="0"/>
              <w:rPr>
                <w:sz w:val="11"/>
                <w:szCs w:val="11"/>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YoY</w:t>
            </w:r>
          </w:p>
        </w:tc>
        <w:tc>
          <w:tcPr>
            <w:tcW w:w="100" w:type="dxa"/>
            <w:vAlign w:val="bottom"/>
            <w:tcBorders>
              <w:bottom w:val="single" w:sz="8" w:color="CCFFC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4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Wholesale Banking</w:t>
            </w: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4,869.8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4,687.1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5,092.0</w:t>
            </w:r>
          </w:p>
        </w:tc>
        <w:tc>
          <w:tcPr>
            <w:tcW w:w="26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b w:val="1"/>
                <w:bCs w:val="1"/>
                <w:color w:val="auto"/>
              </w:rPr>
              <w:t>3.9%</w:t>
            </w:r>
          </w:p>
        </w:tc>
        <w:tc>
          <w:tcPr>
            <w:tcW w:w="82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b w:val="1"/>
                <w:bCs w:val="1"/>
                <w:color w:val="auto"/>
              </w:rPr>
              <w:t>-4.4%</w:t>
            </w: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7,803.3</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7,492.4</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6,570.6</w:t>
            </w:r>
          </w:p>
        </w:tc>
        <w:tc>
          <w:tcPr>
            <w:tcW w:w="2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00"/>
              <w:spacing w:after="0" w:line="115" w:lineRule="exact"/>
              <w:rPr>
                <w:sz w:val="20"/>
                <w:szCs w:val="20"/>
                <w:color w:val="auto"/>
              </w:rPr>
            </w:pPr>
            <w:r>
              <w:rPr>
                <w:rFonts w:ascii="Arial" w:cs="Arial" w:eastAsia="Arial" w:hAnsi="Arial"/>
                <w:sz w:val="11"/>
                <w:szCs w:val="11"/>
                <w:b w:val="1"/>
                <w:bCs w:val="1"/>
                <w:color w:val="auto"/>
              </w:rPr>
              <w:t>4.1%</w:t>
            </w:r>
          </w:p>
        </w:tc>
        <w:tc>
          <w:tcPr>
            <w:tcW w:w="66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Pr>
          <w:p>
            <w:pPr>
              <w:spacing w:after="0" w:line="122" w:lineRule="exact"/>
              <w:rPr>
                <w:sz w:val="20"/>
                <w:szCs w:val="20"/>
                <w:color w:val="auto"/>
              </w:rPr>
            </w:pPr>
            <w:r>
              <w:rPr>
                <w:rFonts w:ascii="Arial" w:cs="Arial" w:eastAsia="Arial" w:hAnsi="Arial"/>
                <w:sz w:val="11"/>
                <w:szCs w:val="11"/>
                <w:i w:val="1"/>
                <w:iCs w:val="1"/>
                <w:color w:val="auto"/>
              </w:rPr>
              <w:t>- Corporate</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2,902.4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2,781.2</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3,334.6</w:t>
            </w:r>
          </w:p>
        </w:tc>
        <w:tc>
          <w:tcPr>
            <w:tcW w:w="26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-13.0%</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5,072.7</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4,703.4</w:t>
            </w:r>
          </w:p>
        </w:tc>
        <w:tc>
          <w:tcPr>
            <w:tcW w:w="8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4,211.9</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7.9%</w:t>
            </w:r>
          </w:p>
        </w:tc>
        <w:tc>
          <w:tcPr>
            <w:tcW w:w="6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Middle Market</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1,967.4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1,905.9</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1,757.4</w:t>
            </w:r>
          </w:p>
        </w:tc>
        <w:tc>
          <w:tcPr>
            <w:tcW w:w="26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3.2%</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11.9%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2,730.6</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2,789.0</w:t>
            </w:r>
          </w:p>
        </w:tc>
        <w:tc>
          <w:tcPr>
            <w:tcW w:w="8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2,358.7</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Pr>
          <w:p>
            <w:pPr>
              <w:spacing w:after="0" w:line="122" w:lineRule="exact"/>
              <w:rPr>
                <w:sz w:val="20"/>
                <w:szCs w:val="20"/>
                <w:color w:val="auto"/>
              </w:rPr>
            </w:pPr>
            <w:r>
              <w:rPr>
                <w:rFonts w:ascii="Arial" w:cs="Arial" w:eastAsia="Arial" w:hAnsi="Arial"/>
                <w:sz w:val="11"/>
                <w:szCs w:val="11"/>
                <w:b w:val="1"/>
                <w:bCs w:val="1"/>
                <w:color w:val="auto"/>
              </w:rPr>
              <w:t>Retail Banking</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16,874.3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15,990.7</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12,938.4</w:t>
            </w:r>
          </w:p>
        </w:tc>
        <w:tc>
          <w:tcPr>
            <w:tcW w:w="26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5.5%</w:t>
            </w: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30.4%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2,908.8</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2,874.3</w:t>
            </w:r>
          </w:p>
        </w:tc>
        <w:tc>
          <w:tcPr>
            <w:tcW w:w="880" w:type="dxa"/>
            <w:vAlign w:val="bottom"/>
            <w:gridSpan w:val="3"/>
          </w:tcPr>
          <w:p>
            <w:pPr>
              <w:jc w:val="right"/>
              <w:ind w:right="200"/>
              <w:spacing w:after="0" w:line="122" w:lineRule="exact"/>
              <w:rPr>
                <w:sz w:val="20"/>
                <w:szCs w:val="20"/>
                <w:color w:val="auto"/>
              </w:rPr>
            </w:pPr>
            <w:r>
              <w:rPr>
                <w:rFonts w:ascii="Arial" w:cs="Arial" w:eastAsia="Arial" w:hAnsi="Arial"/>
                <w:sz w:val="11"/>
                <w:szCs w:val="11"/>
                <w:b w:val="1"/>
                <w:bCs w:val="1"/>
                <w:color w:val="auto"/>
              </w:rPr>
              <w:t>2,463.6</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1.2%</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SME + Business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6,127.1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5,911.4</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4,634.7</w:t>
            </w:r>
          </w:p>
        </w:tc>
        <w:tc>
          <w:tcPr>
            <w:tcW w:w="26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3.6%</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32.2%</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931.5</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925.2</w:t>
            </w:r>
          </w:p>
        </w:tc>
        <w:tc>
          <w:tcPr>
            <w:tcW w:w="8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762.2</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0.7%</w:t>
            </w:r>
          </w:p>
        </w:tc>
        <w:tc>
          <w:tcPr>
            <w:tcW w:w="6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Pr>
          <w:p>
            <w:pPr>
              <w:spacing w:after="0" w:line="122" w:lineRule="exact"/>
              <w:rPr>
                <w:sz w:val="20"/>
                <w:szCs w:val="20"/>
                <w:color w:val="auto"/>
              </w:rPr>
            </w:pPr>
            <w:r>
              <w:rPr>
                <w:rFonts w:ascii="Arial" w:cs="Arial" w:eastAsia="Arial" w:hAnsi="Arial"/>
                <w:sz w:val="11"/>
                <w:szCs w:val="11"/>
                <w:i w:val="1"/>
                <w:iCs w:val="1"/>
                <w:color w:val="auto"/>
              </w:rPr>
              <w:t>- Mortgages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4,647.7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4,196.3</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3,297.9</w:t>
            </w:r>
          </w:p>
        </w:tc>
        <w:tc>
          <w:tcPr>
            <w:tcW w:w="26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10.8%</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40.9%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1,494.6</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1,488.3</w:t>
            </w:r>
          </w:p>
        </w:tc>
        <w:tc>
          <w:tcPr>
            <w:tcW w:w="8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1,338.7</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0.4%</w:t>
            </w:r>
          </w:p>
        </w:tc>
        <w:tc>
          <w:tcPr>
            <w:tcW w:w="6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Consumer</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3,730.9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3,566.5</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2,965.6</w:t>
            </w:r>
          </w:p>
        </w:tc>
        <w:tc>
          <w:tcPr>
            <w:tcW w:w="26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4.6%</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25.8%</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374.6</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353.6</w:t>
            </w:r>
          </w:p>
        </w:tc>
        <w:tc>
          <w:tcPr>
            <w:tcW w:w="8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273.0</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5.9%</w:t>
            </w:r>
          </w:p>
        </w:tc>
        <w:tc>
          <w:tcPr>
            <w:tcW w:w="6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37.2%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Pr>
          <w:p>
            <w:pPr>
              <w:spacing w:after="0" w:line="122" w:lineRule="exact"/>
              <w:rPr>
                <w:sz w:val="20"/>
                <w:szCs w:val="20"/>
                <w:color w:val="auto"/>
              </w:rPr>
            </w:pPr>
            <w:r>
              <w:rPr>
                <w:rFonts w:ascii="Arial" w:cs="Arial" w:eastAsia="Arial" w:hAnsi="Arial"/>
                <w:sz w:val="11"/>
                <w:szCs w:val="11"/>
                <w:i w:val="1"/>
                <w:iCs w:val="1"/>
                <w:color w:val="auto"/>
              </w:rPr>
              <w:t>- Credit Cards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2,368.6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2,316.4</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2,040.2</w:t>
            </w:r>
          </w:p>
        </w:tc>
        <w:tc>
          <w:tcPr>
            <w:tcW w:w="26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2.3%</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108.1</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107.2</w:t>
            </w:r>
          </w:p>
        </w:tc>
        <w:tc>
          <w:tcPr>
            <w:tcW w:w="8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89.7</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0.8%</w:t>
            </w:r>
          </w:p>
        </w:tc>
        <w:tc>
          <w:tcPr>
            <w:tcW w:w="6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Edyficar</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1,987.4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1,775.3</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1,366.2</w:t>
            </w:r>
          </w:p>
        </w:tc>
        <w:tc>
          <w:tcPr>
            <w:tcW w:w="26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11.9%</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45.5%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10.3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10.8</w:t>
            </w:r>
          </w:p>
        </w:tc>
        <w:tc>
          <w:tcPr>
            <w:tcW w:w="8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11.0</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-4.6%</w:t>
            </w:r>
          </w:p>
        </w:tc>
        <w:tc>
          <w:tcPr>
            <w:tcW w:w="6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20"/>
                <w:szCs w:val="20"/>
                <w:color w:val="auto"/>
              </w:rPr>
            </w:pPr>
            <w:r>
              <w:rPr>
                <w:rFonts w:ascii="Arial" w:cs="Arial" w:eastAsia="Arial" w:hAnsi="Arial"/>
                <w:sz w:val="11"/>
                <w:szCs w:val="11"/>
                <w:b w:val="1"/>
                <w:bCs w:val="1"/>
                <w:color w:val="auto"/>
              </w:rPr>
              <w:t>Others (2)</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130.8</w:t>
            </w: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122.9</w:t>
            </w: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rPr>
              <w:t>132.8</w:t>
            </w:r>
          </w:p>
        </w:tc>
        <w:tc>
          <w:tcPr>
            <w:tcW w:w="26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6.4%</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-1.5%</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967.0</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940.2</w:t>
            </w:r>
          </w:p>
        </w:tc>
        <w:tc>
          <w:tcPr>
            <w:tcW w:w="8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886.4</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2.9%</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5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6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1"/>
                <w:szCs w:val="11"/>
                <w:b w:val="1"/>
                <w:bCs w:val="1"/>
                <w:color w:val="auto"/>
              </w:rPr>
              <w:t>Consolidated total loans</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23,862.3</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22,576.0</w:t>
            </w: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rPr>
              <w:t>19,529.4</w:t>
            </w:r>
          </w:p>
        </w:tc>
        <w:tc>
          <w:tcPr>
            <w:tcW w:w="2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5.7%</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22.2%</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11,689.4</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11,317.7</w:t>
            </w:r>
          </w:p>
        </w:tc>
        <w:tc>
          <w:tcPr>
            <w:tcW w:w="8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9,931.6</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3.3%</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17.7%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-2540</wp:posOffset>
            </wp:positionV>
            <wp:extent cx="49225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right="7040" w:firstLine="8"/>
        <w:spacing w:after="0" w:line="261" w:lineRule="auto"/>
        <w:tabs>
          <w:tab w:leader="none" w:pos="2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Expansion in the LC portfolio was led by Retail Banking, which reported significant growth in all of its segments including noteworthy performances in Mortgage and SME loans, which grew 10.8% QoQ and 3.6% QoQ respectively. This positive evolution was attributable to the Bank’s expansion strategy and the fact that consumer confidence levels continue to run high based on the belief that the Peruvian economy will continue to grow in the years to 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Edyficar continued to concentrate its portfolio in local currency and reported significant growth of 11.9% QoQ.</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expansion posted in the FC portfolio is associated with the dynamic of Wholesale Banking loans, which posted growth of 4.1% QoQ that was driven by mid and long term financing as well as international trade loans from in the Corporate Banking segment.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it is important to note that the evolution of the Nuevo Sol in 1Q13 had an impact on growth in the loan portfolio given that 45% of this portfolio is in LC. If the Nuevo Sol had remained at 4Q12’s level (2.55), the portfolio would have grown 1.4% QoQ and 19.8% YoY in terms of accounting balances and 4.8% QoQ and 22.2% YoY with regard to average daily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716780" cy="1989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678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At the end of March, BCP consolidated continued to lead the market with a 31% share, which is 11 percentage points above its closest competitor.</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Banking’s share of total loans recovered at the end of February and situated at 48.1% after posting a share of 46.5% in December; during the same period Middle Market Banking’s share of the portfolio posted a slight decline, dropping from 35.3% to 34.7%. Within Retail Banking, the segments that posted the highest increase in market share with regard to 2011 were SME (from 23.3% to 24%) and Consumer loans (from 22.8% to 23.1%).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Dollarization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LC portfolio’s share of total loans increased QoQ to 45% at the end of 1Q13 (vs. 44.1% at the end of December 2012). This was attributable to growth in Retail Banking’s LC loans. The YoY evolution shows that the de-dollarization process has picked up its pace, as is evident in the share of LC loans in the total portfolio: 45% at the end of 1Q13 vs. 42.8% at the end of 1Q12, which was consistent with the 29.4% growth posted in Retail Banking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102235</wp:posOffset>
            </wp:positionV>
            <wp:extent cx="3507740" cy="1929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0774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At the end of 1Q13, total liabilities increased +4.3% QoQ. During this period, deposits, which grew +5.5% QoQ, continued to be the primary source of funding and posted higher growth than gross loans (+ 0.7%). This led to a loan/deposit ratio of 86.8% (vs. 90.9% in 4Q12).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 (non-interest bearing)</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6,279,233</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6,208,484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5,500,995</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1,235,118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1,376,970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1,380,257</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-10.3%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6,275,766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6,084,550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5,466,391</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8,156,478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6,872,223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5,880,464</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2,073,189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2,232,492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1,677,876</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71,089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63,366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63,852</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24,090,873</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22,838,085</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19,969,835</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20.6</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tcPr>
          <w:p>
            <w:pPr>
              <w:jc w:val="right"/>
              <w:spacing w:after="0"/>
              <w:rPr>
                <w:sz w:val="20"/>
                <w:szCs w:val="20"/>
                <w:color w:val="auto"/>
              </w:rPr>
            </w:pPr>
            <w:r>
              <w:rPr>
                <w:rFonts w:ascii="Arial" w:cs="Arial" w:eastAsia="Arial" w:hAnsi="Arial"/>
                <w:sz w:val="18"/>
                <w:szCs w:val="18"/>
                <w:color w:val="auto"/>
              </w:rPr>
              <w:t>4,567,707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4,406,225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3,340,586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3,650,438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3,684,908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3,104,369</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2,040,807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2,014,743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1,209,453</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68.7%</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34,349,825</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32,943,961</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27,624,243</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24.3</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reported in total deposits is due primarily to an expansion in time deposits (+18.7%), which is in turn attributable to corporate client deposits in local and foreign currency; these resources will be used by the Treasury for investments mainly in Central Bank instruments. In this context, time deposits grew 38.7% YoY.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With regard to the evolution of core deposits (demand, savings and CTS), a decline of 1.1% QoQ is evident. This drop is attributable to the behavior of demand and CTS deposits. The reduction in demand deposits was seen solely in foreign currency accounts while CTS accounts denominated in local currency fell due to seasonal factors that affect this product given that companies make deposits in these accounts in May and November and customers frequently make CTS withdrawals in 1Q. Savings accounts posted significant growth of +3.1% QoQ due to seasonality attributable to profit sharing and employee bonuses in the first quarter of every year.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analyze deposits with regard to funding costs, it is important to note that non-interest bearing deposits continue to represent more than 25% of total deposits, which helps keep funding costs 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1Q13, the loan/deposit ratio was situated at 86.8%. By currency type, this indicator was 70.2% (vs. 70.6% in 4Q12) in local currency and 107.5% (vs. 108.3% in 4Q12) in foreign currency.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regard to other funding sources, a +1.5% increase is evident QoQ. This growth was primarily attributable to the 3.7% increase in due to banks and correspondents, which was in turn due to syndicated debt that was led by the Tokyo Mitsubishi Bank.</w:t>
      </w:r>
    </w:p>
    <w:p>
      <w:pPr>
        <w:spacing w:after="0" w:line="17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Bank’s funding cost was situated at 2.18%</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1Q13, which is 6 bps below the figure reported in 4Q12 (2.24%). This decline was due primarily to a solid increase in total deposits as a funding source, particularly in terms of low cost alternatives: (i) savings deposits and non-interest bearing deposits represented 37% of total liabilities and (ii) times deposits increased their share of total liabilities by approximately 300 bps with regard to 4Q12. Accordingly, a re-composition of funding sources occurred in the first quarter of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5883275" cy="2752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327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hanging="112"/>
        <w:spacing w:after="0"/>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funding cost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120005"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200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We consider the average between the beginning and closing balances of total liabilities (excluding other liabilities).</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 the end of February 2013, BCP continued to lead the market for deposits with a 34% share. In line with this positioning, BCP continued to lead the market for different types of deposits in both local and foreign currency. It is important to note the increase in the Bank’s share of the Time Deposits market in foreign currency, which went from 26.8% at the end of 4Q12 to 33% at the end of February due to growth in corporate clients’ time deposits.</w:t>
      </w:r>
    </w:p>
    <w:p>
      <w:pPr>
        <w:spacing w:after="0" w:line="16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424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w w:val="97"/>
              </w:rPr>
              <w:t>Market share by type of deposit and currency</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color w:val="auto"/>
              </w:rPr>
              <w:t>Demand</w:t>
            </w:r>
          </w:p>
        </w:tc>
        <w:tc>
          <w:tcPr>
            <w:tcW w:w="1220" w:type="dxa"/>
            <w:vAlign w:val="bottom"/>
            <w:gridSpan w:val="2"/>
          </w:tcPr>
          <w:p>
            <w:pPr>
              <w:jc w:val="right"/>
              <w:ind w:right="390"/>
              <w:spacing w:after="0"/>
              <w:rPr>
                <w:sz w:val="20"/>
                <w:szCs w:val="20"/>
                <w:color w:val="auto"/>
              </w:rPr>
            </w:pPr>
            <w:r>
              <w:rPr>
                <w:rFonts w:ascii="Arial" w:cs="Arial" w:eastAsia="Arial" w:hAnsi="Arial"/>
                <w:sz w:val="18"/>
                <w:szCs w:val="18"/>
                <w:color w:val="auto"/>
              </w:rPr>
              <w:t>Saving</w:t>
            </w:r>
          </w:p>
        </w:tc>
        <w:tc>
          <w:tcPr>
            <w:tcW w:w="1240" w:type="dxa"/>
            <w:vAlign w:val="bottom"/>
            <w:gridSpan w:val="2"/>
          </w:tcPr>
          <w:p>
            <w:pPr>
              <w:jc w:val="right"/>
              <w:ind w:right="470"/>
              <w:spacing w:after="0"/>
              <w:rPr>
                <w:sz w:val="20"/>
                <w:szCs w:val="20"/>
                <w:color w:val="auto"/>
              </w:rPr>
            </w:pPr>
            <w:r>
              <w:rPr>
                <w:rFonts w:ascii="Arial" w:cs="Arial" w:eastAsia="Arial" w:hAnsi="Arial"/>
                <w:sz w:val="18"/>
                <w:szCs w:val="18"/>
                <w:color w:val="auto"/>
              </w:rPr>
              <w:t>Time</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w w:val="97"/>
              </w:rPr>
              <w:t>Severance</w:t>
            </w:r>
          </w:p>
        </w:tc>
      </w:tr>
      <w:tr>
        <w:trPr>
          <w:trHeight w:val="230"/>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color w:val="auto"/>
              </w:rPr>
              <w:t>deposits</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color w:val="auto"/>
              </w:rPr>
              <w:t>deposits</w:t>
            </w:r>
          </w:p>
        </w:tc>
        <w:tc>
          <w:tcPr>
            <w:tcW w:w="1240" w:type="dxa"/>
            <w:vAlign w:val="bottom"/>
            <w:gridSpan w:val="2"/>
          </w:tcPr>
          <w:p>
            <w:pPr>
              <w:jc w:val="right"/>
              <w:ind w:right="370"/>
              <w:spacing w:after="0"/>
              <w:rPr>
                <w:sz w:val="20"/>
                <w:szCs w:val="20"/>
                <w:color w:val="auto"/>
              </w:rPr>
            </w:pPr>
            <w:r>
              <w:rPr>
                <w:rFonts w:ascii="Arial" w:cs="Arial" w:eastAsia="Arial" w:hAnsi="Arial"/>
                <w:sz w:val="18"/>
                <w:szCs w:val="18"/>
                <w:color w:val="auto"/>
              </w:rPr>
              <w:t>deposits</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indemnity</w:t>
            </w:r>
          </w:p>
        </w:tc>
      </w:tr>
      <w:tr>
        <w:trPr>
          <w:trHeight w:val="210"/>
        </w:trPr>
        <w:tc>
          <w:tcPr>
            <w:tcW w:w="2500" w:type="dxa"/>
            <w:vAlign w:val="bottom"/>
            <w:tcBorders>
              <w:top w:val="single" w:sz="8" w:color="CCFFCC"/>
            </w:tcBorders>
            <w:shd w:val="clear" w:color="auto" w:fill="CCFFCC"/>
          </w:tcPr>
          <w:p>
            <w:pPr>
              <w:ind w:left="1980"/>
              <w:spacing w:after="0"/>
              <w:rPr>
                <w:sz w:val="20"/>
                <w:szCs w:val="20"/>
                <w:color w:val="auto"/>
              </w:rPr>
            </w:pPr>
            <w:r>
              <w:rPr>
                <w:rFonts w:ascii="Arial" w:cs="Arial" w:eastAsia="Arial" w:hAnsi="Arial"/>
                <w:sz w:val="18"/>
                <w:szCs w:val="18"/>
                <w:color w:val="auto"/>
              </w:rPr>
              <w:t>LC</w:t>
            </w:r>
          </w:p>
        </w:tc>
        <w:tc>
          <w:tcPr>
            <w:tcW w:w="180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24"/>
        </w:trPr>
        <w:tc>
          <w:tcPr>
            <w:tcW w:w="2500" w:type="dxa"/>
            <w:vAlign w:val="bottom"/>
          </w:tcPr>
          <w:p>
            <w:pPr>
              <w:ind w:left="1980"/>
              <w:spacing w:after="0"/>
              <w:rPr>
                <w:sz w:val="20"/>
                <w:szCs w:val="20"/>
                <w:color w:val="auto"/>
              </w:rPr>
            </w:pPr>
            <w:r>
              <w:rPr>
                <w:rFonts w:ascii="Arial" w:cs="Arial" w:eastAsia="Arial" w:hAnsi="Arial"/>
                <w:sz w:val="18"/>
                <w:szCs w:val="18"/>
                <w:color w:val="auto"/>
              </w:rPr>
              <w:t>FC</w:t>
            </w:r>
          </w:p>
        </w:tc>
        <w:tc>
          <w:tcPr>
            <w:tcW w:w="1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-8255</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i w:val="1"/>
          <w:iCs w:val="1"/>
          <w:color w:val="auto"/>
        </w:rPr>
        <w:t>LC: Local Currency</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the first quarter of 2013, deposit de-dollarization remained at levels similar to those seen in 4Q12 despite the 1.5% devaluation posted in the Nuevo Sol this quarter. An analysis of the YoY trend gives a clearer picture of the deposit de-dollarization process and indicates that FC deposits share of total deposits fell 300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124460</wp:posOffset>
            </wp:positionV>
            <wp:extent cx="3413125" cy="1989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312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Mutual Funds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Customer funds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 %</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2,832,739</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2,749,483</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2,270,213</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73,285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65,146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94,370</w:t>
            </w:r>
          </w:p>
        </w:tc>
        <w:tc>
          <w:tcPr>
            <w:tcW w:w="86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w:t>
            </w:r>
          </w:p>
        </w:tc>
      </w:tr>
      <w:tr>
        <w:trPr>
          <w:trHeight w:val="210"/>
        </w:trPr>
        <w:tc>
          <w:tcPr>
            <w:tcW w:w="41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2,906,024</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2,814,629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2,364,583</w:t>
            </w:r>
          </w:p>
        </w:tc>
        <w:tc>
          <w:tcPr>
            <w:tcW w:w="22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Mutual funds in Peru grew 3% QoQ due to an increase in affiliations to fixed income funds, which grew industry-wide. Bolivia posted a significant 12.5% increase QoQ that was associated with improvements in commercial management, which focused on increasing sales visits to the country’s interior and achieving better synergies with the Bank’s trading room, which will help the Bank recover its market share in mutual funds. Finally, BCP’s mutual funds reported growth of 3.2% QoQ and a considerable 22.9% YoY.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NII grew +4.4% QoQ and +20.3% YoY. This expansion was due primarily to significant growth in interest on loans, which is in line with the +4.1% expansion posted in average daily loan balances. In this context, NIM remained solid at 4.96%.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4T12</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1Q12</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601,144</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580,566</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487,649</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3.5%</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23.3%</w:t>
            </w:r>
          </w:p>
        </w:tc>
      </w:tr>
      <w:tr>
        <w:trPr>
          <w:trHeight w:val="216"/>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Interest on loans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540,661</w:t>
            </w:r>
          </w:p>
        </w:tc>
        <w:tc>
          <w:tcPr>
            <w:tcW w:w="1220" w:type="dxa"/>
            <w:vAlign w:val="bottom"/>
          </w:tcPr>
          <w:p>
            <w:pPr>
              <w:jc w:val="right"/>
              <w:spacing w:after="0"/>
              <w:rPr>
                <w:sz w:val="20"/>
                <w:szCs w:val="20"/>
                <w:color w:val="auto"/>
              </w:rPr>
            </w:pPr>
            <w:r>
              <w:rPr>
                <w:rFonts w:ascii="Arial" w:cs="Arial" w:eastAsia="Arial" w:hAnsi="Arial"/>
                <w:sz w:val="18"/>
                <w:szCs w:val="18"/>
                <w:color w:val="auto"/>
              </w:rPr>
              <w:t>524,366</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431,162</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39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Interest and dividends on investments</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7,059</w:t>
            </w:r>
          </w:p>
        </w:tc>
        <w:tc>
          <w:tcPr>
            <w:tcW w:w="15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(512)</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6,392</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1478.7%</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Interest on deposits with banks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10,971</w:t>
            </w:r>
          </w:p>
        </w:tc>
        <w:tc>
          <w:tcPr>
            <w:tcW w:w="1220" w:type="dxa"/>
            <w:vAlign w:val="bottom"/>
          </w:tcPr>
          <w:p>
            <w:pPr>
              <w:jc w:val="right"/>
              <w:spacing w:after="0"/>
              <w:rPr>
                <w:sz w:val="20"/>
                <w:szCs w:val="20"/>
                <w:color w:val="auto"/>
              </w:rPr>
            </w:pPr>
            <w:r>
              <w:rPr>
                <w:rFonts w:ascii="Arial" w:cs="Arial" w:eastAsia="Arial" w:hAnsi="Arial"/>
                <w:sz w:val="18"/>
                <w:szCs w:val="18"/>
                <w:color w:val="auto"/>
              </w:rPr>
              <w:t>9,814</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8,619</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39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Interest on trading securities</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41,675</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39,088</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39,006</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Other interest income</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778</w:t>
            </w:r>
          </w:p>
        </w:tc>
        <w:tc>
          <w:tcPr>
            <w:tcW w:w="1220" w:type="dxa"/>
            <w:vAlign w:val="bottom"/>
          </w:tcPr>
          <w:p>
            <w:pPr>
              <w:jc w:val="right"/>
              <w:spacing w:after="0"/>
              <w:rPr>
                <w:sz w:val="20"/>
                <w:szCs w:val="20"/>
                <w:color w:val="auto"/>
              </w:rPr>
            </w:pPr>
            <w:r>
              <w:rPr>
                <w:rFonts w:ascii="Arial" w:cs="Arial" w:eastAsia="Arial" w:hAnsi="Arial"/>
                <w:sz w:val="18"/>
                <w:szCs w:val="18"/>
                <w:color w:val="auto"/>
              </w:rPr>
              <w:t>7,810</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2,470</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189,241</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186,147</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145,150</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30.4%</w:t>
            </w:r>
          </w:p>
        </w:tc>
      </w:tr>
      <w:tr>
        <w:trPr>
          <w:trHeight w:val="216"/>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Interest on deposits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78,432</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69,850</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56,643</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39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Interest on borrowed funds</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35,385</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38,197</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28,115</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Interest on bonds and subordinated note</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58,418</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57,720</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50,077</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39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Other interest expense</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17,006</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20,380</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10,315</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64.9%</w:t>
            </w:r>
          </w:p>
        </w:tc>
      </w:tr>
      <w:tr>
        <w:trPr>
          <w:trHeight w:val="210"/>
        </w:trPr>
        <w:tc>
          <w:tcPr>
            <w:tcW w:w="39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411,903</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394,419</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342,499</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33,191,902</w:t>
            </w:r>
          </w:p>
        </w:tc>
        <w:tc>
          <w:tcPr>
            <w:tcW w:w="30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31,140,485</w:t>
            </w:r>
          </w:p>
        </w:tc>
        <w:tc>
          <w:tcPr>
            <w:tcW w:w="30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26,562,431</w:t>
            </w:r>
          </w:p>
        </w:tc>
        <w:tc>
          <w:tcPr>
            <w:tcW w:w="30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6.6</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Net interest margin*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*Annualized.</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NII increased 4.4% QoQ, which was due primarily to:</w:t>
      </w:r>
    </w:p>
    <w:p>
      <w:pPr>
        <w:spacing w:after="0" w:line="225" w:lineRule="exact"/>
        <w:rPr>
          <w:sz w:val="20"/>
          <w:szCs w:val="20"/>
          <w:color w:val="auto"/>
        </w:rPr>
      </w:pPr>
    </w:p>
    <w:p>
      <w:pPr>
        <w:jc w:val="both"/>
        <w:ind w:left="760" w:hanging="320"/>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3.1% QoQ expansion in interest on loans was consistent with the 4.1% growth seen in average daily loan balances, which increased due to the favorable evolution of Wholesale Banking (+4.0% ) and Retail Banking (+3.8% QoQ). It is important to note that the excellent evolution of interest on loans would have been even more outstanding if local currency had not devaluated given that 70% of this income is denominated in local currency; and</w:t>
      </w:r>
    </w:p>
    <w:p>
      <w:pPr>
        <w:spacing w:after="0" w:line="186"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Dividend income on investments - which is generally perceived in the first quarter of the year- due primarily to dividends from BCI Chile.</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aforementioned offset the increase in interest expenses (+1.7% QoQ), which was associated primarily with higher interest on deposits. This was in line with the significant expansion reported in this funding source, whose growth was led by time deposits (+18.7% QoQ) and savings deposits (+3.1% QoQ).</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remember that if we extract the effect of the devaluation of the Nuevo Sol, NII grew +5.7% QoQ. This reflects the excellent evolution of our business, which expanded mainly due to growth in Retail Banking. Net interest income would have increased +4.7% QoQ (vs +3.5% QoQ if we include the effect of the devaluation of the Nuevo Sol) while expenses would have increased +2.4% QoQ (vs +1.7% QoQ considering the effect of the devaluation of the Nuevo Sol).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regard to NIM, average earning assets this quarter increased significantly (+6.6% QoQ). This was due primarily to growth in deposits in others banks in the country and abroad as well as the increase in investments in BCR CDs, whose profitability includes a tax benefit that is not reflected in the NIM. Consequently, the NIM fell slightly from 5.07% at the end of 4Q12 to 4.96% at the end of 1Q13. Nevertheless, an analysis of the NIM on loans reveals an excellent level of 8.15%, which represents a 16 bps improvement over the 7.99% reported last quarter that is attributable to the good evolution of interest on loans.</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2138680</wp:posOffset>
            </wp:positionH>
            <wp:positionV relativeFrom="page">
              <wp:posOffset>568960</wp:posOffset>
            </wp:positionV>
            <wp:extent cx="5265420" cy="2495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6542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II.4 Past Due Loan Portfolio and Total Provisions for Loan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PDL portfolio increased 15.2% QoQ due to higher delinquency in SME (+19.9%), Consumer (+18.2%) and Credit Cards (+11.1%) segments, which caused the PDL ratio to increase to 2.04% (+26 bps). It is important to note that the increase in delinquency in these segments is explained mainly by the maturation of vintages granted prior to the changes made in the Bank’s credit policy. Post-adjustment vintages of credit card and consumer loans show a clear improvement in delinquencies.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4Q12</w:t>
            </w:r>
          </w:p>
        </w:tc>
        <w:tc>
          <w:tcPr>
            <w:tcW w:w="3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(105,404)</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(114,327)</w:t>
            </w:r>
          </w:p>
        </w:tc>
        <w:tc>
          <w:tcPr>
            <w:tcW w:w="3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(80,589)</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10,732</w:t>
            </w:r>
          </w:p>
        </w:tc>
        <w:tc>
          <w:tcPr>
            <w:tcW w:w="1220" w:type="dxa"/>
            <w:vAlign w:val="bottom"/>
          </w:tcPr>
          <w:p>
            <w:pPr>
              <w:jc w:val="right"/>
              <w:spacing w:after="0"/>
              <w:rPr>
                <w:sz w:val="20"/>
                <w:szCs w:val="20"/>
                <w:color w:val="auto"/>
              </w:rPr>
            </w:pPr>
            <w:r>
              <w:rPr>
                <w:rFonts w:ascii="Arial" w:cs="Arial" w:eastAsia="Arial" w:hAnsi="Arial"/>
                <w:sz w:val="18"/>
                <w:szCs w:val="18"/>
                <w:color w:val="auto"/>
              </w:rPr>
              <w:t>11,244</w:t>
            </w:r>
          </w:p>
        </w:tc>
        <w:tc>
          <w:tcPr>
            <w:tcW w:w="300" w:type="dxa"/>
            <w:vAlign w:val="bottom"/>
          </w:tcPr>
          <w:p>
            <w:pPr>
              <w:spacing w:after="0"/>
              <w:rPr>
                <w:sz w:val="19"/>
                <w:szCs w:val="19"/>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10,747</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39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(94,672</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(103,083</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(69,842</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35.6</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9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59,310</w:t>
            </w:r>
          </w:p>
        </w:tc>
        <w:tc>
          <w:tcPr>
            <w:tcW w:w="30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88,234</w:t>
            </w:r>
          </w:p>
        </w:tc>
        <w:tc>
          <w:tcPr>
            <w:tcW w:w="30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35,108</w:t>
            </w:r>
          </w:p>
        </w:tc>
        <w:tc>
          <w:tcPr>
            <w:tcW w:w="28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r>
      <w:tr>
        <w:trPr>
          <w:trHeight w:val="21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Annualized net provisions / Total loans</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1.8%</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2.0%</w:t>
            </w:r>
          </w:p>
        </w:tc>
        <w:tc>
          <w:tcPr>
            <w:tcW w:w="15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FFCC"/>
          </w:tcPr>
          <w:p>
            <w:pPr>
              <w:spacing w:after="0"/>
              <w:rPr>
                <w:sz w:val="18"/>
                <w:szCs w:val="18"/>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Net Provisions / Net Interest Income</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23.0%</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r>
      <w:tr>
        <w:trPr>
          <w:trHeight w:val="210"/>
        </w:trPr>
        <w:tc>
          <w:tcPr>
            <w:tcW w:w="39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20,905,587</w:t>
            </w:r>
          </w:p>
        </w:tc>
        <w:tc>
          <w:tcPr>
            <w:tcW w:w="3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20,754,941</w:t>
            </w:r>
          </w:p>
        </w:tc>
        <w:tc>
          <w:tcPr>
            <w:tcW w:w="3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17,570,093</w:t>
            </w:r>
          </w:p>
        </w:tc>
        <w:tc>
          <w:tcPr>
            <w:tcW w:w="28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9"/>
              </w:rPr>
              <w:t>%</w:t>
            </w:r>
          </w:p>
        </w:tc>
      </w:tr>
      <w:tr>
        <w:trPr>
          <w:trHeight w:val="210"/>
        </w:trPr>
        <w:tc>
          <w:tcPr>
            <w:tcW w:w="39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Reserve for loan losses (RLL)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737,664</w:t>
            </w:r>
          </w:p>
        </w:tc>
        <w:tc>
          <w:tcPr>
            <w:tcW w:w="30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698,395</w:t>
            </w:r>
          </w:p>
        </w:tc>
        <w:tc>
          <w:tcPr>
            <w:tcW w:w="30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563,233</w:t>
            </w:r>
          </w:p>
        </w:tc>
        <w:tc>
          <w:tcPr>
            <w:tcW w:w="28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r>
      <w:tr>
        <w:trPr>
          <w:trHeight w:val="21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426,811</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370,338</w:t>
            </w:r>
          </w:p>
        </w:tc>
        <w:tc>
          <w:tcPr>
            <w:tcW w:w="3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299,397</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Refinanced and restructured loans (RRL)</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135,499</w:t>
            </w:r>
          </w:p>
        </w:tc>
        <w:tc>
          <w:tcPr>
            <w:tcW w:w="1220" w:type="dxa"/>
            <w:vAlign w:val="bottom"/>
          </w:tcPr>
          <w:p>
            <w:pPr>
              <w:jc w:val="right"/>
              <w:spacing w:after="0"/>
              <w:rPr>
                <w:sz w:val="20"/>
                <w:szCs w:val="20"/>
                <w:color w:val="auto"/>
              </w:rPr>
            </w:pPr>
            <w:r>
              <w:rPr>
                <w:rFonts w:ascii="Arial" w:cs="Arial" w:eastAsia="Arial" w:hAnsi="Arial"/>
                <w:sz w:val="18"/>
                <w:szCs w:val="18"/>
                <w:color w:val="auto"/>
              </w:rPr>
              <w:t>141,736</w:t>
            </w:r>
          </w:p>
        </w:tc>
        <w:tc>
          <w:tcPr>
            <w:tcW w:w="30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99,942</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Non-performing loans (NPLs) (1)</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562,310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512,074</w:t>
            </w:r>
          </w:p>
        </w:tc>
        <w:tc>
          <w:tcPr>
            <w:tcW w:w="3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399,339</w:t>
            </w:r>
          </w:p>
        </w:tc>
        <w:tc>
          <w:tcPr>
            <w:tcW w:w="15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39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PDL ratio at 90 days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CCFFCC"/>
            </w:tcBorders>
          </w:tcPr>
          <w:p>
            <w:pPr>
              <w:spacing w:after="0"/>
              <w:rPr>
                <w:sz w:val="19"/>
                <w:szCs w:val="19"/>
                <w:color w:val="auto"/>
              </w:rPr>
            </w:pPr>
          </w:p>
        </w:tc>
        <w:tc>
          <w:tcPr>
            <w:tcW w:w="280" w:type="dxa"/>
            <w:vAlign w:val="bottom"/>
            <w:tcBorders>
              <w:bottom w:val="single" w:sz="8" w:color="CCFFCC"/>
            </w:tcBorders>
          </w:tcPr>
          <w:p>
            <w:pPr>
              <w:spacing w:after="0"/>
              <w:rPr>
                <w:sz w:val="19"/>
                <w:szCs w:val="19"/>
                <w:color w:val="auto"/>
              </w:rPr>
            </w:pPr>
          </w:p>
        </w:tc>
        <w:tc>
          <w:tcPr>
            <w:tcW w:w="360" w:type="dxa"/>
            <w:vAlign w:val="bottom"/>
            <w:tcBorders>
              <w:top w:val="single" w:sz="8" w:color="auto"/>
              <w:bottom w:val="single" w:sz="8" w:color="CCFFCC"/>
            </w:tcBorders>
          </w:tcPr>
          <w:p>
            <w:pPr>
              <w:spacing w:after="0"/>
              <w:rPr>
                <w:sz w:val="19"/>
                <w:szCs w:val="19"/>
                <w:color w:val="auto"/>
              </w:rPr>
            </w:pPr>
          </w:p>
        </w:tc>
        <w:tc>
          <w:tcPr>
            <w:tcW w:w="860" w:type="dxa"/>
            <w:vAlign w:val="bottom"/>
            <w:tcBorders>
              <w:top w:val="single" w:sz="8" w:color="auto"/>
              <w:bottom w:val="single" w:sz="8" w:color="CCFFCC"/>
            </w:tcBorders>
          </w:tcPr>
          <w:p>
            <w:pPr>
              <w:spacing w:after="0"/>
              <w:rPr>
                <w:sz w:val="19"/>
                <w:szCs w:val="19"/>
                <w:color w:val="auto"/>
              </w:rPr>
            </w:pPr>
          </w:p>
        </w:tc>
        <w:tc>
          <w:tcPr>
            <w:tcW w:w="180" w:type="dxa"/>
            <w:vAlign w:val="bottom"/>
            <w:tcBorders>
              <w:bottom w:val="single" w:sz="8" w:color="CCFFCC"/>
            </w:tcBorders>
          </w:tcPr>
          <w:p>
            <w:pPr>
              <w:spacing w:after="0"/>
              <w:rPr>
                <w:sz w:val="19"/>
                <w:szCs w:val="19"/>
                <w:color w:val="auto"/>
              </w:rPr>
            </w:pPr>
          </w:p>
        </w:tc>
      </w:tr>
      <w:tr>
        <w:trPr>
          <w:trHeight w:val="21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PDL ratio</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5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172.8%</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188.6%</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188.1%</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131.2%</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136.4%</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141.0%</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0</wp:posOffset>
            </wp:positionV>
            <wp:extent cx="2718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NPLs: Non-performing loans = Past due loans + Refinanced and restructued loans. NPL Ratio = NPLs / Total loans.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provisions for loan losses totaled US$ 94.7 million, which represented 1.81% of total loans. Provision expenses this Q represented 23% of NII (vs. 26.1% last quarter). The 8.2% QoQ reduction is related to a decrease in charge offs this quarter (US$ 59.3 million in 1Q13 vs US$ 88.2 million in 4Q12).</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It is important to note that although provisions expenses fell, the stock of provisions increased at a higher rate than that recorded in 4Q12. The provisions stock at the end of 1Q13 reported an increase of +5.6% QoQ and was situated at US$ 737.7 million; nevertheless, higher growth in the past due portfolio (+15.2% QoQ), and to a lesser extent in the non-performing portfolio (+9.8% QoQ), explain the drop seen in the coverage ratios for the past due and non-performing portfolios (172.8% y 131.2%, respectively). Regardless, these ratios remain at comfortable levels and are within BCP’s internal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0" w:lineRule="exact"/>
        <w:rPr>
          <w:sz w:val="20"/>
          <w:szCs w:val="20"/>
          <w:color w:val="auto"/>
        </w:rPr>
      </w:pPr>
    </w:p>
    <w:p>
      <w:pPr>
        <w:ind w:right="280" w:firstLine="8"/>
        <w:spacing w:after="0" w:line="194"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Until 4Q12, total earning assets included current loans (including refinanced and restructured loans). Since 1Q13, total earning assets include total loans, meaning current loans and past due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137160</wp:posOffset>
            </wp:positionV>
            <wp:extent cx="515429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5429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923"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2610485</wp:posOffset>
            </wp:positionH>
            <wp:positionV relativeFrom="page">
              <wp:posOffset>998220</wp:posOffset>
            </wp:positionV>
            <wp:extent cx="4793615" cy="256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9361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standard PDL ratio increased 26 pbs to situate at a level of 2.04% at the end of the quarter (vs. 1.78% at the end of 4Q12) while the PDL ratio at 90 days increased 21 bps, going from 1.14% to 1.35%. This was due primarily to (i) the maturation of credit cards, consumer and SME vintages (they are reaching the peak of PDL ratio) that were conceded prior to the adjustments made to the bank’s credit policy at the end of 2Q12 (credit cards and consumer loans) and September 2012 (SME) as will be explained later on; and (ii) the seasonality that affects the past due portfolio every 1Q, which tends to register the highest quarterly growth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evolution of the past due portfolio by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152400</wp:posOffset>
            </wp:positionV>
            <wp:extent cx="3807460" cy="2521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0746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When analyzing the evolution of the past due ratio by banking segment and product, it is important to remember that:</w:t>
      </w:r>
    </w:p>
    <w:p>
      <w:pPr>
        <w:spacing w:after="0" w:line="225" w:lineRule="exact"/>
        <w:rPr>
          <w:sz w:val="20"/>
          <w:szCs w:val="20"/>
          <w:color w:val="auto"/>
        </w:rPr>
      </w:pPr>
    </w:p>
    <w:p>
      <w:pPr>
        <w:jc w:val="both"/>
        <w:ind w:left="1140" w:hanging="376"/>
        <w:spacing w:after="0" w:line="276"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increase in the PDL ratio for credit cards, which rose from 4.7% to 5.3%, came mainly from vintages issued between mid-2011 and May 2012 (prior to the adjustments in the credit policy that were instituted in July 2012) that are reaching the 24-month maturation period (the period that takes to reach the peak in PDL ratio). As such, we can expect that the impact of pre-adjustment vintages will continue to be apparent throughout the year but in increasingly smaller measures. It is important to note that the analysis of post-adjustment vintages clearly indicates an improvement in the PDL ratio, which is following a downward trend.</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ind w:left="1140" w:hanging="376"/>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consumer segment, where the PDL ratio rose from 2.1% to 2.4%, the maturation period is shorter (12 months), which means that the effect of pre-adjustment vintages (July 2011 to May 2012) should have an impact only until 2Q13. An analysis of post-adjustment impacts also shows a clear improvement in this segment’s delinquency.</w:t>
      </w:r>
    </w:p>
    <w:p>
      <w:pPr>
        <w:spacing w:after="0" w:line="181" w:lineRule="exact"/>
        <w:rPr>
          <w:rFonts w:ascii="Arial" w:cs="Arial" w:eastAsia="Arial" w:hAnsi="Arial"/>
          <w:sz w:val="18"/>
          <w:szCs w:val="18"/>
          <w:color w:val="auto"/>
        </w:rPr>
      </w:pPr>
    </w:p>
    <w:p>
      <w:pPr>
        <w:jc w:val="both"/>
        <w:ind w:left="1140" w:hanging="376"/>
        <w:spacing w:after="0" w:line="276"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increase in delinquency in the SME segment (from 5.7% to 6.8%) also corresponds primarily to the impact of the 24-month maturation period of pre-adjustment vintages (July 2011 - August 2012). Unlike credit cards and consumer loans, the increase in the delinquency in the SME segment occurred recently in August 2012, which led to some adjustments in September, but an analysis of this segment is underway to identify potential further improvements. Although some improvement is evident in the delinquency level of post-adjustment vintages, it is still too early to know if the segment has reached a turning point or if more adjustments are required.</w:t>
      </w:r>
    </w:p>
    <w:p>
      <w:pPr>
        <w:spacing w:after="0" w:line="172" w:lineRule="exact"/>
        <w:rPr>
          <w:rFonts w:ascii="Arial" w:cs="Arial" w:eastAsia="Arial" w:hAnsi="Arial"/>
          <w:sz w:val="17"/>
          <w:szCs w:val="17"/>
          <w:color w:val="auto"/>
        </w:rPr>
      </w:pPr>
    </w:p>
    <w:p>
      <w:pPr>
        <w:ind w:left="114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mortgage loan portfolio registered a slight increase in its past due ratio, which went from 1.1% at the end of December to 1.2% at the end of March 2013.</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PDL ratio at Edyficar, which has experienced inter-annual growth that tops 40%, held at 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Banking service commissions continued to grow at an excellent rate (+7.2% QoQ, +14% YoY), which helped attenuate the decline reported in gains on sales of securities (-75.9% QoQ, -36.2% YoY).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720"/>
              <w:spacing w:after="0"/>
              <w:rPr>
                <w:sz w:val="20"/>
                <w:szCs w:val="20"/>
                <w:color w:val="auto"/>
              </w:rPr>
            </w:pPr>
            <w:r>
              <w:rPr>
                <w:rFonts w:ascii="Arial" w:cs="Arial" w:eastAsia="Arial" w:hAnsi="Arial"/>
                <w:sz w:val="18"/>
                <w:szCs w:val="18"/>
                <w:b w:val="1"/>
                <w:bCs w:val="1"/>
                <w:color w:val="auto"/>
                <w:w w:val="94"/>
              </w:rPr>
              <w:t>Change %</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Banking services commissions</w:t>
            </w:r>
          </w:p>
        </w:tc>
        <w:tc>
          <w:tcPr>
            <w:tcW w:w="1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161,794</w:t>
            </w:r>
          </w:p>
        </w:tc>
        <w:tc>
          <w:tcPr>
            <w:tcW w:w="2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150,940</w:t>
            </w:r>
          </w:p>
        </w:tc>
        <w:tc>
          <w:tcPr>
            <w:tcW w:w="2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141,985</w:t>
            </w: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47,930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49,178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39,330</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48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8,703</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36,078</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13,647</w:t>
            </w:r>
          </w:p>
        </w:tc>
        <w:tc>
          <w:tcPr>
            <w:tcW w:w="12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-75.9%</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11,906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5,949</w:t>
            </w:r>
          </w:p>
        </w:tc>
        <w:tc>
          <w:tcPr>
            <w:tcW w:w="980" w:type="dxa"/>
            <w:vAlign w:val="bottom"/>
          </w:tcPr>
          <w:p>
            <w:pPr>
              <w:jc w:val="right"/>
              <w:spacing w:after="0"/>
              <w:rPr>
                <w:sz w:val="20"/>
                <w:szCs w:val="20"/>
                <w:color w:val="auto"/>
              </w:rPr>
            </w:pPr>
            <w:r>
              <w:rPr>
                <w:rFonts w:ascii="Arial" w:cs="Arial" w:eastAsia="Arial" w:hAnsi="Arial"/>
                <w:sz w:val="18"/>
                <w:szCs w:val="18"/>
                <w:color w:val="auto"/>
              </w:rPr>
              <w:t>3,737</w:t>
            </w:r>
          </w:p>
        </w:tc>
        <w:tc>
          <w:tcPr>
            <w:tcW w:w="200" w:type="dxa"/>
            <w:vAlign w:val="bottom"/>
          </w:tcPr>
          <w:p>
            <w:pPr>
              <w:spacing w:after="0"/>
              <w:rPr>
                <w:sz w:val="19"/>
                <w:szCs w:val="19"/>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218.6%</w:t>
            </w:r>
          </w:p>
        </w:tc>
      </w:tr>
      <w:tr>
        <w:trPr>
          <w:trHeight w:val="210"/>
        </w:trPr>
        <w:tc>
          <w:tcPr>
            <w:tcW w:w="48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230,333</w:t>
            </w:r>
          </w:p>
        </w:tc>
        <w:tc>
          <w:tcPr>
            <w:tcW w:w="2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242,145</w:t>
            </w:r>
          </w:p>
        </w:tc>
        <w:tc>
          <w:tcPr>
            <w:tcW w:w="2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198,699</w:t>
            </w:r>
          </w:p>
        </w:tc>
        <w:tc>
          <w:tcPr>
            <w:tcW w:w="20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15.9</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Banking service commissions, which are this business's main source of income, continued to expand. This was due to the solid presence of Wholesale Banking and an increase in transactional activity in Retail Banking, which has made strides in implementing the BCP's policy to increase banking penetration. The favorable evolution of fees helped significantly offset the decline in gains on sales of securities and a slight drop in the net gain on foreign exchange transactions. Other income increased this Q, which was due primarily to a reversal of excess provisions for additional profit sharing for employees after the corresponding payments were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decrease in gains on sales of securities (-75.9% QoQ) is due primarily to the following factors: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1Q13, the gains/losses on valuations for derivatives from Correval (-US$ 7 million this quarter) are registered in gains on sales of securities, while until 4Q12 the valuations were registered in other interest expenses. This reclassification presents a clearer picture of the net results of derivatives with regard to the investments they hedge.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4Q12, gains on sales of securities included the results for January-October at Credibolsa, Credifondo and Creditítulos. These gains totaled approximately US$16 million, and reflect the fact that these businesses have been spun off to BCP Capital S.A.A. In 1Q13, the income posted by the spun-off block is no longer reported.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Distribution Channels and Transactions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transactions this quarter fell slightly QoQ (-1.1%). This was due primarily to the fact that seasonal factors boost the result for 4Q, which is characterized by an increase in consumption. The drop in transactions is due primarily to a reduction in the transactions channeled through Telecredito (-7.6% QoQ), Points of Sale P.O.S. (-6.5% QoQ), Tellers (-3.7% QoQ) and ATMs (-2.4% QoQ).</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YoY analysis indicates that the average transaction volume grew +18.6%, which is in line with the expansion posted in the economy and financial activity. This significant growth was seen primarily in operations channeled through Agente BCP (+30.3%), ViaBCP Internet Banking (+19.8%) and ATMs (+16.9%), which are cost-efficient channels that represent 58.1% of the Bank’s total transactions in terms of monthly averages.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9"/>
              </w:rPr>
              <w:t>Monthly average in each 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of Transactions per channel</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Teller</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10,808,150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13.7%</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11,224,658</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14.1%</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9,839,050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14.8%</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-3.7%</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9.8%</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ATMs Via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14,121,501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14,469,188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12,083,365</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Balance Inquiries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4,163,204</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3,784,401</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3,580,719</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10.0%</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16.3%</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2,774,165</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3,071,021</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2,389,736</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-9.7%</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Internet Banking Via BCP</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16,878,034</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16,365,183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20.5%</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14,084,566</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19.8%</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14,730,204</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14,496,471</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11,306,748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Telecrédito</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6,630,577</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7,174,307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5,891,423</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-7.6%</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12.5%</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1,323,790</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1,271,945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800,407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65.4%</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Direct Debit</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600,039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574,402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512,093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4.5%</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17.2%</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6,402,388</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6,847,910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5,618,654</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-6.5%</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w:t>
            </w: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ATMs network</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324,117</w:t>
            </w:r>
          </w:p>
        </w:tc>
        <w:tc>
          <w:tcPr>
            <w:tcW w:w="2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356,546</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321,770</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0.5%</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-9.1%</w:t>
            </w:r>
          </w:p>
        </w:tc>
        <w:tc>
          <w:tcPr>
            <w:tcW w:w="24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0.7%</w:t>
            </w:r>
          </w:p>
        </w:tc>
      </w:tr>
      <w:tr>
        <w:trPr>
          <w:trHeight w:val="157"/>
        </w:trPr>
        <w:tc>
          <w:tcPr>
            <w:tcW w:w="33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transactions</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78,756,168</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79,636,032</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66,428,532</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-1.1</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18.6</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0425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distribution channels continue to post sustained growth. At the end of 4Q12, the Bank had 7,922 points of access, which is in line with its plan to increase banking penetration in the country. This represents an increase of +4.4% QoQ and +21.9% YoY that was led, in absolute terms, by Agentes BCP (+4.3% QoQ and +22.2% YoY) and to a lesser extent by ATMs (+5.3% QoQ and 24.2% YoY). Thus far this year, the Bank has increased its branch number by 23 in net terms.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Balance as of</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Change %</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84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1Q13</w:t>
            </w: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1,844</w:t>
            </w:r>
          </w:p>
        </w:tc>
        <w:tc>
          <w:tcPr>
            <w:tcW w:w="980" w:type="dxa"/>
            <w:vAlign w:val="bottom"/>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5,627</w:t>
            </w:r>
          </w:p>
        </w:tc>
        <w:tc>
          <w:tcPr>
            <w:tcW w:w="13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5,713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3"/>
              </w:rPr>
              <w:t>-1.5%</w:t>
            </w:r>
          </w:p>
        </w:tc>
        <w:tc>
          <w:tcPr>
            <w:tcW w:w="2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r>
      <w:tr>
        <w:trPr>
          <w:trHeight w:val="225"/>
        </w:trPr>
        <w:tc>
          <w:tcPr>
            <w:tcW w:w="4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7,922</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6,986</w:t>
            </w: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-8890</wp:posOffset>
            </wp:positionV>
            <wp:extent cx="36874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Operating expenses fell -5.1% QoQ. This was due primarily to the seasonal effects that are present in the last quarter of every year as well as the impact of the devaluation of the Nuevo Sol against the US Dollar. In this context the efficiency ratio improved substantially, going from 55.7% in 4Q12 to 50.6% at the end of this quarter.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Change %</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4Q12</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1Q12</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173,642</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171,307</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139,042</w:t>
            </w: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115,708</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135,347</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85,255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25,423</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24,577</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23,653</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11,233</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12,330</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9,300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10"/>
        </w:trPr>
        <w:tc>
          <w:tcPr>
            <w:tcW w:w="50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326,006</w:t>
            </w:r>
          </w:p>
        </w:tc>
        <w:tc>
          <w:tcPr>
            <w:tcW w:w="30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343,561</w:t>
            </w:r>
          </w:p>
        </w:tc>
        <w:tc>
          <w:tcPr>
            <w:tcW w:w="30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257,250</w:t>
            </w:r>
          </w:p>
        </w:tc>
        <w:tc>
          <w:tcPr>
            <w:tcW w:w="30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26.7</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0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Income (1)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621,627</w:t>
            </w:r>
          </w:p>
        </w:tc>
        <w:tc>
          <w:tcPr>
            <w:tcW w:w="30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594,537</w:t>
            </w:r>
          </w:p>
        </w:tc>
        <w:tc>
          <w:tcPr>
            <w:tcW w:w="30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523,814</w:t>
            </w:r>
          </w:p>
        </w:tc>
        <w:tc>
          <w:tcPr>
            <w:tcW w:w="30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Efficiency ratio (2)</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50.6</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55.7</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47.3</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bl>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Other expenses are not included in the efficiency ratio calculation.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Operating expenses fell -5.1% QoQ due to a drop in administrative expenses (-14.5% QoQ), which were higher in 4Q due to a seasonality at year-end.</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Administrative and general expenses declined, which was primarily due to lower costs in the following areas: Marketing (-32.9% QoQ), due to seasonality at year-end; Programming and Systems (-37.3%) due to lower expenses for equipment maintenance (Hardware); and a decline in expenses for Consultancy (-47.7%) given that 4Q12 included the cost of a consultancy project with Oliver Wyman. All of the aforementioned was slightly attenuated by an increase in expenses in Systems, which were directly related to contracts with IBM, TCS and Everis (+8.1% QoQ).</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Salaries and employee benefits rose (+1.4% QoQ) due to an increase in compensation levels (higher fixed remuneration) at the Bank and Edyficar. These increases are associated with the Bank’s on-going efforts to capture talent to sustain business growth.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approximate 72% of the Bank’s operating expenses are denominated in Nuevos Soles. As such, the devaluation of the Nuevo Sol against the US Dollar had a positive impact on expenses and explains 23% of the decline reported the same.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annual terms, operating expenses increased 26.7% YoY due to: ii) growth in salaries and employee benefits, which corresponded to an increase in the number of employees (from 18,993 at the end of March 2012 to 22,833 at the end of March 2013) to cover business growth and ii) the increase in administrative expenses (+35.7%), which are primarily associated with expenses relative to the aforementioned systems contracts. Additionally, in the analysis of the YoY evolution, it is important to consider the effect that the purchase of Correval had on operating expenses given that if we extract this impact, the operating expenses would have grown 20.8% YoY (salaries would have increased +16.7% YoY instead of 24.9% including Correval) and administrative expenses would have increased +31.2% YoY instead of 35.7%).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on the administrative expenses and their respective quarterly variations: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0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14,000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12.1%</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20,866</w:t>
            </w: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15.4%</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12,695</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14.9%</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-32.9%</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10.3%</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8,920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14,223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10,114</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-37.3%</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Systems Outsourcing</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9,988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9,238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6.8%</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Transport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8,150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10,906</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6,702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-25.3%</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Maintenance</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3,794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5,466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3,147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-30.6%</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20.6%</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Communications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6,393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5,713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4,197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52.3%</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Consulting</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4,776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9,125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4,279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-47.7%</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11.6%</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Others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31,648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37,515</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26,269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-15.6%</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Taxes and contributions</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12,670</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11.0%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5,137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8,967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146.6%</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41.3%</w:t>
            </w: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color w:val="auto"/>
              </w:rPr>
              <w:t>Other subsidiaries and eliminations, net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15,370</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13.3%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17,158</w:t>
            </w:r>
          </w:p>
        </w:tc>
        <w:tc>
          <w:tcPr>
            <w:tcW w:w="2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12.7%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8,892</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10.4%</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72.8%</w:t>
            </w:r>
          </w:p>
        </w:tc>
      </w:tr>
      <w:tr>
        <w:trPr>
          <w:trHeight w:val="142"/>
        </w:trPr>
        <w:tc>
          <w:tcPr>
            <w:tcW w:w="33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Administrative Expenses</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115,708</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135,347</w:t>
            </w:r>
          </w:p>
        </w:tc>
        <w:tc>
          <w:tcPr>
            <w:tcW w:w="20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85,255</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-14.5</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35.7</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II.7 Net Shareholders’ Equity and Regulatory Capital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BCP reported a ROAE of 20.8% in 1Q13, which falls below 4Q12’s result due to a drop in earnings (-17% QoQ), which was slightly attenuated by a decline in net shareholders’ equity (-3% QoQ) after the dividends agreed on in the Annual General Shareholders’ Meeting were distributed. Both the BIS Ratio and Tier I and Tier I Common remained at levels similar to those seen last quarter.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8"/>
              </w:rPr>
              <w:t>Quarter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Change %</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4Q12</w:t>
            </w:r>
          </w:p>
        </w:tc>
        <w:tc>
          <w:tcPr>
            <w:tcW w:w="3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1Q12</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1,237,632</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ind w:left="420"/>
              <w:spacing w:after="0"/>
              <w:rPr>
                <w:sz w:val="20"/>
                <w:szCs w:val="20"/>
                <w:color w:val="auto"/>
              </w:rPr>
            </w:pPr>
            <w:r>
              <w:rPr>
                <w:rFonts w:ascii="Arial" w:cs="Arial" w:eastAsia="Arial" w:hAnsi="Arial"/>
                <w:sz w:val="18"/>
                <w:szCs w:val="18"/>
                <w:color w:val="auto"/>
                <w:w w:val="86"/>
              </w:rPr>
              <w:t>986,697</w:t>
            </w: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788,325</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700,491</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711,685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167,256</w:t>
            </w:r>
          </w:p>
        </w:tc>
        <w:tc>
          <w:tcPr>
            <w:tcW w:w="130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152,209</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160,283</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357,487</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274,596</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274,974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141,947</w:t>
            </w:r>
          </w:p>
        </w:tc>
        <w:tc>
          <w:tcPr>
            <w:tcW w:w="130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661,358</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170,619</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-78.5%</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-16.8%</w:t>
            </w:r>
          </w:p>
        </w:tc>
      </w:tr>
      <w:tr>
        <w:trPr>
          <w:trHeight w:val="210"/>
        </w:trPr>
        <w:tc>
          <w:tcPr>
            <w:tcW w:w="50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2,692,647</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2,775,351</w:t>
            </w:r>
          </w:p>
        </w:tc>
        <w:tc>
          <w:tcPr>
            <w:tcW w:w="3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2,337,052</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20.8</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25.2</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29.2</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r>
        <w:trPr>
          <w:trHeight w:val="642"/>
        </w:trPr>
        <w:tc>
          <w:tcPr>
            <w:tcW w:w="4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w w:val="79"/>
              </w:rPr>
              <w:t>19</w:t>
            </w:r>
          </w:p>
        </w:tc>
      </w:tr>
    </w:tbl>
    <w:p>
      <w:pPr>
        <w:sectPr>
          <w:pgSz w:w="11900" w:h="16838" w:orient="portrait"/>
          <w:cols w:equalWidth="0" w:num="1">
            <w:col w:w="11420"/>
          </w:cols>
          <w:pgMar w:left="240" w:top="1440" w:right="239" w:bottom="1440" w:gutter="0" w:footer="0" w:header="0"/>
        </w:sectPr>
      </w:pPr>
    </w:p>
    <w:bookmarkStart w:id="19" w:name="page20"/>
    <w:bookmarkEnd w:id="1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Net shareholders’ equity fell -3% QoQ due to the decision to distribute dividends for S/. 0.20 per share (approved by the Annual General Shareholders’ Meeting). This drop in net shareholders’ equity attenuated the decline posted in ROAE, which fell from 25.2% in 4Q12 to 20.8% at the end of 1Q13 due to a decrease in net income (-17% QoQ).</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adequacy ratio (BIS) fell slightly from 14.72% in 4Q12 to 14.65% in 1Q13. It is important to note that this ratio falls within the legal limit of 10% and our internal limit of 13.75%. This minimal decline is due to expansion in total risk-weighted assets (+3% QoQ), which grew at a higher rate than regulatory capital (+2.5% QoQ). It is important to note that at the Annual Shareholders’ Meeting, the Bank agreed to increase its capital stock and legal reserves.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TIER 1 and TIER 1 Common ratios fell within established limits (going from 10.11% in 4Q12 to 10.30% in 1Q13 in the case of TIER 1 and from 8.52% in 4Q12 to 8.5% in the case of TIER 1 Common). Both ratios are above our internal limits, which are situated at 8.5% and 8%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86"/>
              </w:rPr>
              <w:t>Balance as of</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Change %</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80" w:type="dxa"/>
            <w:vAlign w:val="bottom"/>
            <w:gridSpan w:val="3"/>
          </w:tcPr>
          <w:p>
            <w:pPr>
              <w:spacing w:after="0"/>
              <w:rPr>
                <w:sz w:val="20"/>
                <w:szCs w:val="20"/>
                <w:color w:val="auto"/>
              </w:rPr>
            </w:pPr>
            <w:r>
              <w:rPr>
                <w:rFonts w:ascii="Arial" w:cs="Arial" w:eastAsia="Arial" w:hAnsi="Arial"/>
                <w:sz w:val="18"/>
                <w:szCs w:val="18"/>
                <w:color w:val="auto"/>
              </w:rPr>
              <w:t>US$ (000)</w:t>
            </w:r>
          </w:p>
        </w:tc>
        <w:tc>
          <w:tcPr>
            <w:tcW w:w="12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1Q13</w:t>
            </w:r>
          </w:p>
        </w:tc>
        <w:tc>
          <w:tcPr>
            <w:tcW w:w="13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4Q12</w:t>
            </w:r>
          </w:p>
        </w:tc>
        <w:tc>
          <w:tcPr>
            <w:tcW w:w="12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1Q12</w:t>
            </w: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1,449,446</w:t>
            </w:r>
          </w:p>
        </w:tc>
        <w:tc>
          <w:tcPr>
            <w:tcW w:w="260" w:type="dxa"/>
            <w:vAlign w:val="bottom"/>
            <w:vMerge w:val="continue"/>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1,216,822</w:t>
            </w:r>
          </w:p>
        </w:tc>
        <w:tc>
          <w:tcPr>
            <w:tcW w:w="280" w:type="dxa"/>
            <w:vAlign w:val="bottom"/>
            <w:vMerge w:val="continue"/>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1,195,312</w:t>
            </w:r>
          </w:p>
        </w:tc>
        <w:tc>
          <w:tcPr>
            <w:tcW w:w="280" w:type="dxa"/>
            <w:vAlign w:val="bottom"/>
            <w:vMerge w:val="continue"/>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935,585</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860,717</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834,112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152,235</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Loan loss reserves (1)</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276,938</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276,620</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226,170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250,000</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250,000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1,076,834</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1,092,777</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751,053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tcPr>
          <w:p>
            <w:pPr>
              <w:spacing w:after="0" w:line="201" w:lineRule="exact"/>
              <w:rPr>
                <w:sz w:val="20"/>
                <w:szCs w:val="20"/>
                <w:color w:val="auto"/>
              </w:rPr>
            </w:pPr>
            <w:r>
              <w:rPr>
                <w:rFonts w:ascii="Arial" w:cs="Arial" w:eastAsia="Arial" w:hAnsi="Arial"/>
                <w:sz w:val="18"/>
                <w:szCs w:val="18"/>
                <w:color w:val="auto"/>
                <w:w w:val="96"/>
              </w:rPr>
              <w:t>Investment in subsidiaries and others, net of unrealized profit and</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(351,230)</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(299,188)</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(226,254)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576,485</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545,089</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471,655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225,255</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245,901</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245,401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(47,155)</w:t>
            </w:r>
          </w:p>
        </w:tc>
        <w:tc>
          <w:tcPr>
            <w:tcW w:w="13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(47,876)</w:t>
            </w:r>
          </w:p>
        </w:tc>
        <w:tc>
          <w:tcPr>
            <w:tcW w:w="1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(45,775)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3,590,419</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3,502,108</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2,984,617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Tier 1 (2)</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2,524,890</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2,405,255</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2,243,222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Tier 2 (3) + Tier 3 (4)</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1,065,529</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1,096,853</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741,395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risk-weighted assets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24,509,269</w:t>
            </w:r>
          </w:p>
        </w:tc>
        <w:tc>
          <w:tcPr>
            <w:tcW w:w="2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23,789,338</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19,445,206</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Market risk-weighted assets (5)</w:t>
            </w: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1,143,251</w:t>
            </w:r>
          </w:p>
        </w:tc>
        <w:tc>
          <w:tcPr>
            <w:tcW w:w="2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488,910</w:t>
            </w:r>
          </w:p>
        </w:tc>
        <w:tc>
          <w:tcPr>
            <w:tcW w:w="2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532,548</w:t>
            </w:r>
          </w:p>
        </w:tc>
        <w:tc>
          <w:tcPr>
            <w:tcW w:w="280" w:type="dxa"/>
            <w:vAlign w:val="bottom"/>
            <w:vMerge w:val="continue"/>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133.8%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22,105,034</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22,074,645</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18,058,635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1,260,984</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1,225,784</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854,023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Market risk capital requirement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114,325</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48,891</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52,190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133.8%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2,210,503</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2,207,464</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1,769,746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126,098</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122,578</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83,694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313,138</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309,245</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Capital ratios</w:t>
            </w: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Tier 1 ratio (6)</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10.30%</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10.11%</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11.54%</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Tier 1 Common ratio (7)</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BIS ratio (8)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CCFFCC"/>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720" w:type="dxa"/>
            <w:vAlign w:val="bottom"/>
            <w:tcBorders>
              <w:bottom w:val="single" w:sz="8" w:color="CCFFCC"/>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Risk-weighted assets / Regulatory Capital (9)</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6.79</w:t>
            </w:r>
          </w:p>
        </w:tc>
        <w:tc>
          <w:tcPr>
            <w:tcW w:w="28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9" w:lineRule="exact"/>
        <w:rPr>
          <w:rFonts w:ascii="Arial" w:cs="Arial" w:eastAsia="Arial" w:hAnsi="Arial"/>
          <w:sz w:val="18"/>
          <w:szCs w:val="18"/>
          <w:i w:val="1"/>
          <w:iCs w:val="1"/>
          <w:color w:val="auto"/>
        </w:rPr>
      </w:pPr>
    </w:p>
    <w:p>
      <w:pPr>
        <w:ind w:right="600" w:firstLine="8"/>
        <w:spacing w:after="0" w:line="250" w:lineRule="auto"/>
        <w:tabs>
          <w:tab w:leader="none" w:pos="2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and net income in subsidiaries</w:t>
      </w:r>
    </w:p>
    <w:p>
      <w:pPr>
        <w:ind w:right="1200"/>
        <w:spacing w:after="0" w:line="281" w:lineRule="auto"/>
        <w:rPr>
          <w:rFonts w:ascii="Arial" w:cs="Arial" w:eastAsia="Arial" w:hAnsi="Arial"/>
          <w:sz w:val="18"/>
          <w:szCs w:val="18"/>
          <w:i w:val="1"/>
          <w:iCs w:val="1"/>
          <w:color w:val="auto"/>
        </w:rPr>
      </w:pPr>
      <w:r>
        <w:rPr>
          <w:rFonts w:ascii="Arial" w:cs="Arial" w:eastAsia="Arial" w:hAnsi="Arial"/>
          <w:sz w:val="16"/>
          <w:szCs w:val="16"/>
          <w:i w:val="1"/>
          <w:iCs w:val="1"/>
          <w:color w:val="auto"/>
        </w:rPr>
        <w:t>-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Tier I Common = Capital + Reserves – 100% of Investment in Subsidiaries + retained earnings adjusted by average payout.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 to cover operational risk * 10 * 0.5.</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879" w:gutter="0" w:footer="0" w:header="0"/>
        </w:sectPr>
      </w:pPr>
    </w:p>
    <w:bookmarkStart w:id="20" w:name="page21"/>
    <w:bookmarkEnd w:id="2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III. Banco de Crédito de Bolivia</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3"/>
          </w:tcPr>
          <w:p>
            <w:pPr>
              <w:ind w:left="700"/>
              <w:spacing w:after="0"/>
              <w:rPr>
                <w:sz w:val="20"/>
                <w:szCs w:val="20"/>
                <w:color w:val="auto"/>
              </w:rPr>
            </w:pPr>
            <w:r>
              <w:rPr>
                <w:rFonts w:ascii="Arial" w:cs="Arial" w:eastAsia="Arial" w:hAnsi="Arial"/>
                <w:sz w:val="18"/>
                <w:szCs w:val="18"/>
                <w:b w:val="1"/>
                <w:bCs w:val="1"/>
                <w:color w:val="auto"/>
                <w:w w:val="94"/>
              </w:rPr>
              <w:t>Change %</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millions</w:t>
            </w:r>
          </w:p>
        </w:tc>
        <w:tc>
          <w:tcPr>
            <w:tcW w:w="10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1Q13</w:t>
            </w:r>
          </w:p>
        </w:tc>
        <w:tc>
          <w:tcPr>
            <w:tcW w:w="28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4Q12</w:t>
            </w:r>
          </w:p>
        </w:tc>
        <w:tc>
          <w:tcPr>
            <w:tcW w:w="26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left w:val="single" w:sz="8" w:color="CCFFCC"/>
            </w:tcBorders>
            <w:shd w:val="clear" w:color="auto" w:fill="CCFFCC"/>
          </w:tcPr>
          <w:p>
            <w:pPr>
              <w:spacing w:after="0"/>
              <w:rPr>
                <w:sz w:val="18"/>
                <w:szCs w:val="18"/>
                <w:color w:val="auto"/>
              </w:rPr>
            </w:pP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Net provisions for loan losses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9.0</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left w:val="single" w:sz="8" w:color="CCFFCC"/>
            </w:tcBorders>
            <w:shd w:val="clear" w:color="auto" w:fill="CCFFCC"/>
          </w:tcPr>
          <w:p>
            <w:pPr>
              <w:spacing w:after="0"/>
              <w:rPr>
                <w:sz w:val="18"/>
                <w:szCs w:val="18"/>
                <w:color w:val="auto"/>
              </w:rPr>
            </w:pP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7.4</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6.9</w:t>
            </w:r>
          </w:p>
        </w:tc>
        <w:tc>
          <w:tcPr>
            <w:tcW w:w="280" w:type="dxa"/>
            <w:vAlign w:val="bottom"/>
            <w:tcBorders>
              <w:left w:val="single" w:sz="8" w:color="CCFFCC"/>
            </w:tcBorders>
            <w:shd w:val="clear" w:color="auto" w:fill="CCFFCC"/>
          </w:tcPr>
          <w:p>
            <w:pPr>
              <w:spacing w:after="0"/>
              <w:rPr>
                <w:sz w:val="18"/>
                <w:szCs w:val="18"/>
                <w:color w:val="auto"/>
              </w:rPr>
            </w:pPr>
          </w:p>
        </w:tc>
        <w:tc>
          <w:tcPr>
            <w:tcW w:w="12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14.1%</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left w:val="single" w:sz="8" w:color="CCFFCC"/>
            </w:tcBorders>
            <w:shd w:val="clear" w:color="auto" w:fill="CCFFCC"/>
          </w:tcPr>
          <w:p>
            <w:pPr>
              <w:spacing w:after="0"/>
              <w:rPr>
                <w:sz w:val="19"/>
                <w:szCs w:val="19"/>
                <w:color w:val="auto"/>
              </w:rPr>
            </w:pP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Borders>
              <w:bottom w:val="single" w:sz="8" w:color="CCFFC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Borders>
              <w:bottom w:val="single" w:sz="8" w:color="CCFFC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tcBorders>
              <w:bottom w:val="single" w:sz="8" w:color="CCFFC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905.5</w:t>
            </w:r>
          </w:p>
        </w:tc>
        <w:tc>
          <w:tcPr>
            <w:tcW w:w="2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907.0</w:t>
            </w:r>
          </w:p>
        </w:tc>
        <w:tc>
          <w:tcPr>
            <w:tcW w:w="2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767.4</w:t>
            </w:r>
          </w:p>
        </w:tc>
        <w:tc>
          <w:tcPr>
            <w:tcW w:w="280" w:type="dxa"/>
            <w:vAlign w:val="bottom"/>
            <w:tcBorders>
              <w:left w:val="single" w:sz="8" w:color="CCFFCC"/>
            </w:tcBorders>
            <w:shd w:val="clear" w:color="auto" w:fill="CCFFCC"/>
          </w:tcPr>
          <w:p>
            <w:pPr>
              <w:spacing w:after="0"/>
              <w:rPr>
                <w:sz w:val="18"/>
                <w:szCs w:val="18"/>
                <w:color w:val="auto"/>
              </w:rPr>
            </w:pP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Past due loans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provisions for possible loan losses</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-32.0</w:t>
            </w: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-32.0</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-27.7</w:t>
            </w: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405.9</w:t>
            </w:r>
          </w:p>
        </w:tc>
        <w:tc>
          <w:tcPr>
            <w:tcW w:w="960" w:type="dxa"/>
            <w:vAlign w:val="bottom"/>
          </w:tcPr>
          <w:p>
            <w:pPr>
              <w:jc w:val="right"/>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308.3</w:t>
            </w:r>
          </w:p>
        </w:tc>
        <w:tc>
          <w:tcPr>
            <w:tcW w:w="2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1,512.5</w:t>
            </w:r>
          </w:p>
        </w:tc>
        <w:tc>
          <w:tcPr>
            <w:tcW w:w="2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1,411.6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1,253.1</w:t>
            </w:r>
          </w:p>
        </w:tc>
        <w:tc>
          <w:tcPr>
            <w:tcW w:w="280" w:type="dxa"/>
            <w:vAlign w:val="bottom"/>
            <w:tcBorders>
              <w:left w:val="single" w:sz="8" w:color="CCFFCC"/>
            </w:tcBorders>
            <w:shd w:val="clear" w:color="auto" w:fill="CCFFCC"/>
          </w:tcPr>
          <w:p>
            <w:pPr>
              <w:spacing w:after="0"/>
              <w:rPr>
                <w:sz w:val="18"/>
                <w:szCs w:val="18"/>
                <w:color w:val="auto"/>
              </w:rPr>
            </w:pP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960" w:type="dxa"/>
            <w:vAlign w:val="bottom"/>
          </w:tcPr>
          <w:p>
            <w:pPr>
              <w:jc w:val="right"/>
              <w:spacing w:after="0"/>
              <w:rPr>
                <w:sz w:val="20"/>
                <w:szCs w:val="20"/>
                <w:color w:val="auto"/>
              </w:rPr>
            </w:pPr>
            <w:r>
              <w:rPr>
                <w:rFonts w:ascii="Arial" w:cs="Arial" w:eastAsia="Arial" w:hAnsi="Arial"/>
                <w:sz w:val="18"/>
                <w:szCs w:val="18"/>
                <w:color w:val="auto"/>
              </w:rPr>
              <w:t>1,333.4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1,229.0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1,100.7</w:t>
            </w:r>
          </w:p>
        </w:tc>
        <w:tc>
          <w:tcPr>
            <w:tcW w:w="2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137.6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133.1</w:t>
            </w:r>
          </w:p>
        </w:tc>
        <w:tc>
          <w:tcPr>
            <w:tcW w:w="26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118.5</w:t>
            </w:r>
          </w:p>
        </w:tc>
        <w:tc>
          <w:tcPr>
            <w:tcW w:w="1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PDL ratio</w:t>
            </w: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260.6%</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301.3%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258.1%</w:t>
            </w: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ROAE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left w:val="single" w:sz="8" w:color="CCFFCC"/>
            </w:tcBorders>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Agentes</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ATMs</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215</w:t>
            </w: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207</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190</w:t>
            </w: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1,604</w:t>
            </w:r>
          </w:p>
        </w:tc>
        <w:tc>
          <w:tcPr>
            <w:tcW w:w="960" w:type="dxa"/>
            <w:vAlign w:val="bottom"/>
          </w:tcPr>
          <w:p>
            <w:pPr>
              <w:jc w:val="right"/>
              <w:spacing w:after="0"/>
              <w:rPr>
                <w:sz w:val="20"/>
                <w:szCs w:val="20"/>
                <w:color w:val="auto"/>
              </w:rPr>
            </w:pPr>
            <w:r>
              <w:rPr>
                <w:rFonts w:ascii="Arial" w:cs="Arial" w:eastAsia="Arial" w:hAnsi="Arial"/>
                <w:sz w:val="18"/>
                <w:szCs w:val="18"/>
                <w:color w:val="auto"/>
              </w:rPr>
              <w:t>1,558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1Q13 BCP Bolivia reported net income of US$ 4.8 million, which represented an increase of 19.7% QoQ. This growth is due primarily to a decline of 66.8% in provisions on loan losses and helped offset the increase in operating expenses (+9.6%), which was in turn attributable to the tax levied on sales of foreign currency (in effect since December 2012). It is important to note that net interest income remained solid and was reinforced by a significant expansion in non-financial income (+7.8%).</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annual terms, BCP Bolivia’s operating results evolved positively, posting significant expansion in net interest income (+20.8%) due to loan growth (+18%). Net income contracted 13.8% YoY, which was primarily attributable to a 32.6% increase in operating expenses due to employee hiring; expansion in our network of offices and ATMs; the new tax on sales of foreign currency; and an increase in income tax (+89.1%)after an aliquot was applied to taxes on earnings.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prudent approach to loan risk management allowed it to post a PDL ratio of 1.43% in 1Q13 (1.24% in 4Q12 and 1.48% in 1Q12) and a coverage ratio of 260.6% (301.3% in 4Q12 and 258.1% in 1Q12). These indicators show that BCP Bolivia continues to position itself as one of the most stable and reliable entities in the Bolivian banking system, which reported a PDL ratio of 1.59% and a coverage ratio of 270.3% at the end of 1Q13. BCP Bolivia’s ROAE in 1Q13 was 14.1%, which topped the 12.1% registered in 4Q12 but fell below the 19.3% reported in 1Q12.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BCP Bolivia’s loan balance at the end of March 2013 was US$ 905.5 million, which fell slightly below (0.2%) the US$ 907.0 million reported in December 2012 but was 18.0% higher than the level posted in March 2012. The loan portfolio posted no significant variations QoQ. The YoY variation was due to expansion in Retail Banking loans (which represents 58.1% of BCP Bolivia’s total loans), which grew 26.1% YoY. Within this banking portfolio, the segments that reported the highest growth were Home Loans (+22.4% YoY); SME (+28.6% YoY); and Installment Loans (+35.0% YoY). The Wholesale Banking portfolio, which represents 39.8% of BCP Bolivia’s portfolio, posted slight growth of 8.4% YoY.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Bolivia’s total investments at the end of March 2013 totaled US$ 405.9 million, which indicates growth of 37.6% QoQ and 31.7% YoY. This trend was associated primarily with the fact that investments in instruments from the Central Bank of Bolivia have increased.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BCP Bolivia’s deposits experienced 8.5% growth QoQ, which was due mainly to the 25.4% increase registered in time deposits. The YoY analysis indicates 21.1% growth, which was attributable to expansion in time deposits (+35.7%), demand deposits (+14.3%) and savings (+13%).</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shareholders’ equity grew 3.4% QoQ and 16.1% YoY. The increase posted in the YoY result was due to the fact that no dividends were paid on the earnings generated in 2012.</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BCP Bolivia maintained a solid and stable market share of 10.8% in current loans (ranked third in the banking system) and 11.5% in total deposits this Q.</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IV. Financiera Edyficar</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Edyficar</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ind w:left="74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4Q12</w:t>
            </w:r>
          </w:p>
        </w:tc>
        <w:tc>
          <w:tcPr>
            <w:tcW w:w="28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48,966</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43,330</w:t>
            </w: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33,782</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Total provisions for loan loasses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(8,532)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(8,696)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(5,280)</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498</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685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223</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(26,911)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(24,763)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(19,291)</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14,021</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10,555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9,434</w:t>
            </w:r>
          </w:p>
        </w:tc>
        <w:tc>
          <w:tcPr>
            <w:tcW w:w="1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32.8%</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(2,787)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3,114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1,641</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-189.5%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taxes</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(3,173)</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(2,437)</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(3,136)</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8,061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11,232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7,938</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-28.2%</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5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Contribution to BCP</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8,044</w:t>
            </w: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11,209</w:t>
            </w:r>
          </w:p>
        </w:tc>
        <w:tc>
          <w:tcPr>
            <w:tcW w:w="2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7,922</w:t>
            </w:r>
          </w:p>
        </w:tc>
        <w:tc>
          <w:tcPr>
            <w:tcW w:w="26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-28.2</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Total loans (1)</w:t>
            </w:r>
          </w:p>
        </w:tc>
        <w:tc>
          <w:tcPr>
            <w:tcW w:w="1000" w:type="dxa"/>
            <w:vAlign w:val="bottom"/>
          </w:tcPr>
          <w:p>
            <w:pPr>
              <w:jc w:val="right"/>
              <w:spacing w:after="0"/>
              <w:rPr>
                <w:sz w:val="20"/>
                <w:szCs w:val="20"/>
                <w:color w:val="auto"/>
              </w:rPr>
            </w:pPr>
            <w:r>
              <w:rPr>
                <w:rFonts w:ascii="Arial" w:cs="Arial" w:eastAsia="Arial" w:hAnsi="Arial"/>
                <w:sz w:val="18"/>
                <w:szCs w:val="18"/>
                <w:color w:val="auto"/>
              </w:rPr>
              <w:t>811,725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761,129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554,363</w:t>
            </w:r>
          </w:p>
        </w:tc>
        <w:tc>
          <w:tcPr>
            <w:tcW w:w="26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31,844</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29,380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21,975</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Net provisions for possible loan losses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(55,936)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(52,487)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(38,269)</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1,164,132</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1,064,396</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922,821</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555,054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518,935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415,950</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100,260</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98,357</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69,787</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PDL / Total loans</w:t>
            </w: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vMerge w:val="continue"/>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174.1%</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Return on average equity (2)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3,669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3,473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2,794</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0</wp:posOffset>
            </wp:positionV>
            <wp:extent cx="22726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Accrued interest on current loans is now included as part of total loans.</w:t>
      </w:r>
    </w:p>
    <w:p>
      <w:pPr>
        <w:spacing w:after="0" w:line="21"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includes US$ 50.7 millions from goodwill.</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1Q13, Edyficar reported net income of US$ 8.1 million, which represents a 28.2% decline with regard to 4Q12’s figure. This result was primarily due to the impact of the depreciation of the Nuevo Sol (1.5%), which was reflected in a translation loss of US$ 2.8 million. If we eliminate the impact of the devaluation of local currency reflected in the translation result (ignoring the impact on all other accounts), net income would have grown 33.6 % QoQ, going from US$8,795 million to US$11,217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business evolution was very satisfactory in terms of operating income, which grew 32.8% QoQ due to an expansion in net interest income (NII,+13.0% QoQ). This dynamism was in turn attributable to the excellent evolution of the loan portfolio and on-target management of portfolio quality. All of the aforementioned offset the increase posted in operating expenses (+8.7%).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comparison, net income grew 1.5% due to an increase in NII (+44.9%) and non-financial income (+123.3%). Both accounts helped absorb the increase in operating expenses (+39.5%) and higher provisions requirements (+61.6%).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volume and portfolio quality, the loan portfolio grew 6.6% QoQ to top US$ 811.7 million; this represents an expansion of 46.4% YoY that is consistent with business growth and the fact that Edyficar has increased its market share. The past due portfolio posted 8.4% growth QoQ, which led to a slight increase of 6 bps in the past due ratio (3.92% vs. 3.86%). Nevertheless, the coverage ratio for past due loans remains at comfortable levels and was situated at 175.7% at the end of 1Q13.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grew 1.9% in 1Q13 due to the increase posted in accumulated results. The return on average equity (ROAE) in 1Q13, including goodwill, was situated at 21.5% and without goodwill, at 32.5%.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the asset level, total assets grew 26.1% YoY due to loan growth of 46.4% and expansion in the investment portfolio. Fixed assets grew 18.6% due to growth at the agency level (from 128 locales to 166). The results obtained by Financiera Edyficar show that it continues to contribute to BCP’s objectives in terms of loan growth and earnings generation.</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Credicorp Investments (Credicorp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end of 1Q13, Credicorp’s regional investment banking business was operated primarily through four companies:</w:t>
      </w:r>
    </w:p>
    <w:p>
      <w:pPr>
        <w:spacing w:after="0" w:line="225" w:lineRule="exact"/>
        <w:rPr>
          <w:sz w:val="20"/>
          <w:szCs w:val="20"/>
          <w:color w:val="auto"/>
        </w:rPr>
      </w:pPr>
    </w:p>
    <w:p>
      <w:pPr>
        <w:jc w:val="both"/>
        <w:ind w:left="1000" w:hanging="492"/>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BCP Capital, the company that operates the investment banking business in Peru and which was the product of the spinoff of BCP’s businesses (mainly Credifondo, Credibolsa, Credititulos and Corporate Finance); BCP capital belongs to Grupo Credito (84.9%) and Credicorp (12.7%, directly);</w:t>
      </w:r>
    </w:p>
    <w:p>
      <w:pPr>
        <w:spacing w:after="0" w:line="181"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Correval (Colombia), 51% of which belongs to BCP, that we expect to transfer to a direct subsidiary of Credicorp after receiving the approval from the regulators in Colombia;</w:t>
      </w:r>
    </w:p>
    <w:p>
      <w:pPr>
        <w:spacing w:after="0" w:line="170" w:lineRule="exact"/>
        <w:rPr>
          <w:rFonts w:ascii="Arial" w:cs="Arial" w:eastAsia="Arial" w:hAnsi="Arial"/>
          <w:sz w:val="18"/>
          <w:szCs w:val="18"/>
          <w:color w:val="auto"/>
        </w:rPr>
      </w:pPr>
    </w:p>
    <w:p>
      <w:pPr>
        <w:ind w:left="1000" w:hanging="492"/>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 Trust (Chile), 60.6% of which is owned by Credicorp; and</w:t>
      </w:r>
    </w:p>
    <w:p>
      <w:pPr>
        <w:spacing w:after="0" w:line="225" w:lineRule="exact"/>
        <w:rPr>
          <w:rFonts w:ascii="Arial" w:cs="Arial" w:eastAsia="Arial" w:hAnsi="Arial"/>
          <w:sz w:val="18"/>
          <w:szCs w:val="18"/>
          <w:color w:val="auto"/>
        </w:rPr>
      </w:pPr>
    </w:p>
    <w:p>
      <w:pPr>
        <w:ind w:left="1000" w:hanging="492"/>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CSI, a broker in the USA that specializes in trading services in the securities markets and which is 100% directly owned by Credicorp.</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objective is for Credicorp Investments (which is a 100% subsidiary of Credicorp) to become the holding that will operate the regional investment banking business, whose brand is Credicorp Capital. Currently, the Group is immersed in a process to consolidate and integrate this new regional organization.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 Credicorp Capital in 1Q13 was US$ 8.3 million, of which BCP Capital generated 47.9%, followed by Correval with 35.7%; IM Trust with 15.1%; and CSI with 1.1%.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aforementioned represented a contribution to Credicorp of US$ 6.3 million in 1Q13. These results are in line with Credicorp’s objective to develop capacities at the regional level and to assume the challenge of accompanying our clients in their growth and efforts to penetrate regional markets.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income totaled US$ 49.4 million, 40% of which corresponds to the sales &amp; trading business; 40% to the asset management business; 13 % to corporate finance services; and the remaining 7% to other business such as fees from trusts and treasury services. The sales &amp; trading business is generated primarily through fixed and variable income transactions in the secondary market, along with the growing role of currencies and derivatives as well as equity and bond issues. The asset management business is associated mainly with mutual funds, followed by equity management, structured products, and others. Corporate Finance’s income comes from fees of structured financing, capital markets deals and advisory for mergers and acquisitions.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totaled US$30.6 million; the majority of were incurred for fees paid for distribution of products, salaries and employee benefits, administrative expenses and other expenses. In terms of operating efficiency, Credicorp Capital’s efficiency ratio was 73.0% in 1Q.</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Capital’s main transactions in 1Q13 at the regional level include the first international bond issuance in MILA, where Credicorp Capital participated by placing US$ 300 million at 10 years for Cementos Pacasmayo. The operation was originated and structured by the Corporate Finance team in Peru along with two international banks. Its distribution was a joint effort with the Capital Markets teams in all 3 countries, which generated a demand in the MILA region of US$ 1,200 million and a total demand of US$ 2,400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same line, the Corporate Finance team in Peru along with two international banks (Bank of American and JP Morgan) structured the first international bond for Alicorp for US$ 450 million under regulation 144 A / RegS and obtained a demand for more than US$ 4,000 million, 20% of which came from investors in the MILA region.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Project Finance Magazine awarded the LATIN AMERICAN POWER DEAL OF THE YEAR to the financing operation for Cerro del Aguila, the company that was set up to develop a 507 MW hydroelectric generation project in Peru. The Corporate Finance team in Peru led the transaction, which closed in September, and acted as the co-arranger with 10 other national and international banks to obtain financing for US$591 million (our share was US$67 million).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Corporate Finance team at IM Trust participated in the deal to provide financing for US$ 100 million to Grupo Security, a diversified financial conglomerate, to allow it to buy the Cruz del Sur conglomerate, a financial services company.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Stock Exchange of Colombia Bolsa de Valores de Colombia (BVC) chose Correval Comisionista de Bolsa as the winner of the highest number of BVC Prizes: 7 awards out of a total of 27.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the end of 1Q13, Credicorp Capital’s AuMs totaled US$ 9,000 million, 53% of which correspond to BCP Capital, 19% to Correval and 28% to IM Trust.</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Atlantic Security Bank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Atlantic Security Bank (ASB) reported net income of US$ 15.5 million in 1Q13, which represented an increase of 13.1% with regard to 4Q12’s figure. This increase was attributable primarily to income from sales of investment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bank’s core income grew 3.6% due to the increase in net interest income and dividend income. The increase registered in net income was associated with gains on sales of securities (+US$ 3.2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at the end of 1Q13, ASB’s contribution to Credicorp totaled US$ 15.5 million. This represents a 34.2% increase with regard to the figure reported at the end of the same period last year. This growth was also due to higher gains on sales of securities (+213.5%) and an increase in net interest income (9.8%).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8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1Q13</w:t>
            </w:r>
          </w:p>
        </w:tc>
        <w:tc>
          <w:tcPr>
            <w:tcW w:w="26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4Q12</w:t>
            </w:r>
          </w:p>
        </w:tc>
        <w:tc>
          <w:tcPr>
            <w:tcW w:w="26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6.6%</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Core income</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12.5</w:t>
            </w:r>
          </w:p>
        </w:tc>
        <w:tc>
          <w:tcPr>
            <w:tcW w:w="2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12.0</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11.9</w:t>
            </w:r>
          </w:p>
        </w:tc>
        <w:tc>
          <w:tcPr>
            <w:tcW w:w="11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Net Provisions</w:t>
            </w: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vMerge w:val="continue"/>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143.1%</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w:t>
            </w:r>
          </w:p>
        </w:tc>
        <w:tc>
          <w:tcPr>
            <w:tcW w:w="11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-14.4%</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60" w:type="dxa"/>
            <w:vAlign w:val="bottom"/>
            <w:tcBorders>
              <w:bottom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60" w:type="dxa"/>
            <w:vAlign w:val="bottom"/>
            <w:tcBorders>
              <w:bottom w:val="single" w:sz="8" w:color="CCFFCC"/>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60" w:type="dxa"/>
            <w:vAlign w:val="bottom"/>
            <w:tcBorders>
              <w:bottom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 share</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60" w:type="dxa"/>
            <w:vAlign w:val="bottom"/>
            <w:tcBorders>
              <w:bottom w:val="single" w:sz="8" w:color="CCFFC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60" w:type="dxa"/>
            <w:vAlign w:val="bottom"/>
            <w:tcBorders>
              <w:bottom w:val="single" w:sz="8" w:color="CCFFCC"/>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60" w:type="dxa"/>
            <w:vAlign w:val="bottom"/>
            <w:tcBorders>
              <w:bottom w:val="single" w:sz="8" w:color="CCFFC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861.3</w:t>
            </w:r>
          </w:p>
        </w:tc>
        <w:tc>
          <w:tcPr>
            <w:tcW w:w="2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801.1</w:t>
            </w: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643.1</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7.5%</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Total investments available for sale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831.6</w:t>
            </w:r>
          </w:p>
        </w:tc>
        <w:tc>
          <w:tcPr>
            <w:tcW w:w="840" w:type="dxa"/>
            <w:vAlign w:val="bottom"/>
          </w:tcPr>
          <w:p>
            <w:pPr>
              <w:jc w:val="right"/>
              <w:spacing w:after="0"/>
              <w:rPr>
                <w:sz w:val="20"/>
                <w:szCs w:val="20"/>
                <w:color w:val="auto"/>
              </w:rPr>
            </w:pPr>
            <w:r>
              <w:rPr>
                <w:rFonts w:ascii="Arial" w:cs="Arial" w:eastAsia="Arial" w:hAnsi="Arial"/>
                <w:sz w:val="18"/>
                <w:szCs w:val="18"/>
                <w:color w:val="auto"/>
              </w:rPr>
              <w:t>802.5</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832.1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1,787.3</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1,768.5</w:t>
            </w: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1,569.5</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1,333.6</w:t>
            </w:r>
          </w:p>
        </w:tc>
        <w:tc>
          <w:tcPr>
            <w:tcW w:w="840" w:type="dxa"/>
            <w:vAlign w:val="bottom"/>
          </w:tcPr>
          <w:p>
            <w:pPr>
              <w:jc w:val="right"/>
              <w:spacing w:after="0"/>
              <w:rPr>
                <w:sz w:val="20"/>
                <w:szCs w:val="20"/>
                <w:color w:val="auto"/>
              </w:rPr>
            </w:pPr>
            <w:r>
              <w:rPr>
                <w:rFonts w:ascii="Arial" w:cs="Arial" w:eastAsia="Arial" w:hAnsi="Arial"/>
                <w:sz w:val="18"/>
                <w:szCs w:val="18"/>
                <w:color w:val="auto"/>
              </w:rPr>
              <w:t>1,396.8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1,319.5</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182.6</w:t>
            </w:r>
          </w:p>
        </w:tc>
        <w:tc>
          <w:tcPr>
            <w:tcW w:w="26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219.8</w:t>
            </w: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169.3</w:t>
            </w: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-16.9%</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15.1%</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0.00</w:t>
            </w:r>
          </w:p>
        </w:tc>
        <w:tc>
          <w:tcPr>
            <w:tcW w:w="8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Coverage ratio</w:t>
            </w: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FFCC"/>
          </w:tcPr>
          <w:p>
            <w:pPr>
              <w:spacing w:after="0" w:line="269"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30"/>
                <w:szCs w:val="30"/>
                <w:color w:val="auto"/>
                <w:vertAlign w:val="superscript"/>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16.79%</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14.67%</w:t>
            </w:r>
          </w:p>
        </w:tc>
        <w:tc>
          <w:tcPr>
            <w:tcW w:w="84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auto"/>
        <w:rPr>
          <w:sz w:val="20"/>
          <w:szCs w:val="20"/>
          <w:color w:val="auto"/>
        </w:rPr>
      </w:pPr>
      <w:r>
        <w:rPr>
          <w:rFonts w:ascii="Arial" w:cs="Arial" w:eastAsia="Arial" w:hAnsi="Arial"/>
          <w:sz w:val="17"/>
          <w:szCs w:val="17"/>
          <w:i w:val="1"/>
          <w:iCs w:val="1"/>
          <w:color w:val="auto"/>
        </w:rPr>
        <w:t xml:space="preserve">(*) Basel II Bis Ratio = (Regulatory Capital - deductions) / (RWA </w:t>
      </w:r>
      <w:r>
        <w:rPr>
          <w:rFonts w:ascii="Arial" w:cs="Arial" w:eastAsia="Arial" w:hAnsi="Arial"/>
          <w:sz w:val="28"/>
          <w:szCs w:val="28"/>
          <w:i w:val="1"/>
          <w:iCs w:val="1"/>
          <w:color w:val="auto"/>
          <w:vertAlign w:val="subscript"/>
        </w:rPr>
        <w:t>Credit risk</w:t>
      </w:r>
      <w:r>
        <w:rPr>
          <w:rFonts w:ascii="Arial" w:cs="Arial" w:eastAsia="Arial" w:hAnsi="Arial"/>
          <w:sz w:val="17"/>
          <w:szCs w:val="17"/>
          <w:i w:val="1"/>
          <w:iCs w:val="1"/>
          <w:color w:val="auto"/>
        </w:rPr>
        <w:t xml:space="preserve"> + Charge Operational risk + Charge Market risk).</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 income grew 3.6% QoQ due to the expansion reported in net interest income (+6.6%), which was in turn attributable to the increase registered in the volume of interest earning assets. This offset the effect of a decrease in fee income from fund management and banking services (-9%) as well as the loss of US$100,000 on foreign exchange transactions. In year-on-year terms core income grew 4.4%, which was once again due to the evolution of net interest income (+9.8%).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seen in net income, which was 13.1% QoQ was attributable to higher gains on sales of securities (+US$3.2 million); this was in turn due primarily to gains on the sales of fixed income instruments (US$ 3.9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 ASB reported an efficiency ratio of 12.0%, which represented a 350 bps decline with regard to last quarter. The YoY analysis shows that the efficiency ratio improved given that it fell 351 bps below the result obtained at the end of March 2012.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annualized ROAE this quarter reached 30.8%, which tops the 25.8% reported in 4Q12 and 1Q12. This result indicates that income growth has been consistent, which is in line with the increase posted in the volume of funds under management.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Interest-earning assets totaled US$ 1,702 million, as is evident in the table below. Although total volumes have remained stable with regard to 4Q12, the asset portfolio has been restructured to favor more profitable venues: Cash and due to banks fell 57.3% while loans and investments increased 7.5% and 2.6% respectively. It is important to note that ASB has always maintained a good risk profile, which is evident in the fact that its portfolio is delinquency-free.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w w:val="98"/>
              </w:rPr>
              <w:t>Change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4Q12</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87"/>
              </w:rPr>
              <w:t>-57.3%</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801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643</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3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762</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791</w:t>
            </w:r>
          </w:p>
        </w:tc>
        <w:tc>
          <w:tcPr>
            <w:tcW w:w="74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1,702</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1,700</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1,501</w:t>
            </w: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-8890</wp:posOffset>
            </wp:positionV>
            <wp:extent cx="40906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the investment portfolio, it is important to note that a significant portion of ASB’s instruments continue to be investment grade (68%), which reflects the bank’s prudent and sustained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117475</wp:posOffset>
            </wp:positionV>
            <wp:extent cx="5154295" cy="2487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5429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Client deposits fell 4.5% QoQ but grew 1.1% YoY. To finance asset growth during the quarter, the Bank secured financing for short-term working capital, which explains the majority of the increase seen in other liabilities (+ US$119 million vs. 4T12). With regard to 1Q12, the variation in deposits was due to an increase in the funds captured from clients and in other liabilities as well as financing taken at the end of 1Q13.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Change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4Q12</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1,320</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7"/>
              </w:rPr>
              <w:t>-4.5%</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78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78.6%</w:t>
            </w: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236.1%</w:t>
            </w:r>
          </w:p>
        </w:tc>
      </w:tr>
      <w:tr>
        <w:trPr>
          <w:trHeight w:val="210"/>
        </w:trPr>
        <w:tc>
          <w:tcPr>
            <w:tcW w:w="3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1,605</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1,549</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1,400</w:t>
            </w: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14.6</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Net shareholders’ equity fell 16.9% QoQ, which was attributable to the dividends declared for payment to shareholders (US$48 million). In YoY terms, the 7.9% expansion is associated with an increase in the market value of investments, which was reflected in the unrealized gains account (+US$9 million) and in quarterly income (+US$3.9 million). All of the aforementioned growth was due to the positive evolution of the securities market and the strategies the Bank has implemented throughout the year to maximize shareholder returns.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BIS ratio at the end of 1Q13 was situated at 12.30%, which falls below the 16.79% reported in 4Q12. The aforementioned was due to an increase in risk-weighted assets (growth in loans and investments) and in the quality of the same. This was accompanied by an expansion in regulatory capital due to higher earnings this Q. It is important to note that the Bank’s minimum ratio remains at 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Assets under management (AuM), which include client deposits, investment funds and financial instruments in custody, totaled US$5,567 million (market value) at the end of 1Q13. This represents a US$ 209 million increase with regard to 4Q12 and growth of US$ 589 million YoY. These results were attributable to an increase in the investment stock (+3.7% QoQ; +12.3% YoY) as well as market effects (appreciation in the prices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102235</wp:posOffset>
            </wp:positionV>
            <wp:extent cx="3241675" cy="2504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4167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 w:name="page29"/>
    <w:bookmarkEnd w:id="2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 Pacifico Grupo Asegurador (PGA)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2013, PGA reported net income before minority interest of US$ 11.5 million, which falls 32.5% below last quarter’s result. This contraction was attributable to seasonality in claims occurrences in the Property and Casualty Insurance segment during the first few months of the year (rainy season in the country’s provinces). Nevertheless, in YoY terms, net income posted a substantial improvement (+133%) due to a significant increase in premium turnover and adequate control of exposure to severe claims.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QoQ analysis shows that the underwriting result fell from US$ 33.6 million in 4Q12 to US$ 24.5 million (-27%) due to an increase in claims. In YoY terms, the underwriting result increased 383% with regard to 1Q12 due to the underwriting results posted for the Life business (-US$ 5.4 million in 1Q12 vs. US$ 3.0 million in 1Q13) and Property and Casualty (US$ 4.5 million in 1Q12 vs. US$ 10.9 million in 1Q13).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fell 10.8% QoQ, which attenuated the underwriting result’s negative effect on net income. In comparison to the same period last year, operating expenses increased in the Property and Casualty and Life businesses (+26.6%). The increase in the P &amp; C business was attributable to projects to develop alternative distribution channels and efforts to expand the company’s coverage in the provinces (higher headcount). Growth in expenses in the Life business was associated with higher expenditures for advertising.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income totaled US$ 29.4 million in 1Q13, which topped 4Q12’s result of US$ 28.5 million. This improvement was attributable to higher gains on sales of securities in the Life Insurance business. The YoY analysis indicates little variation.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translation result this Q was negative (- US$ 2.0 million), which contrasts with the scenario in previous periods: US$ 3.1 million in 4Q12 and US$ 1.8 million in 1Q12. This had a particularly significant impact on the Life business.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important to note the EPS business (including medical services) reported net income of US$ 1.3 million, which compares favorably with the US$ 4.6 million loss reported in 4Q12 and the US$ 0.007 million result registered in 1Q12.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PGA’s contribution to Credicorp was US$ 11.3 million in 1Q13, which represents a 33.4% decline with regard to 4Q12’s result (US$ 16.9 million) but indicates growth of133.4% with regard to 1Q12 (US$ 4.8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Net earnings *</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Adjustment for</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2"/>
              </w:rPr>
              <w:t>Total Contribution</w:t>
            </w: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2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PPS</w:t>
            </w:r>
          </w:p>
        </w:tc>
        <w:tc>
          <w:tcPr>
            <w:tcW w:w="12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PV</w:t>
            </w:r>
          </w:p>
        </w:tc>
        <w:tc>
          <w:tcPr>
            <w:tcW w:w="12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EPS **</w:t>
            </w: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PGA</w:t>
            </w:r>
          </w:p>
        </w:tc>
        <w:tc>
          <w:tcPr>
            <w:tcW w:w="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consolidation</w:t>
            </w:r>
          </w:p>
        </w:tc>
        <w:tc>
          <w:tcPr>
            <w:tcW w:w="1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to BAP</w:t>
            </w:r>
          </w:p>
        </w:tc>
      </w:tr>
      <w:tr>
        <w:trPr>
          <w:trHeight w:val="210"/>
        </w:trPr>
        <w:tc>
          <w:tcPr>
            <w:tcW w:w="3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1Q12</w:t>
            </w:r>
          </w:p>
        </w:tc>
        <w:tc>
          <w:tcPr>
            <w:tcW w:w="10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(6,562)</w:t>
            </w:r>
          </w:p>
        </w:tc>
        <w:tc>
          <w:tcPr>
            <w:tcW w:w="26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11,489</w:t>
            </w:r>
          </w:p>
        </w:tc>
        <w:tc>
          <w:tcPr>
            <w:tcW w:w="2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4,922</w:t>
            </w:r>
          </w:p>
        </w:tc>
        <w:tc>
          <w:tcPr>
            <w:tcW w:w="20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4,823</w:t>
            </w:r>
          </w:p>
        </w:tc>
        <w:tc>
          <w:tcPr>
            <w:tcW w:w="160" w:type="dxa"/>
            <w:vAlign w:val="bottom"/>
            <w:tcBorders>
              <w:top w:val="single" w:sz="8" w:color="CCFFCC"/>
            </w:tcBorders>
            <w:shd w:val="clear" w:color="auto" w:fill="CCFFCC"/>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2Q12</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6,695</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16,291</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2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24,155</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(492)</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23,663</w:t>
            </w:r>
          </w:p>
        </w:tc>
      </w:tr>
      <w:tr>
        <w:trPr>
          <w:trHeight w:val="216"/>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3Q12</w:t>
            </w:r>
          </w:p>
        </w:tc>
        <w:tc>
          <w:tcPr>
            <w:tcW w:w="12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8,697</w:t>
            </w:r>
          </w:p>
        </w:tc>
        <w:tc>
          <w:tcPr>
            <w:tcW w:w="12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14,976</w:t>
            </w:r>
          </w:p>
        </w:tc>
        <w:tc>
          <w:tcPr>
            <w:tcW w:w="12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(2,336)</w:t>
            </w:r>
          </w:p>
        </w:tc>
        <w:tc>
          <w:tcPr>
            <w:tcW w:w="11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21,060</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(443)</w:t>
            </w:r>
          </w:p>
        </w:tc>
        <w:tc>
          <w:tcPr>
            <w:tcW w:w="16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20,617</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4Q12</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4,911</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16,889</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(4,573)</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16,942</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16,895</w:t>
            </w:r>
          </w:p>
        </w:tc>
      </w:tr>
      <w:tr>
        <w:trPr>
          <w:trHeight w:val="230"/>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1Q13</w:t>
            </w:r>
          </w:p>
        </w:tc>
        <w:tc>
          <w:tcPr>
            <w:tcW w:w="12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(4,767)</w:t>
            </w:r>
          </w:p>
        </w:tc>
        <w:tc>
          <w:tcPr>
            <w:tcW w:w="12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14,936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11,467</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(208)</w:t>
            </w:r>
          </w:p>
        </w:tc>
        <w:tc>
          <w:tcPr>
            <w:tcW w:w="16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11,259</w:t>
            </w:r>
          </w:p>
        </w:tc>
      </w:tr>
      <w:tr>
        <w:trPr>
          <w:trHeight w:val="210"/>
        </w:trPr>
        <w:tc>
          <w:tcPr>
            <w:tcW w:w="35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QoQ</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FFC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&gt;999</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FFCC"/>
          </w:tcPr>
          <w:p>
            <w:pPr>
              <w:spacing w:after="0"/>
              <w:rPr>
                <w:sz w:val="18"/>
                <w:szCs w:val="18"/>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spacing w:after="0"/>
        <w:rPr>
          <w:sz w:val="20"/>
          <w:szCs w:val="20"/>
          <w:color w:val="auto"/>
        </w:rPr>
      </w:pPr>
      <w:r>
        <w:rPr>
          <w:rFonts w:ascii="Arial" w:cs="Arial" w:eastAsia="Arial" w:hAnsi="Arial"/>
          <w:sz w:val="18"/>
          <w:szCs w:val="18"/>
          <w:i w:val="1"/>
          <w:iCs w:val="1"/>
          <w:color w:val="auto"/>
        </w:rPr>
        <w:t>*Before including minority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Medical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Property and Casualty (PPS)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PPS reported a loss of US$ 4.8 million in the first quarter of 2013, which represents a variation of -197.2% QoQ. This result was primarily attributable to the fact that the underwriting result fell (-50% QoQ) due to an increase in net claims (+24.6%) in the Property and Casualty segment (55.7% loss ratio) and Vehicle Insurance Segment (69.1% loss ratio); these increases coincided with the rainy season in the country’s provinces, which occurs during the first few months of every year. In YoY terms, PPS went from posting a loss of US$ 6.6 million in 1Q12 to a loss of US$ 4.8 million, given that higher net premiums were generated and the fact that there were fewer severe claims in the Fire and Technical Lines.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provides details on the results of the property and casualty lines.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ind w:left="400"/>
              <w:spacing w:after="0"/>
              <w:rPr>
                <w:sz w:val="20"/>
                <w:szCs w:val="20"/>
                <w:color w:val="auto"/>
              </w:rPr>
            </w:pPr>
            <w:r>
              <w:rPr>
                <w:rFonts w:ascii="Arial" w:cs="Arial" w:eastAsia="Arial" w:hAnsi="Arial"/>
                <w:sz w:val="11"/>
                <w:szCs w:val="11"/>
                <w:b w:val="1"/>
                <w:bCs w:val="1"/>
                <w:color w:val="auto"/>
              </w:rPr>
              <w:t>Underwriting Result by Business Unit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3"/>
          </w:tcPr>
          <w:p>
            <w:pPr>
              <w:ind w:left="560"/>
              <w:spacing w:after="0"/>
              <w:rPr>
                <w:sz w:val="20"/>
                <w:szCs w:val="20"/>
                <w:color w:val="auto"/>
              </w:rPr>
            </w:pPr>
            <w:r>
              <w:rPr>
                <w:rFonts w:ascii="Arial" w:cs="Arial" w:eastAsia="Arial" w:hAnsi="Arial"/>
                <w:sz w:val="11"/>
                <w:szCs w:val="11"/>
                <w:b w:val="1"/>
                <w:bCs w:val="1"/>
                <w:color w:val="auto"/>
              </w:rPr>
              <w:t>1Q13</w:t>
            </w:r>
          </w:p>
        </w:tc>
        <w:tc>
          <w:tcPr>
            <w:tcW w:w="5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4Q12</w:t>
            </w:r>
          </w:p>
        </w:tc>
        <w:tc>
          <w:tcPr>
            <w:tcW w:w="5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rPr>
              <w:t>1Q12</w:t>
            </w:r>
          </w:p>
        </w:tc>
        <w:tc>
          <w:tcPr>
            <w:tcW w:w="4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3"/>
          </w:tcPr>
          <w:p>
            <w:pPr>
              <w:jc w:val="center"/>
              <w:ind w:right="360"/>
              <w:spacing w:after="0" w:line="102" w:lineRule="exact"/>
              <w:rPr>
                <w:sz w:val="20"/>
                <w:szCs w:val="20"/>
                <w:color w:val="auto"/>
              </w:rPr>
            </w:pPr>
            <w:r>
              <w:rPr>
                <w:rFonts w:ascii="Arial" w:cs="Arial" w:eastAsia="Arial" w:hAnsi="Arial"/>
                <w:sz w:val="11"/>
                <w:szCs w:val="11"/>
                <w:b w:val="1"/>
                <w:bCs w:val="1"/>
                <w:color w:val="auto"/>
                <w:w w:val="92"/>
              </w:rPr>
              <w:t>Private</w:t>
            </w: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2"/>
              </w:rPr>
              <w:t>Private</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3"/>
          </w:tcPr>
          <w:p>
            <w:pPr>
              <w:jc w:val="center"/>
              <w:ind w:right="320"/>
              <w:spacing w:after="0" w:line="102"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8"/>
              </w:rPr>
              <w:t>Underwriting Result by Business Unit</w:t>
            </w: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Vehicle</w:t>
            </w:r>
          </w:p>
        </w:tc>
        <w:tc>
          <w:tcPr>
            <w:tcW w:w="900" w:type="dxa"/>
            <w:vAlign w:val="bottom"/>
            <w:gridSpan w:val="3"/>
          </w:tcPr>
          <w:p>
            <w:pPr>
              <w:jc w:val="center"/>
              <w:ind w:right="360"/>
              <w:spacing w:after="0" w:line="122" w:lineRule="exact"/>
              <w:rPr>
                <w:sz w:val="20"/>
                <w:szCs w:val="20"/>
                <w:color w:val="auto"/>
              </w:rPr>
            </w:pPr>
            <w:r>
              <w:rPr>
                <w:rFonts w:ascii="Arial" w:cs="Arial" w:eastAsia="Arial" w:hAnsi="Arial"/>
                <w:sz w:val="11"/>
                <w:szCs w:val="11"/>
                <w:b w:val="1"/>
                <w:bCs w:val="1"/>
                <w:color w:val="auto"/>
                <w:w w:val="89"/>
              </w:rPr>
              <w:t>Health</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82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Vehicle</w:t>
            </w: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Health</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right"/>
              <w:ind w:right="340"/>
              <w:spacing w:after="0" w:line="122" w:lineRule="exact"/>
              <w:rPr>
                <w:sz w:val="20"/>
                <w:szCs w:val="20"/>
                <w:color w:val="auto"/>
              </w:rPr>
            </w:pPr>
            <w:r>
              <w:rPr>
                <w:rFonts w:ascii="Arial" w:cs="Arial" w:eastAsia="Arial" w:hAnsi="Arial"/>
                <w:sz w:val="11"/>
                <w:szCs w:val="11"/>
                <w:b w:val="1"/>
                <w:bCs w:val="1"/>
                <w:color w:val="auto"/>
              </w:rPr>
              <w:t>Vehicle</w:t>
            </w:r>
          </w:p>
        </w:tc>
        <w:tc>
          <w:tcPr>
            <w:tcW w:w="86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rPr>
                <w:sz w:val="20"/>
                <w:szCs w:val="20"/>
                <w:color w:val="auto"/>
              </w:rPr>
            </w:pPr>
            <w:r>
              <w:rPr>
                <w:rFonts w:ascii="Arial" w:cs="Arial" w:eastAsia="Arial" w:hAnsi="Arial"/>
                <w:sz w:val="11"/>
                <w:szCs w:val="11"/>
                <w:b w:val="1"/>
                <w:bCs w:val="1"/>
                <w:color w:val="auto"/>
              </w:rPr>
              <w:t>US$ million</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6"/>
              </w:rPr>
              <w:t>Insurance</w:t>
            </w:r>
          </w:p>
        </w:tc>
        <w:tc>
          <w:tcPr>
            <w:tcW w:w="9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2"/>
              </w:rPr>
              <w:t>Insurance</w:t>
            </w:r>
          </w:p>
        </w:tc>
        <w:tc>
          <w:tcPr>
            <w:tcW w:w="7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P&amp;C</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PPS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6"/>
              </w:rPr>
              <w:t>Insurance</w:t>
            </w: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Insurance</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P&amp;C</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Insurance</w:t>
            </w:r>
          </w:p>
        </w:tc>
        <w:tc>
          <w:tcPr>
            <w:tcW w:w="8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115"/>
        </w:trPr>
        <w:tc>
          <w:tcPr>
            <w:tcW w:w="1840" w:type="dxa"/>
            <w:vAlign w:val="bottom"/>
            <w:tcBorders>
              <w:top w:val="single" w:sz="8" w:color="auto"/>
            </w:tcBorders>
            <w:shd w:val="clear" w:color="auto" w:fill="CCFFCC"/>
          </w:tcPr>
          <w:p>
            <w:pPr>
              <w:spacing w:after="0" w:line="115" w:lineRule="exact"/>
              <w:rPr>
                <w:sz w:val="20"/>
                <w:szCs w:val="20"/>
                <w:color w:val="auto"/>
              </w:rPr>
            </w:pPr>
            <w:r>
              <w:rPr>
                <w:rFonts w:ascii="Arial" w:cs="Arial" w:eastAsia="Arial" w:hAnsi="Arial"/>
                <w:sz w:val="11"/>
                <w:szCs w:val="11"/>
                <w:color w:val="auto"/>
              </w:rPr>
              <w:t>Net earned premiums</w:t>
            </w:r>
          </w:p>
        </w:tc>
        <w:tc>
          <w:tcPr>
            <w:tcW w:w="12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29.3</w:t>
            </w:r>
          </w:p>
        </w:tc>
        <w:tc>
          <w:tcPr>
            <w:tcW w:w="26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25.1</w:t>
            </w:r>
          </w:p>
        </w:tc>
        <w:tc>
          <w:tcPr>
            <w:tcW w:w="2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16.9</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ind w:left="380"/>
              <w:spacing w:after="0" w:line="115" w:lineRule="exact"/>
              <w:rPr>
                <w:sz w:val="20"/>
                <w:szCs w:val="20"/>
                <w:color w:val="auto"/>
              </w:rPr>
            </w:pPr>
            <w:r>
              <w:rPr>
                <w:rFonts w:ascii="Arial" w:cs="Arial" w:eastAsia="Arial" w:hAnsi="Arial"/>
                <w:sz w:val="11"/>
                <w:szCs w:val="11"/>
                <w:b w:val="1"/>
                <w:bCs w:val="1"/>
                <w:color w:val="auto"/>
                <w:w w:val="83"/>
              </w:rPr>
              <w:t>71.4</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28.7</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24.4</w:t>
            </w:r>
          </w:p>
        </w:tc>
        <w:tc>
          <w:tcPr>
            <w:tcW w:w="24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ind w:left="380"/>
              <w:spacing w:after="0" w:line="115" w:lineRule="exact"/>
              <w:rPr>
                <w:sz w:val="20"/>
                <w:szCs w:val="20"/>
                <w:color w:val="auto"/>
              </w:rPr>
            </w:pPr>
            <w:r>
              <w:rPr>
                <w:rFonts w:ascii="Arial" w:cs="Arial" w:eastAsia="Arial" w:hAnsi="Arial"/>
                <w:sz w:val="11"/>
                <w:szCs w:val="11"/>
                <w:color w:val="auto"/>
                <w:w w:val="74"/>
              </w:rPr>
              <w:t>18.2</w:t>
            </w:r>
          </w:p>
        </w:tc>
        <w:tc>
          <w:tcPr>
            <w:tcW w:w="2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ind w:left="360"/>
              <w:spacing w:after="0" w:line="115" w:lineRule="exact"/>
              <w:rPr>
                <w:sz w:val="20"/>
                <w:szCs w:val="20"/>
                <w:color w:val="auto"/>
              </w:rPr>
            </w:pPr>
            <w:r>
              <w:rPr>
                <w:rFonts w:ascii="Arial" w:cs="Arial" w:eastAsia="Arial" w:hAnsi="Arial"/>
                <w:sz w:val="11"/>
                <w:szCs w:val="11"/>
                <w:b w:val="1"/>
                <w:bCs w:val="1"/>
                <w:color w:val="auto"/>
                <w:w w:val="83"/>
              </w:rPr>
              <w:t>71.3</w:t>
            </w:r>
          </w:p>
        </w:tc>
        <w:tc>
          <w:tcPr>
            <w:tcW w:w="2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25.0</w:t>
            </w:r>
          </w:p>
        </w:tc>
        <w:tc>
          <w:tcPr>
            <w:tcW w:w="2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21.1</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17.3</w:t>
            </w:r>
          </w:p>
        </w:tc>
        <w:tc>
          <w:tcPr>
            <w:tcW w:w="22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right w:val="single" w:sz="8" w:color="CCFFCC"/>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63.4</w:t>
            </w: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Underwriting results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0.9</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3.5</w:t>
            </w:r>
          </w:p>
        </w:tc>
        <w:tc>
          <w:tcPr>
            <w:tcW w:w="240" w:type="dxa"/>
            <w:vAlign w:val="bottom"/>
          </w:tcPr>
          <w:p>
            <w:pPr>
              <w:spacing w:after="0"/>
              <w:rPr>
                <w:sz w:val="10"/>
                <w:szCs w:val="10"/>
                <w:color w:val="auto"/>
              </w:rPr>
            </w:pPr>
          </w:p>
        </w:tc>
        <w:tc>
          <w:tcPr>
            <w:tcW w:w="580" w:type="dxa"/>
            <w:vAlign w:val="bottom"/>
          </w:tcPr>
          <w:p>
            <w:pPr>
              <w:ind w:left="380"/>
              <w:spacing w:after="0" w:line="122" w:lineRule="exact"/>
              <w:rPr>
                <w:sz w:val="20"/>
                <w:szCs w:val="20"/>
                <w:color w:val="auto"/>
              </w:rPr>
            </w:pPr>
            <w:r>
              <w:rPr>
                <w:rFonts w:ascii="Arial" w:cs="Arial" w:eastAsia="Arial" w:hAnsi="Arial"/>
                <w:sz w:val="11"/>
                <w:szCs w:val="11"/>
                <w:b w:val="1"/>
                <w:bCs w:val="1"/>
                <w:color w:val="auto"/>
                <w:w w:val="83"/>
              </w:rPr>
              <w:t>10.9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4.4</w:t>
            </w:r>
          </w:p>
        </w:tc>
        <w:tc>
          <w:tcPr>
            <w:tcW w:w="78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10.6</w:t>
            </w:r>
          </w:p>
        </w:tc>
        <w:tc>
          <w:tcPr>
            <w:tcW w:w="76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21.9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4.2</w:t>
            </w:r>
          </w:p>
        </w:tc>
        <w:tc>
          <w:tcPr>
            <w:tcW w:w="10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(2.9)</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Loss ratio</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69.1%</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63.3%</w:t>
            </w:r>
          </w:p>
        </w:tc>
        <w:tc>
          <w:tcPr>
            <w:tcW w:w="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55.7%</w:t>
            </w:r>
          </w:p>
        </w:tc>
        <w:tc>
          <w:tcPr>
            <w:tcW w:w="82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b w:val="1"/>
                <w:bCs w:val="1"/>
                <w:color w:val="auto"/>
              </w:rPr>
              <w:t>63.9%</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50.3%</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71.7%</w:t>
            </w:r>
          </w:p>
        </w:tc>
        <w:tc>
          <w:tcPr>
            <w:tcW w:w="78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color w:val="auto"/>
              </w:rPr>
              <w:t>25.4%</w:t>
            </w:r>
          </w:p>
        </w:tc>
        <w:tc>
          <w:tcPr>
            <w:tcW w:w="7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rPr>
              <w:t>51.3%</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58.5%</w:t>
            </w: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68.7%</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106.6%</w:t>
            </w:r>
          </w:p>
        </w:tc>
        <w:tc>
          <w:tcPr>
            <w:tcW w:w="6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75.0%</w:t>
            </w:r>
          </w:p>
        </w:tc>
        <w:tc>
          <w:tcPr>
            <w:tcW w:w="0" w:type="dxa"/>
            <w:vAlign w:val="bottom"/>
          </w:tcPr>
          <w:p>
            <w:pPr>
              <w:spacing w:after="0"/>
              <w:rPr>
                <w:sz w:val="1"/>
                <w:szCs w:val="1"/>
                <w:color w:val="auto"/>
              </w:rPr>
            </w:pPr>
          </w:p>
        </w:tc>
      </w:tr>
      <w:tr>
        <w:trPr>
          <w:trHeight w:val="112"/>
        </w:trPr>
        <w:tc>
          <w:tcPr>
            <w:tcW w:w="1960" w:type="dxa"/>
            <w:vAlign w:val="bottom"/>
            <w:gridSpan w:val="2"/>
          </w:tcPr>
          <w:p>
            <w:pPr>
              <w:spacing w:after="0" w:line="112" w:lineRule="exact"/>
              <w:rPr>
                <w:sz w:val="20"/>
                <w:szCs w:val="20"/>
                <w:color w:val="auto"/>
              </w:rPr>
            </w:pPr>
            <w:r>
              <w:rPr>
                <w:rFonts w:ascii="Arial" w:cs="Arial" w:eastAsia="Arial" w:hAnsi="Arial"/>
                <w:sz w:val="11"/>
                <w:szCs w:val="11"/>
                <w:color w:val="auto"/>
              </w:rPr>
              <w:t>Underwriting results / net earned</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15.3%</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30.7%</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7.1%</w:t>
            </w:r>
          </w:p>
        </w:tc>
        <w:tc>
          <w:tcPr>
            <w:tcW w:w="0" w:type="dxa"/>
            <w:vAlign w:val="bottom"/>
          </w:tcPr>
          <w:p>
            <w:pPr>
              <w:spacing w:after="0"/>
              <w:rPr>
                <w:sz w:val="1"/>
                <w:szCs w:val="1"/>
                <w:color w:val="auto"/>
              </w:rPr>
            </w:pPr>
          </w:p>
        </w:tc>
      </w:tr>
      <w:tr>
        <w:trPr>
          <w:trHeight w:val="145"/>
        </w:trPr>
        <w:tc>
          <w:tcPr>
            <w:tcW w:w="1960" w:type="dxa"/>
            <w:vAlign w:val="bottom"/>
            <w:gridSpan w:val="2"/>
          </w:tcPr>
          <w:p>
            <w:pPr>
              <w:spacing w:after="0"/>
              <w:rPr>
                <w:sz w:val="20"/>
                <w:szCs w:val="20"/>
                <w:color w:val="auto"/>
              </w:rPr>
            </w:pPr>
            <w:r>
              <w:rPr>
                <w:rFonts w:ascii="Arial" w:cs="Arial" w:eastAsia="Arial" w:hAnsi="Arial"/>
                <w:sz w:val="11"/>
                <w:szCs w:val="11"/>
                <w:color w:val="auto"/>
              </w:rPr>
              <w:t>premiums</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3.1%</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20.6%</w:t>
            </w:r>
          </w:p>
        </w:tc>
        <w:tc>
          <w:tcPr>
            <w:tcW w:w="820" w:type="dxa"/>
            <w:vAlign w:val="bottom"/>
            <w:gridSpan w:val="2"/>
            <w:vMerge w:val="continue"/>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24.1%</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18.0%</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57.9%</w:t>
            </w:r>
          </w:p>
        </w:tc>
        <w:tc>
          <w:tcPr>
            <w:tcW w:w="760" w:type="dxa"/>
            <w:vAlign w:val="bottom"/>
            <w:gridSpan w:val="2"/>
            <w:vMerge w:val="continue"/>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12.7%</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-16.8%</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Vehicle Insurance segment posted an underwriting result of US$ 0.9 million in 1Q13, which falls below the results posted in previous quarters (-87.0% QoQ and -71.7% YoY) due to an increase in the loss ratio. Claims progressed as follows: US$ 14.6 million in 1Q12 US$; 14.4 million in 4Q12; and US$ 18.3 million in 1Q13.</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Private Medical segment reported a net earned premium of US$ 25.1 million, which represents an increase of 3% QoQ and 19.2% YoY. This led to an underwriting result of US$ 6.5 million in 1Q13 (+8% QoQ and +5.9% YoY). The underwriting result is attributable to a decline in the Loss Ratio.</w:t>
      </w:r>
    </w:p>
    <w:p>
      <w:pPr>
        <w:spacing w:after="0" w:line="18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Property and Casualty (P &amp; C) segment posted an underwriting result of US$ 3.5 million in 1Q13, which represents a 66.9% drop with regard to 4Q12. This result was due to an increase in net claims of US$ 4.8 million and a drop in premium turnover of US$ 31.6 million. The YoY analysis shows a variation of +US$ 6.4 million. This was mainly attributable to a more favorable scenario in the fire, technical and aviation lines, which posted no severe claims. This contrasts with the situation observed in 1Q12, when severe claims totaled US$ 11.1 million.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these results, PPS achieved a combined ratio of 116.4% in 1Q13, which can be broken down as follows: 63.9 points for costs and expenses for net claims (loss ratio); 20.8 points for business acquisition costs; and 31.7 points for general or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Life (PV)</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first quarter of 2013, Pacifico Life reported net income before minority interest of US$ 14.9 million, which represents a 11.6% drop with regard to the total reported in 4Q12 (US$ 16.9 million). This result was attributable to a decline in the underwriting result and translation losses (-33% QoQ). Net income before minority interest rose 30% YoY (US$ 11.5 million) due to an increase in premium turnover (+14% YoY) and a lower loss ratio.</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quarterly variation seen in the underwriting result (US$ -1.5 million) was attributable primarily to a drop in underwriting income (- US$ 2.3) given that last Q’s result was particularly high due to an exceptional entry for reinsurance profit sharing, which was reported in November 2012, and to annual billing to the Health Business for shared expenses. The yearly variation in the underwriting result was due to higher premium turnover (+14%), particularly in the Disability and Survivor, and Credit Life lines, and to a decline in the loss ratio.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Net financial income grew 8% QoQ due to higher gains on sales of securities, which rose from US$ 1.8 million in 4Q12 to US$ 4.0 million in 1Q13.</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Finally, the translation loss in 1Q13 totaled –US$ 1.8 million, which contrasts with the US$ 2 million gain reported in 4Q12 and the US$ 1.5 million gain seen in 1Q12.</w:t>
      </w:r>
    </w:p>
    <w:p>
      <w:pPr>
        <w:spacing w:after="0" w:line="16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9"/>
              </w:rPr>
              <w:t>Pacífico Vida</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478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0"/>
              </w:rPr>
              <w:t>Total Premiums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Change %</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1Q13</w:t>
            </w:r>
          </w:p>
        </w:tc>
        <w:tc>
          <w:tcPr>
            <w:tcW w:w="20" w:type="dxa"/>
            <w:vAlign w:val="bottom"/>
            <w:tcBorders>
              <w:bottom w:val="single" w:sz="8" w:color="CCFFCC"/>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4Q12</w:t>
            </w:r>
          </w:p>
        </w:tc>
        <w:tc>
          <w:tcPr>
            <w:tcW w:w="2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Individual annuity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24.5</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25.1</w:t>
            </w:r>
          </w:p>
        </w:tc>
        <w:tc>
          <w:tcPr>
            <w:tcW w:w="13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19.6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19.5</w:t>
            </w:r>
          </w:p>
        </w:tc>
        <w:tc>
          <w:tcPr>
            <w:tcW w:w="12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27.8%</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Credit Life</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17.8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4.8</w:t>
            </w:r>
          </w:p>
        </w:tc>
        <w:tc>
          <w:tcPr>
            <w:tcW w:w="13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w:t>
            </w:r>
          </w:p>
        </w:tc>
        <w:tc>
          <w:tcPr>
            <w:tcW w:w="12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Group life (Law)</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5.6</w:t>
            </w:r>
          </w:p>
        </w:tc>
        <w:tc>
          <w:tcPr>
            <w:tcW w:w="13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69.7%</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210"/>
        </w:trPr>
        <w:tc>
          <w:tcPr>
            <w:tcW w:w="4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101.4</w:t>
            </w: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96.0</w:t>
            </w:r>
          </w:p>
        </w:tc>
        <w:tc>
          <w:tcPr>
            <w:tcW w:w="20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13.6</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2013, Pacifico Salud reported net income in the Insurance Business (before medical services) for US$2.3 million, which represents an improvement over the loss of –US$ 1.9 million posted in 4Q12 and the US$ 0.5 million loss reported in 1Q12. Our Medical Services Provider business posted a result of -US$0.9 million, which compares favorably with the loss of-US$ 2.6 million in 4Q12 but falls below the positive result registered in 1Q12 of US$ 0.5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combine the results of both business, Pacifico Salud’s net income was US$ 1.3 million, which represents an improvement with regard to 4Q12 (-US$ 4.6 million) and 1Q12 (US$ 7 mil).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improvement in the Insurance Business’s result is associated with an increase in the operating result, which evolved as follows: -US$ 1.1 million in 4Q12;-US$ 0.8 million in 1Q12; and US$ 2.2 million in 1Q13.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underwriting result also improved +75.6% QoQ. This was due primarily to a drop in the loss ratio, which fell from 84.8% in 4Q12 to 79% in 1Q13 given that the frequency of medical services was higher in the previous quarter.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underwriting result totaled US$ 7.9 million in 1Q13, which topped the US 5.4 million reported in 1Q12 (+45.1%). Net earned premiums increased US$ 10.2 million (+20.8% YoY) due to a US$ 6.9 million increase in net claims (17.2% YoY). The price adjustments that have been made in the majority of health plans have generated a positive effect on the loss ratio, which dropped from 81.5% in 1Q12 to 79% in 1Q13. This effect was partially mitigated by an increase in fees and expenses for commercial support (+23.6%).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increased US$ 0.1 million (+2.5% QoQ) with regard to 4Q12’s figure. This expansion was associated with higher expenditures for infrastructure and technology services this 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year-on-year terms, general expenses fell -US$ 0.5 million (-8.7% YoY). This favorable evolution was due to a reduction in expenses relative to advertising, consultancy and advisory services. In 1Q12, EPS absorbed expenses related to the acquisition of clinics to implement the comprehensive plan for health risk. These expenses were one-time in nature and as such, our expense structure improved this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1Q13, the medical subsidiaries reported an underwriting result of US$ 8.6 million, which represented a decline of US$ 1.7 million with regard to 4Q12 (-17%) due to: (1) the seasonal effect of a decrease in sales at the network’s clinics (summer vacation and Easter) and(2) delays in the implementation of new hospital and ambulatory services. Nevertheless, this result represents an increase of US$ 2.9 million with regard to 1Q12 (52%).</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bottom line for the consolidated results registered a loss after minority interest of US$ 0.74 million in 1Q13, which compares favorably with the US$ 2.3 million loss posted in 4Q12 (+67%). This improvement was due to the fact that general expenses fell this Q, which was in turn attributable to the drop in recognized charges and provisions as well as the effect generated by other income after accounting provisions were lifted. Nevertheless it is important to note that in 1Q13, the company began to recognize the advertising and promotion expenses incurred by the largest private healthcare network in the country.</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723265</wp:posOffset>
            </wp:positionV>
            <wp:extent cx="1132205"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FFCC"/>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140" w:type="dxa"/>
            <w:vAlign w:val="bottom"/>
            <w:tcBorders>
              <w:bottom w:val="single" w:sz="8" w:color="CCFFCC"/>
            </w:tcBorders>
          </w:tcPr>
          <w:p>
            <w:pPr>
              <w:spacing w:after="0"/>
              <w:rPr>
                <w:sz w:val="21"/>
                <w:szCs w:val="21"/>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4Q12</w:t>
            </w:r>
          </w:p>
        </w:tc>
        <w:tc>
          <w:tcPr>
            <w:tcW w:w="60" w:type="dxa"/>
            <w:vAlign w:val="bottom"/>
            <w:tcBorders>
              <w:bottom w:val="single" w:sz="8" w:color="CCFFCC"/>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 %</w:t>
            </w:r>
          </w:p>
        </w:tc>
        <w:tc>
          <w:tcPr>
            <w:tcW w:w="180" w:type="dxa"/>
            <w:vAlign w:val="bottom"/>
            <w:tcBorders>
              <w:bottom w:val="single" w:sz="8" w:color="CCFFCC"/>
            </w:tcBorders>
          </w:tcPr>
          <w:p>
            <w:pPr>
              <w:spacing w:after="0"/>
              <w:rPr>
                <w:sz w:val="21"/>
                <w:szCs w:val="21"/>
                <w:color w:val="auto"/>
              </w:rPr>
            </w:pPr>
          </w:p>
        </w:tc>
      </w:tr>
      <w:tr>
        <w:trPr>
          <w:trHeight w:val="210"/>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Underwriting result*</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8,629</w:t>
            </w:r>
          </w:p>
        </w:tc>
        <w:tc>
          <w:tcPr>
            <w:tcW w:w="1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10,361</w:t>
            </w:r>
          </w:p>
        </w:tc>
        <w:tc>
          <w:tcPr>
            <w:tcW w:w="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9,799</w:t>
            </w:r>
          </w:p>
        </w:tc>
        <w:tc>
          <w:tcPr>
            <w:tcW w:w="1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14,080</w:t>
            </w:r>
          </w:p>
        </w:tc>
        <w:tc>
          <w:tcPr>
            <w:tcW w:w="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before minority interest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-938</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-2,661</w:t>
            </w:r>
          </w:p>
        </w:tc>
        <w:tc>
          <w:tcPr>
            <w:tcW w:w="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-64.8%</w:t>
            </w:r>
          </w:p>
        </w:tc>
      </w:tr>
      <w:tr>
        <w:trPr>
          <w:trHeight w:val="225"/>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-8890</wp:posOffset>
            </wp:positionV>
            <wp:extent cx="21012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i w:val="1"/>
          <w:iCs w:val="1"/>
          <w:color w:val="auto"/>
        </w:rPr>
        <w:t>*Income from medical service - cost from medical service.</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**Considers Other income.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2" w:name="page33"/>
    <w:bookmarkEnd w:id="3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VIII. Prima AFP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1Q13, Prima AFP’s net income totaled US$ 11.6 million, which represents a 43% increase with regard to the net income reported for the last quarter of 2012. This difference was due primarily to an extraordinary deferred income of US$ 5.4 million that was registered (IFRS) in the last quarter of 2012. This adjustment was retrospective and accounted for commissions since the beginning of Prima’s operations. It should be noted however that a commission deferment will continue to be registered each Q but will only account for quarterly volumes. Additionally, this Q the company posted fewer charges for personnel but registered increases in expenditures for third-party services; both of these concepts were associated with the process of SPP Reform. The expenses associated with this processes will only be incurred once.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in 1Q13 reflects the effect of capturing more than 117 thousand new affiliates in the period from October 2012 to February 2013 under the tender agreement to assign new entrants to the SPP.</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PRIMA</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System</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PRIMA</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System</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Quarterly main indicators and market share</w:t>
            </w:r>
          </w:p>
        </w:tc>
        <w:tc>
          <w:tcPr>
            <w:tcW w:w="8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1Q13</w:t>
            </w:r>
          </w:p>
        </w:tc>
        <w:tc>
          <w:tcPr>
            <w:tcW w:w="18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1Q13 %</w:t>
            </w:r>
          </w:p>
        </w:tc>
        <w:tc>
          <w:tcPr>
            <w:tcW w:w="26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4Q12</w:t>
            </w:r>
          </w:p>
        </w:tc>
        <w:tc>
          <w:tcPr>
            <w:tcW w:w="20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4Q12</w:t>
            </w:r>
          </w:p>
        </w:tc>
        <w:tc>
          <w:tcPr>
            <w:tcW w:w="18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4Q12 %</w:t>
            </w:r>
          </w:p>
        </w:tc>
        <w:tc>
          <w:tcPr>
            <w:tcW w:w="160" w:type="dxa"/>
            <w:vAlign w:val="bottom"/>
            <w:tcBorders>
              <w:bottom w:val="single" w:sz="8" w:color="CCFFCC"/>
            </w:tcBorders>
          </w:tcPr>
          <w:p>
            <w:pPr>
              <w:spacing w:after="0"/>
              <w:rPr>
                <w:sz w:val="20"/>
                <w:szCs w:val="20"/>
                <w:color w:val="auto"/>
              </w:rPr>
            </w:pPr>
          </w:p>
        </w:tc>
      </w:tr>
      <w:tr>
        <w:trPr>
          <w:trHeight w:val="210"/>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1,416,353</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5,341,222</w:t>
            </w:r>
          </w:p>
        </w:tc>
        <w:tc>
          <w:tcPr>
            <w:tcW w:w="1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26.5%</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1,339,180</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5,268,457</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25.4%</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1040" w:type="dxa"/>
            <w:vAlign w:val="bottom"/>
          </w:tcPr>
          <w:p>
            <w:pPr>
              <w:jc w:val="right"/>
              <w:spacing w:after="0"/>
              <w:rPr>
                <w:sz w:val="20"/>
                <w:szCs w:val="20"/>
                <w:color w:val="auto"/>
              </w:rPr>
            </w:pPr>
            <w:r>
              <w:rPr>
                <w:rFonts w:ascii="Arial" w:cs="Arial" w:eastAsia="Arial" w:hAnsi="Arial"/>
                <w:sz w:val="18"/>
                <w:szCs w:val="18"/>
                <w:color w:val="auto"/>
              </w:rPr>
              <w:t>78,721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78,721</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spacing w:after="0"/>
              <w:rPr>
                <w:sz w:val="20"/>
                <w:szCs w:val="20"/>
                <w:color w:val="auto"/>
              </w:rPr>
            </w:pPr>
            <w:r>
              <w:rPr>
                <w:rFonts w:ascii="Arial" w:cs="Arial" w:eastAsia="Arial" w:hAnsi="Arial"/>
                <w:sz w:val="18"/>
                <w:szCs w:val="18"/>
                <w:color w:val="auto"/>
              </w:rPr>
              <w:t>65,763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65,769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12,241</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38,759</w:t>
            </w:r>
          </w:p>
        </w:tc>
        <w:tc>
          <w:tcPr>
            <w:tcW w:w="1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11,964</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37,967</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31.51%</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Collections US$ million (1)</w:t>
            </w: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16"/>
        </w:trPr>
        <w:tc>
          <w:tcPr>
            <w:tcW w:w="3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43.8%</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44.1%</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RAM US$ million (2)</w:t>
            </w: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108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2,044</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0</wp:posOffset>
            </wp:positionV>
            <wp:extent cx="4690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194" w:lineRule="exact"/>
        <w:rPr>
          <w:sz w:val="20"/>
          <w:szCs w:val="20"/>
          <w:color w:val="auto"/>
        </w:rPr>
      </w:pPr>
    </w:p>
    <w:p>
      <w:pPr>
        <w:ind w:left="400" w:hanging="262"/>
        <w:spacing w:after="0"/>
        <w:tabs>
          <w:tab w:leader="none" w:pos="4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left="400" w:hanging="262"/>
        <w:spacing w:after="0"/>
        <w:tabs>
          <w:tab w:leader="none" w:pos="40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Rights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Similar to last quarter, in the first three months of 2013, Prima AFP, as the winner of the first affiliate assignment block, had the exclusive right to capture new affiliates to the SPP until the AFP that won the right to the second block had the opportunity to fully establish operations to attend to these new entrants. This extraordinary and unforeseen opportunity explains the significant growth reported this Q. During this period, the affiliation volume totaled 78,721, which represents growth of 19.7% QoQ that was attributable to the company’s commercial efforts and moves to extend coverage throughout the country.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RAM (monthly insurance remuneration), constant growth was evident in 1Q13. In this context, RAM increased 4.5% QoQ to total US$ 693 million at the end of 1Q13. Once again, Prima AFP consolidated its leadership with a market share of 33.2% in terms of RAM, which is the income base for AFPs.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2013, the portfolio managed by Prima AFP totaled US$ 12,241 million, which represents 31.6% of the total portfolio managed by the System and situates the company in first place in terms of market share.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 AFP’s collections for new contributions in the first quarter of 2013 totaled US$ 239 million, which represents 33.5% of the system’s total. This figure outstrips the total amount collected in 4Q12 by 5.8% and indicates growth of 21.7% YoY.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results once again confirm that Prima AFP continues to grow and lead the market as it consolidated its position in terms of RAM, contribution volumes, and value of the portfolio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2013, the international markets showed less volatility than last year. Nevertheless, uncertainty continues on the global economic scene.</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local scene, the Peruvian economy continued to perform well and posted stable indicators for growth. In this context, Prima AFP continues to apply a conservative investment policy that favors companies with solid fundamentals in an environment characterized by more significant global risks.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In terms of the profitability of funds under management, during the last 12 months (March 2013 / March 2012), the results were 10.7%, 6.9%, and 3.5% for funds 1, 2 and 3 respectively. These results situate Prima AFP in third place in the system’s profitability ranking for Fund 1, second in terms of Fund 2 and third for Fund 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extend the period of evaluation to 7 years (March 2013 / March 2006), Prima AFP’s Fund 2, which represents 65.8% of its total funds under management, achieved annualized nominal yield of 11.6% while the SPP’s average yield was 10.9%. It is important to note that during the same period, the profitability of Prima AFP’s Fund 2 was ranked first in the system.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covering the creation of the SPP to date (March 2013/December 1993[1]), the annualized yield of the AFPs’ funds under management has been 13.1% in nominal terms and 8.2% in real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the portfolio managed by Prima AFP at the end of the first quarter of 2013:</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March 2013</w:t>
            </w:r>
          </w:p>
        </w:tc>
        <w:tc>
          <w:tcPr>
            <w:tcW w:w="12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Mar 13</w:t>
            </w:r>
          </w:p>
        </w:tc>
        <w:tc>
          <w:tcPr>
            <w:tcW w:w="2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 %</w:t>
            </w:r>
          </w:p>
        </w:tc>
        <w:tc>
          <w:tcPr>
            <w:tcW w:w="26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Dic 12</w:t>
            </w:r>
          </w:p>
        </w:tc>
        <w:tc>
          <w:tcPr>
            <w:tcW w:w="2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10.8%</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160" w:type="dxa"/>
            <w:vAlign w:val="bottom"/>
          </w:tcPr>
          <w:p>
            <w:pPr>
              <w:jc w:val="right"/>
              <w:spacing w:after="0"/>
              <w:rPr>
                <w:sz w:val="20"/>
                <w:szCs w:val="20"/>
                <w:color w:val="auto"/>
              </w:rPr>
            </w:pPr>
            <w:r>
              <w:rPr>
                <w:rFonts w:ascii="Arial" w:cs="Arial" w:eastAsia="Arial" w:hAnsi="Arial"/>
                <w:sz w:val="18"/>
                <w:szCs w:val="18"/>
                <w:color w:val="auto"/>
              </w:rPr>
              <w:t>8,057</w:t>
            </w:r>
          </w:p>
        </w:tc>
        <w:tc>
          <w:tcPr>
            <w:tcW w:w="220" w:type="dxa"/>
            <w:vAlign w:val="bottom"/>
          </w:tcPr>
          <w:p>
            <w:pPr>
              <w:spacing w:after="0"/>
              <w:rPr>
                <w:sz w:val="18"/>
                <w:szCs w:val="18"/>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65.8%</w:t>
            </w:r>
          </w:p>
        </w:tc>
        <w:tc>
          <w:tcPr>
            <w:tcW w:w="1180" w:type="dxa"/>
            <w:vAlign w:val="bottom"/>
          </w:tcPr>
          <w:p>
            <w:pPr>
              <w:jc w:val="right"/>
              <w:spacing w:after="0"/>
              <w:rPr>
                <w:sz w:val="20"/>
                <w:szCs w:val="20"/>
                <w:color w:val="auto"/>
              </w:rPr>
            </w:pPr>
            <w:r>
              <w:rPr>
                <w:rFonts w:ascii="Arial" w:cs="Arial" w:eastAsia="Arial" w:hAnsi="Arial"/>
                <w:sz w:val="18"/>
                <w:szCs w:val="18"/>
                <w:color w:val="auto"/>
              </w:rPr>
              <w:t>7,897</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66.0%</w:t>
            </w:r>
          </w:p>
        </w:tc>
      </w:tr>
      <w:tr>
        <w:trPr>
          <w:trHeight w:val="230"/>
        </w:trPr>
        <w:tc>
          <w:tcPr>
            <w:tcW w:w="5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2,866</w:t>
            </w:r>
          </w:p>
        </w:tc>
        <w:tc>
          <w:tcPr>
            <w:tcW w:w="2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23.4%</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2,795</w:t>
            </w: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23.4%</w:t>
            </w: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12,241</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-8255</wp:posOffset>
            </wp:positionV>
            <wp:extent cx="34563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the year, Prima AFP’s income was US$ 33.6 million, which represents growth of 36.7% QoQ and 13.8% YoY. As indicated at the beginning of this report, this difference was due to the deferred income that was earned at the end of the previous quarter and the increase reported in affiliate captures.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RAM indicator, which is the aggregate of our affiliates’ salaries, shows an upward trend in the first quarter for 693 million, which tops the 663 million reported in 1Q12 by 4.5%.</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PRIMA</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System</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1"/>
                <w:szCs w:val="21"/>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2013</w:t>
            </w:r>
          </w:p>
        </w:tc>
        <w:tc>
          <w:tcPr>
            <w:tcW w:w="260" w:type="dxa"/>
            <w:vAlign w:val="bottom"/>
            <w:tcBorders>
              <w:bottom w:val="single" w:sz="8" w:color="CCFFCC"/>
            </w:tcBorders>
          </w:tcPr>
          <w:p>
            <w:pPr>
              <w:spacing w:after="0"/>
              <w:rPr>
                <w:sz w:val="21"/>
                <w:szCs w:val="21"/>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2013</w:t>
            </w:r>
          </w:p>
        </w:tc>
        <w:tc>
          <w:tcPr>
            <w:tcW w:w="260" w:type="dxa"/>
            <w:vAlign w:val="bottom"/>
            <w:tcBorders>
              <w:bottom w:val="single" w:sz="8" w:color="CCFFCC"/>
            </w:tcBorders>
          </w:tcPr>
          <w:p>
            <w:pPr>
              <w:spacing w:after="0"/>
              <w:rPr>
                <w:sz w:val="21"/>
                <w:szCs w:val="21"/>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1"/>
                <w:szCs w:val="21"/>
                <w:color w:val="auto"/>
              </w:rPr>
            </w:pPr>
          </w:p>
        </w:tc>
      </w:tr>
      <w:tr>
        <w:trPr>
          <w:trHeight w:val="210"/>
        </w:trPr>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fees (1)</w:t>
            </w:r>
          </w:p>
        </w:tc>
        <w:tc>
          <w:tcPr>
            <w:tcW w:w="1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1.60%</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1.82%</w:t>
            </w:r>
          </w:p>
        </w:tc>
        <w:tc>
          <w:tcPr>
            <w:tcW w:w="1200" w:type="dxa"/>
            <w:vAlign w:val="bottom"/>
            <w:shd w:val="clear" w:color="auto" w:fill="CCFFCC"/>
          </w:tcPr>
          <w:p>
            <w:pPr>
              <w:ind w:left="920"/>
              <w:spacing w:after="0"/>
              <w:rPr>
                <w:sz w:val="20"/>
                <w:szCs w:val="20"/>
                <w:color w:val="auto"/>
              </w:rPr>
            </w:pPr>
            <w:r>
              <w:rPr>
                <w:rFonts w:ascii="Arial" w:cs="Arial" w:eastAsia="Arial" w:hAnsi="Arial"/>
                <w:sz w:val="18"/>
                <w:szCs w:val="18"/>
                <w:color w:val="auto"/>
                <w:w w:val="86"/>
              </w:rPr>
              <w:t>n.a.</w:t>
            </w:r>
          </w:p>
        </w:tc>
        <w:tc>
          <w:tcPr>
            <w:tcW w:w="160" w:type="dxa"/>
            <w:vAlign w:val="bottom"/>
            <w:shd w:val="clear" w:color="auto" w:fill="CCFFCC"/>
          </w:tcPr>
          <w:p>
            <w:pPr>
              <w:spacing w:after="0"/>
              <w:rPr>
                <w:sz w:val="18"/>
                <w:szCs w:val="18"/>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RAM base (2)</w:t>
            </w:r>
          </w:p>
        </w:tc>
        <w:tc>
          <w:tcPr>
            <w:tcW w:w="1200" w:type="dxa"/>
            <w:vAlign w:val="bottom"/>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2,086</w:t>
            </w:r>
          </w:p>
        </w:tc>
        <w:tc>
          <w:tcPr>
            <w:tcW w:w="2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26073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i w:val="1"/>
          <w:iCs w:val="1"/>
          <w:color w:val="auto"/>
        </w:rPr>
        <w:t>PRIMA AFP estimates. In accordance to local public infomation, (SMV).</w:t>
      </w:r>
    </w:p>
    <w:p>
      <w:pPr>
        <w:spacing w:after="0" w:line="22" w:lineRule="exact"/>
        <w:rPr>
          <w:sz w:val="20"/>
          <w:szCs w:val="20"/>
          <w:color w:val="auto"/>
        </w:rPr>
      </w:pPr>
    </w:p>
    <w:p>
      <w:pPr>
        <w:ind w:left="560" w:hanging="262"/>
        <w:spacing w:after="0"/>
        <w:tabs>
          <w:tab w:leader="none" w:pos="5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System administrative fee: simple average.</w:t>
      </w:r>
    </w:p>
    <w:p>
      <w:pPr>
        <w:spacing w:after="0" w:line="9" w:lineRule="exact"/>
        <w:rPr>
          <w:rFonts w:ascii="Arial" w:cs="Arial" w:eastAsia="Arial" w:hAnsi="Arial"/>
          <w:sz w:val="18"/>
          <w:szCs w:val="18"/>
          <w:i w:val="1"/>
          <w:iCs w:val="1"/>
          <w:color w:val="auto"/>
        </w:rPr>
      </w:pPr>
    </w:p>
    <w:p>
      <w:pPr>
        <w:ind w:left="560" w:hanging="262"/>
        <w:spacing w:after="0"/>
        <w:tabs>
          <w:tab w:leader="none" w:pos="5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Administrative and sales expenses in the first quarter of 2013 totaled US$14.1 million, which represents a decline of 10.6% with regard to last quarter. This reduction was primarily due to lower charges for administrative and sales personnel in the framework of SPP reform. In year-on-year terms, administrative and sales expenses rose 11.3%. This was due mainly to the expenses incurred in the process to allow affiliates to select a commission scheme and other expenses related to the SPP Reform.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 the depreciation and amortization costs totaled US$ 1.8 million and included charges for the amortization of intangible assets (obtained in the merger with Union Vida) as well as for the amortization of real estate, equipment and systems.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in 1Q13 totaled US$ 17.8 million, which far exceeded the US$ 6.6 million reported last quarter. Based on this result, and after deducting other income and expenses as well as income tax provisions, net income totaled US$ 11.6 million. In comparison to 4Q12’s net result, earnings increased 43.0% whereas the QoQ analysis shows growth of 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538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The information that dates furthest back on SBS’s web page.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 1Q13, return on average equity (ROAE) reached 29.6%, which represents a considerable increase with regard to last quarter’s result (18.3%).</w:t>
      </w:r>
      <w:r>
        <w:rPr>
          <w:rFonts w:ascii="Arial" w:cs="Arial" w:eastAsia="Arial" w:hAnsi="Arial"/>
          <w:sz w:val="28"/>
          <w:szCs w:val="28"/>
          <w:color w:val="auto"/>
          <w:vertAlign w:val="superscript"/>
        </w:rPr>
        <w:t>3</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March 2013, Prima AFP reported an asset level of US$ 277.6 million; shareholders’ equity of US$ 144.4 million; and liabilities for a total of US$ 133.2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IQ13, Prima AFP’s liabilities decreased as a result of a payment made in March 2013 to reduce capital stock by US$ 26.3 million. On the other hand, shareholder’s equity decreased this Q product of the declaration of dividends for US$ 38.5 million for the year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The table below contains our financial results: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5500" w:type="dxa"/>
            <w:vAlign w:val="bottom"/>
            <w:gridSpan w:val="3"/>
          </w:tcPr>
          <w:p>
            <w:pPr>
              <w:ind w:left="180"/>
              <w:spacing w:after="0"/>
              <w:rPr>
                <w:sz w:val="20"/>
                <w:szCs w:val="20"/>
                <w:color w:val="auto"/>
              </w:rPr>
            </w:pPr>
            <w:r>
              <w:rPr>
                <w:rFonts w:ascii="Arial" w:cs="Arial" w:eastAsia="Arial" w:hAnsi="Arial"/>
                <w:sz w:val="18"/>
                <w:szCs w:val="18"/>
                <w:b w:val="1"/>
                <w:bCs w:val="1"/>
                <w:color w:val="auto"/>
              </w:rPr>
              <w:t>Main financial indicators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 (1)</w:t>
            </w:r>
          </w:p>
        </w:tc>
        <w:tc>
          <w:tcPr>
            <w:tcW w:w="1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4Q12</w:t>
            </w:r>
          </w:p>
        </w:tc>
        <w:tc>
          <w:tcPr>
            <w:tcW w:w="3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5"/>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Income from commissions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33,649</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24,616</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29,577</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Administrative and sale expenses</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(14,116)</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(15,787)</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(12,679)</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80" w:type="dxa"/>
            <w:vAlign w:val="bottom"/>
          </w:tcPr>
          <w:p>
            <w:pPr>
              <w:spacing w:after="0"/>
              <w:rPr>
                <w:sz w:val="18"/>
                <w:szCs w:val="18"/>
                <w:color w:val="auto"/>
              </w:rPr>
            </w:pPr>
          </w:p>
        </w:tc>
        <w:tc>
          <w:tcPr>
            <w:tcW w:w="5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(1,762)</w:t>
            </w:r>
          </w:p>
        </w:tc>
        <w:tc>
          <w:tcPr>
            <w:tcW w:w="11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(2,202)</w:t>
            </w:r>
          </w:p>
        </w:tc>
        <w:tc>
          <w:tcPr>
            <w:tcW w:w="11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(2,065)</w:t>
            </w: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17,772</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6,627</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14,833</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168.2%</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w:t>
            </w:r>
          </w:p>
        </w:tc>
      </w:tr>
      <w:tr>
        <w:trPr>
          <w:trHeight w:val="216"/>
        </w:trPr>
        <w:tc>
          <w:tcPr>
            <w:tcW w:w="180" w:type="dxa"/>
            <w:vAlign w:val="bottom"/>
          </w:tcPr>
          <w:p>
            <w:pPr>
              <w:spacing w:after="0"/>
              <w:rPr>
                <w:sz w:val="18"/>
                <w:szCs w:val="18"/>
                <w:color w:val="auto"/>
              </w:rPr>
            </w:pPr>
          </w:p>
        </w:tc>
        <w:tc>
          <w:tcPr>
            <w:tcW w:w="5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1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(218)</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2,755</w:t>
            </w:r>
          </w:p>
        </w:tc>
        <w:tc>
          <w:tcPr>
            <w:tcW w:w="11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(237)</w:t>
            </w: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(5,719)</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(1,615)</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(5,481)</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254.1%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0" w:type="dxa"/>
            <w:vAlign w:val="bottom"/>
          </w:tcPr>
          <w:p>
            <w:pPr>
              <w:spacing w:after="0"/>
              <w:rPr>
                <w:sz w:val="18"/>
                <w:szCs w:val="18"/>
                <w:color w:val="auto"/>
              </w:rPr>
            </w:pPr>
          </w:p>
        </w:tc>
        <w:tc>
          <w:tcPr>
            <w:tcW w:w="53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11,834</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7,767</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9,115</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52.4%</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29.8%</w:t>
            </w:r>
          </w:p>
        </w:tc>
      </w:tr>
      <w:tr>
        <w:trPr>
          <w:trHeight w:val="216"/>
        </w:trPr>
        <w:tc>
          <w:tcPr>
            <w:tcW w:w="1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Translations results and deferred liabilities</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(218)</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355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-161.3%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-496.0%</w:t>
            </w:r>
          </w:p>
        </w:tc>
      </w:tr>
      <w:tr>
        <w:trPr>
          <w:trHeight w:val="230"/>
        </w:trPr>
        <w:tc>
          <w:tcPr>
            <w:tcW w:w="180" w:type="dxa"/>
            <w:vAlign w:val="bottom"/>
          </w:tcPr>
          <w:p>
            <w:pPr>
              <w:spacing w:after="0"/>
              <w:rPr>
                <w:sz w:val="19"/>
                <w:szCs w:val="19"/>
                <w:color w:val="auto"/>
              </w:rPr>
            </w:pPr>
          </w:p>
        </w:tc>
        <w:tc>
          <w:tcPr>
            <w:tcW w:w="53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11,617</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8,122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9,170</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26.7%</w:t>
            </w:r>
          </w:p>
        </w:tc>
      </w:tr>
      <w:tr>
        <w:trPr>
          <w:trHeight w:val="210"/>
        </w:trPr>
        <w:tc>
          <w:tcPr>
            <w:tcW w:w="180" w:type="dxa"/>
            <w:vAlign w:val="bottom"/>
          </w:tcPr>
          <w:p>
            <w:pPr>
              <w:spacing w:after="0"/>
              <w:rPr>
                <w:sz w:val="18"/>
                <w:szCs w:val="18"/>
                <w:color w:val="auto"/>
              </w:rPr>
            </w:pPr>
          </w:p>
        </w:tc>
        <w:tc>
          <w:tcPr>
            <w:tcW w:w="53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ROAE (2)</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28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180" w:type="dxa"/>
            <w:vAlign w:val="bottom"/>
          </w:tcPr>
          <w:p>
            <w:pPr>
              <w:spacing w:after="0"/>
              <w:rPr>
                <w:sz w:val="18"/>
                <w:szCs w:val="18"/>
                <w:color w:val="auto"/>
              </w:rPr>
            </w:pPr>
          </w:p>
        </w:tc>
        <w:tc>
          <w:tcPr>
            <w:tcW w:w="5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277,640</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310,821</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304,417</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133,232</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141,713</w:t>
            </w:r>
          </w:p>
        </w:tc>
        <w:tc>
          <w:tcPr>
            <w:tcW w:w="880" w:type="dxa"/>
            <w:vAlign w:val="bottom"/>
          </w:tcPr>
          <w:p>
            <w:pPr>
              <w:jc w:val="right"/>
              <w:spacing w:after="0"/>
              <w:rPr>
                <w:sz w:val="20"/>
                <w:szCs w:val="20"/>
                <w:color w:val="auto"/>
              </w:rPr>
            </w:pPr>
            <w:r>
              <w:rPr>
                <w:rFonts w:ascii="Arial" w:cs="Arial" w:eastAsia="Arial" w:hAnsi="Arial"/>
                <w:sz w:val="18"/>
                <w:szCs w:val="18"/>
                <w:color w:val="auto"/>
              </w:rPr>
              <w:t>141,539</w:t>
            </w:r>
          </w:p>
        </w:tc>
        <w:tc>
          <w:tcPr>
            <w:tcW w:w="28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80" w:type="dxa"/>
            <w:vAlign w:val="bottom"/>
          </w:tcPr>
          <w:p>
            <w:pPr>
              <w:spacing w:after="0"/>
              <w:rPr>
                <w:sz w:val="19"/>
                <w:szCs w:val="19"/>
                <w:color w:val="auto"/>
              </w:rPr>
            </w:pPr>
          </w:p>
        </w:tc>
        <w:tc>
          <w:tcPr>
            <w:tcW w:w="5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144,408</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169,108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162,878</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1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440" w:hanging="256"/>
        <w:spacing w:after="0"/>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440" w:hanging="256"/>
        <w:spacing w:after="0"/>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 unrealized gains from Prima's investment portfolio.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related to the Private Pension System Reform</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the third quarter of the year, SPP affiliates began the process to choose the commission scheme that will be applied to their funds under management. According to the norm, affiliates must choose between a flow commission (a percentage of monthly remuneration) or a mixed commission (a combination of a flow commission and a commission on the account balance). Initially, the norm set a deadline of March 31</w:t>
      </w:r>
      <w:r>
        <w:rPr>
          <w:rFonts w:ascii="Arial" w:cs="Arial" w:eastAsia="Arial" w:hAnsi="Arial"/>
          <w:sz w:val="26"/>
          <w:szCs w:val="26"/>
          <w:color w:val="auto"/>
          <w:vertAlign w:val="superscript"/>
        </w:rPr>
        <w:t>st</w:t>
      </w:r>
      <w:r>
        <w:rPr>
          <w:rFonts w:ascii="Arial" w:cs="Arial" w:eastAsia="Arial" w:hAnsi="Arial"/>
          <w:sz w:val="16"/>
          <w:szCs w:val="16"/>
          <w:color w:val="auto"/>
        </w:rPr>
        <w:t>, 2013 for all affiliates to choose their</w:t>
      </w:r>
    </w:p>
    <w:p>
      <w:pPr>
        <w:spacing w:after="0" w:line="1" w:lineRule="exact"/>
        <w:rPr>
          <w:sz w:val="20"/>
          <w:szCs w:val="20"/>
          <w:color w:val="auto"/>
        </w:rPr>
      </w:pPr>
    </w:p>
    <w:p>
      <w:pPr>
        <w:ind w:right="340"/>
        <w:spacing w:after="0" w:line="204" w:lineRule="auto"/>
        <w:rPr>
          <w:sz w:val="20"/>
          <w:szCs w:val="20"/>
          <w:color w:val="auto"/>
        </w:rPr>
      </w:pPr>
      <w:r>
        <w:rPr>
          <w:rFonts w:ascii="Arial" w:cs="Arial" w:eastAsia="Arial" w:hAnsi="Arial"/>
          <w:sz w:val="18"/>
          <w:szCs w:val="18"/>
          <w:color w:val="auto"/>
        </w:rPr>
        <w:t>commission scheme but due to the large number of affiliates, the SBS has extended the deadline to May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this year. At the end of March, 270,000 of Prima AFP’s affiliates had chosen to remain in the flow commission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809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1"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Calculation of ROAE over total shareholder’s equity (includes unrealized earnings on reserves).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IX.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the economy grew 5.0% versus 6.2% the previous month. The result showed two differentiated behaviors given that the non-primary sectors linked to internal demand, such as construction, commerce and services, maintained a good pace of growth while the export sectors, both primary and non-primary, were affected by a drop of almost 20% in the first quarter in the average volumes destined for the external market. In this context, our estimate for growth in 2013 is 6.3% with a slight upward bias that will depend on the global economy’s performance in the next few months.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spending components, the dynamism of private spending is reflected in the fact that investment rates, which are growing by double digits, are on the rise while household consumption remains stable. This is unfolding in a context marked by wage increases and the favorable evolution of economic agents. Public expenditure continues to increase both in terms of investments and current expenditure.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Business expectations continued to fuel the favorable evolution of investment in 1Q13 and will continue to drive improvements in this regard in the next two quarters. Our outlook for growth is based on the dynamism of non-primary sectors such as construction, commerce and services as well the fact that various mining projects are underway in the country’s interior. By spending type, growth will depend primarily on private investment and public consumption.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142875</wp:posOffset>
            </wp:positionV>
            <wp:extent cx="2289810" cy="2280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8981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few months of 2013, the trade balance accumulated a negative result of US$ 539 million after reporting a deficit of US$ 377 million in Jan-13 and US$ 162 million in Feb-13. Exports totaled US$ 6,400 million, which represented a decline of 18.0% with regard to the same period in 2012. The aforementioned decreases were due primarily to a 22.0% drop in the sales of traditional products, which was due to a decline in exports of gold, copper and fish meal. Non-traditional exports fell 3.8% due to a reduction in the demand for textile products in the USA and Venezuela.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Imports totaled US$ 6,939 million, which represented 12.5% growth with regard to January-February 2012. Imported volumes increased 12.4% due to more purchases of durable goods, inputs and capital goods. The average price of imports reported no variation. In this context, the accumulated trade balance for the last twelve months totaled US$ 2,352 million. This was the lowest level recorded since July-09.</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International reserves (INR) continued to accumulate following the BCR’s intervention to buy dollars in the exchange rate market. At the end of 1Q13, INR totaled US$ 67,918 million versus US$ 12,129 million at the end of 2012. The increase in INR posted in this period was due primarily to more net purchases of foreign currency in the Trading Room for a total of US$ 4,370 million. This was attributable to the increase in deposits in the financial system for a total of US$ 454 million; deposits from the public sector for US$ 1,415 million; and the fact that returns on investment improved by US$ 164 million. The aforementioned was partially offset by a US$ 606 million decrease in the valuation of investments and sales to the Public Treasury for US$ 1,842 million to pay the external debt.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 inflation in Mar-13 was situated at 2.59%, which indicates a gradual reversal of the downward trajectory observed since the end of 2011 (4.74%). Despite this recovery, reversals of supply shocks have continued. Seasonal factors, including the increase in the cost of education, explain the evolution of this result. The recovery seen in the price of non-negotiable components, such as the cost of education, reflects March’s seasonality and is further proof that these services have become more expensive. In this context, inflation thus far this year is within BCR’s target range (2% +/- 1pp). The monetary authority expects inflation to converge at 2%, which is slightly below our projection of (2.4%) in a context in which inflationary pressures from the demand side remain moderate.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the aforementioned, the BCR is expected to maintain the reference rate in 2013. This decision is guided by the fact that inflation is still below the target range thanks to the reversal of seasonal factors on the supply side and the fact that the economy’s pace of growth is close to its potential. Nevertheless, given that uncertainty in the external sector continues to have impact on the terms of exchange and growth in developing and emerging economies, the BCR has indicated that it will continue to watch the evolution of these indicators to intervene if necessary.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appreciatory trend seen in the exchange rate reverted in 1Q13. This was due primarily to the measures that BCR is adopting to limit appreciatory movements in the Nuevo Sol. Additionally, institutions such as the SBS and MEF have supported this effort by applying measures to complement BCR’s interventions in the exchange rate market and moves to vary reserve requirements by increasing the limit that pension funds (AFPs) can invest abroad and upping the State’s purchases of US dollars for: pre-payments, external debt service obligations, and to increase the Fiscal Stabilization Fund. In this context, the exchange rate was S/. 2.59 at the end of 1Q13, which represents a slight depreciation of 1.5%. The Nuevo Sol’s upward trend may persist if the BCR, MEF and SBS continue to intervene. In the period in question, the BCR intervened in the exchange market to purchase US$ 4,370 million, which is a particularly sizable amount that is equivalent to 33% of that purchased in 2012 (which was a record-breaking year for BCR purchases). To this, we must add the increases in reserve requirements, which were subjected to differentiated increases that reflected explicit concerns about the exchange rate (just as BCRP announced in January) and dynamism in FE loans. As such, we estimate that the exchange rate will be situated at S/.2.50 - S/.2.52.</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line="194"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392680" cy="2143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92680" cy="2143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120"/>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-582295</wp:posOffset>
            </wp:positionV>
            <wp:extent cx="1132205"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7"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157480</wp:posOffset>
            </wp:positionV>
            <wp:extent cx="2512695" cy="19723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12695" cy="19723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8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February 2013, the non-financial public sector reported an economic surplus of S/. 5,996 million, which falls below the S/. 463 million posted for the same period in 2012.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general government’s current income as of feb-13 totaled S/. 19,554 million, which represents a real increase of 3.8% with regard to January-February 2012 and reflect the fact that collections continued to grow. This result is composed of growth in tax revenues (3.8%) and non-tax revenues (3.7%). The behavior of tax revenues mainly reflects the evolution of IGV and income tax, which expanded 4.6% and 4.3% respectively over the last two months. In terms of non-tax revenues, growth in collections for individuals (6.6%) as well as companies (6.1%)was noteworthy. The evolution of company collections was affected by a 26.7% decline in revenues from the mining sector given that the prices for our mineral exports have declined along with production. In contrast, company income tax collections grew in the following sectors: service (16.3%), commerce (23.8%) and construction (18.9%), which was in line with the evolution of the local economy.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January-February, the general government’s non-financial expenditures (S/. 12,138 million) reported real growth of 10.0% due to an increase in expenditures at all three government levels (8.9% at the national government level, 11.4% at the regional government level and 11.8% at the local government level). In the case of the national government, an increase in expenditure corresponds to more expenses to cover investment projects (30.0%) and an increase in salaries for public servants in the Education Sector.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regional government level, the increase in salaries was noteworthy (16.0%) and covers raises for teachers, health personnel and administrative workers as well higher gross fixed capital formation (13.2%). Finally, the increase in expenditures at the local government level was due to higher gross fixed capital formation (13.5%) and more acquisitions of goods and services (12.5%).</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Given the moderation observed in revenues, the fact that non-financial expenditure is expected to increase this year, and higher expenditures for gross capital formation, we believe the fiscal surplus will be 1.1% of GDP in 2013, which falls below the result reported for 2012.</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38" w:name="page39"/>
    <w:bookmarkEnd w:id="38"/>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142875</wp:posOffset>
            </wp:positionV>
            <wp:extent cx="2478405" cy="2109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7840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Sector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end of February, the loans issued by financial entities that are authorized to capture deposits expanded at an annual rate of 15.0%, which was consistent with the moderation induced by the BCR, particularly in the US dollar segment. In absolute terms, expansion was led by growth in personal loans (18.2%), where mortgage loans were the star component (24.9%). At the level of consumer loans, growth in car loans continued to stand out (25.1%). The dollarization coefficient for total loans was 43.1%; this figure has remained basically the same since Aug-12. By loan types, the dollarization of company loans was 54.0% (53.6% in December) while the dollarization level of mortgage loans fell to 44.3% (44.8% in December). During the same period, consumer loan dollarization reached 10.0% (9.7% in December). In keeping with its objective to moderate loan growth in US dollars, the BCR has increased reserve requirements for US dollars every month thus far this year (43.4% in February versus 41.2% in November 2012).</w:t>
      </w:r>
    </w:p>
    <w:p>
      <w:pPr>
        <w:spacing w:after="0" w:line="16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Main Economic Indicators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39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IT</w:t>
            </w:r>
          </w:p>
        </w:tc>
        <w:tc>
          <w:tcPr>
            <w:tcW w:w="680" w:type="dxa"/>
            <w:vAlign w:val="bottom"/>
            <w:gridSpan w:val="2"/>
          </w:tcPr>
          <w:p>
            <w:pPr>
              <w:ind w:left="140"/>
              <w:spacing w:after="0"/>
              <w:rPr>
                <w:sz w:val="20"/>
                <w:szCs w:val="20"/>
                <w:color w:val="auto"/>
              </w:rPr>
            </w:pPr>
            <w:r>
              <w:rPr>
                <w:rFonts w:ascii="Arial" w:cs="Arial" w:eastAsia="Arial" w:hAnsi="Arial"/>
                <w:sz w:val="13"/>
                <w:szCs w:val="13"/>
                <w:b w:val="1"/>
                <w:bCs w:val="1"/>
                <w:color w:val="auto"/>
              </w:rPr>
              <w:t>IIT</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IIIT</w:t>
            </w:r>
          </w:p>
        </w:tc>
        <w:tc>
          <w:tcPr>
            <w:tcW w:w="6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IVT</w:t>
            </w: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IQ</w:t>
            </w:r>
          </w:p>
        </w:tc>
        <w:tc>
          <w:tcPr>
            <w:tcW w:w="680" w:type="dxa"/>
            <w:vAlign w:val="bottom"/>
            <w:gridSpan w:val="2"/>
          </w:tcPr>
          <w:p>
            <w:pPr>
              <w:ind w:left="140"/>
              <w:spacing w:after="0"/>
              <w:rPr>
                <w:sz w:val="20"/>
                <w:szCs w:val="20"/>
                <w:color w:val="auto"/>
              </w:rPr>
            </w:pPr>
            <w:r>
              <w:rPr>
                <w:rFonts w:ascii="Arial" w:cs="Arial" w:eastAsia="Arial" w:hAnsi="Arial"/>
                <w:sz w:val="13"/>
                <w:szCs w:val="13"/>
                <w:b w:val="1"/>
                <w:bCs w:val="1"/>
                <w:color w:val="auto"/>
              </w:rPr>
              <w:t>IIQ</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IIIQ</w:t>
            </w:r>
          </w:p>
        </w:tc>
        <w:tc>
          <w:tcPr>
            <w:tcW w:w="680" w:type="dxa"/>
            <w:vAlign w:val="bottom"/>
            <w:gridSpan w:val="2"/>
          </w:tcPr>
          <w:p>
            <w:pPr>
              <w:ind w:left="120"/>
              <w:spacing w:after="0"/>
              <w:rPr>
                <w:sz w:val="20"/>
                <w:szCs w:val="20"/>
                <w:color w:val="auto"/>
              </w:rPr>
            </w:pPr>
            <w:r>
              <w:rPr>
                <w:rFonts w:ascii="Arial" w:cs="Arial" w:eastAsia="Arial" w:hAnsi="Arial"/>
                <w:sz w:val="13"/>
                <w:szCs w:val="13"/>
                <w:b w:val="1"/>
                <w:bCs w:val="1"/>
                <w:color w:val="auto"/>
              </w:rPr>
              <w:t>IVT</w:t>
            </w:r>
          </w:p>
        </w:tc>
        <w:tc>
          <w:tcPr>
            <w:tcW w:w="640" w:type="dxa"/>
            <w:vAlign w:val="bottom"/>
            <w:gridSpan w:val="2"/>
          </w:tcPr>
          <w:p>
            <w:pPr>
              <w:ind w:left="140"/>
              <w:spacing w:after="0"/>
              <w:rPr>
                <w:sz w:val="20"/>
                <w:szCs w:val="20"/>
                <w:color w:val="auto"/>
              </w:rPr>
            </w:pPr>
            <w:r>
              <w:rPr>
                <w:rFonts w:ascii="Arial" w:cs="Arial" w:eastAsia="Arial" w:hAnsi="Arial"/>
                <w:sz w:val="13"/>
                <w:szCs w:val="13"/>
                <w:b w:val="1"/>
                <w:bCs w:val="1"/>
                <w:color w:val="auto"/>
              </w:rPr>
              <w:t>Year</w:t>
            </w:r>
          </w:p>
        </w:tc>
      </w:tr>
      <w:tr>
        <w:trPr>
          <w:trHeight w:val="129"/>
        </w:trPr>
        <w:tc>
          <w:tcPr>
            <w:tcW w:w="3900" w:type="dxa"/>
            <w:vAlign w:val="bottom"/>
            <w:tcBorders>
              <w:top w:val="single" w:sz="8" w:color="CCFFCC"/>
            </w:tcBorders>
            <w:shd w:val="clear" w:color="auto" w:fill="CCFFCC"/>
          </w:tcPr>
          <w:p>
            <w:pPr>
              <w:spacing w:after="0" w:line="129" w:lineRule="exact"/>
              <w:rPr>
                <w:sz w:val="20"/>
                <w:szCs w:val="20"/>
                <w:color w:val="auto"/>
              </w:rPr>
            </w:pPr>
            <w:r>
              <w:rPr>
                <w:rFonts w:ascii="Arial" w:cs="Arial" w:eastAsia="Arial" w:hAnsi="Arial"/>
                <w:sz w:val="13"/>
                <w:szCs w:val="13"/>
                <w:color w:val="auto"/>
              </w:rPr>
              <w:t>GDP (US$ MM)</w:t>
            </w:r>
          </w:p>
        </w:tc>
        <w:tc>
          <w:tcPr>
            <w:tcW w:w="5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153,964</w:t>
            </w:r>
          </w:p>
        </w:tc>
        <w:tc>
          <w:tcPr>
            <w:tcW w:w="22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40,978</w:t>
            </w:r>
          </w:p>
        </w:tc>
        <w:tc>
          <w:tcPr>
            <w:tcW w:w="22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44,644</w:t>
            </w:r>
          </w:p>
        </w:tc>
        <w:tc>
          <w:tcPr>
            <w:tcW w:w="22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44,819</w:t>
            </w:r>
          </w:p>
        </w:tc>
        <w:tc>
          <w:tcPr>
            <w:tcW w:w="20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46,321</w:t>
            </w:r>
          </w:p>
        </w:tc>
        <w:tc>
          <w:tcPr>
            <w:tcW w:w="220" w:type="dxa"/>
            <w:vAlign w:val="bottom"/>
            <w:tcBorders>
              <w:top w:val="single" w:sz="8" w:color="CCFFCC"/>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176,761</w:t>
            </w:r>
          </w:p>
        </w:tc>
        <w:tc>
          <w:tcPr>
            <w:tcW w:w="22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46,793</w:t>
            </w:r>
          </w:p>
        </w:tc>
        <w:tc>
          <w:tcPr>
            <w:tcW w:w="22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50,335</w:t>
            </w:r>
          </w:p>
        </w:tc>
        <w:tc>
          <w:tcPr>
            <w:tcW w:w="22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49,970</w:t>
            </w:r>
          </w:p>
        </w:tc>
        <w:tc>
          <w:tcPr>
            <w:tcW w:w="20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ind w:left="120"/>
              <w:spacing w:after="0" w:line="129" w:lineRule="exact"/>
              <w:rPr>
                <w:sz w:val="20"/>
                <w:szCs w:val="20"/>
                <w:color w:val="auto"/>
              </w:rPr>
            </w:pPr>
            <w:r>
              <w:rPr>
                <w:rFonts w:ascii="Arial" w:cs="Arial" w:eastAsia="Arial" w:hAnsi="Arial"/>
                <w:sz w:val="13"/>
                <w:szCs w:val="13"/>
                <w:color w:val="auto"/>
                <w:w w:val="80"/>
              </w:rPr>
              <w:t>52,584</w:t>
            </w:r>
          </w:p>
        </w:tc>
        <w:tc>
          <w:tcPr>
            <w:tcW w:w="220" w:type="dxa"/>
            <w:vAlign w:val="bottom"/>
            <w:tcBorders>
              <w:top w:val="single" w:sz="8" w:color="CCFFCC"/>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199,682</w:t>
            </w: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Real GDP (var. %)</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8.8</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8.8</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6.9</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6.4</w:t>
            </w: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6.8</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6.3</w:t>
            </w:r>
          </w:p>
        </w:tc>
      </w:tr>
      <w:tr>
        <w:trPr>
          <w:trHeight w:val="135"/>
        </w:trPr>
        <w:tc>
          <w:tcPr>
            <w:tcW w:w="39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GDP per-capita (US$)</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5,189</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5,494</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5,972</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5,982</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6,169</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5,904</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6,218</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6,674</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6,611</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6,941</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6,611</w:t>
            </w:r>
          </w:p>
        </w:tc>
      </w:tr>
      <w:tr>
        <w:trPr>
          <w:trHeight w:val="135"/>
        </w:trPr>
        <w:tc>
          <w:tcPr>
            <w:tcW w:w="3900" w:type="dxa"/>
            <w:vAlign w:val="bottom"/>
          </w:tcPr>
          <w:p>
            <w:pPr>
              <w:ind w:left="180"/>
              <w:spacing w:after="0" w:line="135" w:lineRule="exact"/>
              <w:rPr>
                <w:sz w:val="20"/>
                <w:szCs w:val="20"/>
                <w:color w:val="auto"/>
              </w:rPr>
            </w:pPr>
            <w:r>
              <w:rPr>
                <w:rFonts w:ascii="Arial" w:cs="Arial" w:eastAsia="Arial" w:hAnsi="Arial"/>
                <w:sz w:val="13"/>
                <w:szCs w:val="13"/>
                <w:color w:val="auto"/>
              </w:rPr>
              <w:t>Domestic demand (var. %)</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13.1</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10.5</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7.2</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9.8</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7.6</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7.4</w:t>
            </w:r>
          </w:p>
        </w:tc>
      </w:tr>
      <w:tr>
        <w:trPr>
          <w:trHeight w:val="135"/>
        </w:trPr>
        <w:tc>
          <w:tcPr>
            <w:tcW w:w="39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Consumption (var. %)</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6.0</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6.4</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6.4</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6.3</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6.4</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6.4</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6.0</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5.8</w:t>
            </w:r>
          </w:p>
        </w:tc>
        <w:tc>
          <w:tcPr>
            <w:tcW w:w="2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5.8</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5.8</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5.8</w:t>
            </w:r>
          </w:p>
        </w:tc>
      </w:tr>
      <w:tr>
        <w:trPr>
          <w:trHeight w:val="135"/>
        </w:trPr>
        <w:tc>
          <w:tcPr>
            <w:tcW w:w="3900" w:type="dxa"/>
            <w:vAlign w:val="bottom"/>
          </w:tcPr>
          <w:p>
            <w:pPr>
              <w:ind w:left="180"/>
              <w:spacing w:after="0" w:line="135" w:lineRule="exact"/>
              <w:rPr>
                <w:sz w:val="20"/>
                <w:szCs w:val="20"/>
                <w:color w:val="auto"/>
              </w:rPr>
            </w:pPr>
            <w:r>
              <w:rPr>
                <w:rFonts w:ascii="Arial" w:cs="Arial" w:eastAsia="Arial" w:hAnsi="Arial"/>
                <w:sz w:val="13"/>
                <w:szCs w:val="13"/>
                <w:color w:val="auto"/>
              </w:rPr>
              <w:t>Private Investment (var. %)</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23.2</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12.4</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5.1</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16.3</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15.7</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17.1</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11.3</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14.9</w:t>
            </w:r>
          </w:p>
        </w:tc>
      </w:tr>
      <w:tr>
        <w:trPr>
          <w:trHeight w:val="135"/>
        </w:trPr>
        <w:tc>
          <w:tcPr>
            <w:tcW w:w="39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CPI (annual change, %)</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2.1</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2.7</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3.7</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4.7</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4.23</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4.00</w:t>
            </w: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3.74</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2.65</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2.6</w:t>
            </w: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Exchange rate, eop (S/. per US$)</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2.82</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2.80</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2.75</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2.77</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2.70</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2.7</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2.67</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2.67</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2.60</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2.55</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2.55</w:t>
            </w:r>
          </w:p>
        </w:tc>
      </w:tr>
      <w:tr>
        <w:trPr>
          <w:trHeight w:val="135"/>
        </w:trPr>
        <w:tc>
          <w:tcPr>
            <w:tcW w:w="39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Devaluation (annual change, %)</w:t>
            </w: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-2.4</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-3.2</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-0.6</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-4.4</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-4.4</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-4.85</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-2.82</w:t>
            </w: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-5.32</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-5.32</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-5.4</w:t>
            </w: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Exchange rate, average (S/. per US $)</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2.83</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2.78</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2.77</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2.75</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2.70</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2.7</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2.67</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2.67</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2.60</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2.57</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2.63</w:t>
            </w:r>
          </w:p>
        </w:tc>
      </w:tr>
      <w:tr>
        <w:trPr>
          <w:trHeight w:val="135"/>
        </w:trPr>
        <w:tc>
          <w:tcPr>
            <w:tcW w:w="39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Non-Financial Public Sector (% of GDP)</w:t>
            </w: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-0.3</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6.0</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5.5</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1.9</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7.1</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6.9</w:t>
            </w:r>
          </w:p>
        </w:tc>
        <w:tc>
          <w:tcPr>
            <w:tcW w:w="2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-6.2</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2.1</w:t>
            </w:r>
          </w:p>
        </w:tc>
      </w:tr>
      <w:tr>
        <w:trPr>
          <w:trHeight w:val="135"/>
        </w:trPr>
        <w:tc>
          <w:tcPr>
            <w:tcW w:w="3900" w:type="dxa"/>
            <w:vAlign w:val="bottom"/>
          </w:tcPr>
          <w:p>
            <w:pPr>
              <w:ind w:left="180"/>
              <w:spacing w:after="0" w:line="135" w:lineRule="exact"/>
              <w:rPr>
                <w:sz w:val="20"/>
                <w:szCs w:val="20"/>
                <w:color w:val="auto"/>
              </w:rPr>
            </w:pPr>
            <w:r>
              <w:rPr>
                <w:rFonts w:ascii="Arial" w:cs="Arial" w:eastAsia="Arial" w:hAnsi="Arial"/>
                <w:sz w:val="13"/>
                <w:szCs w:val="13"/>
                <w:color w:val="auto"/>
              </w:rPr>
              <w:t>Central government current revenues (% of GDP)</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17.2</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18.9</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19.4</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17.1</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17.1</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18.1</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19.2</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19.6</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17.5</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17.7</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18.5</w:t>
            </w:r>
          </w:p>
        </w:tc>
      </w:tr>
      <w:tr>
        <w:trPr>
          <w:trHeight w:val="135"/>
        </w:trPr>
        <w:tc>
          <w:tcPr>
            <w:tcW w:w="39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Tax Income (% of GDP)</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14.8</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16.2</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16.5</w:t>
            </w: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14.6</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14.8</w:t>
            </w: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16</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16.6</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16.5</w:t>
            </w: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15.3</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15.5</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16.0</w:t>
            </w:r>
          </w:p>
        </w:tc>
      </w:tr>
      <w:tr>
        <w:trPr>
          <w:trHeight w:val="135"/>
        </w:trPr>
        <w:tc>
          <w:tcPr>
            <w:tcW w:w="3900" w:type="dxa"/>
            <w:vAlign w:val="bottom"/>
          </w:tcPr>
          <w:p>
            <w:pPr>
              <w:ind w:left="180"/>
              <w:spacing w:after="0" w:line="135" w:lineRule="exact"/>
              <w:rPr>
                <w:sz w:val="20"/>
                <w:szCs w:val="20"/>
                <w:color w:val="auto"/>
              </w:rPr>
            </w:pPr>
            <w:r>
              <w:rPr>
                <w:rFonts w:ascii="Arial" w:cs="Arial" w:eastAsia="Arial" w:hAnsi="Arial"/>
                <w:sz w:val="13"/>
                <w:szCs w:val="13"/>
                <w:color w:val="auto"/>
              </w:rPr>
              <w:t>Non Tax Income (% of GDP)</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2.4</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2.5</w:t>
            </w:r>
          </w:p>
        </w:tc>
      </w:tr>
      <w:tr>
        <w:trPr>
          <w:trHeight w:val="135"/>
        </w:trPr>
        <w:tc>
          <w:tcPr>
            <w:tcW w:w="39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Current expenditures (% of GDP)</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11.8</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11.1</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13.0</w:t>
            </w: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11.3</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12.6</w:t>
            </w: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12</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9.9</w:t>
            </w:r>
          </w:p>
        </w:tc>
        <w:tc>
          <w:tcPr>
            <w:tcW w:w="2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13.9</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14.2</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12.0</w:t>
            </w:r>
          </w:p>
        </w:tc>
      </w:tr>
      <w:tr>
        <w:trPr>
          <w:trHeight w:val="135"/>
        </w:trPr>
        <w:tc>
          <w:tcPr>
            <w:tcW w:w="3900" w:type="dxa"/>
            <w:vAlign w:val="bottom"/>
          </w:tcPr>
          <w:p>
            <w:pPr>
              <w:ind w:left="180"/>
              <w:spacing w:after="0" w:line="135" w:lineRule="exact"/>
              <w:rPr>
                <w:sz w:val="20"/>
                <w:szCs w:val="20"/>
                <w:color w:val="auto"/>
              </w:rPr>
            </w:pPr>
            <w:r>
              <w:rPr>
                <w:rFonts w:ascii="Arial" w:cs="Arial" w:eastAsia="Arial" w:hAnsi="Arial"/>
                <w:sz w:val="13"/>
                <w:szCs w:val="13"/>
                <w:color w:val="auto"/>
              </w:rPr>
              <w:t>Capital expenditures (% of GDP)</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6.4</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4.3</w:t>
            </w:r>
          </w:p>
        </w:tc>
      </w:tr>
      <w:tr>
        <w:trPr>
          <w:trHeight w:val="135"/>
        </w:trPr>
        <w:tc>
          <w:tcPr>
            <w:tcW w:w="39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Trade Balance (US$ MM)</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6,750</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1,906</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2,181</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3,210</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2,004</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9,302</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2,401</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585</w:t>
            </w: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594</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946</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4,527</w:t>
            </w:r>
          </w:p>
        </w:tc>
      </w:tr>
      <w:tr>
        <w:trPr>
          <w:trHeight w:val="135"/>
        </w:trPr>
        <w:tc>
          <w:tcPr>
            <w:tcW w:w="3900" w:type="dxa"/>
            <w:vAlign w:val="bottom"/>
          </w:tcPr>
          <w:p>
            <w:pPr>
              <w:ind w:left="180"/>
              <w:spacing w:after="0" w:line="135" w:lineRule="exact"/>
              <w:rPr>
                <w:sz w:val="20"/>
                <w:szCs w:val="20"/>
                <w:color w:val="auto"/>
              </w:rPr>
            </w:pPr>
            <w:r>
              <w:rPr>
                <w:rFonts w:ascii="Arial" w:cs="Arial" w:eastAsia="Arial" w:hAnsi="Arial"/>
                <w:sz w:val="13"/>
                <w:szCs w:val="13"/>
                <w:color w:val="auto"/>
              </w:rPr>
              <w:t>Exports (US$ MM)</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35,565</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10,106</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11,752</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12,900</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11,511</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46,268</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11,974</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10,586</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11,611</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11,468</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45,639</w:t>
            </w:r>
          </w:p>
        </w:tc>
      </w:tr>
      <w:tr>
        <w:trPr>
          <w:trHeight w:val="135"/>
        </w:trPr>
        <w:tc>
          <w:tcPr>
            <w:tcW w:w="39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Imports (US$ MM)</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28,815</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8,200</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9,570</w:t>
            </w: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9,690</w:t>
            </w:r>
          </w:p>
        </w:tc>
        <w:tc>
          <w:tcPr>
            <w:tcW w:w="2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9,507</w:t>
            </w:r>
          </w:p>
        </w:tc>
        <w:tc>
          <w:tcPr>
            <w:tcW w:w="7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36,967</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9,573</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10,001</w:t>
            </w:r>
          </w:p>
        </w:tc>
        <w:tc>
          <w:tcPr>
            <w:tcW w:w="6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11,017</w:t>
            </w: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10,522</w:t>
            </w:r>
          </w:p>
        </w:tc>
        <w:tc>
          <w:tcPr>
            <w:tcW w:w="6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-41,113</w:t>
            </w: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color w:val="auto"/>
              </w:rPr>
              <w:t>Current Account Balance (US$ MM)</w:t>
            </w: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-2,625</w:t>
            </w:r>
          </w:p>
        </w:tc>
        <w:tc>
          <w:tcPr>
            <w:tcW w:w="22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-1,235</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-1,361</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-794</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-3,341</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-671</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-1,927</w:t>
            </w:r>
          </w:p>
        </w:tc>
        <w:tc>
          <w:tcPr>
            <w:tcW w:w="2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-2,626</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-1,913</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-7,136</w:t>
            </w:r>
          </w:p>
        </w:tc>
      </w:tr>
      <w:tr>
        <w:trPr>
          <w:trHeight w:val="149"/>
        </w:trPr>
        <w:tc>
          <w:tcPr>
            <w:tcW w:w="39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Current Account Balance (% of GDP)</w:t>
            </w:r>
          </w:p>
        </w:tc>
        <w:tc>
          <w:tcPr>
            <w:tcW w:w="52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-2.5</w:t>
            </w:r>
          </w:p>
        </w:tc>
        <w:tc>
          <w:tcPr>
            <w:tcW w:w="22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0.1</w:t>
            </w:r>
          </w:p>
        </w:tc>
        <w:tc>
          <w:tcPr>
            <w:tcW w:w="2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-1.7</w:t>
            </w: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-1.9</w:t>
            </w: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-1.4</w:t>
            </w:r>
          </w:p>
        </w:tc>
        <w:tc>
          <w:tcPr>
            <w:tcW w:w="4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-5.3</w:t>
            </w:r>
          </w:p>
        </w:tc>
        <w:tc>
          <w:tcPr>
            <w:tcW w:w="2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-3.6</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b w:val="1"/>
                <w:bCs w:val="1"/>
                <w:color w:val="auto"/>
              </w:rPr>
              <w:t>-3.6</w:t>
            </w:r>
          </w:p>
        </w:tc>
      </w:tr>
      <w:tr>
        <w:trPr>
          <w:trHeight w:val="20"/>
        </w:trPr>
        <w:tc>
          <w:tcPr>
            <w:tcW w:w="3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 13</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 12</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 12</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FFCC"/>
            </w:tcBorders>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2"/>
              </w:rPr>
              <w:t>ASSETS</w:t>
            </w: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1,188,601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985,101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1,011,854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Interest bearing</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7,561,309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6,770,828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5,295,754</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8,749,910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7,755,929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6,307,607</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348,024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272,512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160,579</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27.7%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21,674,015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21,476,520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18,094,523</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21,246,565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21,104,158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17,794,433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427,451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372,362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300,090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(738,580)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(699,022)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(564,058)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20,935,436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20,777,499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17,530,465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8,200,369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7,700,915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7,629,633</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196,470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167,460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167,448</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17.3%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198,436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183,983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167,308</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581,865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563,856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481,906</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51,776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100,768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57,506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-48.6%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3,252,157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3,623,710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1,658,570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42,514,442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41,146,632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34,161,024</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6,644,805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6,634,744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5,841,141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Interest bearing</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18,658,795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17,416,036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15,340,563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deposits and Obligations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25,303,600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24,050,779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21,181,704</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3,784,676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3,490,043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2,514,012</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51,776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100,768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57,506</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-48.6%</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1,455,832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1,373,350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1,241,936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243,378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241,649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206,098</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0.7%</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66,402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68,536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54,118</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4,741,961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4,815,843</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3,910,331</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2,550,696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2,621,387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1,426,244</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195,937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216,311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75,323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38,394,258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36,978,665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30,667,271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stock</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471,912</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Treasury stock</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(74,908)</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(74,630)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(74,673)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surplus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93,048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107,883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107,018</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2,895,550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2,306,561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2,319,050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23.3%</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Unrealized gains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518,300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515,495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453,880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216,282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840,748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216,566</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Net shareholders' equity</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4,120,184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4,167,968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3,493,753</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42,514,441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41,146,633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34,161,024</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3.3%</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4"/>
                <w:szCs w:val="14"/>
                <w:color w:val="auto"/>
              </w:rPr>
              <w:t>Contingent credits</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15,520,612</w:t>
            </w:r>
          </w:p>
        </w:tc>
        <w:tc>
          <w:tcPr>
            <w:tcW w:w="2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14,866,535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12,401,677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4.4%</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 w:name="page42"/>
    <w:bookmarkEnd w:id="4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1Q13</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4Q12</w:t>
            </w: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1Q12</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644,947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627,540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524,658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(194,298)</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(196,804)</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(152,407)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450,648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430,736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372,252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(94,782)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(102,964)</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(69,639)</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Fee income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196,647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204,111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162,848</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48,086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49,628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39,253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23,356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34,727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29,755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Other (1)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14,110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5,962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569.0%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282,199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290,576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237,819</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194,257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190,782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158,534</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claims incurred (4)</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(28,405)</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(25,906)</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(34,498)</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(103,286)</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(96,508)</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(94,363)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technical commissions and Expenses (2)(4)</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(26,849)</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(17,474)</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(24,137)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Total Insurance services technical result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35,717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50,894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5,536</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Medical Services Technical Result (3)(4)</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5,534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7,538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4,306</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-26.6%</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(210,813)</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(222,089)</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(165,480)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(147,093)</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(169,655)</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(104,688)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-13.3%</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(31,009)</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(30,879)</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(28,275)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Other (5)</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(13,942)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(15,842)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(12,128)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(402,857)</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(438,465)</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(310,571)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(6)</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276,459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238,315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239,703</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(18,646)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30,475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13,185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-161.2%</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(72,400)</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(61,585)</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(60,073)</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185,413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207,204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192,814</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3,891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7,016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3,702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181,522</w:t>
            </w:r>
          </w:p>
        </w:tc>
        <w:tc>
          <w:tcPr>
            <w:tcW w:w="2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200,189</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189,113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-9.3%</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For 3Q11, Other non financial income has been reclassified and now excludes: a) Medical services technical result and b) Underwriting income.</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This item was used to be included in Other operating expenses until 1Q12. It refers to Commisions over insurance and reinsurance premiums.</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 This item was reported under</w:t>
      </w:r>
    </w:p>
    <w:p>
      <w:pPr>
        <w:spacing w:after="0" w:line="211" w:lineRule="exact"/>
        <w:rPr>
          <w:sz w:val="20"/>
          <w:szCs w:val="20"/>
          <w:color w:val="auto"/>
        </w:rPr>
      </w:pPr>
    </w:p>
    <w:p>
      <w:pPr>
        <w:ind w:right="20" w:firstLine="8"/>
        <w:spacing w:after="0" w:line="254"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Starting 2013, revenues from medical subsidiaries are accounted in the medical services technical results account. This adjustment has been made against net claims and net technical expenses. In 4Q12, US$ 9.4 million were added to Medical Services Technical Result against an increase of US$ 7.6 million in net claims and US$1.8 million in net technical commissions and expenses.Similarly, 2.3 million were added to Medical Services Technical Result in 1Q12, against an increase of an equal amount in net claims.</w:t>
      </w:r>
    </w:p>
    <w:p>
      <w:pPr>
        <w:spacing w:after="0" w:line="2" w:lineRule="exact"/>
        <w:rPr>
          <w:rFonts w:ascii="Arial" w:cs="Arial" w:eastAsia="Arial" w:hAnsi="Arial"/>
          <w:sz w:val="18"/>
          <w:szCs w:val="18"/>
          <w:i w:val="1"/>
          <w:iCs w:val="1"/>
          <w:color w:val="auto"/>
        </w:rPr>
      </w:pPr>
    </w:p>
    <w:p>
      <w:pPr>
        <w:ind w:right="400" w:firstLine="8"/>
        <w:spacing w:after="0" w:line="250"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Other operating expenses now excludes Net technical commisions and expenses but includes the underwriting income that was used to be included in Other non-financial income until 1Q12.</w:t>
      </w: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Quarter</w:t>
      </w:r>
    </w:p>
    <w:p>
      <w:pPr>
        <w:spacing w:after="0" w:line="27" w:lineRule="exact"/>
        <w:rPr>
          <w:sz w:val="20"/>
          <w:szCs w:val="20"/>
          <w:color w:val="auto"/>
        </w:rPr>
      </w:pPr>
    </w:p>
    <w:p>
      <w:pPr>
        <w:jc w:val="both"/>
        <w:ind w:left="7980"/>
        <w:spacing w:after="0"/>
        <w:tabs>
          <w:tab w:leader="none" w:pos="9240" w:val="left"/>
          <w:tab w:leader="none" w:pos="10520" w:val="left"/>
        </w:tabs>
        <w:rPr>
          <w:sz w:val="20"/>
          <w:szCs w:val="20"/>
          <w:color w:val="auto"/>
        </w:rPr>
      </w:pPr>
      <w:r>
        <w:rPr>
          <w:rFonts w:ascii="Arial" w:cs="Arial" w:eastAsia="Arial" w:hAnsi="Arial"/>
          <w:sz w:val="18"/>
          <w:szCs w:val="18"/>
          <w:b w:val="1"/>
          <w:bCs w:val="1"/>
          <w:color w:val="auto"/>
        </w:rPr>
        <w:t>1Q13</w:t>
      </w:r>
      <w:r>
        <w:rPr>
          <w:sz w:val="20"/>
          <w:szCs w:val="20"/>
          <w:color w:val="auto"/>
        </w:rPr>
        <w:tab/>
      </w:r>
      <w:r>
        <w:rPr>
          <w:rFonts w:ascii="Arial" w:cs="Arial" w:eastAsia="Arial" w:hAnsi="Arial"/>
          <w:sz w:val="18"/>
          <w:szCs w:val="18"/>
          <w:b w:val="1"/>
          <w:bCs w:val="1"/>
          <w:color w:val="auto"/>
        </w:rPr>
        <w:t>4Q12</w:t>
      </w:r>
      <w:r>
        <w:rPr>
          <w:sz w:val="20"/>
          <w:szCs w:val="20"/>
          <w:color w:val="auto"/>
        </w:rPr>
        <w:tab/>
      </w:r>
      <w:r>
        <w:rPr>
          <w:rFonts w:ascii="Arial" w:cs="Arial" w:eastAsia="Arial" w:hAnsi="Arial"/>
          <w:sz w:val="17"/>
          <w:szCs w:val="17"/>
          <w:b w:val="1"/>
          <w:bCs w:val="1"/>
          <w:color w:val="auto"/>
        </w:rPr>
        <w:t>1Q12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14605</wp:posOffset>
            </wp:positionV>
            <wp:extent cx="22726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per common share (US$ per share)(1)</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interest margin on interest earning assets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average total assets (2)(3)</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Return on average shareholders' equity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of outstanding shares (millions)(4)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2.28</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2.51</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2.37</w:t>
            </w:r>
          </w:p>
        </w:tc>
      </w:tr>
      <w:tr>
        <w:trPr>
          <w:trHeight w:val="230"/>
        </w:trPr>
        <w:tc>
          <w:tcPr>
            <w:tcW w:w="920" w:type="dxa"/>
            <w:vAlign w:val="bottom"/>
          </w:tcPr>
          <w:p>
            <w:pPr>
              <w:jc w:val="right"/>
              <w:ind w:right="270"/>
              <w:spacing w:after="0"/>
              <w:rPr>
                <w:sz w:val="20"/>
                <w:szCs w:val="20"/>
                <w:color w:val="auto"/>
              </w:rPr>
            </w:pPr>
            <w:r>
              <w:rPr>
                <w:rFonts w:ascii="Arial" w:cs="Arial" w:eastAsia="Arial" w:hAnsi="Arial"/>
                <w:sz w:val="18"/>
                <w:szCs w:val="18"/>
                <w:color w:val="auto"/>
              </w:rPr>
              <w:t>4.87%</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4.96%</w:t>
            </w:r>
          </w:p>
        </w:tc>
        <w:tc>
          <w:tcPr>
            <w:tcW w:w="9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92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20" w:type="dxa"/>
            <w:vAlign w:val="bottom"/>
          </w:tcPr>
          <w:p>
            <w:pPr>
              <w:jc w:val="right"/>
              <w:ind w:right="270"/>
              <w:spacing w:after="0"/>
              <w:rPr>
                <w:sz w:val="20"/>
                <w:szCs w:val="20"/>
                <w:color w:val="auto"/>
              </w:rPr>
            </w:pPr>
            <w:r>
              <w:rPr>
                <w:rFonts w:ascii="Arial" w:cs="Arial" w:eastAsia="Arial" w:hAnsi="Arial"/>
                <w:sz w:val="18"/>
                <w:szCs w:val="18"/>
                <w:color w:val="auto"/>
              </w:rPr>
              <w:t>17.5%</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19.6%</w:t>
            </w: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79.76</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79.76</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79.76</w:t>
            </w:r>
          </w:p>
        </w:tc>
      </w:tr>
    </w:tbl>
    <w:p>
      <w:pPr>
        <w:spacing w:after="0" w:line="20" w:lineRule="exact"/>
        <w:rPr>
          <w:sz w:val="20"/>
          <w:szCs w:val="20"/>
          <w:color w:val="auto"/>
        </w:rPr>
      </w:pPr>
    </w:p>
    <w:p>
      <w:pPr>
        <w:sectPr>
          <w:pgSz w:w="11900" w:h="16838" w:orient="portrait"/>
          <w:cols w:equalWidth="0" w:num="2">
            <w:col w:w="7560" w:space="720"/>
            <w:col w:w="314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18"/>
                <w:szCs w:val="18"/>
                <w:color w:val="auto"/>
              </w:rPr>
            </w:pPr>
          </w:p>
        </w:tc>
        <w:tc>
          <w:tcPr>
            <w:tcW w:w="30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Quality of loan portfolio</w:t>
            </w:r>
          </w:p>
        </w:tc>
        <w:tc>
          <w:tcPr>
            <w:tcW w:w="3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30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1.97%</w:t>
            </w: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1.73%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3060" w:type="dxa"/>
            <w:vAlign w:val="bottom"/>
          </w:tcPr>
          <w:p>
            <w:pPr>
              <w:jc w:val="right"/>
              <w:ind w:right="230"/>
              <w:spacing w:after="0"/>
              <w:rPr>
                <w:sz w:val="20"/>
                <w:szCs w:val="20"/>
                <w:color w:val="auto"/>
              </w:rPr>
            </w:pPr>
            <w:r>
              <w:rPr>
                <w:rFonts w:ascii="Arial" w:cs="Arial" w:eastAsia="Arial" w:hAnsi="Arial"/>
                <w:sz w:val="18"/>
                <w:szCs w:val="18"/>
                <w:color w:val="auto"/>
              </w:rPr>
              <w:t>2.60%</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2.39%</w:t>
            </w: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30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172.8%</w:t>
            </w: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187.7%</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3060" w:type="dxa"/>
            <w:vAlign w:val="bottom"/>
          </w:tcPr>
          <w:p>
            <w:pPr>
              <w:jc w:val="right"/>
              <w:ind w:right="230"/>
              <w:spacing w:after="0"/>
              <w:rPr>
                <w:sz w:val="20"/>
                <w:szCs w:val="20"/>
                <w:color w:val="auto"/>
              </w:rPr>
            </w:pPr>
            <w:r>
              <w:rPr>
                <w:rFonts w:ascii="Arial" w:cs="Arial" w:eastAsia="Arial" w:hAnsi="Arial"/>
                <w:sz w:val="18"/>
                <w:szCs w:val="18"/>
                <w:color w:val="auto"/>
              </w:rPr>
              <w:t>131.2%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136.0%</w:t>
            </w:r>
          </w:p>
        </w:tc>
        <w:tc>
          <w:tcPr>
            <w:tcW w:w="98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 Total loans</w:t>
            </w:r>
          </w:p>
        </w:tc>
        <w:tc>
          <w:tcPr>
            <w:tcW w:w="30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3.41%</w:t>
            </w: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3.25%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30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3060" w:type="dxa"/>
            <w:vAlign w:val="bottom"/>
          </w:tcPr>
          <w:p>
            <w:pPr>
              <w:jc w:val="right"/>
              <w:ind w:right="230"/>
              <w:spacing w:after="0"/>
              <w:rPr>
                <w:sz w:val="20"/>
                <w:szCs w:val="20"/>
                <w:color w:val="auto"/>
              </w:rPr>
            </w:pPr>
            <w:r>
              <w:rPr>
                <w:rFonts w:ascii="Arial" w:cs="Arial" w:eastAsia="Arial" w:hAnsi="Arial"/>
                <w:sz w:val="18"/>
                <w:szCs w:val="18"/>
                <w:color w:val="auto"/>
              </w:rPr>
              <w:t>43.7%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48.4%</w:t>
            </w: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assets(2)(3)(5)</w:t>
            </w:r>
          </w:p>
        </w:tc>
        <w:tc>
          <w:tcPr>
            <w:tcW w:w="30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3.7%</w:t>
            </w: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30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3060" w:type="dxa"/>
            <w:vAlign w:val="bottom"/>
          </w:tcPr>
          <w:p>
            <w:pPr>
              <w:jc w:val="right"/>
              <w:ind w:right="370"/>
              <w:spacing w:after="0"/>
              <w:rPr>
                <w:sz w:val="20"/>
                <w:szCs w:val="20"/>
                <w:color w:val="auto"/>
              </w:rPr>
            </w:pPr>
            <w:r>
              <w:rPr>
                <w:rFonts w:ascii="Arial" w:cs="Arial" w:eastAsia="Arial" w:hAnsi="Arial"/>
                <w:sz w:val="18"/>
                <w:szCs w:val="18"/>
                <w:color w:val="auto"/>
              </w:rPr>
              <w:t>37,002</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34,766</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306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41,831</w:t>
            </w:r>
          </w:p>
        </w:tc>
        <w:tc>
          <w:tcPr>
            <w:tcW w:w="12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39,424</w:t>
            </w:r>
          </w:p>
        </w:tc>
        <w:tc>
          <w:tcPr>
            <w:tcW w:w="9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32,539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3060" w:type="dxa"/>
            <w:vAlign w:val="bottom"/>
          </w:tcPr>
          <w:p>
            <w:pPr>
              <w:jc w:val="right"/>
              <w:ind w:right="370"/>
              <w:spacing w:after="0"/>
              <w:rPr>
                <w:sz w:val="20"/>
                <w:szCs w:val="20"/>
                <w:color w:val="auto"/>
              </w:rPr>
            </w:pPr>
            <w:r>
              <w:rPr>
                <w:rFonts w:ascii="Arial" w:cs="Arial" w:eastAsia="Arial" w:hAnsi="Arial"/>
                <w:sz w:val="18"/>
                <w:szCs w:val="18"/>
                <w:color w:val="auto"/>
              </w:rPr>
              <w:t>4,144</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4,088</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0</wp:posOffset>
            </wp:positionV>
            <wp:extent cx="22726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1"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3" w:name="page44"/>
    <w:bookmarkEnd w:id="43"/>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 13</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 12</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 12</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FFCC"/>
            </w:tcBorders>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2"/>
              </w:rPr>
              <w:t>ASSETS</w:t>
            </w: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8,593,995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7,635,137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6,180,377</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7,391,865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7,106,421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5,310,675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1,181,786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507,347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863,017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132.9%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Interbanks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16,000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17,441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3,750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4,344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3,928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2,935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224,103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119,500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90,268</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87.5%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20,905,587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20,754,941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17,570,093</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20,478,776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20,384,603</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17,270,696</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426,811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370,338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299,397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4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(737,664)</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(698,395)</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(563,233)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20,167,923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20,056,546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17,006,860</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5,192,909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4,719,668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5,020,347</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394,692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394,578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361,449</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0.0%</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51,776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100,768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57,506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-48.6%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2,468,998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2,766,699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1,249,473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-10.8%</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37,094,396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35,792,896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29,966,280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24,090,874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22,838,086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19,969,835</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7,514,352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7,585,455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6,881,252</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6,275,766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6,084,550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5,466,391</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8,156,478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6,872,223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5,880,464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40"/>
              <w:spacing w:after="0" w:line="149" w:lineRule="exact"/>
              <w:rPr>
                <w:sz w:val="20"/>
                <w:szCs w:val="20"/>
                <w:color w:val="auto"/>
              </w:rPr>
            </w:pPr>
            <w:r>
              <w:rPr>
                <w:rFonts w:ascii="Arial" w:cs="Arial" w:eastAsia="Arial" w:hAnsi="Arial"/>
                <w:sz w:val="14"/>
                <w:szCs w:val="14"/>
                <w:color w:val="auto"/>
              </w:rPr>
              <w:t>Severance indemnity deposits (CTS)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2,073,189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2,232,492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1,677,876</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71,089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63,366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63,852</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4,567,707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4,406,225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3,340,586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3,650,438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3,684,908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3,104,369</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51,776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100,768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57,506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-48.6%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1,989,031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1,913,975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1,151,947</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34,349,826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32,943,962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27,624,243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2,692,647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2,775,351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2,337,052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1,237,632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986,697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1,019,491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Reserves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788,325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700,491</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711,685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167,256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152,209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160,283</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357,487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274,596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274,974</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141,947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661,358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170,619</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-78.5%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51,923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73,583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4,985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37,094,396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35,792,896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29,966,280</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4"/>
                <w:szCs w:val="14"/>
                <w:color w:val="auto"/>
              </w:rPr>
              <w:t>Off-balance sheet</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15,440,507</w:t>
            </w:r>
          </w:p>
        </w:tc>
        <w:tc>
          <w:tcPr>
            <w:tcW w:w="2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14,792,727</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12,306,985</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4.4%</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1Q13</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4Q12</w:t>
            </w: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1Q12</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9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Interest income and expense</w:t>
            </w: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601,144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580,566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487,649</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(189,241)</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(186,147)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(145,150)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411,903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394,419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342,499</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(94,673)</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(103,083)</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(69,842)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-8.2%</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Banking services commissions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161,794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150,940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141,985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47,930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49,178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39,330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8,703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36,078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13,647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11,906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5,949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3,737</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230,333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242,145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198,699</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(173,642)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(171,307)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(139,042)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(115,708)</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(135,347)</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(85,255)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-14.5%</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(25,423)</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(24,577)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(23,653)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(11,233)</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(12,330)</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(9,299)</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(326,006)</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(343,561)</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(257,249)</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221,557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189,920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214,107</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16.7%</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(15,707)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26,132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11,414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-160.1%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Workers' profit sharing</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(63,123)</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(44,102)</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(54,654)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(994)</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141,947</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170,956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170,619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-17.0%</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0</wp:posOffset>
            </wp:positionV>
            <wp:extent cx="38074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Income before translation results and income taxes.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1Q13</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4Q12</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0.046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0.055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5.07%</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3,102.90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3,102.90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3,102.90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188.6%</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3,590.4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3,502.1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2,524.9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2,405.3</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14.65%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33,191.9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31,140.5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36,443.6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34,446.0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28,471.4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2,734.0</w:t>
            </w:r>
          </w:p>
        </w:tc>
        <w:tc>
          <w:tcPr>
            <w:tcW w:w="260" w:type="dxa"/>
            <w:vAlign w:val="bottom"/>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2,710.1</w:t>
            </w:r>
          </w:p>
        </w:tc>
        <w:tc>
          <w:tcPr>
            <w:tcW w:w="260" w:type="dxa"/>
            <w:vAlign w:val="bottom"/>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2,339.2</w:t>
            </w:r>
          </w:p>
        </w:tc>
        <w:tc>
          <w:tcPr>
            <w:tcW w:w="1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PACIFICO GRUPO ASEGURADOR (PGA)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1Q13</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4Q12</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1Q12</w:t>
            </w: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top w:val="single" w:sz="8" w:color="CCFFCC"/>
            </w:tcBorders>
            <w:shd w:val="clear" w:color="auto" w:fill="CCFFCC"/>
          </w:tcPr>
          <w:p>
            <w:pPr>
              <w:jc w:val="center"/>
              <w:ind w:right="48"/>
              <w:spacing w:after="0" w:line="142" w:lineRule="exact"/>
              <w:rPr>
                <w:sz w:val="20"/>
                <w:szCs w:val="20"/>
                <w:color w:val="auto"/>
              </w:rPr>
            </w:pPr>
            <w:r>
              <w:rPr>
                <w:rFonts w:ascii="Arial" w:cs="Arial" w:eastAsia="Arial" w:hAnsi="Arial"/>
                <w:sz w:val="14"/>
                <w:szCs w:val="14"/>
                <w:b w:val="1"/>
                <w:bCs w:val="1"/>
                <w:color w:val="auto"/>
                <w:w w:val="90"/>
              </w:rPr>
              <w:t>Results</w:t>
            </w: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Written premiums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281,083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299,125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227,542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42,111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66,062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22,975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Unearned premium reserves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39,010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38,681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35,499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earned premiums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199,962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194,382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169,068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Direct claims *</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157,314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128,534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164,430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Reinsurance ceded</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25,623</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6,120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35,569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318.7%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 *</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131,691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122,414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128,861</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7.6%</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Paid commissions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36,400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36,070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30,916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2,951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4,358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33,449</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31,711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28,717</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Underwriting expenses *</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13,870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12,615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9,331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income</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3,594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5,915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2,917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Net underwriting expenses *</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10,276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6,700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6,414</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53.4%</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Underwriting result before Medical Services *</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24,546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33,556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5,077</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-26.9%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Medical Services Underwriting result *</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5,534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7,538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4,306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-26.6%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22,750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23,096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16,357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securities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6,930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5,431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property and rental income</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1,927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1,913</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1,915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2,168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1,567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29,439</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28,516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29,714</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23,682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28,656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19,836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23,825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24,565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17,697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12,207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12,517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8,371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320"/>
              <w:spacing w:after="0" w:line="149" w:lineRule="exact"/>
              <w:rPr>
                <w:sz w:val="20"/>
                <w:szCs w:val="20"/>
                <w:color w:val="auto"/>
              </w:rPr>
            </w:pPr>
            <w:r>
              <w:rPr>
                <w:rFonts w:ascii="Arial" w:cs="Arial" w:eastAsia="Arial" w:hAnsi="Arial"/>
                <w:sz w:val="14"/>
                <w:szCs w:val="14"/>
                <w:color w:val="auto"/>
              </w:rPr>
              <w:t>Management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4,766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4,986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3,503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Provisions</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3,705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3,608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2,890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2,255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1,870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1,779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 expenses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893</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1,585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1,155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Opertating expenses</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47,507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53,221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37,533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-10.7%</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986</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620</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59.2%</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116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(1,983)</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3,132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1,767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-163.3%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1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(452)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3,145</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1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11,467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16,997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4,922</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1,977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2,101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1,631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9,490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14,895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3,291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-36.3%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Balance (end of period)</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2,805,693</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2,678,717</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2,249,912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Invesment on securities and real state (1)</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1,764,873</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1,782,381</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1,470,743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Technical reserves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1,701,502</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1,616,229</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1,450,237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w:t>
            </w:r>
          </w:p>
        </w:tc>
        <w:tc>
          <w:tcPr>
            <w:tcW w:w="116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641,968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632,025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471,521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Ratios</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Loss ratio</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65.9%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76.2%</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Commissions + underwriting expenses, net / net earned premiums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20.8%</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results / net premiums earned</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12.3%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Operating expenses / net premiums earned</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22.2%</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4"/>
                <w:szCs w:val="14"/>
                <w:color w:val="auto"/>
              </w:rPr>
              <w:t>Return on equity (2) (3)</w:t>
            </w:r>
          </w:p>
        </w:tc>
        <w:tc>
          <w:tcPr>
            <w:tcW w:w="116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6.0%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9.8%</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2.8%</w:t>
            </w:r>
          </w:p>
        </w:tc>
        <w:tc>
          <w:tcPr>
            <w:tcW w:w="9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Return on written premiums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 / total assets</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Combined ratio of PPS + PS (4) (5)</w:t>
            </w:r>
          </w:p>
        </w:tc>
        <w:tc>
          <w:tcPr>
            <w:tcW w:w="11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107.3%</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101.8%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114.4%</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70.7%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77.7%</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4"/>
                <w:szCs w:val="14"/>
                <w:color w:val="auto"/>
              </w:rPr>
              <w:t>General expenses and commissions / net earned premiums</w:t>
            </w:r>
          </w:p>
        </w:tc>
        <w:tc>
          <w:tcPr>
            <w:tcW w:w="116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36.6%</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35.6%</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36.7%</w:t>
            </w:r>
          </w:p>
        </w:tc>
        <w:tc>
          <w:tcPr>
            <w:tcW w:w="9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firstLine="8"/>
        <w:spacing w:after="0" w:line="250" w:lineRule="auto"/>
        <w:tabs>
          <w:tab w:leader="none" w:pos="13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Starting 2013, revenues from medical subsidiaries are accounted in the medical services technical results account. This adjustment has been made against net claims and net technical expenses. In 4Q12, US$ 9.4 million were added to Medical Services Technical Result against an increase of US$ 7.6 million in net claims and US$1.8 million in net technical commissions and expenses.Similarly, 2.3 million were added to Medical Services Technical Result in 1Q12, against an increase of an equal amount in net claims.</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Doesn´t include investments in real estate.</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Annualized.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Average are determined as the average of period - beginning and period ending.</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(4) Without consolidated adjustments.</w:t>
      </w:r>
    </w:p>
    <w:p>
      <w:pPr>
        <w:spacing w:after="0" w:line="9" w:lineRule="exact"/>
        <w:rPr>
          <w:rFonts w:ascii="Arial" w:cs="Arial" w:eastAsia="Arial" w:hAnsi="Arial"/>
          <w:sz w:val="18"/>
          <w:szCs w:val="18"/>
          <w:i w:val="1"/>
          <w:iCs w:val="1"/>
          <w:color w:val="auto"/>
        </w:rPr>
      </w:pPr>
    </w:p>
    <w:p>
      <w:pPr>
        <w:ind w:right="64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(5) EPS includes Médica, Doctor+, Clínica San Borja, Análisis Clínicos, Oncocare, Prosemedic, Clínica El Golf, Clínica Sanchez Ferrer and Centro Odontológico Americano.</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ROAE 1Q13 (PPS Formula) without unrealized gains Pacifico Vida = 10%.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Roman"/>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1)"/>
      <w:numFmt w:val="lowerRoman"/>
      <w:start w:val="1"/>
    </w:lvl>
  </w:abstractNum>
  <w:abstractNum w:abstractNumId="10">
    <w:nsid w:val="7C83E458"/>
    <w:multiLevelType w:val="hybridMultilevel"/>
    <w:lvl w:ilvl="0">
      <w:lvlJc w:val="left"/>
      <w:lvlText w:val="2"/>
      <w:numFmt w:val="bullet"/>
      <w:start w:val="1"/>
    </w:lvl>
  </w:abstractNum>
  <w:abstractNum w:abstractNumId="11">
    <w:nsid w:val="257130A3"/>
    <w:multiLevelType w:val="hybridMultilevel"/>
    <w:lvl w:ilvl="0">
      <w:lvlJc w:val="left"/>
      <w:lvlText w:val="%1)"/>
      <w:numFmt w:val="lowerRoman"/>
      <w:start w:val="1"/>
    </w:lvl>
  </w:abstractNum>
  <w:abstractNum w:abstractNumId="12">
    <w:nsid w:val="62BBD95A"/>
    <w:multiLevelType w:val="hybridMultilevel"/>
    <w:lvl w:ilvl="0">
      <w:lvlJc w:val="left"/>
      <w:lvlText w:val="%1)"/>
      <w:numFmt w:val="lowerRoman"/>
      <w:start w:val="2"/>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4"/>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2019-12-06T14:36:39Z</dcterms:created>
  <dcterms:modified xsi:type="dcterms:W3CDTF">2019-12-06T14:36:39Z</dcterms:modified>
</cp:coreProperties>
</file>