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April 2018</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14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6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330835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347980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665480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7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5320030</wp:posOffset>
            </wp:positionH>
            <wp:positionV relativeFrom="page">
              <wp:posOffset>586105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April 23</w:t>
      </w:r>
      <w:r>
        <w:rPr>
          <w:rFonts w:ascii="Arial" w:cs="Arial" w:eastAsia="Arial" w:hAnsi="Arial"/>
          <w:sz w:val="30"/>
          <w:szCs w:val="30"/>
          <w:color w:val="auto"/>
          <w:vertAlign w:val="superscript"/>
        </w:rPr>
        <w:t>rd</w:t>
      </w:r>
      <w:r>
        <w:rPr>
          <w:rFonts w:ascii="Arial" w:cs="Arial" w:eastAsia="Arial" w:hAnsi="Arial"/>
          <w:sz w:val="18"/>
          <w:szCs w:val="18"/>
          <w:color w:val="auto"/>
        </w:rPr>
        <w:t>,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Ltd. complies with notifying that its CEO, Mr. Walter Bayly, had a coronary event during the weekend.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Fortunately, Mr. Bayly is in stable condition and out of danger. He should recover fully within 2 weeks to resume his responsibilities.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absence of Mr. Bayly the two Deputy CEOs, Mr. Alvaro Correa and Mr. Gianfranco Ferrari, will assume his responsibilities.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Guillermo Morales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April 23</w:t>
      </w:r>
      <w:r>
        <w:rPr>
          <w:rFonts w:ascii="Arial" w:cs="Arial" w:eastAsia="Arial" w:hAnsi="Arial"/>
          <w:sz w:val="30"/>
          <w:szCs w:val="30"/>
          <w:color w:val="auto"/>
          <w:vertAlign w:val="superscript"/>
        </w:rPr>
        <w:t>rd</w:t>
      </w:r>
      <w:r>
        <w:rPr>
          <w:rFonts w:ascii="Arial" w:cs="Arial" w:eastAsia="Arial" w:hAnsi="Arial"/>
          <w:sz w:val="18"/>
          <w:szCs w:val="18"/>
          <w:color w:val="auto"/>
        </w:rPr>
        <w:t>, 2018</w:t>
      </w:r>
    </w:p>
    <w:p>
      <w:pPr>
        <w:spacing w:after="0" w:line="12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Guillermo Morales</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2019-12-06T06:43:13Z</dcterms:created>
  <dcterms:modified xsi:type="dcterms:W3CDTF">2019-12-06T06:43:13Z</dcterms:modified>
</cp:coreProperties>
</file>