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Pursuant to Rule 13a-16 or 15d-16 under the</w:t>
      </w:r>
    </w:p>
    <w:p>
      <w:pPr>
        <w:jc w:val="center"/>
        <w:ind w:right="-159"/>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 the month of April 2022</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Commission File Number: 001-14014</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our subsidiary</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Banco de Credito del Peru:</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Calle Centenario 156</w:t>
      </w:r>
    </w:p>
    <w:p>
      <w:pPr>
        <w:jc w:val="center"/>
        <w:ind w:right="-159"/>
        <w:spacing w:after="0" w:line="231" w:lineRule="auto"/>
        <w:rPr>
          <w:sz w:val="20"/>
          <w:szCs w:val="20"/>
          <w:color w:val="auto"/>
        </w:rPr>
      </w:pPr>
      <w:r>
        <w:rPr>
          <w:rFonts w:ascii="Times New Roman" w:cs="Times New Roman" w:eastAsia="Times New Roman" w:hAnsi="Times New Roman"/>
          <w:sz w:val="22"/>
          <w:szCs w:val="22"/>
          <w:b w:val="1"/>
          <w:bCs w:val="1"/>
          <w:color w:val="auto"/>
        </w:rPr>
        <w:t>La Molina</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Lima 12, Peru</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5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262890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356870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80" w:top="52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5145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51455" cy="420370"/>
                    </a:xfrm>
                    <a:prstGeom prst="rect">
                      <a:avLst/>
                    </a:prstGeom>
                    <a:noFill/>
                  </pic:spPr>
                </pic:pic>
              </a:graphicData>
            </a:graphic>
          </wp:anchor>
        </w:drawing>
        <w:t>April 7,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We hereby notify you as a Material Event that Fitch Ratings has affirmed the credit rating of Credicorp Ltd. (Credicorp) at ‘BBB’ and the outlook at stable.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information in this Form 6-K regarding the rating of Fitch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Miriam Böttger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Representative</w:t>
      </w:r>
    </w:p>
    <w:p>
      <w:pPr>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53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Date: April 7, 2022</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151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5994400</wp:posOffset>
            </wp:positionH>
            <wp:positionV relativeFrom="page">
              <wp:posOffset>88900</wp:posOffset>
            </wp:positionV>
            <wp:extent cx="134556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51790"/>
                    </a:xfrm>
                    <a:prstGeom prst="rect">
                      <a:avLst/>
                    </a:prstGeom>
                    <a:noFill/>
                  </pic:spPr>
                </pic:pic>
              </a:graphicData>
            </a:graphic>
          </wp:anchor>
        </w:drawing>
        <w:t>07 APR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Fitch Affirms Banco de Credito del Peru at ‘BBB’; Outlook Stable</w:t>
      </w:r>
    </w:p>
    <w:p>
      <w:pPr>
        <w:spacing w:after="0" w:line="237"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Fitch Ratings - New York - 07 Apr 2022: Fitch Ratings has affirmed Banco de Credito Del Peru S.A.’s (BCP) Viability Rating (VR) and Long-Term Issuer Default Ratings (IDRs) at ‘bbb’ and ‘BBB’, respectively. The Rating Outlook for the Long-Term IDRs is Stable. At the same time, Fitch Ratings has affirmed its holding company Credicorp Ltd IDR at ‘BBB’ with a Stable Outlook.</w:t>
      </w:r>
    </w:p>
    <w:p>
      <w:pPr>
        <w:spacing w:after="0" w:line="2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Fitch is also withdrawing BCP’s Support Rating and Support Rating Floor as they are no longer relevant to the agency’s coverage following the publication of Fitch’s updated Bank Rating Criteria on Nov. 12, 2021. In line with the updated criteria, Fitch has assigned a Government Support Rating (GSR) of ‘bbb-’ to BCP.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Rating Drivers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VR, IDRS AND SENIOR DEBT</w:t>
      </w:r>
    </w:p>
    <w:p>
      <w:pPr>
        <w:spacing w:after="0" w:line="233"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BCP’s IDRs are driven by its VR of ‘bbb’, which is in line with the implied VR. Fitch believes the operating environment factor influences BCP ratings. The bank’s leading franchise and well diversified business profile, as well as its sound financial profile, underpin BCP’s ratings. BCP’s ratings are constrained to the sovereign level due to limited geographic diversification outside of Peru and material exposure to foreign currency.</w:t>
      </w:r>
    </w:p>
    <w:p>
      <w:pPr>
        <w:spacing w:after="0" w:line="20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Stable Outlook on the Long-Term IDRs reflects Fitch’s view that BCP’s core financial metrics have sufficient headroom to maintain its current ratings, even if economic conditions are moderately weaker than Fitch’s base case because of external shocks or ongoing political and policy uncertainty.</w:t>
      </w:r>
    </w:p>
    <w:p>
      <w:pPr>
        <w:spacing w:after="0" w:line="20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BCP is the largest bank in the Peruvian financial system. It is the main subsidiary of Credicorp Ltd, the largest financial holding in Peru. At YE 2021, BCP’s consolidated numbers show a market share of 30.3% by loans and 29.9% by deposits. It enjoys leadership in all major segments and products.</w:t>
      </w:r>
    </w:p>
    <w:p>
      <w:pPr>
        <w:spacing w:after="0" w:line="20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BCP’s consolidated loan quality ratios were impacted by the maturity of loans related to Reactiva program after the grace period that started to finish in June 2021, as expected by Fitch. In consequence, some clients present delays in their payments and some other asked for refinancing. The bank’s consolidated PDL greater than 90 days slightly deteriorated to 3.06% at YE 2021 from 2.96% at YE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spacing w:after="0" w:line="244" w:lineRule="auto"/>
        <w:rPr>
          <w:sz w:val="20"/>
          <w:szCs w:val="20"/>
          <w:color w:val="auto"/>
        </w:rPr>
      </w:pPr>
      <w:r>
        <w:rPr>
          <w:rFonts w:ascii="Times New Roman" w:cs="Times New Roman" w:eastAsia="Times New Roman" w:hAnsi="Times New Roman"/>
          <w:sz w:val="22"/>
          <w:szCs w:val="22"/>
          <w:color w:val="auto"/>
        </w:rPr>
        <w:t>However, even with this deterioration, BCP’s asset quality is well within the benchmarks for its rating category. Loan impairment charges as a proportion of average gross loans ratio returned to pre- pandemic levels at YE 2021 (1.44%) following a sharp increase in 2020 due to the pandemic.</w:t>
      </w:r>
    </w:p>
    <w:p>
      <w:pPr>
        <w:spacing w:after="0" w:line="20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Consolidated reserve coverage is beginning to revert to historical levels (YE 2021: 199.8%; 2017-2019 average: 186.5%), but it still remains high and sufficient to cover expected losses.</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BCP’s capital position benefits from conservative internal solvency limits, recurrent profitability, moderate asset growth, and conservative dividend policy. BCP’s FCC ratio stood at 12.48% at YE 2021, reflecting higher risk-weight average (RWA) density (risk weighted assets to total assets ratio). BCP’s regulatory capital ratio was 14.9% as of December 2021, remaining above the minimum expected regulatory ratio, including buffers, of 9.47%. Fitch expects improving profitability to support BCP’s FCC ratio at an adequate level in 2022, and when considered with material excess reserve coverage of impaired loans, will remain consistent with its current rating.</w:t>
      </w:r>
    </w:p>
    <w:p>
      <w:pPr>
        <w:spacing w:after="0" w:line="20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Historically, profitability has been a strength relative to domestic peers and is at the higher end of the benchmark range for its rating category. Lower loan impairment charges positively affected profitability, with net income close to 2019 levels. In addition, a positive impact came from liability management during 2021. On the other hand, operational expenses increased due to the bank’s digitalization strategy, including new infrastructure and new positions as well as the impact resulted from the branches’ adaptation.</w:t>
      </w:r>
    </w:p>
    <w:p>
      <w:pPr>
        <w:spacing w:after="0" w:line="20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The bank’s operating profit to risk weighted assets ratio increased significantly to 2.71% at YE 2021 (YE 2020: 0.67%. 2016-2019 average: 3.70%). Though this remains below pre-pandemic levels, Fitch expects profitability to recover to this level in the next 18 months. Gradual change of the business mix in favor of retail lending different to those from the Reactiva program should slightly pressure provision expenses upward.</w:t>
      </w:r>
    </w:p>
    <w:p>
      <w:pPr>
        <w:spacing w:after="0" w:line="20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BCP benefits from a well-diversified and low-cost deposit base consisting predominantly of demand and savings deposits, which comprised about 80% of customer deposits at YE 2021 BCP has the highest deposit market share in the country across all major products (32%) and has historically benefited from flight to quality in times of stress. BCP’s loan to deposit ratio was 101.9% at YE 2021, slightly below the ratio from 2020 when liquidity from Reactiva and the pension funds withdrawals were present in the system. Fitch expects this ratio to return to historical levels in 2022 as loan growth recovers in segments not related to government programs.</w:t>
      </w:r>
    </w:p>
    <w:p>
      <w:pPr>
        <w:spacing w:after="0" w:line="2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BCP’s senior unsecured bonds are rated at the same level as the bank’s IDRs, considering the absence of credit enhancement or any subordination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Rating Sensitivities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negative rating action/ downgrade: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VR, IDRs AND SENIOR DEBT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--BCP IDRs are sensitive to a material deterioration in the local operating environment or a negative sovereign rating action;</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--BCP’s VRs could be negatively affected if the banks’ asset quality deteriorates significantly and causes a sustained decline in the banks’ operating profits to RWA ratio to below 2.5% and in the bank’s FCC/ adjusted RWA ratio to less than 10% (assuming the maintenance of excess reserves and non-core loss absorbing capital) for more than four consecutive quarters;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ratings could also be pressured by a material deterioration of asset quality and profitability metrics due to the disruption of economic activity as a result of to the political turmoil;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--BCP’s senior debt ratings would move in line with its Long-Term IDR.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positive rating action/upgrade:</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--There is limited upside potential for BCP’s ratings given the sovereign’s current rating and Outlook and under the light of the increasingly challenging operating environment;</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--Over the medium term, ratings could be upgraded by the confluence of an improvement of the operating environment and the bank’s financial profile;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--BCP’s senior debt ratings would move in line with its Long-Term IDR.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DEBT AND ISSUER RATINGS: KEY RATING DRIVERS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 SUPPORT RATING</w:t>
      </w:r>
    </w:p>
    <w:p>
      <w:pPr>
        <w:spacing w:after="0" w:line="233"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Given its size and systemic importance, BCP is likely to receive support from the Peruvian government, should it be required, underpinning its GSR of ‘bbb’. The sovereign’s ability to provide support is reflected in its ‘BBB’/Stable IDR, which is underpinned by its sound financial position, ample international reserves and low debt levels. BCP’s 30% market share in deposits and its outsized presence in all business segments make it a crucial part of Peru’s financial sector.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DEBT AND ISSUER RATINGS: RATING SENSITIVITIES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negative rating action/ downgrade:</w:t>
      </w:r>
    </w:p>
    <w:p>
      <w:pPr>
        <w:spacing w:after="0" w:line="23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--BCP’s GSR would be affected if Fitch negatively changes its assessment of the government’s ability and/or willingness to support the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positive rating action/upgrade:</w:t>
      </w:r>
    </w:p>
    <w:p>
      <w:pPr>
        <w:spacing w:after="0" w:line="23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--BCP’s GSR would be affected if Fitch positively changes its assessment of the government’s ability and/or willingness to support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SUBSIDIARIES &amp; AFFILIATES: KEY RATING DRIVERS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CREDICORP LTD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IDRS AND SENIOR DEBT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Credicorp’s IDRs are driven primarily by the IDR of its main subsidiary, BCP, which has a strong business and financial profile.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Credicorp’s Foreign Currency Long-Term IDR of ‘BBB’ with Stable Outlook is equalized to BCP’s rating.</w:t>
      </w:r>
    </w:p>
    <w:p>
      <w:pPr>
        <w:spacing w:after="0" w:line="209"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equalization is mainly driven by Credicorp’s low double leverage and its strong liquidity management. Double leverage is low and reached 101.8% (similar to that of YE 2020, 100.32%). There is a long track record of significant dividend flows that provide the bulk of Credicorp’s liquidity</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Credicorp is a non-operating holding company that maintains an integrated business platform composed of leading Peruvian and Bolivian banking, insurance, pension, and asset and wealth management companies.</w:t>
      </w:r>
    </w:p>
    <w:p>
      <w:pPr>
        <w:spacing w:after="0" w:line="185"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The capital structure of Credicorp’s benefits from its subsidiaries profitability, which allows Credicorp to maintain consistent dividend flows. Asset quality ratios on a consolidated basis were: 90-days impaired loans to total loan ratio at YE 2021 was at 2.85% (YE 2020: 2.78%) and reserve coverage was 201.7% (YE 2020: 258.2%).</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Consolidated profitability is improving but still far from pre-pandemic levels (ROAE and ROAA at YE 2021: 14.26% and 1.50% respectively).</w:t>
      </w:r>
    </w:p>
    <w:p>
      <w:pPr>
        <w:spacing w:after="0" w:line="18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senior global debt rating is at the same level as Credicorp’s Long-Term IDRs of ‘BBB+’, as the likelihood of default of the notes is the same as that of Credicorp.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SUBSIDIARIES AND AFFILIATES: RATING SENSITIVITIES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negative rating action/ downgrade: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CREDICORP LTD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IDRS AND SENIOR DEBT</w:t>
      </w:r>
    </w:p>
    <w:p>
      <w:pPr>
        <w:spacing w:after="0" w:line="2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--Credicorp’s IDRs would remain at the same level as BCP’s and would move in tandem with any rating actions on its main operating subsidiary. However, the relativity between these two entities’ ratings could also be affected and the holding company downgraded, in the event of a material and sustained increase in Credicorp’s double-leverage metrics (above 1.2x), and if Fitch perceives a material weakening of the holding company’s liquidity position and its management;</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--Additionally, a change in the dividend flows from the operating companies or debt levels at the holding company that affects its debt coverage ratios could also be detrimental to its ratings;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ratings for Credicorp’s senior unsecured debt would move in line with Credicorp’s Long-Term IDR.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Factors that could, individually or collectively, lead to positive rating action/upgrade: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Factors that could, individually or collectively, lead to positive rating action/upgrade: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--Credicorp Ltd’s ratings would move in tandem with positive rating actions on its main operating subsidiary, BCP.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VR ADJUSTMENTS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Operating Environment score has been assigned above the implied score due to the following adjustment reason: Sovereign Rating (positive);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Capitalization and Leverage score has been assigned above the implied score due to the following adjustment reason: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 coverage and asset valuation (positive).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Best/Worst Case Rating Scenario</w:t>
      </w:r>
    </w:p>
    <w:p>
      <w:pPr>
        <w:spacing w:after="0" w:line="23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International scale credit ratings of Financial Institutions and Covered Bond issuers have a best-case rating upgrade scenario (defined as the 99th percentile of rating transitions, measured in a positive direction) of three notches over a three-year rating horizon; and a worst-case rating downgrade scenario (defined as the 99th percentile of rating transitions, measured in a negative direction) of four notches over three years. The complete span of best- and worst-case scenario credit ratings for all rating categories ranges from ‘AAA’ to ‘D’. Best- and worst-case scenario credit ratings are based on historical performance. For more information about the methodology used to determine sector- specific best- and worst-case scenario credit ratings, visit https://www.fitchratings.com/site/re/ 10111579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REFERENCES FOR SUBSTANTIALLY MATERIAL SOURCE CITED AS KEY DRIVER OF RATING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sources of information used in the analysis are described in the Applicable Criteria.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Ratings with Credit Linkage to other ratings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ratings of Credicorp Ltd are linked to Banco de Credito del Peru ratings as it is its main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ESG Considerations</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Unless otherwise disclosed in this section, the highest level of ESG credit relevance is a score of ‘3’. This means ESG issues are credit-neutral or have only a minimal credit impact on the entity, either due to their nature or the way in which they are being managed by the entity. For more information on Fitch’s ESG Relevance Scores, visit www.fitchratings.com/esg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Fitch Ratings Analysts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Robert Stoll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w:t>
      </w:r>
    </w:p>
    <w:p>
      <w:pPr>
        <w:spacing w:after="0" w:line="230" w:lineRule="auto"/>
        <w:rPr>
          <w:sz w:val="20"/>
          <w:szCs w:val="20"/>
          <w:color w:val="auto"/>
        </w:rPr>
      </w:pPr>
      <w:r>
        <w:rPr>
          <w:rFonts w:ascii="Times New Roman" w:cs="Times New Roman" w:eastAsia="Times New Roman" w:hAnsi="Times New Roman"/>
          <w:sz w:val="22"/>
          <w:szCs w:val="22"/>
          <w:color w:val="auto"/>
        </w:rPr>
        <w:t>Primary Rating Analyst</w:t>
      </w:r>
    </w:p>
    <w:p>
      <w:pPr>
        <w:spacing w:after="0" w:line="231" w:lineRule="auto"/>
        <w:rPr>
          <w:sz w:val="20"/>
          <w:szCs w:val="20"/>
          <w:color w:val="auto"/>
        </w:rPr>
      </w:pPr>
      <w:r>
        <w:rPr>
          <w:rFonts w:ascii="Times New Roman" w:cs="Times New Roman" w:eastAsia="Times New Roman" w:hAnsi="Times New Roman"/>
          <w:sz w:val="22"/>
          <w:szCs w:val="22"/>
          <w:color w:val="auto"/>
        </w:rPr>
        <w:t>+1 212 908 9155</w:t>
      </w:r>
    </w:p>
    <w:p>
      <w:pPr>
        <w:spacing w:after="0"/>
        <w:rPr>
          <w:sz w:val="20"/>
          <w:szCs w:val="20"/>
          <w:color w:val="auto"/>
        </w:rPr>
      </w:pPr>
      <w:r>
        <w:rPr>
          <w:rFonts w:ascii="Times New Roman" w:cs="Times New Roman" w:eastAsia="Times New Roman" w:hAnsi="Times New Roman"/>
          <w:sz w:val="22"/>
          <w:szCs w:val="22"/>
          <w:color w:val="auto"/>
        </w:rPr>
        <w:t>Fitch Ratings, Inc. Hearst Tower 300 W. 57th Street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Andres Marquez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w:t>
      </w:r>
    </w:p>
    <w:p>
      <w:pPr>
        <w:spacing w:after="0" w:line="230" w:lineRule="auto"/>
        <w:rPr>
          <w:sz w:val="20"/>
          <w:szCs w:val="20"/>
          <w:color w:val="auto"/>
        </w:rPr>
      </w:pPr>
      <w:r>
        <w:rPr>
          <w:rFonts w:ascii="Times New Roman" w:cs="Times New Roman" w:eastAsia="Times New Roman" w:hAnsi="Times New Roman"/>
          <w:sz w:val="22"/>
          <w:szCs w:val="22"/>
          <w:color w:val="auto"/>
        </w:rPr>
        <w:t>Secondary Rating Analyst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+57 601 484 6771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Veronica Chau</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w:t>
      </w:r>
    </w:p>
    <w:p>
      <w:pPr>
        <w:spacing w:after="0" w:line="230" w:lineRule="auto"/>
        <w:rPr>
          <w:sz w:val="20"/>
          <w:szCs w:val="20"/>
          <w:color w:val="auto"/>
        </w:rPr>
      </w:pPr>
      <w:r>
        <w:rPr>
          <w:rFonts w:ascii="Times New Roman" w:cs="Times New Roman" w:eastAsia="Times New Roman" w:hAnsi="Times New Roman"/>
          <w:sz w:val="22"/>
          <w:szCs w:val="22"/>
          <w:color w:val="auto"/>
        </w:rPr>
        <w:t>Committee Chairperson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+52 81 4161 7069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Sandro Scenga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+1 212 908 0278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sandro.scenga@thefitchgroup.com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Rating Actions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16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2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0" w:type="dxa"/>
            <w:vAlign w:val="bottom"/>
          </w:tcPr>
          <w:p>
            <w:pPr>
              <w:spacing w:after="0"/>
              <w:rPr>
                <w:sz w:val="1"/>
                <w:szCs w:val="1"/>
                <w:color w:val="auto"/>
              </w:rPr>
            </w:pPr>
          </w:p>
        </w:tc>
      </w:tr>
      <w:tr>
        <w:trPr>
          <w:trHeight w:val="324"/>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Credicorp Ltd.</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LT IDR</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 IDR</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F2</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senior unsecured</w:t>
            </w: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LT</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Banco de Credito del Peru</w:t>
            </w: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LT IDR</w:t>
            </w:r>
          </w:p>
        </w:tc>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2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w:t>
            </w:r>
          </w:p>
        </w:tc>
        <w:tc>
          <w:tcPr>
            <w:tcW w:w="16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 IDR</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F2</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LC LT IDR</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-1979295</wp:posOffset>
            </wp:positionV>
            <wp:extent cx="137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-1979295</wp:posOffset>
            </wp:positionV>
            <wp:extent cx="137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-1104900</wp:posOffset>
            </wp:positionV>
            <wp:extent cx="137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-1104900</wp:posOffset>
            </wp:positionV>
            <wp:extent cx="137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-521970</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-521970</wp:posOffset>
            </wp:positionV>
            <wp:extent cx="137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1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24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10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1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PRIOR</w:t>
            </w:r>
          </w:p>
        </w:tc>
      </w:tr>
      <w:tr>
        <w:trPr>
          <w:trHeight w:val="324"/>
        </w:trPr>
        <w:tc>
          <w:tcPr>
            <w:tcW w:w="16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LC ST IDR</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F2</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Affirmed</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r>
      <w:tr>
        <w:trPr>
          <w:trHeight w:val="115"/>
        </w:trPr>
        <w:tc>
          <w:tcPr>
            <w:tcW w:w="16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324"/>
        </w:trPr>
        <w:tc>
          <w:tcPr>
            <w:tcW w:w="16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Viability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Affirmed</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r>
      <w:tr>
        <w:trPr>
          <w:trHeight w:val="115"/>
        </w:trPr>
        <w:tc>
          <w:tcPr>
            <w:tcW w:w="16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324"/>
        </w:trPr>
        <w:tc>
          <w:tcPr>
            <w:tcW w:w="16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Support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WD</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Withdrawn</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16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324"/>
        </w:trPr>
        <w:tc>
          <w:tcPr>
            <w:tcW w:w="1640" w:type="dxa"/>
            <w:vAlign w:val="bottom"/>
          </w:tcPr>
          <w:p>
            <w:pPr>
              <w:spacing w:after="0"/>
              <w:rPr>
                <w:sz w:val="24"/>
                <w:szCs w:val="24"/>
                <w:color w:val="auto"/>
              </w:rPr>
            </w:pP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Support Floor</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WD</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Withdrawn</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r>
      <w:tr>
        <w:trPr>
          <w:trHeight w:val="115"/>
        </w:trPr>
        <w:tc>
          <w:tcPr>
            <w:tcW w:w="16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2"/>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324"/>
        </w:trPr>
        <w:tc>
          <w:tcPr>
            <w:tcW w:w="1640" w:type="dxa"/>
            <w:vAlign w:val="bottom"/>
          </w:tcPr>
          <w:p>
            <w:pPr>
              <w:spacing w:after="0"/>
              <w:rPr>
                <w:sz w:val="24"/>
                <w:szCs w:val="24"/>
                <w:color w:val="auto"/>
              </w:rPr>
            </w:pPr>
          </w:p>
        </w:tc>
        <w:tc>
          <w:tcPr>
            <w:tcW w:w="2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Government Support</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Rating</w:t>
            </w:r>
          </w:p>
        </w:tc>
        <w:tc>
          <w:tcPr>
            <w:tcW w:w="1980" w:type="dxa"/>
            <w:vAlign w:val="bottom"/>
          </w:tcPr>
          <w:p>
            <w:pPr>
              <w:spacing w:after="0"/>
              <w:rPr>
                <w:sz w:val="24"/>
                <w:szCs w:val="24"/>
                <w:color w:val="auto"/>
              </w:rPr>
            </w:pPr>
          </w:p>
        </w:tc>
      </w:tr>
      <w:tr>
        <w:trPr>
          <w:trHeight w:val="115"/>
        </w:trPr>
        <w:tc>
          <w:tcPr>
            <w:tcW w:w="16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324"/>
        </w:trPr>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senior unsecured</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4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Affirmed</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r>
      <w:tr>
        <w:trPr>
          <w:trHeight w:val="115"/>
        </w:trPr>
        <w:tc>
          <w:tcPr>
            <w:tcW w:w="16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r>
        <w:trPr>
          <w:trHeight w:val="45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 KEY</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WATCH</w:t>
            </w: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POSITIVE</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NEGATIVE</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EVOLVING</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STABLE</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-984885</wp:posOffset>
            </wp:positionV>
            <wp:extent cx="14541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-984885</wp:posOffset>
            </wp:positionV>
            <wp:extent cx="14541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-702310</wp:posOffset>
            </wp:positionV>
            <wp:extent cx="1454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-702310</wp:posOffset>
            </wp:positionV>
            <wp:extent cx="1454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-419100</wp:posOffset>
            </wp:positionV>
            <wp:extent cx="14541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-419100</wp:posOffset>
            </wp:positionV>
            <wp:extent cx="14541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-136525</wp:posOffset>
            </wp:positionV>
            <wp:extent cx="137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Applicable Criteria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Rating Criteria (pub.12 Nov 2021) (including rating assumption sensitivity)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Future Flow Securitization Rating Criteria (pub.04 May 2021) (including rating assumption sensitivity)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Disclosures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Solicitation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b w:val="1"/>
          <w:bCs w:val="1"/>
          <w:color w:val="auto"/>
        </w:rPr>
        <w:t>Endorsement Status</w:t>
      </w:r>
    </w:p>
    <w:p>
      <w:pPr>
        <w:sectPr>
          <w:pgSz w:w="11900" w:h="16838" w:orient="portrait"/>
          <w:cols w:equalWidth="0" w:num="1">
            <w:col w:w="11200"/>
          </w:cols>
          <w:pgMar w:left="320" w:top="108" w:right="379" w:bottom="144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de Credito del Peru S.A.</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211" w:lineRule="exact"/>
        <w:rPr>
          <w:sz w:val="20"/>
          <w:szCs w:val="20"/>
          <w:color w:val="auto"/>
        </w:rPr>
      </w:pPr>
    </w:p>
    <w:p>
      <w:pPr>
        <w:sectPr>
          <w:pgSz w:w="11900" w:h="16838" w:orient="portrait"/>
          <w:cols w:equalWidth="0" w:num="2">
            <w:col w:w="2660" w:space="720"/>
            <w:col w:w="7820"/>
          </w:cols>
          <w:pgMar w:left="320" w:top="108"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Credicorp Ltd.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200" w:lineRule="exact"/>
        <w:rPr>
          <w:sz w:val="20"/>
          <w:szCs w:val="20"/>
          <w:color w:val="auto"/>
        </w:rPr>
      </w:pPr>
    </w:p>
    <w:p>
      <w:pPr>
        <w:sectPr>
          <w:pgSz w:w="11900" w:h="16838" w:orient="portrait"/>
          <w:cols w:equalWidth="0" w:num="2">
            <w:col w:w="2660" w:space="720"/>
            <w:col w:w="7820"/>
          </w:cols>
          <w:pgMar w:left="320" w:top="108" w:right="3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 &amp; Copyright</w:t>
      </w:r>
    </w:p>
    <w:p>
      <w:pPr>
        <w:spacing w:after="0" w:line="23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All Fitch Ratings (Fitch) credit ratings are subject to certain limitations and disclaimers. Please read these limitations and disclaimers by following this link: https://www.fitchratings.com/ understandingcreditratings. In addition, the following https://www.fitchratings.com/rating- definitions-document details Fitch’s rating definitions for each rating scale and rating categories, including definitions relating to default. 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1" w:name="page12"/>
    <w:bookmarkEnd w:id="11"/>
    <w:p>
      <w:pPr>
        <w:spacing w:after="0" w:line="243" w:lineRule="auto"/>
        <w:rPr>
          <w:sz w:val="20"/>
          <w:szCs w:val="20"/>
          <w:color w:val="auto"/>
        </w:rPr>
      </w:pPr>
      <w:r>
        <w:rPr>
          <w:rFonts w:ascii="Times New Roman" w:cs="Times New Roman" w:eastAsia="Times New Roman" w:hAnsi="Times New Roman"/>
          <w:sz w:val="21"/>
          <w:szCs w:val="21"/>
          <w:color w:val="auto"/>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2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spacing w:after="0" w:line="18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ind w:right="40"/>
        <w:spacing w:after="0" w:line="244" w:lineRule="auto"/>
        <w:rPr>
          <w:sz w:val="20"/>
          <w:szCs w:val="20"/>
          <w:color w:val="auto"/>
        </w:rPr>
      </w:pPr>
      <w:r>
        <w:rPr>
          <w:rFonts w:ascii="Times New Roman" w:cs="Times New Roman" w:eastAsia="Times New Roman" w:hAnsi="Times New Roman"/>
          <w:sz w:val="22"/>
          <w:szCs w:val="22"/>
          <w:color w:val="auto"/>
        </w:rPr>
        <w:t>Copyright © 2022 by Fitch Ratings, Inc., Fitch Ratings Ltd. and its subsidiaries. 33 Whitehall Street, NY, NY 10004. Telephone: 1-800-753-4824, (212) 908-0500. Fax: (212) 480-4435. Reproduction or retransmission in whole or in part is prohibited except by permission. All rights reserved.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Endorsement policy</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 approach to endorsement in the EU and the UK can be found on Fitch’s Regulatory Affairs page on Fitch’s website. The endorsement status of international credit ratings is provided within the entity summary page for each rated entity and in the transaction detail pages for structured finance transactions on the Fitch website. These disclosures are updated on a daily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2022-04-08T15:11:13Z</dcterms:created>
  <dcterms:modified xsi:type="dcterms:W3CDTF">2022-04-08T15:11:13Z</dcterms:modified>
</cp:coreProperties>
</file>