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SECURITIES AND EXCHANGE COMMISSION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Washington, D.C. 20549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-260985</wp:posOffset>
            </wp:positionH>
            <wp:positionV relativeFrom="paragraph">
              <wp:posOffset>210820</wp:posOffset>
            </wp:positionV>
            <wp:extent cx="7263765" cy="8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6376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FORM 6-K</w:t>
      </w:r>
    </w:p>
    <w:p>
      <w:pPr>
        <w:spacing w:after="0" w:line="246" w:lineRule="exact"/>
        <w:rPr>
          <w:sz w:val="24"/>
          <w:szCs w:val="24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Report of Foreign Private Issuer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Pursuant to Rule 13a-16 or 15d-16 of the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Securities Exchange Act of 1934</w:t>
      </w:r>
    </w:p>
    <w:p>
      <w:pPr>
        <w:spacing w:after="0" w:line="234" w:lineRule="exact"/>
        <w:rPr>
          <w:sz w:val="24"/>
          <w:szCs w:val="24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For the month of December 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-260985</wp:posOffset>
            </wp:positionH>
            <wp:positionV relativeFrom="paragraph">
              <wp:posOffset>240665</wp:posOffset>
            </wp:positionV>
            <wp:extent cx="7263765" cy="8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6376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96" w:lineRule="exact"/>
        <w:rPr>
          <w:sz w:val="24"/>
          <w:szCs w:val="24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CREDICORP LTD.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(Exact name of registrant as specified in its charter)</w:t>
      </w:r>
    </w:p>
    <w:p>
      <w:pPr>
        <w:spacing w:after="0" w:line="232" w:lineRule="exact"/>
        <w:rPr>
          <w:sz w:val="24"/>
          <w:szCs w:val="24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Clarendon House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Church Street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Hamilton HM 11 Bermuda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(Address of principal executive office)</w:t>
      </w:r>
    </w:p>
    <w:p>
      <w:pPr>
        <w:spacing w:after="0" w:line="238" w:lineRule="exact"/>
        <w:rPr>
          <w:sz w:val="24"/>
          <w:szCs w:val="24"/>
          <w:color w:val="auto"/>
        </w:rPr>
      </w:pPr>
    </w:p>
    <w:p>
      <w:pPr>
        <w:jc w:val="center"/>
        <w:ind w:righ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Indicate by check mark whether the registrant files or will file annual reports under cover Form 20-F or Form 40-F.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Form 20-F x Form 40-F o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jc w:val="center"/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Indicate by check mark whether the registrant by furnishing the information contained in this Form is also thereby furnishing the information to the Commission pursuant to Rule 12g3-2(b) under the Securities Exchange Act of 1934.</w:t>
      </w:r>
    </w:p>
    <w:p>
      <w:pPr>
        <w:spacing w:after="0" w:line="197" w:lineRule="exact"/>
        <w:rPr>
          <w:sz w:val="24"/>
          <w:szCs w:val="24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Yes o No x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-262890</wp:posOffset>
            </wp:positionH>
            <wp:positionV relativeFrom="paragraph">
              <wp:posOffset>235585</wp:posOffset>
            </wp:positionV>
            <wp:extent cx="7250430" cy="215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0430" cy="21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620"/>
          </w:cols>
          <w:pgMar w:left="660" w:top="463" w:right="619" w:bottom="1440" w:gutter="0" w:footer="0" w:header="0"/>
        </w:sectPr>
      </w:pPr>
    </w:p>
    <w:bookmarkStart w:id="1" w:name="page2"/>
    <w:bookmarkEnd w:id="1"/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6117590</wp:posOffset>
            </wp:positionH>
            <wp:positionV relativeFrom="page">
              <wp:posOffset>243205</wp:posOffset>
            </wp:positionV>
            <wp:extent cx="1286510" cy="3771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6510" cy="377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Lima, December 23, 2009</w:t>
      </w:r>
    </w:p>
    <w:p>
      <w:pPr>
        <w:spacing w:after="0" w:line="27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COMISIÓN NACIONAL SUPERVISORA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DE EMPRESAS Y VALORES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CONASEV</w:t>
      </w:r>
    </w:p>
    <w:p>
      <w:pPr>
        <w:spacing w:after="0" w:line="266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Re.: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color w:val="auto"/>
        </w:rPr>
        <w:t>MATERIAL EVENT</w:t>
      </w:r>
    </w:p>
    <w:p>
      <w:pPr>
        <w:spacing w:after="0" w:line="26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Dear Sirs,</w:t>
      </w:r>
    </w:p>
    <w:p>
      <w:pPr>
        <w:spacing w:after="0" w:line="279" w:lineRule="exact"/>
        <w:rPr>
          <w:sz w:val="20"/>
          <w:szCs w:val="20"/>
          <w:color w:val="auto"/>
        </w:rPr>
      </w:pPr>
    </w:p>
    <w:p>
      <w:pPr>
        <w:jc w:val="both"/>
        <w:ind w:right="20"/>
        <w:spacing w:after="0" w:line="30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CREDICORP LTD., in accordance with CONASEV Resolution 107-2002-EF/94.10 for Material Events and Reserved Information and Other Communications, complies with notifying you of the following Material Event:</w:t>
      </w:r>
    </w:p>
    <w:p>
      <w:pPr>
        <w:spacing w:after="0" w:line="196" w:lineRule="exact"/>
        <w:rPr>
          <w:sz w:val="20"/>
          <w:szCs w:val="20"/>
          <w:color w:val="auto"/>
        </w:rPr>
      </w:pPr>
    </w:p>
    <w:p>
      <w:pPr>
        <w:jc w:val="both"/>
        <w:spacing w:after="0" w:line="29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On December 23, 2009 and through the Lima Stock Exchange, Credicorp acquired 33’172,117 shares of Edelnor S.A.A. that represent 5.195% of the company’s total stock. The shares were transferred by Credicorp’s subsidiary Inversiones Eléctricas Peruanas S.A.C. This operation represented a re-distribution between companies of the same economic group without altering the control group.</w:t>
      </w: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The transaction was made using own funds and financing obtained by Credicorp from third parties.</w:t>
      </w:r>
    </w:p>
    <w:p>
      <w:pPr>
        <w:spacing w:after="0" w:line="27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Sincerely,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2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/s/ Giuliana Cuzquen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Credicorp Ltd.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553085</wp:posOffset>
            </wp:positionV>
            <wp:extent cx="7250430" cy="215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0430" cy="21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1219" w:right="239" w:bottom="1440" w:gutter="0" w:footer="0" w:header="0"/>
        </w:sectPr>
      </w:pPr>
    </w:p>
    <w:bookmarkStart w:id="2" w:name="page3"/>
    <w:bookmarkEnd w:id="2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SIGNATURE</w:t>
      </w:r>
    </w:p>
    <w:p>
      <w:pPr>
        <w:spacing w:after="0" w:line="256" w:lineRule="exact"/>
        <w:rPr>
          <w:sz w:val="20"/>
          <w:szCs w:val="20"/>
          <w:color w:val="auto"/>
        </w:rPr>
      </w:pPr>
    </w:p>
    <w:p>
      <w:pPr>
        <w:ind w:firstLine="486"/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Pursuant to the requirements of the Securities Exchange Act of 1934, the registrant has duly caused this report to be signed on its behalf by the undersigned, thereunto duly authorized.</w:t>
      </w:r>
    </w:p>
    <w:p>
      <w:pPr>
        <w:spacing w:after="0" w:line="197" w:lineRule="exact"/>
        <w:rPr>
          <w:sz w:val="20"/>
          <w:szCs w:val="20"/>
          <w:color w:val="auto"/>
        </w:rPr>
      </w:pPr>
    </w:p>
    <w:p>
      <w:pPr>
        <w:ind w:left="5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Date: December 23, 2009</w:t>
      </w:r>
    </w:p>
    <w:p>
      <w:pPr>
        <w:spacing w:after="0" w:line="252" w:lineRule="exact"/>
        <w:rPr>
          <w:sz w:val="20"/>
          <w:szCs w:val="20"/>
          <w:color w:val="auto"/>
        </w:rPr>
      </w:pPr>
    </w:p>
    <w:p>
      <w:pPr>
        <w:ind w:left="55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CREDICORP LTD.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8" w:lineRule="exact"/>
        <w:rPr>
          <w:sz w:val="20"/>
          <w:szCs w:val="20"/>
          <w:color w:val="auto"/>
        </w:rPr>
      </w:pPr>
    </w:p>
    <w:p>
      <w:pPr>
        <w:ind w:left="55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By:  /s/ Giuliana Cuzquen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3743960</wp:posOffset>
            </wp:positionH>
            <wp:positionV relativeFrom="paragraph">
              <wp:posOffset>14605</wp:posOffset>
            </wp:positionV>
            <wp:extent cx="3507740" cy="1714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774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" w:lineRule="exact"/>
        <w:rPr>
          <w:sz w:val="20"/>
          <w:szCs w:val="20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Giuliana Cuzquen</w:t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Authorized Representative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226695</wp:posOffset>
            </wp:positionV>
            <wp:extent cx="7250430" cy="215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0430" cy="21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0" w:num="1">
        <w:col w:w="11420"/>
      </w:cols>
      <w:pgMar w:left="240" w:top="607" w:right="2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jpe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2019-12-10T14:01:28Z</dcterms:created>
  <dcterms:modified xsi:type="dcterms:W3CDTF">2019-12-10T14:01:28Z</dcterms:modified>
</cp:coreProperties>
</file>