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March 2016</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0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March 31</w:t>
      </w:r>
      <w:r>
        <w:rPr>
          <w:rFonts w:ascii="Arial" w:cs="Arial" w:eastAsia="Arial" w:hAnsi="Arial"/>
          <w:sz w:val="30"/>
          <w:szCs w:val="30"/>
          <w:color w:val="auto"/>
          <w:vertAlign w:val="superscript"/>
        </w:rPr>
        <w:t>st</w:t>
      </w:r>
      <w:r>
        <w:rPr>
          <w:rFonts w:ascii="Arial" w:cs="Arial" w:eastAsia="Arial" w:hAnsi="Arial"/>
          <w:sz w:val="18"/>
          <w:szCs w:val="18"/>
          <w:color w:val="auto"/>
        </w:rPr>
        <w:t>, 2016</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Credicorp’s Annual General Meeting of Shareholders, in its session held on March 31</w:t>
      </w:r>
      <w:r>
        <w:rPr>
          <w:rFonts w:ascii="Arial" w:cs="Arial" w:eastAsia="Arial" w:hAnsi="Arial"/>
          <w:sz w:val="30"/>
          <w:szCs w:val="30"/>
          <w:color w:val="auto"/>
          <w:vertAlign w:val="superscript"/>
        </w:rPr>
        <w:t>st</w:t>
      </w:r>
      <w:r>
        <w:rPr>
          <w:rFonts w:ascii="Arial" w:cs="Arial" w:eastAsia="Arial" w:hAnsi="Arial"/>
          <w:sz w:val="18"/>
          <w:szCs w:val="18"/>
          <w:color w:val="auto"/>
        </w:rPr>
        <w:t>, 2016, agreed on the following matters:</w:t>
      </w:r>
    </w:p>
    <w:p>
      <w:pPr>
        <w:spacing w:after="0" w:line="128" w:lineRule="exact"/>
        <w:rPr>
          <w:sz w:val="20"/>
          <w:szCs w:val="20"/>
          <w:color w:val="auto"/>
        </w:rPr>
      </w:pPr>
    </w:p>
    <w:p>
      <w:pPr>
        <w:jc w:val="both"/>
        <w:ind w:left="960" w:hanging="317"/>
        <w:spacing w:after="0" w:line="214" w:lineRule="auto"/>
        <w:tabs>
          <w:tab w:leader="none" w:pos="96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To approve the audited consolidated financial statements of the Company and its subsidiaries for the financial year ended December 31</w:t>
      </w:r>
      <w:r>
        <w:rPr>
          <w:rFonts w:ascii="Arial" w:cs="Arial" w:eastAsia="Arial" w:hAnsi="Arial"/>
          <w:sz w:val="28"/>
          <w:szCs w:val="28"/>
          <w:color w:val="auto"/>
          <w:vertAlign w:val="superscript"/>
        </w:rPr>
        <w:t>st</w:t>
      </w:r>
      <w:r>
        <w:rPr>
          <w:rFonts w:ascii="Arial" w:cs="Arial" w:eastAsia="Arial" w:hAnsi="Arial"/>
          <w:sz w:val="17"/>
          <w:szCs w:val="17"/>
          <w:color w:val="auto"/>
        </w:rPr>
        <w:t>, 2015, including the report of the independent external auditors of the Company thereon Gaveglio, Aparicio y Asociados Sociedad de Responsabilidad Limitada, a member firm of PricewaterhouseCoopers; and</w:t>
      </w:r>
    </w:p>
    <w:p>
      <w:pPr>
        <w:spacing w:after="0" w:line="203" w:lineRule="exact"/>
        <w:rPr>
          <w:rFonts w:ascii="Arial" w:cs="Arial" w:eastAsia="Arial" w:hAnsi="Arial"/>
          <w:sz w:val="34"/>
          <w:szCs w:val="34"/>
          <w:color w:val="auto"/>
          <w:vertAlign w:val="superscript"/>
        </w:rPr>
      </w:pPr>
    </w:p>
    <w:p>
      <w:pPr>
        <w:jc w:val="both"/>
        <w:ind w:left="960" w:hanging="317"/>
        <w:spacing w:after="0" w:line="264"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Gaveglio, Aparicio y Asociados Sociedad de Responsabilidad Limitada, a member firm of PricewaterhouseCoopers, as the independent external auditors of the Company to hold office for the financial year 2016, and to delegate the approval of the auditor’s annual fees to the Board of Directors, which in turn can delegate this faculty to its Audit Committee.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Sincerely,</w:t>
            </w:r>
          </w:p>
        </w:tc>
        <w:tc>
          <w:tcPr>
            <w:tcW w:w="22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6860" w:type="dxa"/>
            <w:vAlign w:val="bottom"/>
            <w:gridSpan w:val="3"/>
          </w:tcPr>
          <w:p>
            <w:pPr>
              <w:spacing w:after="0"/>
              <w:rPr>
                <w:sz w:val="20"/>
                <w:szCs w:val="20"/>
                <w:color w:val="auto"/>
              </w:rPr>
            </w:pPr>
            <w:r>
              <w:rPr>
                <w:rFonts w:ascii="Arial" w:cs="Arial" w:eastAsia="Arial" w:hAnsi="Arial"/>
                <w:sz w:val="18"/>
                <w:szCs w:val="18"/>
                <w:color w:val="auto"/>
              </w:rPr>
              <w:t>/s/ Guillermo Morales</w:t>
            </w:r>
          </w:p>
        </w:tc>
        <w:tc>
          <w:tcPr>
            <w:tcW w:w="2280" w:type="dxa"/>
            <w:vAlign w:val="bottom"/>
          </w:tcPr>
          <w:p>
            <w:pPr>
              <w:spacing w:after="0"/>
              <w:rPr>
                <w:sz w:val="20"/>
                <w:szCs w:val="20"/>
                <w:color w:val="auto"/>
              </w:rPr>
            </w:pPr>
            <w:r>
              <w:rPr>
                <w:rFonts w:ascii="Arial" w:cs="Arial" w:eastAsia="Arial" w:hAnsi="Arial"/>
                <w:sz w:val="18"/>
                <w:szCs w:val="18"/>
                <w:color w:val="auto"/>
              </w:rPr>
              <w:t>/s/ Miriam Böttger</w:t>
            </w:r>
          </w:p>
        </w:tc>
        <w:tc>
          <w:tcPr>
            <w:tcW w:w="22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Legal Representative</w:t>
            </w:r>
          </w:p>
        </w:tc>
        <w:tc>
          <w:tcPr>
            <w:tcW w:w="456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Stock Market Representative</w:t>
            </w:r>
          </w:p>
        </w:tc>
        <w:tc>
          <w:tcPr>
            <w:tcW w:w="2280" w:type="dxa"/>
            <w:vAlign w:val="bottom"/>
          </w:tcPr>
          <w:p>
            <w:pPr>
              <w:spacing w:after="0"/>
              <w:rPr>
                <w:sz w:val="16"/>
                <w:szCs w:val="16"/>
                <w:color w:val="auto"/>
              </w:rPr>
            </w:pP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Credicorp Ltd.</w:t>
            </w:r>
          </w:p>
        </w:tc>
        <w:tc>
          <w:tcPr>
            <w:tcW w:w="2280" w:type="dxa"/>
            <w:vAlign w:val="bottom"/>
          </w:tcPr>
          <w:p>
            <w:pPr>
              <w:spacing w:after="0"/>
              <w:rPr>
                <w:sz w:val="20"/>
                <w:szCs w:val="20"/>
                <w:color w:val="auto"/>
              </w:rPr>
            </w:pPr>
            <w:r>
              <w:rPr>
                <w:rFonts w:ascii="Arial" w:cs="Arial" w:eastAsia="Arial" w:hAnsi="Arial"/>
                <w:sz w:val="18"/>
                <w:szCs w:val="18"/>
                <w:color w:val="auto"/>
              </w:rPr>
              <w:t>Credicorp Ltd.</w:t>
            </w:r>
          </w:p>
        </w:tc>
        <w:tc>
          <w:tcPr>
            <w:tcW w:w="2280" w:type="dxa"/>
            <w:vAlign w:val="bottom"/>
          </w:tcPr>
          <w:p>
            <w:pPr>
              <w:spacing w:after="0"/>
              <w:rPr>
                <w:sz w:val="20"/>
                <w:szCs w:val="20"/>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31</w:t>
      </w:r>
      <w:r>
        <w:rPr>
          <w:rFonts w:ascii="Arial" w:cs="Arial" w:eastAsia="Arial" w:hAnsi="Arial"/>
          <w:sz w:val="30"/>
          <w:szCs w:val="30"/>
          <w:color w:val="auto"/>
          <w:vertAlign w:val="superscript"/>
        </w:rPr>
        <w:t>st</w:t>
      </w:r>
      <w:r>
        <w:rPr>
          <w:rFonts w:ascii="Arial" w:cs="Arial" w:eastAsia="Arial" w:hAnsi="Arial"/>
          <w:sz w:val="18"/>
          <w:szCs w:val="18"/>
          <w:color w:val="auto"/>
        </w:rPr>
        <w:t>,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By: /s/ Guillermo Morales</w:t>
            </w:r>
          </w:p>
        </w:tc>
        <w:tc>
          <w:tcPr>
            <w:tcW w:w="3420" w:type="dxa"/>
            <w:vAlign w:val="bottom"/>
          </w:tcPr>
          <w:p>
            <w:pPr>
              <w:spacing w:after="0"/>
              <w:rPr>
                <w:sz w:val="20"/>
                <w:szCs w:val="20"/>
                <w:color w:val="auto"/>
              </w:rPr>
            </w:pPr>
            <w:r>
              <w:rPr>
                <w:rFonts w:ascii="Arial" w:cs="Arial" w:eastAsia="Arial" w:hAnsi="Arial"/>
                <w:sz w:val="18"/>
                <w:szCs w:val="18"/>
                <w:color w:val="auto"/>
              </w:rPr>
              <w:t>By: /s/ Miriam Böttger</w:t>
            </w:r>
          </w:p>
        </w:tc>
        <w:tc>
          <w:tcPr>
            <w:tcW w:w="11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4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Guillermo Morales</w:t>
            </w:r>
          </w:p>
        </w:tc>
        <w:tc>
          <w:tcPr>
            <w:tcW w:w="3420" w:type="dxa"/>
            <w:vAlign w:val="bottom"/>
          </w:tcPr>
          <w:p>
            <w:pPr>
              <w:spacing w:after="0"/>
              <w:rPr>
                <w:sz w:val="16"/>
                <w:szCs w:val="16"/>
                <w:color w:val="auto"/>
              </w:rPr>
            </w:pPr>
          </w:p>
        </w:tc>
        <w:tc>
          <w:tcPr>
            <w:tcW w:w="34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Miriam Böttger</w:t>
            </w:r>
          </w:p>
        </w:tc>
        <w:tc>
          <w:tcPr>
            <w:tcW w:w="1140" w:type="dxa"/>
            <w:vAlign w:val="bottom"/>
          </w:tcPr>
          <w:p>
            <w:pPr>
              <w:spacing w:after="0"/>
              <w:rPr>
                <w:sz w:val="16"/>
                <w:szCs w:val="16"/>
                <w:color w:val="auto"/>
              </w:rPr>
            </w:pPr>
          </w:p>
        </w:tc>
      </w:tr>
      <w:tr>
        <w:trPr>
          <w:trHeight w:val="234"/>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Authorized Representative</w:t>
            </w:r>
          </w:p>
        </w:tc>
        <w:tc>
          <w:tcPr>
            <w:tcW w:w="3420" w:type="dxa"/>
            <w:vAlign w:val="bottom"/>
          </w:tcPr>
          <w:p>
            <w:pPr>
              <w:spacing w:after="0"/>
              <w:rPr>
                <w:sz w:val="20"/>
                <w:szCs w:val="20"/>
                <w:color w:val="auto"/>
              </w:rPr>
            </w:pPr>
            <w:r>
              <w:rPr>
                <w:rFonts w:ascii="Arial" w:cs="Arial" w:eastAsia="Arial" w:hAnsi="Arial"/>
                <w:sz w:val="18"/>
                <w:szCs w:val="18"/>
                <w:b w:val="1"/>
                <w:bCs w:val="1"/>
                <w:color w:val="auto"/>
              </w:rPr>
              <w:t>Authorized Representative</w:t>
            </w:r>
          </w:p>
        </w:tc>
        <w:tc>
          <w:tcPr>
            <w:tcW w:w="1140" w:type="dxa"/>
            <w:vAlign w:val="bottom"/>
          </w:tcPr>
          <w:p>
            <w:pPr>
              <w:spacing w:after="0"/>
              <w:rPr>
                <w:sz w:val="20"/>
                <w:szCs w:val="20"/>
                <w:color w:val="auto"/>
              </w:rPr>
            </w:pPr>
          </w:p>
        </w:tc>
      </w:tr>
      <w:tr>
        <w:trPr>
          <w:trHeight w:val="675"/>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2019-12-06T07:59:43Z</dcterms:created>
  <dcterms:modified xsi:type="dcterms:W3CDTF">2019-12-06T07:59:43Z</dcterms:modified>
</cp:coreProperties>
</file>