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July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1716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17165" cy="300355"/>
                    </a:xfrm>
                    <a:prstGeom prst="rect">
                      <a:avLst/>
                    </a:prstGeom>
                    <a:noFill/>
                  </pic:spPr>
                </pic:pic>
              </a:graphicData>
            </a:graphic>
          </wp:anchor>
        </w:drawing>
        <w:t>July 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on July 1, 2025, Fitch Ratings released an update of Credicorp Ltd.’s (Credicorp) credit rating report, affirming Credicorp’s Long Term Foreign Currency rating at ‘BBB’ and maintaining its stable 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 this Form 6-K (including any </w:t>
      </w:r>
      <w:r>
        <w:rPr>
          <w:rFonts w:ascii="Times New Roman" w:cs="Times New Roman" w:eastAsia="Times New Roman" w:hAnsi="Times New Roman"/>
          <w:sz w:val="18"/>
          <w:szCs w:val="18"/>
          <w:u w:val="single" w:color="auto"/>
          <w:color w:val="0000EE"/>
        </w:rPr>
        <w:t>exhibit</w:t>
      </w:r>
      <w:r>
        <w:rPr>
          <w:rFonts w:ascii="Times New Roman" w:cs="Times New Roman" w:eastAsia="Times New Roman" w:hAnsi="Times New Roman"/>
          <w:sz w:val="18"/>
          <w:szCs w:val="18"/>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Milagros Cigüeñas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July 2,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4380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8023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333333"/>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1457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-955675</wp:posOffset>
            </wp:positionV>
            <wp:extent cx="13030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000000"/>
                        </a:clrFrom>
                        <a:clrTo>
                          <a:srgbClr val="000000">
                            <a:alpha val="0"/>
                          </a:srgbClr>
                        </a:clrTo>
                      </a:clrChange>
                      <a:extLst>
                        <a:ext uri="{28A0092B-C50C-407E-A947-70E740481C1C}"/>
                      </a:extLst>
                    </a:blip>
                    <a:srcRect/>
                    <a:stretch>
                      <a:fillRect/>
                    </a:stretch>
                  </pic:blipFill>
                  <pic:spPr bwMode="auto">
                    <a:xfrm>
                      <a:off x="0" y="0"/>
                      <a:ext cx="13030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-955675</wp:posOffset>
            </wp:positionV>
            <wp:extent cx="13030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25717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333333"/>
        </w:rPr>
        <w:t>Update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CC0033"/>
        </w:rPr>
        <w:t>Key Rating Drivers</w:t>
      </w:r>
    </w:p>
    <w:p>
      <w:pPr>
        <w:spacing w:after="0" w:line="10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333333"/>
        </w:rPr>
        <w:t xml:space="preserve">IDRs Driven by Those of Main Subsidiary: </w:t>
      </w:r>
      <w:r>
        <w:rPr>
          <w:rFonts w:ascii="Times New Roman" w:cs="Times New Roman" w:eastAsia="Times New Roman" w:hAnsi="Times New Roman"/>
          <w:sz w:val="16"/>
          <w:szCs w:val="16"/>
          <w:color w:val="333333"/>
        </w:rPr>
        <w:t>Credicorp Ltd.’s Issuer Default Ratings (IDRs) are driven primarily by</w:t>
      </w:r>
      <w:r>
        <w:rPr>
          <w:rFonts w:ascii="Times New Roman" w:cs="Times New Roman" w:eastAsia="Times New Roman" w:hAnsi="Times New Roman"/>
          <w:sz w:val="16"/>
          <w:szCs w:val="16"/>
          <w:b w:val="1"/>
          <w:bCs w:val="1"/>
          <w:color w:val="333333"/>
        </w:rPr>
        <w:t xml:space="preserve"> </w:t>
      </w:r>
      <w:r>
        <w:rPr>
          <w:rFonts w:ascii="Times New Roman" w:cs="Times New Roman" w:eastAsia="Times New Roman" w:hAnsi="Times New Roman"/>
          <w:sz w:val="16"/>
          <w:szCs w:val="16"/>
          <w:color w:val="333333"/>
        </w:rPr>
        <w:t>the IDRs of its main subsidiary, BCP, which boasts a strong business and financial profile. Credicorp’s Foreign-Currency Long-Term IDR of ‘BBB’ with a Stable Rating Outlook is equalized to BCP’s rating, mainly due to Credicorp’s low double leverage and strong liquidity management.</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333333"/>
        </w:rPr>
        <w:t xml:space="preserve">Low Double Leverage: </w:t>
      </w:r>
      <w:r>
        <w:rPr>
          <w:rFonts w:ascii="Times New Roman" w:cs="Times New Roman" w:eastAsia="Times New Roman" w:hAnsi="Times New Roman"/>
          <w:sz w:val="16"/>
          <w:szCs w:val="16"/>
          <w:color w:val="333333"/>
        </w:rPr>
        <w:t>Credicorp’s double leverage was low at 99.2% at YE24; this compares to the 2021-2024</w:t>
      </w:r>
      <w:r>
        <w:rPr>
          <w:rFonts w:ascii="Times New Roman" w:cs="Times New Roman" w:eastAsia="Times New Roman" w:hAnsi="Times New Roman"/>
          <w:sz w:val="16"/>
          <w:szCs w:val="16"/>
          <w:b w:val="1"/>
          <w:bCs w:val="1"/>
          <w:color w:val="333333"/>
        </w:rPr>
        <w:t xml:space="preserve"> </w:t>
      </w:r>
      <w:r>
        <w:rPr>
          <w:rFonts w:ascii="Times New Roman" w:cs="Times New Roman" w:eastAsia="Times New Roman" w:hAnsi="Times New Roman"/>
          <w:sz w:val="16"/>
          <w:szCs w:val="16"/>
          <w:color w:val="333333"/>
        </w:rPr>
        <w:t>average of 100.4%. The bank holding company has a long track record of significant dividend flows (particularly from BCP), which provide the majority of its liquidity.</w:t>
      </w:r>
    </w:p>
    <w:p>
      <w:pPr>
        <w:spacing w:after="0" w:line="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b w:val="1"/>
          <w:bCs w:val="1"/>
          <w:color w:val="333333"/>
        </w:rPr>
        <w:t xml:space="preserve">Strong Corporate Strategy: </w:t>
      </w:r>
      <w:r>
        <w:rPr>
          <w:rFonts w:ascii="Times New Roman" w:cs="Times New Roman" w:eastAsia="Times New Roman" w:hAnsi="Times New Roman"/>
          <w:sz w:val="16"/>
          <w:szCs w:val="16"/>
          <w:color w:val="333333"/>
        </w:rPr>
        <w:t>Credicorp is a non-operating holding company that maintains an integrated business</w:t>
      </w:r>
      <w:r>
        <w:rPr>
          <w:rFonts w:ascii="Times New Roman" w:cs="Times New Roman" w:eastAsia="Times New Roman" w:hAnsi="Times New Roman"/>
          <w:sz w:val="16"/>
          <w:szCs w:val="16"/>
          <w:b w:val="1"/>
          <w:bCs w:val="1"/>
          <w:color w:val="333333"/>
        </w:rPr>
        <w:t xml:space="preserve"> </w:t>
      </w:r>
      <w:r>
        <w:rPr>
          <w:rFonts w:ascii="Times New Roman" w:cs="Times New Roman" w:eastAsia="Times New Roman" w:hAnsi="Times New Roman"/>
          <w:sz w:val="16"/>
          <w:szCs w:val="16"/>
          <w:color w:val="333333"/>
        </w:rPr>
        <w:t>platform comprising leading Peruvian and Bolivian banking, insurance, pension, and asset and wealth management companies, as well as entities in the microfinance (SME) sector in Peru and Colombia.</w:t>
      </w:r>
    </w:p>
    <w:p>
      <w:pPr>
        <w:spacing w:after="0" w:line="4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333333"/>
        </w:rPr>
        <w:t>Consistent Performance</w:t>
      </w:r>
      <w:r>
        <w:rPr>
          <w:rFonts w:ascii="Times New Roman" w:cs="Times New Roman" w:eastAsia="Times New Roman" w:hAnsi="Times New Roman"/>
          <w:sz w:val="16"/>
          <w:szCs w:val="16"/>
          <w:color w:val="333333"/>
        </w:rPr>
        <w:t>: Credicorp’s capital structure benefits from its subsidiaries’ sound performance, which</w:t>
      </w:r>
      <w:r>
        <w:rPr>
          <w:rFonts w:ascii="Times New Roman" w:cs="Times New Roman" w:eastAsia="Times New Roman" w:hAnsi="Times New Roman"/>
          <w:sz w:val="16"/>
          <w:szCs w:val="16"/>
          <w:b w:val="1"/>
          <w:bCs w:val="1"/>
          <w:color w:val="333333"/>
        </w:rPr>
        <w:t xml:space="preserve"> </w:t>
      </w:r>
      <w:r>
        <w:rPr>
          <w:rFonts w:ascii="Times New Roman" w:cs="Times New Roman" w:eastAsia="Times New Roman" w:hAnsi="Times New Roman"/>
          <w:sz w:val="16"/>
          <w:szCs w:val="16"/>
          <w:color w:val="333333"/>
        </w:rPr>
        <w:t>allows it to maintain consistent dividend flows. Consolidated profitability at YE24 improved, benefiting from loan portfolio growth and asset quality improvement, a stronger net interest margin primarily due to an increase in low-cost deposits, and significant gains from trading.</w:t>
      </w:r>
    </w:p>
    <w:p>
      <w:pPr>
        <w:spacing w:after="0" w:line="3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333333"/>
        </w:rPr>
        <w:t xml:space="preserve">Senior Debt Ratings: </w:t>
      </w:r>
      <w:r>
        <w:rPr>
          <w:rFonts w:ascii="Times New Roman" w:cs="Times New Roman" w:eastAsia="Times New Roman" w:hAnsi="Times New Roman"/>
          <w:sz w:val="16"/>
          <w:szCs w:val="16"/>
          <w:color w:val="333333"/>
        </w:rPr>
        <w:t>The senior global debt rating is at the same level as Credicorp’s Long-Term IDRs of ‘BBB’, as</w:t>
      </w:r>
      <w:r>
        <w:rPr>
          <w:rFonts w:ascii="Times New Roman" w:cs="Times New Roman" w:eastAsia="Times New Roman" w:hAnsi="Times New Roman"/>
          <w:sz w:val="16"/>
          <w:szCs w:val="16"/>
          <w:b w:val="1"/>
          <w:bCs w:val="1"/>
          <w:color w:val="333333"/>
        </w:rPr>
        <w:t xml:space="preserve"> </w:t>
      </w:r>
      <w:r>
        <w:rPr>
          <w:rFonts w:ascii="Times New Roman" w:cs="Times New Roman" w:eastAsia="Times New Roman" w:hAnsi="Times New Roman"/>
          <w:sz w:val="16"/>
          <w:szCs w:val="16"/>
          <w:color w:val="333333"/>
        </w:rPr>
        <w:t>the likelihood of default on the notes is the same as that of Credicorp.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22"/>
          <w:szCs w:val="22"/>
          <w:b w:val="1"/>
          <w:bCs w:val="1"/>
          <w:color w:val="333333"/>
        </w:rPr>
        <w:t>Banks</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333333"/>
        </w:rPr>
        <w:t>Bank Holding Companies</w:t>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CC0033"/>
        </w:rPr>
        <w:t>Bermuda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Foreign Currency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333333"/>
              </w:rPr>
              <w:t>Long-Term IDR</w:t>
            </w:r>
          </w:p>
        </w:tc>
        <w:tc>
          <w:tcPr>
            <w:tcW w:w="900" w:type="dxa"/>
            <w:vAlign w:val="bottom"/>
          </w:tcPr>
          <w:p>
            <w:pPr>
              <w:ind w:left="640"/>
              <w:spacing w:after="0"/>
              <w:rPr>
                <w:sz w:val="20"/>
                <w:szCs w:val="20"/>
                <w:color w:val="auto"/>
              </w:rPr>
            </w:pPr>
            <w:r>
              <w:rPr>
                <w:rFonts w:ascii="Times New Roman" w:cs="Times New Roman" w:eastAsia="Times New Roman" w:hAnsi="Times New Roman"/>
                <w:sz w:val="13"/>
                <w:szCs w:val="13"/>
                <w:color w:val="333333"/>
                <w:w w:val="92"/>
              </w:rPr>
              <w:t>BBB</w:t>
            </w:r>
          </w:p>
        </w:tc>
      </w:tr>
      <w:tr>
        <w:trPr>
          <w:trHeight w:val="164"/>
        </w:trPr>
        <w:tc>
          <w:tcPr>
            <w:tcW w:w="1460" w:type="dxa"/>
            <w:vAlign w:val="bottom"/>
          </w:tcPr>
          <w:p>
            <w:pPr>
              <w:spacing w:after="0"/>
              <w:rPr>
                <w:sz w:val="20"/>
                <w:szCs w:val="20"/>
                <w:color w:val="auto"/>
              </w:rPr>
            </w:pPr>
            <w:r>
              <w:rPr>
                <w:rFonts w:ascii="Times New Roman" w:cs="Times New Roman" w:eastAsia="Times New Roman" w:hAnsi="Times New Roman"/>
                <w:sz w:val="13"/>
                <w:szCs w:val="13"/>
                <w:color w:val="333333"/>
              </w:rPr>
              <w:t>Short-Term IDR</w:t>
            </w:r>
          </w:p>
        </w:tc>
        <w:tc>
          <w:tcPr>
            <w:tcW w:w="900" w:type="dxa"/>
            <w:vAlign w:val="bottom"/>
          </w:tcPr>
          <w:p>
            <w:pPr>
              <w:ind w:left="640"/>
              <w:spacing w:after="0"/>
              <w:rPr>
                <w:sz w:val="20"/>
                <w:szCs w:val="20"/>
                <w:color w:val="auto"/>
              </w:rPr>
            </w:pPr>
            <w:r>
              <w:rPr>
                <w:rFonts w:ascii="Times New Roman" w:cs="Times New Roman" w:eastAsia="Times New Roman" w:hAnsi="Times New Roman"/>
                <w:sz w:val="13"/>
                <w:szCs w:val="13"/>
                <w:color w:val="333333"/>
              </w:rPr>
              <w:t>F2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Outlooks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333333"/>
              </w:rPr>
              <w:t>Long-Term Foreign-Currency</w:t>
            </w:r>
          </w:p>
        </w:tc>
        <w:tc>
          <w:tcPr>
            <w:tcW w:w="620" w:type="dxa"/>
            <w:vAlign w:val="bottom"/>
          </w:tcPr>
          <w:p>
            <w:pPr>
              <w:spacing w:after="0"/>
              <w:rPr>
                <w:sz w:val="12"/>
                <w:szCs w:val="12"/>
                <w:color w:val="auto"/>
              </w:rPr>
            </w:pPr>
          </w:p>
        </w:tc>
      </w:tr>
      <w:tr>
        <w:trPr>
          <w:trHeight w:val="164"/>
        </w:trPr>
        <w:tc>
          <w:tcPr>
            <w:tcW w:w="1800" w:type="dxa"/>
            <w:vAlign w:val="bottom"/>
          </w:tcPr>
          <w:p>
            <w:pPr>
              <w:spacing w:after="0"/>
              <w:rPr>
                <w:sz w:val="20"/>
                <w:szCs w:val="20"/>
                <w:color w:val="auto"/>
              </w:rPr>
            </w:pPr>
            <w:r>
              <w:rPr>
                <w:rFonts w:ascii="Times New Roman" w:cs="Times New Roman" w:eastAsia="Times New Roman" w:hAnsi="Times New Roman"/>
                <w:sz w:val="13"/>
                <w:szCs w:val="13"/>
                <w:color w:val="333333"/>
              </w:rPr>
              <w:t>IDR</w:t>
            </w: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333333"/>
                <w:w w:val="92"/>
              </w:rPr>
              <w:t>Stable</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Highest ESG Relevance Scores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100" w:type="dxa"/>
            <w:vAlign w:val="bottom"/>
            <w:tcBorders>
              <w:top w:val="single" w:sz="8" w:color="auto"/>
            </w:tcBorders>
            <w:shd w:val="clear" w:color="auto" w:fill="EEEFF0"/>
          </w:tcPr>
          <w:p>
            <w:pPr>
              <w:spacing w:after="0" w:line="110" w:lineRule="exact"/>
              <w:rPr>
                <w:sz w:val="20"/>
                <w:szCs w:val="20"/>
                <w:color w:val="auto"/>
              </w:rPr>
            </w:pPr>
            <w:r>
              <w:rPr>
                <w:rFonts w:ascii="Times New Roman" w:cs="Times New Roman" w:eastAsia="Times New Roman" w:hAnsi="Times New Roman"/>
                <w:sz w:val="12"/>
                <w:szCs w:val="12"/>
                <w:color w:val="auto"/>
              </w:rPr>
              <w:t>Environmental</w:t>
            </w:r>
          </w:p>
        </w:tc>
        <w:tc>
          <w:tcPr>
            <w:tcW w:w="820" w:type="dxa"/>
            <w:vAlign w:val="bottom"/>
            <w:tcBorders>
              <w:top w:val="single" w:sz="8" w:color="auto"/>
            </w:tcBorders>
          </w:tcPr>
          <w:p>
            <w:pPr>
              <w:jc w:val="right"/>
              <w:ind w:right="708"/>
              <w:spacing w:after="0" w:line="111" w:lineRule="exact"/>
              <w:rPr>
                <w:sz w:val="20"/>
                <w:szCs w:val="20"/>
                <w:color w:val="auto"/>
              </w:rPr>
            </w:pPr>
            <w:r>
              <w:rPr>
                <w:rFonts w:ascii="Times New Roman" w:cs="Times New Roman" w:eastAsia="Times New Roman" w:hAnsi="Times New Roman"/>
                <w:sz w:val="10"/>
                <w:szCs w:val="10"/>
                <w:color w:val="auto"/>
                <w:w w:val="79"/>
              </w:rPr>
              <w:t>2</w:t>
            </w:r>
          </w:p>
        </w:tc>
      </w:tr>
      <w:tr>
        <w:trPr>
          <w:trHeight w:val="135"/>
        </w:trPr>
        <w:tc>
          <w:tcPr>
            <w:tcW w:w="2100" w:type="dxa"/>
            <w:vAlign w:val="bottom"/>
            <w:shd w:val="clear" w:color="auto" w:fill="EEEFF0"/>
          </w:tcPr>
          <w:p>
            <w:pPr>
              <w:spacing w:after="0" w:line="135" w:lineRule="exact"/>
              <w:rPr>
                <w:sz w:val="20"/>
                <w:szCs w:val="20"/>
                <w:color w:val="auto"/>
              </w:rPr>
            </w:pPr>
            <w:r>
              <w:rPr>
                <w:rFonts w:ascii="Times New Roman" w:cs="Times New Roman" w:eastAsia="Times New Roman" w:hAnsi="Times New Roman"/>
                <w:sz w:val="13"/>
                <w:szCs w:val="13"/>
                <w:color w:val="auto"/>
              </w:rPr>
              <w:t>Social</w:t>
            </w:r>
          </w:p>
        </w:tc>
        <w:tc>
          <w:tcPr>
            <w:tcW w:w="820" w:type="dxa"/>
            <w:vAlign w:val="bottom"/>
            <w:shd w:val="clear" w:color="auto" w:fill="EEEFF0"/>
          </w:tcPr>
          <w:p>
            <w:pPr>
              <w:jc w:val="right"/>
              <w:ind w:right="708"/>
              <w:spacing w:after="0"/>
              <w:rPr>
                <w:sz w:val="20"/>
                <w:szCs w:val="20"/>
                <w:color w:val="auto"/>
              </w:rPr>
            </w:pPr>
            <w:r>
              <w:rPr>
                <w:rFonts w:ascii="Times New Roman" w:cs="Times New Roman" w:eastAsia="Times New Roman" w:hAnsi="Times New Roman"/>
                <w:sz w:val="10"/>
                <w:szCs w:val="10"/>
                <w:color w:val="auto"/>
                <w:w w:val="79"/>
              </w:rPr>
              <w:t>3</w:t>
            </w:r>
          </w:p>
        </w:tc>
      </w:tr>
      <w:tr>
        <w:trPr>
          <w:trHeight w:val="164"/>
        </w:trPr>
        <w:tc>
          <w:tcPr>
            <w:tcW w:w="2100" w:type="dxa"/>
            <w:vAlign w:val="bottom"/>
            <w:shd w:val="clear" w:color="auto" w:fill="EEEFF0"/>
          </w:tcPr>
          <w:p>
            <w:pPr>
              <w:spacing w:after="0"/>
              <w:rPr>
                <w:sz w:val="20"/>
                <w:szCs w:val="20"/>
                <w:color w:val="auto"/>
              </w:rPr>
            </w:pPr>
            <w:r>
              <w:rPr>
                <w:rFonts w:ascii="Times New Roman" w:cs="Times New Roman" w:eastAsia="Times New Roman" w:hAnsi="Times New Roman"/>
                <w:sz w:val="13"/>
                <w:szCs w:val="13"/>
                <w:color w:val="auto"/>
              </w:rPr>
              <w:t>Governance</w:t>
            </w:r>
          </w:p>
        </w:tc>
        <w:tc>
          <w:tcPr>
            <w:tcW w:w="820" w:type="dxa"/>
            <w:vAlign w:val="bottom"/>
            <w:shd w:val="clear" w:color="auto" w:fill="EEEFF0"/>
          </w:tcPr>
          <w:p>
            <w:pPr>
              <w:jc w:val="right"/>
              <w:ind w:right="708"/>
              <w:spacing w:after="0"/>
              <w:rPr>
                <w:sz w:val="20"/>
                <w:szCs w:val="20"/>
                <w:color w:val="auto"/>
              </w:rPr>
            </w:pPr>
            <w:r>
              <w:rPr>
                <w:rFonts w:ascii="Times New Roman" w:cs="Times New Roman" w:eastAsia="Times New Roman" w:hAnsi="Times New Roman"/>
                <w:sz w:val="10"/>
                <w:szCs w:val="10"/>
                <w:color w:val="auto"/>
                <w:w w:val="79"/>
              </w:rPr>
              <w:t>3</w:t>
            </w:r>
          </w:p>
        </w:tc>
      </w:tr>
      <w:tr>
        <w:trPr>
          <w:trHeight w:val="205"/>
        </w:trPr>
        <w:tc>
          <w:tcPr>
            <w:tcW w:w="2100" w:type="dxa"/>
            <w:vAlign w:val="bottom"/>
            <w:shd w:val="clear" w:color="auto" w:fill="EEEFF0"/>
          </w:tcPr>
          <w:p>
            <w:pPr>
              <w:spacing w:after="0"/>
              <w:rPr>
                <w:sz w:val="17"/>
                <w:szCs w:val="17"/>
                <w:color w:val="auto"/>
              </w:rPr>
            </w:pPr>
          </w:p>
        </w:tc>
        <w:tc>
          <w:tcPr>
            <w:tcW w:w="820" w:type="dxa"/>
            <w:vAlign w:val="bottom"/>
            <w:shd w:val="clear" w:color="auto" w:fill="EEEFF0"/>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333333"/>
        </w:rPr>
        <w:t>Applicable Criteria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A6BB4"/>
        </w:rPr>
        <w:t>Bank Rating Criteria (March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Related Research</w:t>
      </w:r>
    </w:p>
    <w:p>
      <w:pPr>
        <w:spacing w:after="0" w:line="31" w:lineRule="exact"/>
        <w:rPr>
          <w:sz w:val="20"/>
          <w:szCs w:val="20"/>
          <w:color w:val="auto"/>
        </w:rPr>
      </w:pPr>
    </w:p>
    <w:p>
      <w:pPr>
        <w:jc w:val="both"/>
        <w:ind w:right="1020"/>
        <w:spacing w:after="0" w:line="236" w:lineRule="auto"/>
        <w:rPr>
          <w:sz w:val="20"/>
          <w:szCs w:val="20"/>
          <w:color w:val="auto"/>
        </w:rPr>
      </w:pPr>
      <w:r>
        <w:rPr>
          <w:rFonts w:ascii="Times New Roman" w:cs="Times New Roman" w:eastAsia="Times New Roman" w:hAnsi="Times New Roman"/>
          <w:sz w:val="13"/>
          <w:szCs w:val="13"/>
          <w:color w:val="1A6BB4"/>
        </w:rPr>
        <w:t>Fitch Affirms Banco de Credito del Peru at ‘BBB’; Outlook Stable (June 2025)</w:t>
      </w:r>
    </w:p>
    <w:p>
      <w:pPr>
        <w:spacing w:after="0" w:line="39" w:lineRule="exact"/>
        <w:rPr>
          <w:sz w:val="20"/>
          <w:szCs w:val="20"/>
          <w:color w:val="auto"/>
        </w:rPr>
      </w:pPr>
    </w:p>
    <w:p>
      <w:pPr>
        <w:ind w:right="1320"/>
        <w:spacing w:after="0"/>
        <w:rPr>
          <w:sz w:val="20"/>
          <w:szCs w:val="20"/>
          <w:color w:val="auto"/>
        </w:rPr>
      </w:pPr>
      <w:r>
        <w:rPr>
          <w:rFonts w:ascii="Times New Roman" w:cs="Times New Roman" w:eastAsia="Times New Roman" w:hAnsi="Times New Roman"/>
          <w:sz w:val="13"/>
          <w:szCs w:val="13"/>
          <w:color w:val="1A6BB4"/>
        </w:rPr>
        <w:t>Latin American Banks Outlook 2025 (December 2024)</w:t>
      </w:r>
    </w:p>
    <w:p>
      <w:pPr>
        <w:spacing w:after="0" w:line="39" w:lineRule="exact"/>
        <w:rPr>
          <w:sz w:val="20"/>
          <w:szCs w:val="20"/>
          <w:color w:val="auto"/>
        </w:rPr>
      </w:pPr>
    </w:p>
    <w:p>
      <w:pPr>
        <w:ind w:right="1260"/>
        <w:spacing w:after="0"/>
        <w:rPr>
          <w:sz w:val="20"/>
          <w:szCs w:val="20"/>
          <w:color w:val="auto"/>
        </w:rPr>
      </w:pPr>
      <w:r>
        <w:rPr>
          <w:rFonts w:ascii="Times New Roman" w:cs="Times New Roman" w:eastAsia="Times New Roman" w:hAnsi="Times New Roman"/>
          <w:sz w:val="13"/>
          <w:szCs w:val="13"/>
          <w:color w:val="275B9B"/>
        </w:rPr>
        <w:t>Global Banks Mid-Year 2025 Outlook Compendium (June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33333"/>
        </w:rPr>
        <w:t>Ricardo Aguilar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33333"/>
        </w:rPr>
        <w:t>+52 81 4161 7086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A6BB4"/>
        </w:rPr>
        <w:t>ricardo.aguilar@fitchratings.com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33333"/>
        </w:rPr>
        <w:t>Larisa Arteaga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33333"/>
        </w:rPr>
        <w:t>+57 601 241 3270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A6BB4"/>
        </w:rPr>
        <w:t>larisa.arteaga@fitchratings.com</w:t>
      </w:r>
    </w:p>
    <w:p>
      <w:pPr>
        <w:spacing w:after="0" w:line="24" w:lineRule="exact"/>
        <w:rPr>
          <w:sz w:val="20"/>
          <w:szCs w:val="20"/>
          <w:color w:val="auto"/>
        </w:rPr>
      </w:pPr>
    </w:p>
    <w:p>
      <w:pPr>
        <w:sectPr>
          <w:pgSz w:w="11900" w:h="16838" w:orient="portrait"/>
          <w:cols w:equalWidth="0" w:num="2">
            <w:col w:w="7640" w:space="400"/>
            <w:col w:w="3200"/>
          </w:cols>
          <w:pgMar w:left="320" w:top="26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80" w:type="dxa"/>
            <w:vAlign w:val="bottom"/>
            <w:tcBorders>
              <w:bottom w:val="single" w:sz="8" w:color="666666"/>
            </w:tcBorders>
          </w:tcPr>
          <w:p>
            <w:pPr>
              <w:spacing w:after="0"/>
              <w:rPr>
                <w:sz w:val="17"/>
                <w:szCs w:val="17"/>
                <w:color w:val="auto"/>
              </w:rPr>
            </w:pPr>
          </w:p>
        </w:tc>
        <w:tc>
          <w:tcPr>
            <w:tcW w:w="2800" w:type="dxa"/>
            <w:vAlign w:val="bottom"/>
            <w:tcBorders>
              <w:bottom w:val="single" w:sz="8" w:color="666666"/>
            </w:tcBorders>
            <w:shd w:val="clear" w:color="auto" w:fill="EEEFF0"/>
          </w:tcPr>
          <w:p>
            <w:pPr>
              <w:spacing w:after="0"/>
              <w:rPr>
                <w:sz w:val="17"/>
                <w:szCs w:val="17"/>
                <w:color w:val="auto"/>
              </w:rPr>
            </w:pPr>
          </w:p>
        </w:tc>
        <w:tc>
          <w:tcPr>
            <w:tcW w:w="560" w:type="dxa"/>
            <w:vAlign w:val="bottom"/>
            <w:tcBorders>
              <w:bottom w:val="single" w:sz="8" w:color="666666"/>
            </w:tcBorders>
            <w:shd w:val="clear" w:color="auto" w:fill="EEEFF0"/>
          </w:tcPr>
          <w:p>
            <w:pPr>
              <w:spacing w:after="0"/>
              <w:rPr>
                <w:sz w:val="17"/>
                <w:szCs w:val="17"/>
                <w:color w:val="auto"/>
              </w:rPr>
            </w:pPr>
          </w:p>
        </w:tc>
      </w:tr>
      <w:tr>
        <w:trPr>
          <w:trHeight w:val="290"/>
        </w:trPr>
        <w:tc>
          <w:tcPr>
            <w:tcW w:w="7880" w:type="dxa"/>
            <w:vAlign w:val="bottom"/>
          </w:tcPr>
          <w:p>
            <w:pPr>
              <w:spacing w:after="0"/>
              <w:rPr>
                <w:sz w:val="20"/>
                <w:szCs w:val="20"/>
                <w:color w:val="auto"/>
              </w:rPr>
            </w:pPr>
            <w:r>
              <w:rPr>
                <w:rFonts w:ascii="Times New Roman" w:cs="Times New Roman" w:eastAsia="Times New Roman" w:hAnsi="Times New Roman"/>
                <w:sz w:val="14"/>
                <w:szCs w:val="14"/>
                <w:color w:val="auto"/>
              </w:rPr>
              <w:t>Update │ July 1, 2025</w:t>
            </w:r>
          </w:p>
        </w:tc>
        <w:tc>
          <w:tcPr>
            <w:tcW w:w="2800" w:type="dxa"/>
            <w:vAlign w:val="bottom"/>
            <w:shd w:val="clear" w:color="auto" w:fill="EEEFF0"/>
          </w:tcPr>
          <w:p>
            <w:pPr>
              <w:ind w:left="1840"/>
              <w:spacing w:after="0"/>
              <w:rPr>
                <w:sz w:val="20"/>
                <w:szCs w:val="20"/>
                <w:color w:val="auto"/>
              </w:rPr>
            </w:pPr>
            <w:r>
              <w:rPr>
                <w:rFonts w:ascii="Times New Roman" w:cs="Times New Roman" w:eastAsia="Times New Roman" w:hAnsi="Times New Roman"/>
                <w:sz w:val="14"/>
                <w:szCs w:val="14"/>
                <w:color w:val="auto"/>
              </w:rPr>
              <w:t>fitchratings.com</w:t>
            </w:r>
          </w:p>
        </w:tc>
        <w:tc>
          <w:tcPr>
            <w:tcW w:w="560" w:type="dxa"/>
            <w:vAlign w:val="bottom"/>
            <w:shd w:val="clear" w:color="auto" w:fill="EEEFF0"/>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9"/>
        </w:trPr>
        <w:tc>
          <w:tcPr>
            <w:tcW w:w="7880" w:type="dxa"/>
            <w:vAlign w:val="bottom"/>
          </w:tcPr>
          <w:p>
            <w:pPr>
              <w:spacing w:after="0"/>
              <w:rPr>
                <w:sz w:val="12"/>
                <w:szCs w:val="12"/>
                <w:color w:val="auto"/>
              </w:rPr>
            </w:pPr>
          </w:p>
        </w:tc>
        <w:tc>
          <w:tcPr>
            <w:tcW w:w="2800" w:type="dxa"/>
            <w:vAlign w:val="bottom"/>
            <w:shd w:val="clear" w:color="auto" w:fill="EEEFF0"/>
          </w:tcPr>
          <w:p>
            <w:pPr>
              <w:spacing w:after="0"/>
              <w:rPr>
                <w:sz w:val="12"/>
                <w:szCs w:val="12"/>
                <w:color w:val="auto"/>
              </w:rPr>
            </w:pPr>
          </w:p>
        </w:tc>
        <w:tc>
          <w:tcPr>
            <w:tcW w:w="560" w:type="dxa"/>
            <w:vAlign w:val="bottom"/>
            <w:shd w:val="clear" w:color="auto" w:fill="EEEFF0"/>
          </w:tcPr>
          <w:p>
            <w:pPr>
              <w:spacing w:after="0"/>
              <w:rPr>
                <w:sz w:val="12"/>
                <w:szCs w:val="12"/>
                <w:color w:val="auto"/>
              </w:rPr>
            </w:pPr>
          </w:p>
        </w:tc>
      </w:tr>
      <w:tr>
        <w:trPr>
          <w:trHeight w:val="183"/>
        </w:trPr>
        <w:tc>
          <w:tcPr>
            <w:tcW w:w="78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266"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0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325"/>
                    </a:xfrm>
                    <a:prstGeom prst="rect">
                      <a:avLst/>
                    </a:prstGeom>
                    <a:noFill/>
                  </pic:spPr>
                </pic:pic>
              </a:graphicData>
            </a:graphic>
          </wp:anchor>
        </w:drawing>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030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020" cy="25717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Bank Holding Companies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C0033"/>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23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CC0033"/>
        </w:rPr>
        <w:t>Rating Sensitivities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Factors that Could, Individually or Collectively, Lead to Negative Rating Action/Downgrade</w:t>
      </w:r>
    </w:p>
    <w:p>
      <w:pPr>
        <w:spacing w:after="0" w:line="85" w:lineRule="exact"/>
        <w:rPr>
          <w:sz w:val="20"/>
          <w:szCs w:val="20"/>
          <w:color w:val="auto"/>
        </w:rPr>
      </w:pPr>
    </w:p>
    <w:p>
      <w:pPr>
        <w:jc w:val="both"/>
        <w:ind w:left="560" w:right="2260" w:hanging="552"/>
        <w:spacing w:after="0" w:line="187" w:lineRule="auto"/>
        <w:tabs>
          <w:tab w:leader="none" w:pos="5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6"/>
          <w:szCs w:val="16"/>
          <w:color w:val="333333"/>
        </w:rPr>
        <w:t>Credicorp’s IDRs are at the same level as BCP’s and would move in tandem with any rating action on its main operating subsidiary. However, Fitch could also downgrade Credicorp’s ratings (separately from any action on BCP) if there is a material and sustained increase of its double-leverage metrics (above 1.2x), and if there is a material weakening of the holding company’s liquidity position and management.</w:t>
      </w:r>
    </w:p>
    <w:p>
      <w:pPr>
        <w:spacing w:after="0" w:line="62" w:lineRule="exact"/>
        <w:rPr>
          <w:rFonts w:ascii="Times New Roman" w:cs="Times New Roman" w:eastAsia="Times New Roman" w:hAnsi="Times New Roman"/>
          <w:sz w:val="43"/>
          <w:szCs w:val="43"/>
          <w:color w:val="auto"/>
          <w:vertAlign w:val="subscript"/>
        </w:rPr>
      </w:pPr>
    </w:p>
    <w:p>
      <w:pPr>
        <w:ind w:left="560" w:right="2260" w:hanging="552"/>
        <w:spacing w:after="0" w:line="183" w:lineRule="auto"/>
        <w:tabs>
          <w:tab w:leader="none" w:pos="560" w:val="left"/>
        </w:tabs>
        <w:numPr>
          <w:ilvl w:val="0"/>
          <w:numId w:val="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4"/>
          <w:szCs w:val="14"/>
          <w:color w:val="333333"/>
        </w:rPr>
        <w:t>A change in the dividend flows from the operating companies or debt levels at the holding company that affects its debt coverage ratios could also be detrimental to Credicorp’s ratings.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Factors that Could, Individually or Collectively, Lead to Positive Rating Action/Upgrade</w:t>
      </w:r>
    </w:p>
    <w:p>
      <w:pPr>
        <w:spacing w:after="0" w:line="56" w:lineRule="exact"/>
        <w:rPr>
          <w:sz w:val="20"/>
          <w:szCs w:val="20"/>
          <w:color w:val="auto"/>
        </w:rPr>
      </w:pPr>
    </w:p>
    <w:p>
      <w:pPr>
        <w:ind w:left="560" w:hanging="552"/>
        <w:spacing w:after="0"/>
        <w:tabs>
          <w:tab w:leader="none" w:pos="5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333333"/>
        </w:rPr>
        <w:t>Credicorp’s ratings would move in tandem with positive rating actions on its main operating subsidiary, BCP.</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b w:val="1"/>
          <w:bCs w:val="1"/>
          <w:color w:val="CC0033"/>
        </w:rPr>
        <w:t>Other Debt and Issuer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700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333333"/>
              </w:rPr>
              <w:t>Rating level</w:t>
            </w:r>
          </w:p>
        </w:tc>
        <w:tc>
          <w:tcPr>
            <w:tcW w:w="45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333333"/>
              </w:rPr>
              <w:t>Rating</w:t>
            </w: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40"/>
              <w:spacing w:after="0"/>
              <w:rPr>
                <w:sz w:val="20"/>
                <w:szCs w:val="20"/>
                <w:color w:val="auto"/>
              </w:rPr>
            </w:pPr>
            <w:r>
              <w:rPr>
                <w:rFonts w:ascii="Times New Roman" w:cs="Times New Roman" w:eastAsia="Times New Roman" w:hAnsi="Times New Roman"/>
                <w:sz w:val="14"/>
                <w:szCs w:val="14"/>
                <w:color w:val="333333"/>
              </w:rPr>
              <w:t>Senior unsecured: long term</w:t>
            </w:r>
          </w:p>
        </w:tc>
        <w:tc>
          <w:tcPr>
            <w:tcW w:w="650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BBB</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top w:val="single" w:sz="8" w:color="666666"/>
              <w:bottom w:val="single" w:sz="8" w:color="666666"/>
            </w:tcBorders>
          </w:tcPr>
          <w:p>
            <w:pPr>
              <w:ind w:left="40"/>
              <w:spacing w:after="0"/>
              <w:rPr>
                <w:sz w:val="20"/>
                <w:szCs w:val="20"/>
                <w:color w:val="auto"/>
              </w:rPr>
            </w:pPr>
            <w:r>
              <w:rPr>
                <w:rFonts w:ascii="Times New Roman" w:cs="Times New Roman" w:eastAsia="Times New Roman" w:hAnsi="Times New Roman"/>
                <w:sz w:val="14"/>
                <w:szCs w:val="14"/>
                <w:color w:val="333333"/>
              </w:rPr>
              <w:t>Source: Fitch Ratings, Fitch Solutions, Credicorp Ltd.</w:t>
            </w:r>
          </w:p>
        </w:tc>
        <w:tc>
          <w:tcPr>
            <w:tcW w:w="4580" w:type="dxa"/>
            <w:vAlign w:val="bottom"/>
            <w:tcBorders>
              <w:top w:val="single" w:sz="8" w:color="666666"/>
              <w:bottom w:val="single" w:sz="8" w:color="666666"/>
            </w:tcBorders>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400" w:type="dxa"/>
            <w:vAlign w:val="bottom"/>
            <w:tcBorders>
              <w:bottom w:val="single" w:sz="8" w:color="666666"/>
            </w:tcBorders>
          </w:tcPr>
          <w:p>
            <w:pPr>
              <w:spacing w:after="0"/>
              <w:rPr>
                <w:sz w:val="24"/>
                <w:szCs w:val="24"/>
                <w:color w:val="auto"/>
              </w:rPr>
            </w:pPr>
          </w:p>
        </w:tc>
        <w:tc>
          <w:tcPr>
            <w:tcW w:w="4580" w:type="dxa"/>
            <w:vAlign w:val="bottom"/>
            <w:tcBorders>
              <w:bottom w:val="single" w:sz="8" w:color="666666"/>
            </w:tcBorders>
          </w:tcPr>
          <w:p>
            <w:pPr>
              <w:spacing w:after="0"/>
              <w:rPr>
                <w:sz w:val="24"/>
                <w:szCs w:val="24"/>
                <w:color w:val="auto"/>
              </w:rPr>
            </w:pPr>
          </w:p>
        </w:tc>
        <w:tc>
          <w:tcPr>
            <w:tcW w:w="1920" w:type="dxa"/>
            <w:vAlign w:val="bottom"/>
            <w:tcBorders>
              <w:bottom w:val="single" w:sz="8" w:color="666666"/>
            </w:tcBorders>
          </w:tcPr>
          <w:p>
            <w:pPr>
              <w:spacing w:after="0"/>
              <w:rPr>
                <w:sz w:val="24"/>
                <w:szCs w:val="24"/>
                <w:color w:val="auto"/>
              </w:rPr>
            </w:pPr>
          </w:p>
        </w:tc>
        <w:tc>
          <w:tcPr>
            <w:tcW w:w="34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Credicorp Ltd.</w:t>
            </w:r>
          </w:p>
        </w:tc>
        <w:tc>
          <w:tcPr>
            <w:tcW w:w="4580" w:type="dxa"/>
            <w:vAlign w:val="bottom"/>
          </w:tcPr>
          <w:p>
            <w:pPr>
              <w:spacing w:after="0"/>
              <w:rPr>
                <w:sz w:val="23"/>
                <w:szCs w:val="23"/>
                <w:color w:val="auto"/>
              </w:rPr>
            </w:pPr>
          </w:p>
        </w:tc>
        <w:tc>
          <w:tcPr>
            <w:tcW w:w="19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fitchratings.com</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Update │ July 1, 2025</w:t>
            </w:r>
          </w:p>
        </w:tc>
        <w:tc>
          <w:tcPr>
            <w:tcW w:w="458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40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0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0325"/>
                    </a:xfrm>
                    <a:prstGeom prst="rect">
                      <a:avLst/>
                    </a:prstGeom>
                    <a:noFill/>
                  </pic:spPr>
                </pic:pic>
              </a:graphicData>
            </a:graphic>
          </wp:anchor>
        </w:drawing>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0302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25717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Bank Holding Companies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C0033"/>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CC0033"/>
        </w:rPr>
        <w:t>Financials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33333"/>
        </w:rPr>
        <w:t>Summary Financials and Key Ratios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Borders>
              <w:top w:val="single" w:sz="8" w:color="auto"/>
            </w:tcBorders>
          </w:tcPr>
          <w:p>
            <w:pPr>
              <w:spacing w:after="0"/>
              <w:rPr>
                <w:sz w:val="14"/>
                <w:szCs w:val="14"/>
                <w:color w:val="auto"/>
              </w:rPr>
            </w:pPr>
          </w:p>
        </w:tc>
        <w:tc>
          <w:tcPr>
            <w:tcW w:w="2920" w:type="dxa"/>
            <w:vAlign w:val="bottom"/>
            <w:tcBorders>
              <w:top w:val="single" w:sz="8" w:color="auto"/>
              <w:bottom w:val="single" w:sz="8" w:color="auto"/>
            </w:tcBorders>
            <w:gridSpan w:val="2"/>
          </w:tcPr>
          <w:p>
            <w:pPr>
              <w:jc w:val="right"/>
              <w:ind w:right="968"/>
              <w:spacing w:after="0"/>
              <w:rPr>
                <w:sz w:val="20"/>
                <w:szCs w:val="20"/>
                <w:color w:val="auto"/>
              </w:rPr>
            </w:pPr>
            <w:r>
              <w:rPr>
                <w:rFonts w:ascii="Times New Roman" w:cs="Times New Roman" w:eastAsia="Times New Roman" w:hAnsi="Times New Roman"/>
                <w:sz w:val="14"/>
                <w:szCs w:val="14"/>
                <w:b w:val="1"/>
                <w:bCs w:val="1"/>
                <w:color w:val="333333"/>
              </w:rPr>
              <w:t>Dec. 31, 2024</w:t>
            </w:r>
          </w:p>
        </w:tc>
        <w:tc>
          <w:tcPr>
            <w:tcW w:w="1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333333"/>
              </w:rPr>
              <w:t>Dec. 31, 2023</w:t>
            </w:r>
          </w:p>
        </w:tc>
        <w:tc>
          <w:tcPr>
            <w:tcW w:w="14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333333"/>
              </w:rPr>
              <w:t>Dec. 31, 2022</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333333"/>
              </w:rPr>
              <w:t>Dec.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16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333333"/>
              </w:rPr>
              <w:t>Year end</w:t>
            </w:r>
          </w:p>
        </w:tc>
        <w:tc>
          <w:tcPr>
            <w:tcW w:w="13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333333"/>
              </w:rPr>
              <w:t>Year end</w:t>
            </w:r>
          </w:p>
        </w:tc>
        <w:tc>
          <w:tcPr>
            <w:tcW w:w="16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333333"/>
              </w:rPr>
              <w:t>Year end</w:t>
            </w:r>
          </w:p>
        </w:tc>
        <w:tc>
          <w:tcPr>
            <w:tcW w:w="1420" w:type="dxa"/>
            <w:vAlign w:val="bottom"/>
          </w:tcPr>
          <w:p>
            <w:pPr>
              <w:jc w:val="right"/>
              <w:ind w:right="68"/>
              <w:spacing w:after="0" w:line="158" w:lineRule="exact"/>
              <w:rPr>
                <w:sz w:val="20"/>
                <w:szCs w:val="20"/>
                <w:color w:val="auto"/>
              </w:rPr>
            </w:pPr>
            <w:r>
              <w:rPr>
                <w:rFonts w:ascii="Times New Roman" w:cs="Times New Roman" w:eastAsia="Times New Roman" w:hAnsi="Times New Roman"/>
                <w:sz w:val="14"/>
                <w:szCs w:val="14"/>
                <w:b w:val="1"/>
                <w:bCs w:val="1"/>
                <w:color w:val="333333"/>
              </w:rPr>
              <w:t>Year end</w:t>
            </w:r>
          </w:p>
        </w:tc>
        <w:tc>
          <w:tcPr>
            <w:tcW w:w="76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b w:val="1"/>
                <w:bCs w:val="1"/>
                <w:color w:val="333333"/>
                <w:w w:val="98"/>
              </w:rPr>
              <w:t>Year end</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333333"/>
              </w:rPr>
              <w:t>(USD mil.)</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333333"/>
              </w:rPr>
              <w:t>(PEN mil.)</w:t>
            </w:r>
          </w:p>
        </w:tc>
        <w:tc>
          <w:tcPr>
            <w:tcW w:w="1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333333"/>
              </w:rPr>
              <w:t>(PEN mil.)</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333333"/>
              </w:rPr>
              <w:t>(PEN mil.)</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333333"/>
              </w:rPr>
              <w:t>(PEN mil.)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6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333333"/>
              </w:rPr>
              <w:t>Audited -</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333333"/>
              </w:rPr>
              <w:t>Audited -</w:t>
            </w:r>
          </w:p>
        </w:tc>
        <w:tc>
          <w:tcPr>
            <w:tcW w:w="16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333333"/>
              </w:rPr>
              <w:t>Audited -</w:t>
            </w:r>
          </w:p>
        </w:tc>
        <w:tc>
          <w:tcPr>
            <w:tcW w:w="14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333333"/>
              </w:rPr>
              <w:t>Audited -</w:t>
            </w:r>
          </w:p>
        </w:tc>
        <w:tc>
          <w:tcPr>
            <w:tcW w:w="13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333333"/>
              </w:rPr>
              <w:t>Audited -</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333333"/>
              </w:rPr>
              <w:t>unqualified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333333"/>
              </w:rPr>
              <w:t>unqualified</w:t>
            </w:r>
          </w:p>
        </w:tc>
        <w:tc>
          <w:tcPr>
            <w:tcW w:w="1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333333"/>
              </w:rPr>
              <w:t>unqualified</w:t>
            </w:r>
          </w:p>
        </w:tc>
        <w:tc>
          <w:tcPr>
            <w:tcW w:w="14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333333"/>
              </w:rPr>
              <w:t>unqualified</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333333"/>
              </w:rPr>
              <w:t>unqualified</w:t>
            </w:r>
          </w:p>
        </w:tc>
        <w:tc>
          <w:tcPr>
            <w:tcW w:w="0" w:type="dxa"/>
            <w:vAlign w:val="bottom"/>
          </w:tcPr>
          <w:p>
            <w:pPr>
              <w:spacing w:after="0"/>
              <w:rPr>
                <w:sz w:val="1"/>
                <w:szCs w:val="1"/>
                <w:color w:val="auto"/>
              </w:rPr>
            </w:pPr>
          </w:p>
        </w:tc>
      </w:tr>
      <w:tr>
        <w:trPr>
          <w:trHeight w:val="169"/>
        </w:trPr>
        <w:tc>
          <w:tcPr>
            <w:tcW w:w="3940" w:type="dxa"/>
            <w:vAlign w:val="bottom"/>
            <w:tcBorders>
              <w:top w:val="single" w:sz="8" w:color="auto"/>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Summary income statement</w:t>
            </w:r>
          </w:p>
        </w:tc>
        <w:tc>
          <w:tcPr>
            <w:tcW w:w="1620" w:type="dxa"/>
            <w:vAlign w:val="bottom"/>
            <w:tcBorders>
              <w:top w:val="single" w:sz="8" w:color="auto"/>
              <w:bottom w:val="single" w:sz="8" w:color="666666"/>
            </w:tcBorders>
          </w:tcPr>
          <w:p>
            <w:pPr>
              <w:spacing w:after="0"/>
              <w:rPr>
                <w:sz w:val="14"/>
                <w:szCs w:val="14"/>
                <w:color w:val="auto"/>
              </w:rPr>
            </w:pPr>
          </w:p>
        </w:tc>
        <w:tc>
          <w:tcPr>
            <w:tcW w:w="1300" w:type="dxa"/>
            <w:vAlign w:val="bottom"/>
            <w:tcBorders>
              <w:top w:val="single" w:sz="8" w:color="auto"/>
              <w:bottom w:val="single" w:sz="8" w:color="666666"/>
            </w:tcBorders>
          </w:tcPr>
          <w:p>
            <w:pPr>
              <w:spacing w:after="0"/>
              <w:rPr>
                <w:sz w:val="14"/>
                <w:szCs w:val="14"/>
                <w:color w:val="auto"/>
              </w:rPr>
            </w:pPr>
          </w:p>
        </w:tc>
        <w:tc>
          <w:tcPr>
            <w:tcW w:w="1620" w:type="dxa"/>
            <w:vAlign w:val="bottom"/>
            <w:tcBorders>
              <w:top w:val="single" w:sz="8" w:color="auto"/>
              <w:bottom w:val="single" w:sz="8" w:color="666666"/>
            </w:tcBorders>
          </w:tcPr>
          <w:p>
            <w:pPr>
              <w:spacing w:after="0"/>
              <w:rPr>
                <w:sz w:val="14"/>
                <w:szCs w:val="14"/>
                <w:color w:val="auto"/>
              </w:rPr>
            </w:pPr>
          </w:p>
        </w:tc>
        <w:tc>
          <w:tcPr>
            <w:tcW w:w="1420" w:type="dxa"/>
            <w:vAlign w:val="bottom"/>
            <w:tcBorders>
              <w:top w:val="single" w:sz="8" w:color="auto"/>
              <w:bottom w:val="single" w:sz="8" w:color="666666"/>
            </w:tcBorders>
          </w:tcPr>
          <w:p>
            <w:pPr>
              <w:spacing w:after="0"/>
              <w:rPr>
                <w:sz w:val="14"/>
                <w:szCs w:val="14"/>
                <w:color w:val="auto"/>
              </w:rPr>
            </w:pPr>
          </w:p>
        </w:tc>
        <w:tc>
          <w:tcPr>
            <w:tcW w:w="760" w:type="dxa"/>
            <w:vAlign w:val="bottom"/>
            <w:tcBorders>
              <w:top w:val="single" w:sz="8" w:color="auto"/>
              <w:bottom w:val="single" w:sz="8" w:color="666666"/>
            </w:tcBorders>
          </w:tcPr>
          <w:p>
            <w:pPr>
              <w:spacing w:after="0"/>
              <w:rPr>
                <w:sz w:val="14"/>
                <w:szCs w:val="14"/>
                <w:color w:val="auto"/>
              </w:rPr>
            </w:pPr>
          </w:p>
        </w:tc>
        <w:tc>
          <w:tcPr>
            <w:tcW w:w="580" w:type="dxa"/>
            <w:vAlign w:val="bottom"/>
            <w:tcBorders>
              <w:top w:val="single" w:sz="8" w:color="auto"/>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interest and dividend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3,780</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14,115.1</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12,938.0</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11,518.1</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9,362.0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fees and commissions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1,085</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4,052.1</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3,804.5</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3,640.3</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3,493.7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operating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894</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3,338.1</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3,065.2</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2,173.7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1,434.3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operating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5,759</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21,505.3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19,807.7</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17,332.1</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14,290.0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Operating costs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2,731</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10,196.0</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9,262.5</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8,620.6</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7,740.1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Pre-impairment operating profit</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3,029</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11,309.3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10,545.2</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8,711.5</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6,549.9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Loan and Other Impairment Charges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950</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3,547.3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3,626.6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1,869.8</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1,219.0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Operating profit</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2,079</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7,762.0</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6,918.6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6,841.7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5,330.9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non-operating items (net)</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17</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62.5</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-70.3</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14.2</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Tax</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590</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2,201.2</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1,888.4</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2,110.5</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1,661.0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1,506</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5,623.3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4,959.9</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4,745.4</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3,671.8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comprehensive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-21</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-77.3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581.6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-891.0</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-1,660.0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Fitch comprehensive income</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1,485</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5,546.0</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5,541.5</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3,854.4</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2,011.8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666666"/>
            </w:tcBorders>
          </w:tcPr>
          <w:p>
            <w:pPr>
              <w:spacing w:after="0"/>
              <w:rPr>
                <w:sz w:val="10"/>
                <w:szCs w:val="10"/>
                <w:color w:val="auto"/>
              </w:rPr>
            </w:pPr>
          </w:p>
        </w:tc>
        <w:tc>
          <w:tcPr>
            <w:tcW w:w="1620" w:type="dxa"/>
            <w:vAlign w:val="bottom"/>
            <w:tcBorders>
              <w:bottom w:val="single" w:sz="8" w:color="666666"/>
            </w:tcBorders>
          </w:tcPr>
          <w:p>
            <w:pPr>
              <w:spacing w:after="0"/>
              <w:rPr>
                <w:sz w:val="10"/>
                <w:szCs w:val="10"/>
                <w:color w:val="auto"/>
              </w:rPr>
            </w:pPr>
          </w:p>
        </w:tc>
        <w:tc>
          <w:tcPr>
            <w:tcW w:w="1300" w:type="dxa"/>
            <w:vAlign w:val="bottom"/>
            <w:tcBorders>
              <w:bottom w:val="single" w:sz="8" w:color="666666"/>
            </w:tcBorders>
          </w:tcPr>
          <w:p>
            <w:pPr>
              <w:spacing w:after="0"/>
              <w:rPr>
                <w:sz w:val="10"/>
                <w:szCs w:val="10"/>
                <w:color w:val="auto"/>
              </w:rPr>
            </w:pPr>
          </w:p>
        </w:tc>
        <w:tc>
          <w:tcPr>
            <w:tcW w:w="1620" w:type="dxa"/>
            <w:vAlign w:val="bottom"/>
            <w:tcBorders>
              <w:bottom w:val="single" w:sz="8" w:color="666666"/>
            </w:tcBorders>
          </w:tcPr>
          <w:p>
            <w:pPr>
              <w:spacing w:after="0"/>
              <w:rPr>
                <w:sz w:val="10"/>
                <w:szCs w:val="10"/>
                <w:color w:val="auto"/>
              </w:rPr>
            </w:pPr>
          </w:p>
        </w:tc>
        <w:tc>
          <w:tcPr>
            <w:tcW w:w="1420" w:type="dxa"/>
            <w:vAlign w:val="bottom"/>
            <w:tcBorders>
              <w:bottom w:val="single" w:sz="8" w:color="666666"/>
            </w:tcBorders>
          </w:tcPr>
          <w:p>
            <w:pPr>
              <w:spacing w:after="0"/>
              <w:rPr>
                <w:sz w:val="10"/>
                <w:szCs w:val="10"/>
                <w:color w:val="auto"/>
              </w:rPr>
            </w:pPr>
          </w:p>
        </w:tc>
        <w:tc>
          <w:tcPr>
            <w:tcW w:w="760" w:type="dxa"/>
            <w:vAlign w:val="bottom"/>
            <w:tcBorders>
              <w:bottom w:val="single" w:sz="8" w:color="666666"/>
            </w:tcBorders>
          </w:tcPr>
          <w:p>
            <w:pPr>
              <w:spacing w:after="0"/>
              <w:rPr>
                <w:sz w:val="10"/>
                <w:szCs w:val="10"/>
                <w:color w:val="auto"/>
              </w:rPr>
            </w:pPr>
          </w:p>
        </w:tc>
        <w:tc>
          <w:tcPr>
            <w:tcW w:w="580" w:type="dxa"/>
            <w:vAlign w:val="bottom"/>
            <w:tcBorders>
              <w:bottom w:val="single" w:sz="8" w:color="666666"/>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Summary balance sheet</w:t>
            </w:r>
          </w:p>
        </w:tc>
        <w:tc>
          <w:tcPr>
            <w:tcW w:w="1620" w:type="dxa"/>
            <w:vAlign w:val="bottom"/>
            <w:tcBorders>
              <w:bottom w:val="single" w:sz="8" w:color="666666"/>
            </w:tcBorders>
          </w:tcPr>
          <w:p>
            <w:pPr>
              <w:spacing w:after="0"/>
              <w:rPr>
                <w:sz w:val="14"/>
                <w:szCs w:val="14"/>
                <w:color w:val="auto"/>
              </w:rPr>
            </w:pPr>
          </w:p>
        </w:tc>
        <w:tc>
          <w:tcPr>
            <w:tcW w:w="1300" w:type="dxa"/>
            <w:vAlign w:val="bottom"/>
            <w:tcBorders>
              <w:bottom w:val="single" w:sz="8" w:color="666666"/>
            </w:tcBorders>
          </w:tcPr>
          <w:p>
            <w:pPr>
              <w:spacing w:after="0"/>
              <w:rPr>
                <w:sz w:val="14"/>
                <w:szCs w:val="14"/>
                <w:color w:val="auto"/>
              </w:rPr>
            </w:pPr>
          </w:p>
        </w:tc>
        <w:tc>
          <w:tcPr>
            <w:tcW w:w="1620" w:type="dxa"/>
            <w:vAlign w:val="bottom"/>
            <w:tcBorders>
              <w:bottom w:val="single" w:sz="8" w:color="666666"/>
            </w:tcBorders>
          </w:tcPr>
          <w:p>
            <w:pPr>
              <w:spacing w:after="0"/>
              <w:rPr>
                <w:sz w:val="14"/>
                <w:szCs w:val="14"/>
                <w:color w:val="auto"/>
              </w:rPr>
            </w:pPr>
          </w:p>
        </w:tc>
        <w:tc>
          <w:tcPr>
            <w:tcW w:w="1420" w:type="dxa"/>
            <w:vAlign w:val="bottom"/>
            <w:tcBorders>
              <w:bottom w:val="single" w:sz="8" w:color="666666"/>
            </w:tcBorders>
          </w:tcPr>
          <w:p>
            <w:pPr>
              <w:spacing w:after="0"/>
              <w:rPr>
                <w:sz w:val="14"/>
                <w:szCs w:val="14"/>
                <w:color w:val="auto"/>
              </w:rPr>
            </w:pP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Assets</w:t>
            </w:r>
          </w:p>
        </w:tc>
        <w:tc>
          <w:tcPr>
            <w:tcW w:w="1620" w:type="dxa"/>
            <w:vAlign w:val="bottom"/>
            <w:tcBorders>
              <w:bottom w:val="single" w:sz="8" w:color="666666"/>
            </w:tcBorders>
          </w:tcPr>
          <w:p>
            <w:pPr>
              <w:spacing w:after="0"/>
              <w:rPr>
                <w:sz w:val="14"/>
                <w:szCs w:val="14"/>
                <w:color w:val="auto"/>
              </w:rPr>
            </w:pPr>
          </w:p>
        </w:tc>
        <w:tc>
          <w:tcPr>
            <w:tcW w:w="1300" w:type="dxa"/>
            <w:vAlign w:val="bottom"/>
            <w:tcBorders>
              <w:bottom w:val="single" w:sz="8" w:color="666666"/>
            </w:tcBorders>
          </w:tcPr>
          <w:p>
            <w:pPr>
              <w:spacing w:after="0"/>
              <w:rPr>
                <w:sz w:val="14"/>
                <w:szCs w:val="14"/>
                <w:color w:val="auto"/>
              </w:rPr>
            </w:pPr>
          </w:p>
        </w:tc>
        <w:tc>
          <w:tcPr>
            <w:tcW w:w="1620" w:type="dxa"/>
            <w:vAlign w:val="bottom"/>
            <w:tcBorders>
              <w:bottom w:val="single" w:sz="8" w:color="666666"/>
            </w:tcBorders>
          </w:tcPr>
          <w:p>
            <w:pPr>
              <w:spacing w:after="0"/>
              <w:rPr>
                <w:sz w:val="14"/>
                <w:szCs w:val="14"/>
                <w:color w:val="auto"/>
              </w:rPr>
            </w:pPr>
          </w:p>
        </w:tc>
        <w:tc>
          <w:tcPr>
            <w:tcW w:w="1420" w:type="dxa"/>
            <w:vAlign w:val="bottom"/>
            <w:tcBorders>
              <w:bottom w:val="single" w:sz="8" w:color="666666"/>
            </w:tcBorders>
          </w:tcPr>
          <w:p>
            <w:pPr>
              <w:spacing w:after="0"/>
              <w:rPr>
                <w:sz w:val="14"/>
                <w:szCs w:val="14"/>
                <w:color w:val="auto"/>
              </w:rPr>
            </w:pP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Gross loans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39,028</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145,732.3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144,976.0</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148,626.4</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147,597.4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 Of which impaired</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1,174</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4,383.8</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4,673.6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4,620.5</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4,203.7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Loan loss allowances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2,141</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7,995.0</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8,277.9</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7,872.4</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8,477.3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loan</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36,887</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137,737.3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136,698.1</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140,754.0</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139,120.1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Interbank</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10,744</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40,119.9</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3,621.9</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3,942.9</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8,047.6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Derivatives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242</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904.8</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987.7</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1,478.7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1,661.6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securities and earning assets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15,442</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57,659.3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56,015.4</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50,597.3</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53,860.8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earning assets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63,316</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236,421.3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197,323.1</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196,772.9</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202,690.1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Cash and due from banks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2,018</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7,535.3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30,309.1</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30,241.0</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31,273.1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assets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3,249</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12,132.3</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11,208.0</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9,739.7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10,883.5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assets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68,583</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256,088.9</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238,840.2</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236,753.6</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244,846.7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Liabilities</w:t>
            </w:r>
          </w:p>
        </w:tc>
        <w:tc>
          <w:tcPr>
            <w:tcW w:w="1620" w:type="dxa"/>
            <w:vAlign w:val="bottom"/>
            <w:tcBorders>
              <w:bottom w:val="single" w:sz="8" w:color="666666"/>
            </w:tcBorders>
          </w:tcPr>
          <w:p>
            <w:pPr>
              <w:spacing w:after="0"/>
              <w:rPr>
                <w:sz w:val="14"/>
                <w:szCs w:val="14"/>
                <w:color w:val="auto"/>
              </w:rPr>
            </w:pPr>
          </w:p>
        </w:tc>
        <w:tc>
          <w:tcPr>
            <w:tcW w:w="1300" w:type="dxa"/>
            <w:vAlign w:val="bottom"/>
            <w:tcBorders>
              <w:bottom w:val="single" w:sz="8" w:color="666666"/>
            </w:tcBorders>
          </w:tcPr>
          <w:p>
            <w:pPr>
              <w:spacing w:after="0"/>
              <w:rPr>
                <w:sz w:val="14"/>
                <w:szCs w:val="14"/>
                <w:color w:val="auto"/>
              </w:rPr>
            </w:pPr>
          </w:p>
        </w:tc>
        <w:tc>
          <w:tcPr>
            <w:tcW w:w="1620" w:type="dxa"/>
            <w:vAlign w:val="bottom"/>
            <w:tcBorders>
              <w:bottom w:val="single" w:sz="8" w:color="666666"/>
            </w:tcBorders>
          </w:tcPr>
          <w:p>
            <w:pPr>
              <w:spacing w:after="0"/>
              <w:rPr>
                <w:sz w:val="14"/>
                <w:szCs w:val="14"/>
                <w:color w:val="auto"/>
              </w:rPr>
            </w:pPr>
          </w:p>
        </w:tc>
        <w:tc>
          <w:tcPr>
            <w:tcW w:w="1420" w:type="dxa"/>
            <w:vAlign w:val="bottom"/>
            <w:tcBorders>
              <w:bottom w:val="single" w:sz="8" w:color="666666"/>
            </w:tcBorders>
          </w:tcPr>
          <w:p>
            <w:pPr>
              <w:spacing w:after="0"/>
              <w:rPr>
                <w:sz w:val="14"/>
                <w:szCs w:val="14"/>
                <w:color w:val="auto"/>
              </w:rPr>
            </w:pP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Customer deposits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43,048</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160,740.7</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146,510.3</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145,602.0</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148,268.9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Interbank and other short-term funding</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4,402</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16,435.7</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17,723.8</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15,511.1</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23,342.4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long-term funding</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5,865</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21,900.7</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21,154.6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24,818.9</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25,035.2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Trading liabilities and derivatives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219</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819.5</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892.0</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1,536.7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1,862.7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funding and derivatives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53,534</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199,896.6</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186,280.7</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187,468.7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198,509.2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Other liabilities</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5,682</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21,215.1</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19,452.4</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19,705.2</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19,300.1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Preference shares and hybrid capital</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N.A.</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N.A.</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N.A.</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equity</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9,367</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34,977.2</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33,107.1</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29,579.7</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27,037.4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Total liabilities and equity</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68,583</w:t>
            </w: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256,088.9</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238,840.2</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236,753.6</w:t>
            </w:r>
          </w:p>
        </w:tc>
        <w:tc>
          <w:tcPr>
            <w:tcW w:w="760" w:type="dxa"/>
            <w:vAlign w:val="bottom"/>
            <w:tcBorders>
              <w:bottom w:val="single" w:sz="8" w:color="666666"/>
            </w:tcBorders>
          </w:tcPr>
          <w:p>
            <w:pPr>
              <w:spacing w:after="0"/>
              <w:rPr>
                <w:sz w:val="14"/>
                <w:szCs w:val="14"/>
                <w:color w:val="auto"/>
              </w:rPr>
            </w:pPr>
          </w:p>
        </w:tc>
        <w:tc>
          <w:tcPr>
            <w:tcW w:w="58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w w:val="96"/>
              </w:rPr>
              <w:t>244,846.7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Exchange rate</w:t>
            </w:r>
          </w:p>
        </w:tc>
        <w:tc>
          <w:tcPr>
            <w:tcW w:w="1620" w:type="dxa"/>
            <w:vAlign w:val="bottom"/>
            <w:tcBorders>
              <w:bottom w:val="single" w:sz="8" w:color="666666"/>
            </w:tcBorders>
          </w:tcPr>
          <w:p>
            <w:pPr>
              <w:spacing w:after="0"/>
              <w:rPr>
                <w:sz w:val="14"/>
                <w:szCs w:val="14"/>
                <w:color w:val="auto"/>
              </w:rPr>
            </w:pPr>
          </w:p>
        </w:tc>
        <w:tc>
          <w:tcPr>
            <w:tcW w:w="130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USD1 = PEN3.734</w:t>
            </w:r>
          </w:p>
        </w:tc>
        <w:tc>
          <w:tcPr>
            <w:tcW w:w="1620" w:type="dxa"/>
            <w:vAlign w:val="bottom"/>
            <w:tcBorders>
              <w:bottom w:val="single" w:sz="8" w:color="666666"/>
            </w:tcBorders>
          </w:tcPr>
          <w:p>
            <w:pPr>
              <w:jc w:val="right"/>
              <w:ind w:right="88"/>
              <w:spacing w:after="0"/>
              <w:rPr>
                <w:sz w:val="20"/>
                <w:szCs w:val="20"/>
                <w:color w:val="auto"/>
              </w:rPr>
            </w:pPr>
            <w:r>
              <w:rPr>
                <w:rFonts w:ascii="Times New Roman" w:cs="Times New Roman" w:eastAsia="Times New Roman" w:hAnsi="Times New Roman"/>
                <w:sz w:val="14"/>
                <w:szCs w:val="14"/>
                <w:color w:val="333333"/>
              </w:rPr>
              <w:t>USD1 = PEN3.726</w:t>
            </w:r>
          </w:p>
        </w:tc>
        <w:tc>
          <w:tcPr>
            <w:tcW w:w="1420" w:type="dxa"/>
            <w:vAlign w:val="bottom"/>
            <w:tcBorders>
              <w:bottom w:val="single" w:sz="8" w:color="666666"/>
            </w:tcBorders>
          </w:tcPr>
          <w:p>
            <w:pPr>
              <w:jc w:val="right"/>
              <w:ind w:right="68"/>
              <w:spacing w:after="0"/>
              <w:rPr>
                <w:sz w:val="20"/>
                <w:szCs w:val="20"/>
                <w:color w:val="auto"/>
              </w:rPr>
            </w:pPr>
            <w:r>
              <w:rPr>
                <w:rFonts w:ascii="Times New Roman" w:cs="Times New Roman" w:eastAsia="Times New Roman" w:hAnsi="Times New Roman"/>
                <w:sz w:val="14"/>
                <w:szCs w:val="14"/>
                <w:color w:val="333333"/>
              </w:rPr>
              <w:t>USD1 = PEN3.809</w:t>
            </w:r>
          </w:p>
        </w:tc>
        <w:tc>
          <w:tcPr>
            <w:tcW w:w="1340" w:type="dxa"/>
            <w:vAlign w:val="bottom"/>
            <w:tcBorders>
              <w:bottom w:val="single" w:sz="8" w:color="666666"/>
            </w:tcBorders>
            <w:gridSpan w:val="2"/>
          </w:tcPr>
          <w:p>
            <w:pPr>
              <w:jc w:val="right"/>
              <w:spacing w:after="0"/>
              <w:rPr>
                <w:sz w:val="20"/>
                <w:szCs w:val="20"/>
                <w:color w:val="auto"/>
              </w:rPr>
            </w:pPr>
            <w:r>
              <w:rPr>
                <w:rFonts w:ascii="Times New Roman" w:cs="Times New Roman" w:eastAsia="Times New Roman" w:hAnsi="Times New Roman"/>
                <w:sz w:val="14"/>
                <w:szCs w:val="14"/>
                <w:color w:val="333333"/>
              </w:rPr>
              <w:t>USD1 = PEN3.9849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333333"/>
              </w:rPr>
              <w:t>N.A. – Not applicable</w:t>
            </w:r>
          </w:p>
        </w:tc>
        <w:tc>
          <w:tcPr>
            <w:tcW w:w="16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4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Source: Fitch Ratings, Fitch Solutions, Credicorp Ltd.</w:t>
            </w:r>
          </w:p>
        </w:tc>
        <w:tc>
          <w:tcPr>
            <w:tcW w:w="1620" w:type="dxa"/>
            <w:vAlign w:val="bottom"/>
            <w:tcBorders>
              <w:bottom w:val="single" w:sz="8" w:color="666666"/>
            </w:tcBorders>
          </w:tcPr>
          <w:p>
            <w:pPr>
              <w:spacing w:after="0"/>
              <w:rPr>
                <w:sz w:val="16"/>
                <w:szCs w:val="16"/>
                <w:color w:val="auto"/>
              </w:rPr>
            </w:pPr>
          </w:p>
        </w:tc>
        <w:tc>
          <w:tcPr>
            <w:tcW w:w="1300" w:type="dxa"/>
            <w:vAlign w:val="bottom"/>
            <w:tcBorders>
              <w:bottom w:val="single" w:sz="8" w:color="666666"/>
            </w:tcBorders>
          </w:tcPr>
          <w:p>
            <w:pPr>
              <w:spacing w:after="0"/>
              <w:rPr>
                <w:sz w:val="16"/>
                <w:szCs w:val="16"/>
                <w:color w:val="auto"/>
              </w:rPr>
            </w:pPr>
          </w:p>
        </w:tc>
        <w:tc>
          <w:tcPr>
            <w:tcW w:w="1620" w:type="dxa"/>
            <w:vAlign w:val="bottom"/>
            <w:tcBorders>
              <w:bottom w:val="single" w:sz="8" w:color="666666"/>
            </w:tcBorders>
          </w:tcPr>
          <w:p>
            <w:pPr>
              <w:spacing w:after="0"/>
              <w:rPr>
                <w:sz w:val="16"/>
                <w:szCs w:val="16"/>
                <w:color w:val="auto"/>
              </w:rPr>
            </w:pPr>
          </w:p>
        </w:tc>
        <w:tc>
          <w:tcPr>
            <w:tcW w:w="1420" w:type="dxa"/>
            <w:vAlign w:val="bottom"/>
            <w:tcBorders>
              <w:bottom w:val="single" w:sz="8" w:color="666666"/>
            </w:tcBorders>
          </w:tcPr>
          <w:p>
            <w:pPr>
              <w:spacing w:after="0"/>
              <w:rPr>
                <w:sz w:val="16"/>
                <w:szCs w:val="16"/>
                <w:color w:val="auto"/>
              </w:rPr>
            </w:pPr>
          </w:p>
        </w:tc>
        <w:tc>
          <w:tcPr>
            <w:tcW w:w="760" w:type="dxa"/>
            <w:vAlign w:val="bottom"/>
            <w:tcBorders>
              <w:bottom w:val="single" w:sz="8" w:color="666666"/>
            </w:tcBorders>
          </w:tcPr>
          <w:p>
            <w:pPr>
              <w:spacing w:after="0"/>
              <w:rPr>
                <w:sz w:val="16"/>
                <w:szCs w:val="16"/>
                <w:color w:val="auto"/>
              </w:rPr>
            </w:pPr>
          </w:p>
        </w:tc>
        <w:tc>
          <w:tcPr>
            <w:tcW w:w="580" w:type="dxa"/>
            <w:vAlign w:val="bottom"/>
            <w:tcBorders>
              <w:bottom w:val="single" w:sz="8" w:color="666666"/>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940" w:type="dxa"/>
            <w:vAlign w:val="bottom"/>
            <w:tcBorders>
              <w:bottom w:val="single" w:sz="8" w:color="666666"/>
            </w:tcBorders>
          </w:tcPr>
          <w:p>
            <w:pPr>
              <w:spacing w:after="0"/>
              <w:rPr>
                <w:sz w:val="24"/>
                <w:szCs w:val="24"/>
                <w:color w:val="auto"/>
              </w:rPr>
            </w:pPr>
          </w:p>
        </w:tc>
        <w:tc>
          <w:tcPr>
            <w:tcW w:w="1620" w:type="dxa"/>
            <w:vAlign w:val="bottom"/>
            <w:tcBorders>
              <w:bottom w:val="single" w:sz="8" w:color="666666"/>
            </w:tcBorders>
          </w:tcPr>
          <w:p>
            <w:pPr>
              <w:spacing w:after="0"/>
              <w:rPr>
                <w:sz w:val="24"/>
                <w:szCs w:val="24"/>
                <w:color w:val="auto"/>
              </w:rPr>
            </w:pPr>
          </w:p>
        </w:tc>
        <w:tc>
          <w:tcPr>
            <w:tcW w:w="1300" w:type="dxa"/>
            <w:vAlign w:val="bottom"/>
            <w:tcBorders>
              <w:bottom w:val="single" w:sz="8" w:color="666666"/>
            </w:tcBorders>
          </w:tcPr>
          <w:p>
            <w:pPr>
              <w:spacing w:after="0"/>
              <w:rPr>
                <w:sz w:val="24"/>
                <w:szCs w:val="24"/>
                <w:color w:val="auto"/>
              </w:rPr>
            </w:pPr>
          </w:p>
        </w:tc>
        <w:tc>
          <w:tcPr>
            <w:tcW w:w="1620" w:type="dxa"/>
            <w:vAlign w:val="bottom"/>
            <w:tcBorders>
              <w:bottom w:val="single" w:sz="8" w:color="666666"/>
            </w:tcBorders>
          </w:tcPr>
          <w:p>
            <w:pPr>
              <w:spacing w:after="0"/>
              <w:rPr>
                <w:sz w:val="24"/>
                <w:szCs w:val="24"/>
                <w:color w:val="auto"/>
              </w:rPr>
            </w:pPr>
          </w:p>
        </w:tc>
        <w:tc>
          <w:tcPr>
            <w:tcW w:w="1420" w:type="dxa"/>
            <w:vAlign w:val="bottom"/>
            <w:tcBorders>
              <w:bottom w:val="single" w:sz="8" w:color="666666"/>
            </w:tcBorders>
          </w:tcPr>
          <w:p>
            <w:pPr>
              <w:spacing w:after="0"/>
              <w:rPr>
                <w:sz w:val="24"/>
                <w:szCs w:val="24"/>
                <w:color w:val="auto"/>
              </w:rPr>
            </w:pPr>
          </w:p>
        </w:tc>
        <w:tc>
          <w:tcPr>
            <w:tcW w:w="760" w:type="dxa"/>
            <w:vAlign w:val="bottom"/>
            <w:tcBorders>
              <w:bottom w:val="single" w:sz="8" w:color="666666"/>
            </w:tcBorders>
          </w:tcPr>
          <w:p>
            <w:pPr>
              <w:spacing w:after="0"/>
              <w:rPr>
                <w:sz w:val="24"/>
                <w:szCs w:val="24"/>
                <w:color w:val="auto"/>
              </w:rPr>
            </w:pPr>
          </w:p>
        </w:tc>
        <w:tc>
          <w:tcPr>
            <w:tcW w:w="580" w:type="dxa"/>
            <w:vAlign w:val="bottom"/>
            <w:tcBorders>
              <w:bottom w:val="single" w:sz="8" w:color="66666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Credicorp Ltd.</w:t>
            </w:r>
          </w:p>
        </w:tc>
        <w:tc>
          <w:tcPr>
            <w:tcW w:w="1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1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color w:val="auto"/>
              </w:rPr>
              <w:t>fitchratings.com</w:t>
            </w: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Update │ July 1, 2025</w:t>
            </w: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39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9690"/>
                    </a:xfrm>
                    <a:prstGeom prst="rect">
                      <a:avLst/>
                    </a:prstGeom>
                    <a:noFill/>
                  </pic:spPr>
                </pic:pic>
              </a:graphicData>
            </a:graphic>
          </wp:anchor>
        </w:drawing>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0302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020" cy="25717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Bank Holding Companies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C0033"/>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23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33333"/>
        </w:rPr>
        <w:t>Summary Financials and Key Ratios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60" w:type="dxa"/>
            <w:vAlign w:val="bottom"/>
            <w:tcBorders>
              <w:top w:val="single" w:sz="8" w:color="auto"/>
              <w:bottom w:val="single" w:sz="8" w:color="auto"/>
            </w:tcBorders>
          </w:tcPr>
          <w:p>
            <w:pPr>
              <w:spacing w:after="0"/>
              <w:rPr>
                <w:sz w:val="14"/>
                <w:szCs w:val="14"/>
                <w:color w:val="auto"/>
              </w:rPr>
            </w:pPr>
          </w:p>
        </w:tc>
        <w:tc>
          <w:tcPr>
            <w:tcW w:w="23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333333"/>
              </w:rPr>
              <w:t>Dec. 31, 2024</w:t>
            </w:r>
          </w:p>
        </w:tc>
        <w:tc>
          <w:tcPr>
            <w:tcW w:w="16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333333"/>
              </w:rPr>
              <w:t>Dec. 31, 2023</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333333"/>
              </w:rPr>
              <w:t>Dec. 31, 2022</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333333"/>
              </w:rPr>
              <w:t>Dec. 31,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Ratios (annualized as appropriate)</w:t>
            </w:r>
          </w:p>
        </w:tc>
        <w:tc>
          <w:tcPr>
            <w:tcW w:w="2380" w:type="dxa"/>
            <w:vAlign w:val="bottom"/>
            <w:tcBorders>
              <w:bottom w:val="single" w:sz="8" w:color="666666"/>
            </w:tcBorders>
          </w:tcPr>
          <w:p>
            <w:pPr>
              <w:spacing w:after="0"/>
              <w:rPr>
                <w:sz w:val="14"/>
                <w:szCs w:val="14"/>
                <w:color w:val="auto"/>
              </w:rPr>
            </w:pPr>
          </w:p>
        </w:tc>
        <w:tc>
          <w:tcPr>
            <w:tcW w:w="1680" w:type="dxa"/>
            <w:vAlign w:val="bottom"/>
            <w:tcBorders>
              <w:bottom w:val="single" w:sz="8" w:color="666666"/>
            </w:tcBorders>
          </w:tcPr>
          <w:p>
            <w:pPr>
              <w:spacing w:after="0"/>
              <w:rPr>
                <w:sz w:val="14"/>
                <w:szCs w:val="14"/>
                <w:color w:val="auto"/>
              </w:rPr>
            </w:pPr>
          </w:p>
        </w:tc>
        <w:tc>
          <w:tcPr>
            <w:tcW w:w="132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666666"/>
            </w:tcBorders>
          </w:tcPr>
          <w:p>
            <w:pPr>
              <w:spacing w:after="0"/>
              <w:rPr>
                <w:sz w:val="10"/>
                <w:szCs w:val="10"/>
                <w:color w:val="auto"/>
              </w:rPr>
            </w:pPr>
          </w:p>
        </w:tc>
        <w:tc>
          <w:tcPr>
            <w:tcW w:w="2380" w:type="dxa"/>
            <w:vAlign w:val="bottom"/>
            <w:tcBorders>
              <w:bottom w:val="single" w:sz="8" w:color="666666"/>
            </w:tcBorders>
          </w:tcPr>
          <w:p>
            <w:pPr>
              <w:spacing w:after="0"/>
              <w:rPr>
                <w:sz w:val="10"/>
                <w:szCs w:val="10"/>
                <w:color w:val="auto"/>
              </w:rPr>
            </w:pPr>
          </w:p>
        </w:tc>
        <w:tc>
          <w:tcPr>
            <w:tcW w:w="1680" w:type="dxa"/>
            <w:vAlign w:val="bottom"/>
            <w:tcBorders>
              <w:bottom w:val="single" w:sz="8" w:color="666666"/>
            </w:tcBorders>
          </w:tcPr>
          <w:p>
            <w:pPr>
              <w:spacing w:after="0"/>
              <w:rPr>
                <w:sz w:val="10"/>
                <w:szCs w:val="10"/>
                <w:color w:val="auto"/>
              </w:rPr>
            </w:pPr>
          </w:p>
        </w:tc>
        <w:tc>
          <w:tcPr>
            <w:tcW w:w="1320" w:type="dxa"/>
            <w:vAlign w:val="bottom"/>
            <w:tcBorders>
              <w:bottom w:val="single" w:sz="8" w:color="666666"/>
            </w:tcBorders>
          </w:tcPr>
          <w:p>
            <w:pPr>
              <w:spacing w:after="0"/>
              <w:rPr>
                <w:sz w:val="10"/>
                <w:szCs w:val="10"/>
                <w:color w:val="auto"/>
              </w:rPr>
            </w:pPr>
          </w:p>
        </w:tc>
        <w:tc>
          <w:tcPr>
            <w:tcW w:w="1140" w:type="dxa"/>
            <w:vAlign w:val="bottom"/>
            <w:tcBorders>
              <w:bottom w:val="single" w:sz="8" w:color="666666"/>
            </w:tcBorders>
          </w:tcPr>
          <w:p>
            <w:pPr>
              <w:spacing w:after="0"/>
              <w:rPr>
                <w:sz w:val="10"/>
                <w:szCs w:val="10"/>
                <w:color w:val="auto"/>
              </w:rPr>
            </w:pPr>
          </w:p>
        </w:tc>
        <w:tc>
          <w:tcPr>
            <w:tcW w:w="460" w:type="dxa"/>
            <w:vAlign w:val="bottom"/>
            <w:tcBorders>
              <w:bottom w:val="single" w:sz="8" w:color="666666"/>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Profitability</w:t>
            </w:r>
          </w:p>
        </w:tc>
        <w:tc>
          <w:tcPr>
            <w:tcW w:w="2380" w:type="dxa"/>
            <w:vAlign w:val="bottom"/>
            <w:tcBorders>
              <w:bottom w:val="single" w:sz="8" w:color="666666"/>
            </w:tcBorders>
          </w:tcPr>
          <w:p>
            <w:pPr>
              <w:spacing w:after="0"/>
              <w:rPr>
                <w:sz w:val="14"/>
                <w:szCs w:val="14"/>
                <w:color w:val="auto"/>
              </w:rPr>
            </w:pPr>
          </w:p>
        </w:tc>
        <w:tc>
          <w:tcPr>
            <w:tcW w:w="1680" w:type="dxa"/>
            <w:vAlign w:val="bottom"/>
            <w:tcBorders>
              <w:bottom w:val="single" w:sz="8" w:color="666666"/>
            </w:tcBorders>
          </w:tcPr>
          <w:p>
            <w:pPr>
              <w:spacing w:after="0"/>
              <w:rPr>
                <w:sz w:val="14"/>
                <w:szCs w:val="14"/>
                <w:color w:val="auto"/>
              </w:rPr>
            </w:pPr>
          </w:p>
        </w:tc>
        <w:tc>
          <w:tcPr>
            <w:tcW w:w="132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Operating profit/risk-weighted assets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interest income/average earning assets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6.5</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6.5</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5.7</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Non-interest expense/gross revenue</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47.7</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47.0</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50.0</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income/average equity</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16.6</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15.9</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17.1</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666666"/>
            </w:tcBorders>
          </w:tcPr>
          <w:p>
            <w:pPr>
              <w:spacing w:after="0"/>
              <w:rPr>
                <w:sz w:val="10"/>
                <w:szCs w:val="10"/>
                <w:color w:val="auto"/>
              </w:rPr>
            </w:pPr>
          </w:p>
        </w:tc>
        <w:tc>
          <w:tcPr>
            <w:tcW w:w="2380" w:type="dxa"/>
            <w:vAlign w:val="bottom"/>
            <w:tcBorders>
              <w:bottom w:val="single" w:sz="8" w:color="666666"/>
            </w:tcBorders>
          </w:tcPr>
          <w:p>
            <w:pPr>
              <w:spacing w:after="0"/>
              <w:rPr>
                <w:sz w:val="10"/>
                <w:szCs w:val="10"/>
                <w:color w:val="auto"/>
              </w:rPr>
            </w:pPr>
          </w:p>
        </w:tc>
        <w:tc>
          <w:tcPr>
            <w:tcW w:w="1680" w:type="dxa"/>
            <w:vAlign w:val="bottom"/>
            <w:tcBorders>
              <w:bottom w:val="single" w:sz="8" w:color="666666"/>
            </w:tcBorders>
          </w:tcPr>
          <w:p>
            <w:pPr>
              <w:spacing w:after="0"/>
              <w:rPr>
                <w:sz w:val="10"/>
                <w:szCs w:val="10"/>
                <w:color w:val="auto"/>
              </w:rPr>
            </w:pPr>
          </w:p>
        </w:tc>
        <w:tc>
          <w:tcPr>
            <w:tcW w:w="1320" w:type="dxa"/>
            <w:vAlign w:val="bottom"/>
            <w:tcBorders>
              <w:bottom w:val="single" w:sz="8" w:color="666666"/>
            </w:tcBorders>
          </w:tcPr>
          <w:p>
            <w:pPr>
              <w:spacing w:after="0"/>
              <w:rPr>
                <w:sz w:val="10"/>
                <w:szCs w:val="10"/>
                <w:color w:val="auto"/>
              </w:rPr>
            </w:pPr>
          </w:p>
        </w:tc>
        <w:tc>
          <w:tcPr>
            <w:tcW w:w="1140" w:type="dxa"/>
            <w:vAlign w:val="bottom"/>
            <w:tcBorders>
              <w:bottom w:val="single" w:sz="8" w:color="666666"/>
            </w:tcBorders>
          </w:tcPr>
          <w:p>
            <w:pPr>
              <w:spacing w:after="0"/>
              <w:rPr>
                <w:sz w:val="10"/>
                <w:szCs w:val="10"/>
                <w:color w:val="auto"/>
              </w:rPr>
            </w:pPr>
          </w:p>
        </w:tc>
        <w:tc>
          <w:tcPr>
            <w:tcW w:w="460" w:type="dxa"/>
            <w:vAlign w:val="bottom"/>
            <w:tcBorders>
              <w:bottom w:val="single" w:sz="8" w:color="666666"/>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Asset quality</w:t>
            </w:r>
          </w:p>
        </w:tc>
        <w:tc>
          <w:tcPr>
            <w:tcW w:w="2380" w:type="dxa"/>
            <w:vAlign w:val="bottom"/>
            <w:tcBorders>
              <w:bottom w:val="single" w:sz="8" w:color="666666"/>
            </w:tcBorders>
          </w:tcPr>
          <w:p>
            <w:pPr>
              <w:spacing w:after="0"/>
              <w:rPr>
                <w:sz w:val="14"/>
                <w:szCs w:val="14"/>
                <w:color w:val="auto"/>
              </w:rPr>
            </w:pPr>
          </w:p>
        </w:tc>
        <w:tc>
          <w:tcPr>
            <w:tcW w:w="1680" w:type="dxa"/>
            <w:vAlign w:val="bottom"/>
            <w:tcBorders>
              <w:bottom w:val="single" w:sz="8" w:color="666666"/>
            </w:tcBorders>
          </w:tcPr>
          <w:p>
            <w:pPr>
              <w:spacing w:after="0"/>
              <w:rPr>
                <w:sz w:val="14"/>
                <w:szCs w:val="14"/>
                <w:color w:val="auto"/>
              </w:rPr>
            </w:pPr>
          </w:p>
        </w:tc>
        <w:tc>
          <w:tcPr>
            <w:tcW w:w="132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Impaired loans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3.0</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3.2</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3.1</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Growth in gross loans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0.5</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-2.5</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0.7</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Loan loss allowances/impaired loans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182.4</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177.1</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170.4</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Loan impairment charges/average gross loans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2.4</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2.5</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1.2</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666666"/>
            </w:tcBorders>
          </w:tcPr>
          <w:p>
            <w:pPr>
              <w:spacing w:after="0"/>
              <w:rPr>
                <w:sz w:val="10"/>
                <w:szCs w:val="10"/>
                <w:color w:val="auto"/>
              </w:rPr>
            </w:pPr>
          </w:p>
        </w:tc>
        <w:tc>
          <w:tcPr>
            <w:tcW w:w="2380" w:type="dxa"/>
            <w:vAlign w:val="bottom"/>
            <w:tcBorders>
              <w:bottom w:val="single" w:sz="8" w:color="666666"/>
            </w:tcBorders>
          </w:tcPr>
          <w:p>
            <w:pPr>
              <w:spacing w:after="0"/>
              <w:rPr>
                <w:sz w:val="10"/>
                <w:szCs w:val="10"/>
                <w:color w:val="auto"/>
              </w:rPr>
            </w:pPr>
          </w:p>
        </w:tc>
        <w:tc>
          <w:tcPr>
            <w:tcW w:w="1680" w:type="dxa"/>
            <w:vAlign w:val="bottom"/>
            <w:tcBorders>
              <w:bottom w:val="single" w:sz="8" w:color="666666"/>
            </w:tcBorders>
          </w:tcPr>
          <w:p>
            <w:pPr>
              <w:spacing w:after="0"/>
              <w:rPr>
                <w:sz w:val="10"/>
                <w:szCs w:val="10"/>
                <w:color w:val="auto"/>
              </w:rPr>
            </w:pPr>
          </w:p>
        </w:tc>
        <w:tc>
          <w:tcPr>
            <w:tcW w:w="1320" w:type="dxa"/>
            <w:vAlign w:val="bottom"/>
            <w:tcBorders>
              <w:bottom w:val="single" w:sz="8" w:color="666666"/>
            </w:tcBorders>
          </w:tcPr>
          <w:p>
            <w:pPr>
              <w:spacing w:after="0"/>
              <w:rPr>
                <w:sz w:val="10"/>
                <w:szCs w:val="10"/>
                <w:color w:val="auto"/>
              </w:rPr>
            </w:pPr>
          </w:p>
        </w:tc>
        <w:tc>
          <w:tcPr>
            <w:tcW w:w="1140" w:type="dxa"/>
            <w:vAlign w:val="bottom"/>
            <w:tcBorders>
              <w:bottom w:val="single" w:sz="8" w:color="666666"/>
            </w:tcBorders>
          </w:tcPr>
          <w:p>
            <w:pPr>
              <w:spacing w:after="0"/>
              <w:rPr>
                <w:sz w:val="10"/>
                <w:szCs w:val="10"/>
                <w:color w:val="auto"/>
              </w:rPr>
            </w:pPr>
          </w:p>
        </w:tc>
        <w:tc>
          <w:tcPr>
            <w:tcW w:w="460" w:type="dxa"/>
            <w:vAlign w:val="bottom"/>
            <w:tcBorders>
              <w:bottom w:val="single" w:sz="8" w:color="666666"/>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Capitalization</w:t>
            </w:r>
          </w:p>
        </w:tc>
        <w:tc>
          <w:tcPr>
            <w:tcW w:w="2380" w:type="dxa"/>
            <w:vAlign w:val="bottom"/>
            <w:tcBorders>
              <w:bottom w:val="single" w:sz="8" w:color="666666"/>
            </w:tcBorders>
          </w:tcPr>
          <w:p>
            <w:pPr>
              <w:spacing w:after="0"/>
              <w:rPr>
                <w:sz w:val="14"/>
                <w:szCs w:val="14"/>
                <w:color w:val="auto"/>
              </w:rPr>
            </w:pPr>
          </w:p>
        </w:tc>
        <w:tc>
          <w:tcPr>
            <w:tcW w:w="1680" w:type="dxa"/>
            <w:vAlign w:val="bottom"/>
            <w:tcBorders>
              <w:bottom w:val="single" w:sz="8" w:color="666666"/>
            </w:tcBorders>
          </w:tcPr>
          <w:p>
            <w:pPr>
              <w:spacing w:after="0"/>
              <w:rPr>
                <w:sz w:val="14"/>
                <w:szCs w:val="14"/>
                <w:color w:val="auto"/>
              </w:rPr>
            </w:pPr>
          </w:p>
        </w:tc>
        <w:tc>
          <w:tcPr>
            <w:tcW w:w="132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Common equity Tier 1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Fully loaded common equity Tier 1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Fitch Core Capital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Tangible common equity/tangible assets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12.5</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12.7</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11.4</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Basel leverage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impaired loans/common equity Tier 1</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-11.6</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-20.2</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impaired loans/Fitch Core Capital</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-12.1</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-12.2</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-17.6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666666"/>
            </w:tcBorders>
          </w:tcPr>
          <w:p>
            <w:pPr>
              <w:spacing w:after="0"/>
              <w:rPr>
                <w:sz w:val="10"/>
                <w:szCs w:val="10"/>
                <w:color w:val="auto"/>
              </w:rPr>
            </w:pPr>
          </w:p>
        </w:tc>
        <w:tc>
          <w:tcPr>
            <w:tcW w:w="2380" w:type="dxa"/>
            <w:vAlign w:val="bottom"/>
            <w:tcBorders>
              <w:bottom w:val="single" w:sz="8" w:color="666666"/>
            </w:tcBorders>
          </w:tcPr>
          <w:p>
            <w:pPr>
              <w:spacing w:after="0"/>
              <w:rPr>
                <w:sz w:val="10"/>
                <w:szCs w:val="10"/>
                <w:color w:val="auto"/>
              </w:rPr>
            </w:pPr>
          </w:p>
        </w:tc>
        <w:tc>
          <w:tcPr>
            <w:tcW w:w="1680" w:type="dxa"/>
            <w:vAlign w:val="bottom"/>
            <w:tcBorders>
              <w:bottom w:val="single" w:sz="8" w:color="666666"/>
            </w:tcBorders>
          </w:tcPr>
          <w:p>
            <w:pPr>
              <w:spacing w:after="0"/>
              <w:rPr>
                <w:sz w:val="10"/>
                <w:szCs w:val="10"/>
                <w:color w:val="auto"/>
              </w:rPr>
            </w:pPr>
          </w:p>
        </w:tc>
        <w:tc>
          <w:tcPr>
            <w:tcW w:w="1320" w:type="dxa"/>
            <w:vAlign w:val="bottom"/>
            <w:tcBorders>
              <w:bottom w:val="single" w:sz="8" w:color="666666"/>
            </w:tcBorders>
          </w:tcPr>
          <w:p>
            <w:pPr>
              <w:spacing w:after="0"/>
              <w:rPr>
                <w:sz w:val="10"/>
                <w:szCs w:val="10"/>
                <w:color w:val="auto"/>
              </w:rPr>
            </w:pPr>
          </w:p>
        </w:tc>
        <w:tc>
          <w:tcPr>
            <w:tcW w:w="1140" w:type="dxa"/>
            <w:vAlign w:val="bottom"/>
            <w:tcBorders>
              <w:bottom w:val="single" w:sz="8" w:color="666666"/>
            </w:tcBorders>
          </w:tcPr>
          <w:p>
            <w:pPr>
              <w:spacing w:after="0"/>
              <w:rPr>
                <w:sz w:val="10"/>
                <w:szCs w:val="10"/>
                <w:color w:val="auto"/>
              </w:rPr>
            </w:pPr>
          </w:p>
        </w:tc>
        <w:tc>
          <w:tcPr>
            <w:tcW w:w="460" w:type="dxa"/>
            <w:vAlign w:val="bottom"/>
            <w:tcBorders>
              <w:bottom w:val="single" w:sz="8" w:color="666666"/>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b w:val="1"/>
                <w:bCs w:val="1"/>
                <w:color w:val="333333"/>
              </w:rPr>
              <w:t>Funding and liquidity</w:t>
            </w:r>
          </w:p>
        </w:tc>
        <w:tc>
          <w:tcPr>
            <w:tcW w:w="2380" w:type="dxa"/>
            <w:vAlign w:val="bottom"/>
            <w:tcBorders>
              <w:bottom w:val="single" w:sz="8" w:color="666666"/>
            </w:tcBorders>
          </w:tcPr>
          <w:p>
            <w:pPr>
              <w:spacing w:after="0"/>
              <w:rPr>
                <w:sz w:val="14"/>
                <w:szCs w:val="14"/>
                <w:color w:val="auto"/>
              </w:rPr>
            </w:pPr>
          </w:p>
        </w:tc>
        <w:tc>
          <w:tcPr>
            <w:tcW w:w="1680" w:type="dxa"/>
            <w:vAlign w:val="bottom"/>
            <w:tcBorders>
              <w:bottom w:val="single" w:sz="8" w:color="666666"/>
            </w:tcBorders>
          </w:tcPr>
          <w:p>
            <w:pPr>
              <w:spacing w:after="0"/>
              <w:rPr>
                <w:sz w:val="14"/>
                <w:szCs w:val="14"/>
                <w:color w:val="auto"/>
              </w:rPr>
            </w:pPr>
          </w:p>
        </w:tc>
        <w:tc>
          <w:tcPr>
            <w:tcW w:w="1320" w:type="dxa"/>
            <w:vAlign w:val="bottom"/>
            <w:tcBorders>
              <w:bottom w:val="single" w:sz="8" w:color="666666"/>
            </w:tcBorders>
          </w:tcPr>
          <w:p>
            <w:pPr>
              <w:spacing w:after="0"/>
              <w:rPr>
                <w:sz w:val="14"/>
                <w:szCs w:val="14"/>
                <w:color w:val="auto"/>
              </w:rPr>
            </w:pP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Gross loans/customer deposits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90.7</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99.0</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102.1</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99.6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Gross loans/customer deposits + covered bonds</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Liquidity coverage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Customer deposits/total non-equity funding</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80.7</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79.0</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78.2</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75.3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Net stable funding ratio</w:t>
            </w:r>
          </w:p>
        </w:tc>
        <w:tc>
          <w:tcPr>
            <w:tcW w:w="23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680" w:type="dxa"/>
            <w:vAlign w:val="bottom"/>
            <w:tcBorders>
              <w:bottom w:val="single" w:sz="8" w:color="666666"/>
            </w:tcBorders>
          </w:tcPr>
          <w:p>
            <w:pPr>
              <w:jc w:val="right"/>
              <w:ind w:right="368"/>
              <w:spacing w:after="0"/>
              <w:rPr>
                <w:sz w:val="20"/>
                <w:szCs w:val="20"/>
                <w:color w:val="auto"/>
              </w:rPr>
            </w:pPr>
            <w:r>
              <w:rPr>
                <w:rFonts w:ascii="Times New Roman" w:cs="Times New Roman" w:eastAsia="Times New Roman" w:hAnsi="Times New Roman"/>
                <w:sz w:val="14"/>
                <w:szCs w:val="14"/>
                <w:color w:val="333333"/>
              </w:rPr>
              <w:t>N.A.</w:t>
            </w:r>
          </w:p>
        </w:tc>
        <w:tc>
          <w:tcPr>
            <w:tcW w:w="1320" w:type="dxa"/>
            <w:vAlign w:val="bottom"/>
            <w:tcBorders>
              <w:bottom w:val="single" w:sz="8" w:color="666666"/>
            </w:tcBorders>
          </w:tcPr>
          <w:p>
            <w:pPr>
              <w:jc w:val="right"/>
              <w:ind w:right="8"/>
              <w:spacing w:after="0"/>
              <w:rPr>
                <w:sz w:val="20"/>
                <w:szCs w:val="20"/>
                <w:color w:val="auto"/>
              </w:rPr>
            </w:pPr>
            <w:r>
              <w:rPr>
                <w:rFonts w:ascii="Times New Roman" w:cs="Times New Roman" w:eastAsia="Times New Roman" w:hAnsi="Times New Roman"/>
                <w:sz w:val="14"/>
                <w:szCs w:val="14"/>
                <w:color w:val="333333"/>
              </w:rPr>
              <w:t>N.A.</w:t>
            </w:r>
          </w:p>
        </w:tc>
        <w:tc>
          <w:tcPr>
            <w:tcW w:w="1140" w:type="dxa"/>
            <w:vAlign w:val="bottom"/>
            <w:tcBorders>
              <w:bottom w:val="single" w:sz="8" w:color="666666"/>
            </w:tcBorders>
          </w:tcPr>
          <w:p>
            <w:pPr>
              <w:spacing w:after="0"/>
              <w:rPr>
                <w:sz w:val="14"/>
                <w:szCs w:val="14"/>
                <w:color w:val="auto"/>
              </w:rPr>
            </w:pPr>
          </w:p>
        </w:tc>
        <w:tc>
          <w:tcPr>
            <w:tcW w:w="460" w:type="dxa"/>
            <w:vAlign w:val="bottom"/>
            <w:tcBorders>
              <w:bottom w:val="single" w:sz="8" w:color="666666"/>
            </w:tcBorders>
          </w:tcPr>
          <w:p>
            <w:pPr>
              <w:jc w:val="right"/>
              <w:spacing w:after="0"/>
              <w:rPr>
                <w:sz w:val="20"/>
                <w:szCs w:val="20"/>
                <w:color w:val="auto"/>
              </w:rPr>
            </w:pPr>
            <w:r>
              <w:rPr>
                <w:rFonts w:ascii="Times New Roman" w:cs="Times New Roman" w:eastAsia="Times New Roman" w:hAnsi="Times New Roman"/>
                <w:sz w:val="14"/>
                <w:szCs w:val="14"/>
                <w:color w:val="333333"/>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333333"/>
              </w:rPr>
              <w:t>N.A. – Not applicable</w:t>
            </w: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60" w:type="dxa"/>
            <w:vAlign w:val="bottom"/>
            <w:tcBorders>
              <w:bottom w:val="single" w:sz="8" w:color="666666"/>
            </w:tcBorders>
          </w:tcPr>
          <w:p>
            <w:pPr>
              <w:ind w:left="20"/>
              <w:spacing w:after="0"/>
              <w:rPr>
                <w:sz w:val="20"/>
                <w:szCs w:val="20"/>
                <w:color w:val="auto"/>
              </w:rPr>
            </w:pPr>
            <w:r>
              <w:rPr>
                <w:rFonts w:ascii="Times New Roman" w:cs="Times New Roman" w:eastAsia="Times New Roman" w:hAnsi="Times New Roman"/>
                <w:sz w:val="14"/>
                <w:szCs w:val="14"/>
                <w:color w:val="333333"/>
              </w:rPr>
              <w:t>Source: Fitch Ratings, Fitch Solutions, Credicorp Ltd.</w:t>
            </w:r>
          </w:p>
        </w:tc>
        <w:tc>
          <w:tcPr>
            <w:tcW w:w="2380" w:type="dxa"/>
            <w:vAlign w:val="bottom"/>
            <w:tcBorders>
              <w:bottom w:val="single" w:sz="8" w:color="666666"/>
            </w:tcBorders>
          </w:tcPr>
          <w:p>
            <w:pPr>
              <w:spacing w:after="0"/>
              <w:rPr>
                <w:sz w:val="16"/>
                <w:szCs w:val="16"/>
                <w:color w:val="auto"/>
              </w:rPr>
            </w:pPr>
          </w:p>
        </w:tc>
        <w:tc>
          <w:tcPr>
            <w:tcW w:w="1680" w:type="dxa"/>
            <w:vAlign w:val="bottom"/>
            <w:tcBorders>
              <w:bottom w:val="single" w:sz="8" w:color="666666"/>
            </w:tcBorders>
          </w:tcPr>
          <w:p>
            <w:pPr>
              <w:spacing w:after="0"/>
              <w:rPr>
                <w:sz w:val="16"/>
                <w:szCs w:val="16"/>
                <w:color w:val="auto"/>
              </w:rPr>
            </w:pPr>
          </w:p>
        </w:tc>
        <w:tc>
          <w:tcPr>
            <w:tcW w:w="1320" w:type="dxa"/>
            <w:vAlign w:val="bottom"/>
            <w:tcBorders>
              <w:bottom w:val="single" w:sz="8" w:color="666666"/>
            </w:tcBorders>
          </w:tcPr>
          <w:p>
            <w:pPr>
              <w:spacing w:after="0"/>
              <w:rPr>
                <w:sz w:val="16"/>
                <w:szCs w:val="16"/>
                <w:color w:val="auto"/>
              </w:rPr>
            </w:pPr>
          </w:p>
        </w:tc>
        <w:tc>
          <w:tcPr>
            <w:tcW w:w="1140" w:type="dxa"/>
            <w:vAlign w:val="bottom"/>
            <w:tcBorders>
              <w:bottom w:val="single" w:sz="8" w:color="666666"/>
            </w:tcBorders>
          </w:tcPr>
          <w:p>
            <w:pPr>
              <w:spacing w:after="0"/>
              <w:rPr>
                <w:sz w:val="16"/>
                <w:szCs w:val="16"/>
                <w:color w:val="auto"/>
              </w:rPr>
            </w:pPr>
          </w:p>
        </w:tc>
        <w:tc>
          <w:tcPr>
            <w:tcW w:w="460" w:type="dxa"/>
            <w:vAlign w:val="bottom"/>
            <w:tcBorders>
              <w:bottom w:val="single" w:sz="8" w:color="666666"/>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260" w:type="dxa"/>
            <w:vAlign w:val="bottom"/>
            <w:tcBorders>
              <w:bottom w:val="single" w:sz="8" w:color="666666"/>
            </w:tcBorders>
          </w:tcPr>
          <w:p>
            <w:pPr>
              <w:spacing w:after="0"/>
              <w:rPr>
                <w:sz w:val="24"/>
                <w:szCs w:val="24"/>
                <w:color w:val="auto"/>
              </w:rPr>
            </w:pPr>
          </w:p>
        </w:tc>
        <w:tc>
          <w:tcPr>
            <w:tcW w:w="238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1320" w:type="dxa"/>
            <w:vAlign w:val="bottom"/>
            <w:tcBorders>
              <w:bottom w:val="single" w:sz="8" w:color="666666"/>
            </w:tcBorders>
          </w:tcPr>
          <w:p>
            <w:pPr>
              <w:spacing w:after="0"/>
              <w:rPr>
                <w:sz w:val="24"/>
                <w:szCs w:val="24"/>
                <w:color w:val="auto"/>
              </w:rPr>
            </w:pPr>
          </w:p>
        </w:tc>
        <w:tc>
          <w:tcPr>
            <w:tcW w:w="1140" w:type="dxa"/>
            <w:vAlign w:val="bottom"/>
            <w:tcBorders>
              <w:bottom w:val="single" w:sz="8" w:color="666666"/>
            </w:tcBorders>
          </w:tcPr>
          <w:p>
            <w:pPr>
              <w:spacing w:after="0"/>
              <w:rPr>
                <w:sz w:val="24"/>
                <w:szCs w:val="24"/>
                <w:color w:val="auto"/>
              </w:rPr>
            </w:pPr>
          </w:p>
        </w:tc>
        <w:tc>
          <w:tcPr>
            <w:tcW w:w="460" w:type="dxa"/>
            <w:vAlign w:val="bottom"/>
            <w:tcBorders>
              <w:bottom w:val="single" w:sz="8" w:color="66666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Credicorp Ltd.</w:t>
            </w:r>
          </w:p>
        </w:tc>
        <w:tc>
          <w:tcPr>
            <w:tcW w:w="2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fitchratings.com</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Update │ July 1, 2025</w:t>
            </w:r>
          </w:p>
        </w:tc>
        <w:tc>
          <w:tcPr>
            <w:tcW w:w="2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9690"/>
                    </a:xfrm>
                    <a:prstGeom prst="rect">
                      <a:avLst/>
                    </a:prstGeom>
                    <a:noFill/>
                  </pic:spPr>
                </pic:pic>
              </a:graphicData>
            </a:graphic>
          </wp:anchor>
        </w:drawing>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0302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020" cy="25717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Bank Holding Companies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CC0033"/>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SOLICITATION &amp; PARTICIPATION STATUS</w:t>
      </w:r>
    </w:p>
    <w:p>
      <w:pPr>
        <w:spacing w:after="0" w:line="105" w:lineRule="exact"/>
        <w:rPr>
          <w:sz w:val="20"/>
          <w:szCs w:val="20"/>
          <w:color w:val="auto"/>
        </w:rPr>
      </w:pPr>
    </w:p>
    <w:p>
      <w:pPr>
        <w:ind w:right="2360"/>
        <w:spacing w:after="0" w:line="278" w:lineRule="auto"/>
        <w:rPr>
          <w:sz w:val="20"/>
          <w:szCs w:val="20"/>
          <w:color w:val="auto"/>
        </w:rPr>
      </w:pPr>
      <w:r>
        <w:rPr>
          <w:rFonts w:ascii="Times New Roman" w:cs="Times New Roman" w:eastAsia="Times New Roman" w:hAnsi="Times New Roman"/>
          <w:sz w:val="13"/>
          <w:szCs w:val="13"/>
          <w:color w:val="333333"/>
        </w:rPr>
        <w:t>For information on the solicitation status of the ratings included within this report, please refer to the solicitation status shown in the relevant entity’s summary page of the Fitch Ratings website.</w:t>
      </w:r>
    </w:p>
    <w:p>
      <w:pPr>
        <w:spacing w:after="0" w:line="59" w:lineRule="exact"/>
        <w:rPr>
          <w:sz w:val="20"/>
          <w:szCs w:val="20"/>
          <w:color w:val="auto"/>
        </w:rPr>
      </w:pPr>
    </w:p>
    <w:p>
      <w:pPr>
        <w:ind w:right="2620"/>
        <w:spacing w:after="0" w:line="278" w:lineRule="auto"/>
        <w:rPr>
          <w:sz w:val="20"/>
          <w:szCs w:val="20"/>
          <w:color w:val="auto"/>
        </w:rPr>
      </w:pPr>
      <w:r>
        <w:rPr>
          <w:rFonts w:ascii="Times New Roman" w:cs="Times New Roman" w:eastAsia="Times New Roman" w:hAnsi="Times New Roman"/>
          <w:sz w:val="13"/>
          <w:szCs w:val="13"/>
          <w:color w:val="333333"/>
        </w:rPr>
        <w:t>For information on the participation status in the rating process of an issuer listed in this report, please refer to the most recent rating action commentary for the relevant issuer, available on the Fitch Ratings website.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333333"/>
        </w:rPr>
        <w:t>DISCLAIMER &amp; DISCLOSURES</w:t>
      </w:r>
    </w:p>
    <w:p>
      <w:pPr>
        <w:spacing w:after="0" w:line="107" w:lineRule="exact"/>
        <w:rPr>
          <w:sz w:val="20"/>
          <w:szCs w:val="20"/>
          <w:color w:val="auto"/>
        </w:rPr>
      </w:pPr>
    </w:p>
    <w:p>
      <w:pPr>
        <w:jc w:val="both"/>
        <w:ind w:right="2240"/>
        <w:spacing w:after="0" w:line="244" w:lineRule="auto"/>
        <w:rPr>
          <w:sz w:val="20"/>
          <w:szCs w:val="20"/>
          <w:color w:val="auto"/>
        </w:rPr>
      </w:pPr>
      <w:r>
        <w:rPr>
          <w:rFonts w:ascii="Times New Roman" w:cs="Times New Roman" w:eastAsia="Times New Roman" w:hAnsi="Times New Roman"/>
          <w:sz w:val="13"/>
          <w:szCs w:val="13"/>
          <w:color w:val="333333"/>
        </w:rPr>
        <w:t xml:space="preserve">All Fitch Ratings (Fitch) credit ratings are subject to certain limitations and disclaimers. Please read these limitations and disclaimers by following this link: </w:t>
      </w:r>
      <w:r>
        <w:rPr>
          <w:rFonts w:ascii="Times New Roman" w:cs="Times New Roman" w:eastAsia="Times New Roman" w:hAnsi="Times New Roman"/>
          <w:sz w:val="13"/>
          <w:szCs w:val="13"/>
          <w:color w:val="1A6BB4"/>
        </w:rPr>
        <w:t>https://www.fitchratings.com/understandingcreditratings</w:t>
      </w:r>
      <w:r>
        <w:rPr>
          <w:rFonts w:ascii="Times New Roman" w:cs="Times New Roman" w:eastAsia="Times New Roman" w:hAnsi="Times New Roman"/>
          <w:sz w:val="13"/>
          <w:szCs w:val="13"/>
          <w:color w:val="333333"/>
        </w:rPr>
        <w:t>. In addition, the following</w:t>
      </w:r>
      <w:r>
        <w:rPr>
          <w:rFonts w:ascii="Times New Roman" w:cs="Times New Roman" w:eastAsia="Times New Roman" w:hAnsi="Times New Roman"/>
          <w:sz w:val="13"/>
          <w:szCs w:val="13"/>
          <w:color w:val="1A6BB4"/>
        </w:rPr>
        <w:t xml:space="preserve"> https://www.fitchratings.com/rating-definitions-document </w:t>
      </w:r>
      <w:r>
        <w:rPr>
          <w:rFonts w:ascii="Times New Roman" w:cs="Times New Roman" w:eastAsia="Times New Roman" w:hAnsi="Times New Roman"/>
          <w:sz w:val="13"/>
          <w:szCs w:val="13"/>
          <w:color w:val="333333"/>
        </w:rPr>
        <w:t>details Fitch’s rating</w:t>
      </w:r>
      <w:r>
        <w:rPr>
          <w:rFonts w:ascii="Times New Roman" w:cs="Times New Roman" w:eastAsia="Times New Roman" w:hAnsi="Times New Roman"/>
          <w:sz w:val="13"/>
          <w:szCs w:val="13"/>
          <w:color w:val="1A6BB4"/>
        </w:rPr>
        <w:t xml:space="preserve"> </w:t>
      </w:r>
      <w:r>
        <w:rPr>
          <w:rFonts w:ascii="Times New Roman" w:cs="Times New Roman" w:eastAsia="Times New Roman" w:hAnsi="Times New Roman"/>
          <w:sz w:val="13"/>
          <w:szCs w:val="13"/>
          <w:color w:val="333333"/>
        </w:rPr>
        <w:t xml:space="preserve">definitions for each rating scale and rating categories, including definitions relating to default. 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w:t>
      </w:r>
      <w:r>
        <w:rPr>
          <w:rFonts w:ascii="Times New Roman" w:cs="Times New Roman" w:eastAsia="Times New Roman" w:hAnsi="Times New Roman"/>
          <w:sz w:val="13"/>
          <w:szCs w:val="13"/>
          <w:color w:val="1A6BB4"/>
        </w:rPr>
        <w:t>https://www.fitchratings.com/site/regulatory</w:t>
      </w:r>
      <w:r>
        <w:rPr>
          <w:rFonts w:ascii="Times New Roman" w:cs="Times New Roman" w:eastAsia="Times New Roman" w:hAnsi="Times New Roman"/>
          <w:sz w:val="13"/>
          <w:szCs w:val="13"/>
          <w:color w:val="333333"/>
        </w:rPr>
        <w:t>.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spacing w:after="0" w:line="231" w:lineRule="exact"/>
        <w:rPr>
          <w:sz w:val="20"/>
          <w:szCs w:val="20"/>
          <w:color w:val="auto"/>
        </w:rPr>
      </w:pPr>
    </w:p>
    <w:p>
      <w:pPr>
        <w:jc w:val="both"/>
        <w:ind w:right="2240"/>
        <w:spacing w:after="0" w:line="233" w:lineRule="auto"/>
        <w:rPr>
          <w:sz w:val="20"/>
          <w:szCs w:val="20"/>
          <w:color w:val="auto"/>
        </w:rPr>
      </w:pPr>
      <w:r>
        <w:rPr>
          <w:rFonts w:ascii="Times New Roman" w:cs="Times New Roman" w:eastAsia="Times New Roman" w:hAnsi="Times New Roman"/>
          <w:sz w:val="11"/>
          <w:szCs w:val="11"/>
          <w:color w:val="333333"/>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 Fitch Ratings makes routine, commonly-accepted adjustments to reported financial data in accordance with the relevant criteria and/or industry standards to provide financial metric consistency for entities in the same sector or asset class.</w:t>
      </w:r>
    </w:p>
    <w:p>
      <w:pPr>
        <w:spacing w:after="0" w:line="105" w:lineRule="exact"/>
        <w:rPr>
          <w:sz w:val="20"/>
          <w:szCs w:val="20"/>
          <w:color w:val="auto"/>
        </w:rPr>
      </w:pPr>
    </w:p>
    <w:p>
      <w:pPr>
        <w:jc w:val="both"/>
        <w:ind w:right="2240"/>
        <w:spacing w:after="0" w:line="258" w:lineRule="auto"/>
        <w:rPr>
          <w:sz w:val="20"/>
          <w:szCs w:val="20"/>
          <w:color w:val="auto"/>
        </w:rPr>
      </w:pPr>
      <w:r>
        <w:rPr>
          <w:rFonts w:ascii="Times New Roman" w:cs="Times New Roman" w:eastAsia="Times New Roman" w:hAnsi="Times New Roman"/>
          <w:sz w:val="10"/>
          <w:szCs w:val="10"/>
          <w:color w:val="333333"/>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218" w:lineRule="exact"/>
        <w:rPr>
          <w:sz w:val="20"/>
          <w:szCs w:val="20"/>
          <w:color w:val="auto"/>
        </w:rPr>
      </w:pPr>
    </w:p>
    <w:p>
      <w:pPr>
        <w:jc w:val="both"/>
        <w:ind w:right="2240"/>
        <w:spacing w:after="0" w:line="256" w:lineRule="auto"/>
        <w:rPr>
          <w:sz w:val="20"/>
          <w:szCs w:val="20"/>
          <w:color w:val="auto"/>
        </w:rPr>
      </w:pPr>
      <w:r>
        <w:rPr>
          <w:rFonts w:ascii="Times New Roman" w:cs="Times New Roman" w:eastAsia="Times New Roman" w:hAnsi="Times New Roman"/>
          <w:sz w:val="11"/>
          <w:szCs w:val="11"/>
          <w:color w:val="333333"/>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spacing w:after="0" w:line="95" w:lineRule="exact"/>
        <w:rPr>
          <w:sz w:val="20"/>
          <w:szCs w:val="20"/>
          <w:color w:val="auto"/>
        </w:rPr>
      </w:pPr>
    </w:p>
    <w:p>
      <w:pPr>
        <w:jc w:val="both"/>
        <w:ind w:right="2240"/>
        <w:spacing w:after="0" w:line="239" w:lineRule="auto"/>
        <w:rPr>
          <w:sz w:val="20"/>
          <w:szCs w:val="20"/>
          <w:color w:val="auto"/>
        </w:rPr>
      </w:pPr>
      <w:r>
        <w:rPr>
          <w:rFonts w:ascii="Times New Roman" w:cs="Times New Roman" w:eastAsia="Times New Roman" w:hAnsi="Times New Roman"/>
          <w:sz w:val="11"/>
          <w:szCs w:val="11"/>
          <w:color w:val="333333"/>
        </w:rPr>
        <w:t xml:space="preserve">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w:t>
      </w:r>
      <w:r>
        <w:rPr>
          <w:rFonts w:ascii="Times New Roman" w:cs="Times New Roman" w:eastAsia="Times New Roman" w:hAnsi="Times New Roman"/>
          <w:sz w:val="11"/>
          <w:szCs w:val="11"/>
          <w:color w:val="1A6BB4"/>
        </w:rPr>
        <w:t>https://www.fitchratings.com/site/regulatory</w:t>
      </w:r>
      <w:r>
        <w:rPr>
          <w:rFonts w:ascii="Times New Roman" w:cs="Times New Roman" w:eastAsia="Times New Roman" w:hAnsi="Times New Roman"/>
          <w:sz w:val="11"/>
          <w:szCs w:val="11"/>
          <w:color w:val="333333"/>
        </w:rPr>
        <w:t>),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104" w:lineRule="exact"/>
        <w:rPr>
          <w:sz w:val="20"/>
          <w:szCs w:val="20"/>
          <w:color w:val="auto"/>
        </w:rPr>
      </w:pPr>
    </w:p>
    <w:p>
      <w:pPr>
        <w:jc w:val="both"/>
        <w:ind w:right="2240"/>
        <w:spacing w:after="0" w:line="256" w:lineRule="auto"/>
        <w:rPr>
          <w:sz w:val="20"/>
          <w:szCs w:val="20"/>
          <w:color w:val="auto"/>
        </w:rPr>
      </w:pPr>
      <w:r>
        <w:rPr>
          <w:rFonts w:ascii="Times New Roman" w:cs="Times New Roman" w:eastAsia="Times New Roman" w:hAnsi="Times New Roman"/>
          <w:sz w:val="11"/>
          <w:szCs w:val="11"/>
          <w:color w:val="333333"/>
        </w:rPr>
        <w:t>Copyright © 2025 by Fitch Ratings, Inc., Fitch Ratings Ltd. and its subsidiaries. 33 Whitehall Street, NY, NY 10004. Telephone: 1-800-753-4824, (212) 908-0500. Reproduction or retransmission in whole or in part is prohibited except by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Credicorp Ltd.</w:t>
            </w:r>
          </w:p>
        </w:tc>
        <w:tc>
          <w:tcPr>
            <w:tcW w:w="5400" w:type="dxa"/>
            <w:vAlign w:val="bottom"/>
            <w:vMerge w:val="restart"/>
          </w:tcPr>
          <w:p>
            <w:pPr>
              <w:ind w:left="4220"/>
              <w:spacing w:after="0"/>
              <w:rPr>
                <w:sz w:val="20"/>
                <w:szCs w:val="20"/>
                <w:color w:val="auto"/>
              </w:rPr>
            </w:pPr>
            <w:r>
              <w:rPr>
                <w:rFonts w:ascii="Times New Roman" w:cs="Times New Roman" w:eastAsia="Times New Roman" w:hAnsi="Times New Roman"/>
                <w:sz w:val="14"/>
                <w:szCs w:val="14"/>
                <w:color w:val="auto"/>
              </w:rPr>
              <w:t>fitchratings.com</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Update │ July 1, 2025</w:t>
            </w:r>
          </w:p>
        </w:tc>
        <w:tc>
          <w:tcPr>
            <w:tcW w:w="54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2025-07-02T15:13:34Z</dcterms:created>
  <dcterms:modified xsi:type="dcterms:W3CDTF">2025-07-02T15:13:34Z</dcterms:modified>
</cp:coreProperties>
</file>