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wp:posOffset>
            </wp:positionH>
            <wp:positionV relativeFrom="paragraph">
              <wp:posOffset>228600</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FORM 6-K</w:t>
      </w:r>
    </w:p>
    <w:p>
      <w:pPr>
        <w:spacing w:after="0" w:line="256"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Pursuant to Rule 13a-16 or 15d-16 of the</w:t>
      </w:r>
    </w:p>
    <w:p>
      <w:pPr>
        <w:spacing w:after="0" w:line="9"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Securities Exchange Act of 1934</w:t>
      </w:r>
    </w:p>
    <w:p>
      <w:pPr>
        <w:spacing w:after="0" w:line="234"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For the month of November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wp:posOffset>
            </wp:positionH>
            <wp:positionV relativeFrom="paragraph">
              <wp:posOffset>240665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CREDICORP LTD.</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(Exact name of registrant as specified in its charter)</w:t>
      </w:r>
    </w:p>
    <w:p>
      <w:pPr>
        <w:spacing w:after="0" w:line="234"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(Address of principal executive office)</w:t>
      </w:r>
    </w:p>
    <w:p>
      <w:pPr>
        <w:spacing w:after="0" w:line="238" w:lineRule="exact"/>
        <w:rPr>
          <w:sz w:val="24"/>
          <w:szCs w:val="24"/>
          <w:color w:val="auto"/>
        </w:rPr>
      </w:pPr>
    </w:p>
    <w:p>
      <w:pPr>
        <w:jc w:val="center"/>
        <w:ind w:right="18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52"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Form 20-F x Form 40-F o</w:t>
      </w:r>
    </w:p>
    <w:p>
      <w:pPr>
        <w:spacing w:after="0" w:line="252" w:lineRule="exact"/>
        <w:rPr>
          <w:sz w:val="24"/>
          <w:szCs w:val="24"/>
          <w:color w:val="auto"/>
        </w:rPr>
      </w:pPr>
    </w:p>
    <w:p>
      <w:pPr>
        <w:jc w:val="cente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7"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Yes o 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544830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700" w:top="229" w:right="599" w:bottom="1440" w:gutter="0" w:footer="0" w:header="0"/>
        </w:sectPr>
      </w:pPr>
    </w:p>
    <w:bookmarkStart w:id="1" w:name="page2"/>
    <w:bookmarkEnd w:id="1"/>
    <w:p>
      <w:pPr>
        <w:jc w:val="center"/>
        <w:ind w:left="3000"/>
        <w:spacing w:after="0"/>
        <w:rPr>
          <w:sz w:val="20"/>
          <w:szCs w:val="20"/>
          <w:color w:val="auto"/>
        </w:rPr>
      </w:pPr>
      <w:r>
        <w:rPr>
          <w:rFonts w:ascii="Arial" w:cs="Arial" w:eastAsia="Arial" w:hAnsi="Arial"/>
          <w:sz w:val="22"/>
          <w:szCs w:val="22"/>
          <w:b w:val="1"/>
          <w:bCs w:val="1"/>
          <w:color w:val="auto"/>
        </w:rPr>
        <w:t>CREDICORP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-125095</wp:posOffset>
            </wp:positionV>
            <wp:extent cx="1895475" cy="8541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95475" cy="8541385"/>
                    </a:xfrm>
                    <a:prstGeom prst="rect">
                      <a:avLst/>
                    </a:prstGeom>
                    <a:noFill/>
                  </pic:spPr>
                </pic:pic>
              </a:graphicData>
            </a:graphic>
          </wp:anchor>
        </w:drawing>
      </w:r>
    </w:p>
    <w:p>
      <w:pPr>
        <w:jc w:val="center"/>
        <w:ind w:left="3000"/>
        <w:spacing w:after="0"/>
        <w:rPr>
          <w:sz w:val="20"/>
          <w:szCs w:val="20"/>
          <w:color w:val="auto"/>
        </w:rPr>
      </w:pPr>
      <w:r>
        <w:rPr>
          <w:rFonts w:ascii="Arial" w:cs="Arial" w:eastAsia="Arial" w:hAnsi="Arial"/>
          <w:sz w:val="22"/>
          <w:szCs w:val="22"/>
          <w:b w:val="1"/>
          <w:bCs w:val="1"/>
          <w:color w:val="auto"/>
        </w:rPr>
        <w:t>Ltd.</w:t>
      </w:r>
    </w:p>
    <w:p>
      <w:pPr>
        <w:jc w:val="center"/>
        <w:ind w:left="3000"/>
        <w:spacing w:after="0"/>
        <w:rPr>
          <w:sz w:val="20"/>
          <w:szCs w:val="20"/>
          <w:color w:val="auto"/>
        </w:rPr>
      </w:pPr>
      <w:r>
        <w:rPr>
          <w:rFonts w:ascii="Arial" w:cs="Arial" w:eastAsia="Arial" w:hAnsi="Arial"/>
          <w:sz w:val="18"/>
          <w:szCs w:val="18"/>
          <w:b w:val="1"/>
          <w:bCs w:val="1"/>
          <w:color w:val="auto"/>
        </w:rPr>
        <w:t>Third Quarter 2010 Results</w:t>
      </w:r>
    </w:p>
    <w:p>
      <w:pPr>
        <w:spacing w:after="0" w:line="232" w:lineRule="exact"/>
        <w:rPr>
          <w:sz w:val="20"/>
          <w:szCs w:val="20"/>
          <w:color w:val="auto"/>
        </w:rPr>
      </w:pPr>
    </w:p>
    <w:p>
      <w:pPr>
        <w:jc w:val="both"/>
        <w:ind w:left="1800" w:right="20"/>
        <w:spacing w:after="0" w:line="347" w:lineRule="auto"/>
        <w:rPr>
          <w:sz w:val="20"/>
          <w:szCs w:val="20"/>
          <w:color w:val="auto"/>
        </w:rPr>
      </w:pPr>
      <w:r>
        <w:rPr>
          <w:rFonts w:ascii="Arial" w:cs="Arial" w:eastAsia="Arial" w:hAnsi="Arial"/>
          <w:sz w:val="16"/>
          <w:szCs w:val="16"/>
          <w:b w:val="1"/>
          <w:bCs w:val="1"/>
          <w:color w:val="auto"/>
        </w:rPr>
        <w:t xml:space="preserve">Lima, Peru, November 10, 2010 - </w:t>
      </w:r>
      <w:r>
        <w:rPr>
          <w:rFonts w:ascii="Arial" w:cs="Arial" w:eastAsia="Arial" w:hAnsi="Arial"/>
          <w:sz w:val="16"/>
          <w:szCs w:val="16"/>
          <w:color w:val="auto"/>
        </w:rPr>
        <w:t>Credicorp (NYSE:BAP) announced today its unaudited results for the third</w:t>
      </w:r>
      <w:r>
        <w:rPr>
          <w:rFonts w:ascii="Arial" w:cs="Arial" w:eastAsia="Arial" w:hAnsi="Arial"/>
          <w:sz w:val="16"/>
          <w:szCs w:val="16"/>
          <w:b w:val="1"/>
          <w:bCs w:val="1"/>
          <w:color w:val="auto"/>
        </w:rPr>
        <w:t xml:space="preserve"> </w:t>
      </w:r>
      <w:r>
        <w:rPr>
          <w:rFonts w:ascii="Arial" w:cs="Arial" w:eastAsia="Arial" w:hAnsi="Arial"/>
          <w:sz w:val="16"/>
          <w:szCs w:val="16"/>
          <w:color w:val="auto"/>
        </w:rPr>
        <w:t>quarter of 2010. These results are reported on a consolidated basis in accordance with IFRS in nominal U.S. Dollars.</w:t>
      </w:r>
    </w:p>
    <w:p>
      <w:pPr>
        <w:spacing w:after="0" w:line="116" w:lineRule="exact"/>
        <w:rPr>
          <w:sz w:val="20"/>
          <w:szCs w:val="20"/>
          <w:color w:val="auto"/>
        </w:rPr>
      </w:pPr>
    </w:p>
    <w:p>
      <w:pPr>
        <w:jc w:val="center"/>
        <w:ind w:left="3000"/>
        <w:spacing w:after="0"/>
        <w:rPr>
          <w:sz w:val="20"/>
          <w:szCs w:val="20"/>
          <w:color w:val="auto"/>
        </w:rPr>
      </w:pPr>
      <w:r>
        <w:rPr>
          <w:rFonts w:ascii="Arial" w:cs="Arial" w:eastAsia="Arial" w:hAnsi="Arial"/>
          <w:sz w:val="18"/>
          <w:szCs w:val="18"/>
          <w:b w:val="1"/>
          <w:bCs w:val="1"/>
          <w:color w:val="auto"/>
        </w:rPr>
        <w:t>HIGHLIGHTS</w:t>
      </w:r>
    </w:p>
    <w:p>
      <w:pPr>
        <w:spacing w:after="0" w:line="229" w:lineRule="exact"/>
        <w:rPr>
          <w:sz w:val="20"/>
          <w:szCs w:val="20"/>
          <w:color w:val="auto"/>
        </w:rPr>
      </w:pPr>
    </w:p>
    <w:p>
      <w:pPr>
        <w:jc w:val="both"/>
        <w:ind w:left="2000" w:hanging="207"/>
        <w:spacing w:after="0" w:line="254" w:lineRule="auto"/>
        <w:tabs>
          <w:tab w:leader="none" w:pos="2000" w:val="left"/>
        </w:tabs>
        <w:numPr>
          <w:ilvl w:val="0"/>
          <w:numId w:val="1"/>
        </w:numPr>
        <w:rPr>
          <w:rFonts w:ascii="Arial" w:cs="Arial" w:eastAsia="Arial" w:hAnsi="Arial"/>
          <w:sz w:val="18"/>
          <w:szCs w:val="18"/>
          <w:color w:val="auto"/>
        </w:rPr>
      </w:pPr>
      <w:r>
        <w:rPr>
          <w:rFonts w:ascii="Arial" w:cs="Arial" w:eastAsia="Arial" w:hAnsi="Arial"/>
          <w:sz w:val="18"/>
          <w:szCs w:val="18"/>
          <w:color w:val="auto"/>
        </w:rPr>
        <w:t>Credicorp reported solid 3Q10 earnings of US$ 156.2 million, which despite being down 3.5% QoQ, reflect a significant improvement in its core net income of around 5% QoQ when excluding the extraordinary non-recurrent income. This is also evidenced by an earnings growth of 28.4% YoY. Performance ratios reflected this good performance reaching 2.5% ROAA and 24.4 % ROAE.</w:t>
      </w:r>
    </w:p>
    <w:p>
      <w:pPr>
        <w:spacing w:after="0" w:line="2" w:lineRule="exact"/>
        <w:rPr>
          <w:rFonts w:ascii="Arial" w:cs="Arial" w:eastAsia="Arial" w:hAnsi="Arial"/>
          <w:sz w:val="18"/>
          <w:szCs w:val="18"/>
          <w:color w:val="auto"/>
        </w:rPr>
      </w:pPr>
    </w:p>
    <w:p>
      <w:pPr>
        <w:jc w:val="both"/>
        <w:ind w:left="2000" w:hanging="207"/>
        <w:spacing w:after="0" w:line="250" w:lineRule="auto"/>
        <w:tabs>
          <w:tab w:leader="none" w:pos="20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These good 3Q results confirm the recovered growth trend of 1H10 leading to a strong total net income attributed to Credicorp for the first 9 months of US$ 442 million, up 27.2% from 2009, and pushing Credicorp´s net earnings for the year 2010 towards the high end of expectations.</w:t>
      </w:r>
    </w:p>
    <w:p>
      <w:pPr>
        <w:spacing w:after="0" w:line="1" w:lineRule="exact"/>
        <w:rPr>
          <w:rFonts w:ascii="Arial" w:cs="Arial" w:eastAsia="Arial" w:hAnsi="Arial"/>
          <w:sz w:val="18"/>
          <w:szCs w:val="18"/>
          <w:color w:val="auto"/>
        </w:rPr>
      </w:pPr>
    </w:p>
    <w:p>
      <w:pPr>
        <w:ind w:left="2000" w:hanging="207"/>
        <w:spacing w:after="0" w:line="250" w:lineRule="auto"/>
        <w:tabs>
          <w:tab w:leader="none" w:pos="20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continuing recovery of economic activity in the Peruvian market is again reflected in Q-end loan balances, which grew 5.6% from last Q accumulating 25.6% loan growth for the year to date.</w:t>
      </w:r>
    </w:p>
    <w:p>
      <w:pPr>
        <w:ind w:left="2000" w:hanging="207"/>
        <w:spacing w:after="0" w:line="250" w:lineRule="auto"/>
        <w:tabs>
          <w:tab w:leader="none" w:pos="2000" w:val="left"/>
        </w:tabs>
        <w:numPr>
          <w:ilvl w:val="0"/>
          <w:numId w:val="1"/>
        </w:numPr>
        <w:rPr>
          <w:rFonts w:ascii="Arial" w:cs="Arial" w:eastAsia="Arial" w:hAnsi="Arial"/>
          <w:sz w:val="18"/>
          <w:szCs w:val="18"/>
          <w:color w:val="auto"/>
        </w:rPr>
      </w:pPr>
      <w:r>
        <w:rPr>
          <w:rFonts w:ascii="Arial" w:cs="Arial" w:eastAsia="Arial" w:hAnsi="Arial"/>
          <w:sz w:val="18"/>
          <w:szCs w:val="18"/>
          <w:color w:val="auto"/>
        </w:rPr>
        <w:t>NII grew 5% this Q keeping pace with loan growth and NIM remained flat at 5%, though some impact on NIMs from our A&amp;L management strategy was evident at BCP.</w:t>
      </w:r>
    </w:p>
    <w:p>
      <w:pPr>
        <w:jc w:val="both"/>
        <w:ind w:left="2000" w:hanging="207"/>
        <w:spacing w:after="0" w:line="250" w:lineRule="auto"/>
        <w:tabs>
          <w:tab w:leader="none" w:pos="200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Non-financial income, excluding the extraordinary non-recurrent gains on the sale of securities of last and the current Qs, was up 7.7% following a strong increase in fee income of 4.9%, and 11.0% growth in gains from FX transactions.</w:t>
      </w:r>
    </w:p>
    <w:p>
      <w:pPr>
        <w:spacing w:after="0" w:line="1" w:lineRule="exact"/>
        <w:rPr>
          <w:rFonts w:ascii="Arial" w:cs="Arial" w:eastAsia="Arial" w:hAnsi="Arial"/>
          <w:sz w:val="18"/>
          <w:szCs w:val="18"/>
          <w:color w:val="auto"/>
        </w:rPr>
      </w:pPr>
    </w:p>
    <w:p>
      <w:pPr>
        <w:jc w:val="both"/>
        <w:ind w:left="2000" w:hanging="207"/>
        <w:spacing w:after="0" w:line="250" w:lineRule="auto"/>
        <w:tabs>
          <w:tab w:leader="none" w:pos="200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 improvement of our PDL ratio to 1.6% in 3Q10 was recorded as the absolute volumes of past due loans dropped and our loan portfolio expanded. Nevertheless, our conservative internal policy on coverage and provisions, as well as regulatory changes that required more provisions resulted in stronger provisions than originally projected reaching US$ 52 million, up 69.3% from last Q. Therefore, our coverage was up to 193.1% from 179.3% of last Q.</w:t>
      </w:r>
    </w:p>
    <w:p>
      <w:pPr>
        <w:spacing w:after="0" w:line="2" w:lineRule="exact"/>
        <w:rPr>
          <w:rFonts w:ascii="Arial" w:cs="Arial" w:eastAsia="Arial" w:hAnsi="Arial"/>
          <w:sz w:val="18"/>
          <w:szCs w:val="18"/>
          <w:color w:val="auto"/>
        </w:rPr>
      </w:pPr>
    </w:p>
    <w:p>
      <w:pPr>
        <w:jc w:val="both"/>
        <w:ind w:left="2000" w:hanging="207"/>
        <w:spacing w:after="0" w:line="250" w:lineRule="auto"/>
        <w:tabs>
          <w:tab w:leader="none" w:pos="20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continuing good performance of the insurance business is reflected in the US$ 44.2 million income, almost flat from last Q´s US$ 45.5 million income from insurance premiums net of claims, and 22.8% stronger YoY. YTD performance shows also a substantial 31.1% higher premium income compared with the same period of 2009.</w:t>
      </w:r>
    </w:p>
    <w:p>
      <w:pPr>
        <w:spacing w:after="0" w:line="1" w:lineRule="exact"/>
        <w:rPr>
          <w:rFonts w:ascii="Arial" w:cs="Arial" w:eastAsia="Arial" w:hAnsi="Arial"/>
          <w:sz w:val="18"/>
          <w:szCs w:val="18"/>
          <w:color w:val="auto"/>
        </w:rPr>
      </w:pPr>
    </w:p>
    <w:p>
      <w:pPr>
        <w:jc w:val="both"/>
        <w:ind w:left="2000" w:hanging="207"/>
        <w:spacing w:after="0" w:line="250" w:lineRule="auto"/>
        <w:tabs>
          <w:tab w:leader="none" w:pos="2000" w:val="left"/>
        </w:tabs>
        <w:numPr>
          <w:ilvl w:val="0"/>
          <w:numId w:val="1"/>
        </w:numPr>
        <w:rPr>
          <w:rFonts w:ascii="Arial" w:cs="Arial" w:eastAsia="Arial" w:hAnsi="Arial"/>
          <w:sz w:val="18"/>
          <w:szCs w:val="18"/>
          <w:color w:val="auto"/>
        </w:rPr>
      </w:pPr>
      <w:r>
        <w:rPr>
          <w:rFonts w:ascii="Arial" w:cs="Arial" w:eastAsia="Arial" w:hAnsi="Arial"/>
          <w:sz w:val="18"/>
          <w:szCs w:val="18"/>
          <w:color w:val="auto"/>
        </w:rPr>
        <w:t>After 2 consecutive QoQ drops in operating costs, these were 3.4% up this Q reflecting new recruiting for future growth and investments in training &amp; advisory services as we develop business opportunities. Nevertheless, the strong income generation led to a slight further improvement in the efficiency ratio to 39.4% from 39.6%, continuing the good trend since last year.</w:t>
      </w:r>
    </w:p>
    <w:p>
      <w:pPr>
        <w:spacing w:after="0" w:line="1" w:lineRule="exact"/>
        <w:rPr>
          <w:rFonts w:ascii="Arial" w:cs="Arial" w:eastAsia="Arial" w:hAnsi="Arial"/>
          <w:sz w:val="18"/>
          <w:szCs w:val="18"/>
          <w:color w:val="auto"/>
        </w:rPr>
      </w:pPr>
    </w:p>
    <w:p>
      <w:pPr>
        <w:jc w:val="both"/>
        <w:ind w:left="2000" w:hanging="207"/>
        <w:spacing w:after="0" w:line="250" w:lineRule="auto"/>
        <w:tabs>
          <w:tab w:leader="none" w:pos="2000" w:val="left"/>
        </w:tabs>
        <w:numPr>
          <w:ilvl w:val="0"/>
          <w:numId w:val="1"/>
        </w:numPr>
        <w:rPr>
          <w:rFonts w:ascii="Arial" w:cs="Arial" w:eastAsia="Arial" w:hAnsi="Arial"/>
          <w:sz w:val="18"/>
          <w:szCs w:val="18"/>
          <w:color w:val="auto"/>
        </w:rPr>
      </w:pPr>
      <w:r>
        <w:rPr>
          <w:rFonts w:ascii="Arial" w:cs="Arial" w:eastAsia="Arial" w:hAnsi="Arial"/>
          <w:sz w:val="18"/>
          <w:szCs w:val="18"/>
          <w:color w:val="auto"/>
        </w:rPr>
        <w:t>However, the stronger income could not fully offset the significantly higher provisions incurred this 3Q, and core operating income for Credicorp dropped 2.2% QoQ. Including the extraordinary non-recurrent gains from the sale of securities, total operating income was down 8.6% for the Q. YTD results however, reveals the real performance, with core operating income increasing 36.7% and total operating income, including non-recurrent income, increasing a solid 23.7% for the year.</w:t>
      </w:r>
    </w:p>
    <w:p>
      <w:pPr>
        <w:spacing w:after="0" w:line="2" w:lineRule="exact"/>
        <w:rPr>
          <w:rFonts w:ascii="Arial" w:cs="Arial" w:eastAsia="Arial" w:hAnsi="Arial"/>
          <w:sz w:val="18"/>
          <w:szCs w:val="18"/>
          <w:color w:val="auto"/>
        </w:rPr>
      </w:pPr>
    </w:p>
    <w:p>
      <w:pPr>
        <w:jc w:val="both"/>
        <w:ind w:left="2000" w:hanging="207"/>
        <w:spacing w:after="0" w:line="265" w:lineRule="auto"/>
        <w:tabs>
          <w:tab w:leader="none" w:pos="2000" w:val="left"/>
        </w:tabs>
        <w:numPr>
          <w:ilvl w:val="0"/>
          <w:numId w:val="1"/>
        </w:numPr>
        <w:rPr>
          <w:rFonts w:ascii="Arial" w:cs="Arial" w:eastAsia="Arial" w:hAnsi="Arial"/>
          <w:sz w:val="17"/>
          <w:szCs w:val="17"/>
          <w:color w:val="auto"/>
        </w:rPr>
      </w:pPr>
      <w:r>
        <w:rPr>
          <w:rFonts w:ascii="Arial" w:cs="Arial" w:eastAsia="Arial" w:hAnsi="Arial"/>
          <w:sz w:val="17"/>
          <w:szCs w:val="17"/>
          <w:color w:val="auto"/>
        </w:rPr>
        <w:t>BCP’s 3Q operating results also reflect solid growth in average daily lending volumes of 5.5% and a minimal 0.9% increase in operating costs. Even though provisions for loan losses registered a significant increase, despite the improvement of portfolio quality indicators, operating result was 2.6% up QoQ, excluding non-recurrent gains in securities. The large difference in non-recurrent income QoQ resulted in total operating income dropping 6.3% QoQ, a drop that was compensated by translation gains given the careful A&amp;L management that took advantage of the USD weakness, and lower tax provisions due to tax benefits generated by investments in CDs of BCR. Thus, net contribution to Credicorp was up 3.4% reaching US$ 135.2 million for 3Q10, which reflects a strong ROAE of 31.3% and ROAA of 2.5%.</w:t>
      </w:r>
    </w:p>
    <w:p>
      <w:pPr>
        <w:spacing w:after="0" w:line="1" w:lineRule="exact"/>
        <w:rPr>
          <w:rFonts w:ascii="Arial" w:cs="Arial" w:eastAsia="Arial" w:hAnsi="Arial"/>
          <w:sz w:val="17"/>
          <w:szCs w:val="17"/>
          <w:color w:val="auto"/>
        </w:rPr>
      </w:pPr>
    </w:p>
    <w:p>
      <w:pPr>
        <w:ind w:left="2000" w:hanging="207"/>
        <w:spacing w:after="0" w:line="250" w:lineRule="auto"/>
        <w:tabs>
          <w:tab w:leader="none" w:pos="2000" w:val="left"/>
        </w:tabs>
        <w:numPr>
          <w:ilvl w:val="0"/>
          <w:numId w:val="1"/>
        </w:numPr>
        <w:rPr>
          <w:rFonts w:ascii="Arial" w:cs="Arial" w:eastAsia="Arial" w:hAnsi="Arial"/>
          <w:sz w:val="18"/>
          <w:szCs w:val="18"/>
          <w:color w:val="auto"/>
        </w:rPr>
      </w:pPr>
      <w:r>
        <w:rPr>
          <w:rFonts w:ascii="Arial" w:cs="Arial" w:eastAsia="Arial" w:hAnsi="Arial"/>
          <w:sz w:val="18"/>
          <w:szCs w:val="18"/>
          <w:color w:val="auto"/>
        </w:rPr>
        <w:t>ASHC’s contribution to Credicorp this 3Q was down to US$ 10.6 million from US$ 13.1 million in 2Q basically because of increased provisions as it took a very conservative stance.</w:t>
      </w:r>
    </w:p>
    <w:p>
      <w:pPr>
        <w:jc w:val="both"/>
        <w:ind w:left="2000" w:hanging="207"/>
        <w:spacing w:after="0" w:line="250" w:lineRule="auto"/>
        <w:tabs>
          <w:tab w:leader="none" w:pos="20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low casualty levels from which PPS´s results were benefitting, increased across the board, leading to a reduction in technical results. PV had the lion´s share of this effect, in addition to excellent sales in life policies which in the short run generate high reserves affecting negatively technical results. Thus, bottom line of the insurance business reflects this and its contribution to Credicorp dropped to a still very solid US$ 10.4 million for the 3Q from US$ 12.5 million in 2Q.</w:t>
      </w:r>
    </w:p>
    <w:p>
      <w:pPr>
        <w:spacing w:after="0" w:line="2" w:lineRule="exact"/>
        <w:rPr>
          <w:rFonts w:ascii="Arial" w:cs="Arial" w:eastAsia="Arial" w:hAnsi="Arial"/>
          <w:sz w:val="18"/>
          <w:szCs w:val="18"/>
          <w:color w:val="auto"/>
        </w:rPr>
      </w:pPr>
    </w:p>
    <w:p>
      <w:pPr>
        <w:jc w:val="both"/>
        <w:ind w:left="2000" w:hanging="207"/>
        <w:spacing w:after="0" w:line="250" w:lineRule="auto"/>
        <w:tabs>
          <w:tab w:leader="none" w:pos="20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Prima AFP maintained the excellent results from previous Qs and reported 4.1% higher fee income, 3.8% higher operating income but lower bottom line results due to higher income taxes, leading to a stable contribution to Credicorp of US$ 5.7 million</w:t>
      </w:r>
    </w:p>
    <w:p>
      <w:pPr>
        <w:spacing w:after="0" w:line="1" w:lineRule="exact"/>
        <w:rPr>
          <w:rFonts w:ascii="Arial" w:cs="Arial" w:eastAsia="Arial" w:hAnsi="Arial"/>
          <w:sz w:val="18"/>
          <w:szCs w:val="18"/>
          <w:color w:val="auto"/>
        </w:rPr>
      </w:pPr>
    </w:p>
    <w:p>
      <w:pPr>
        <w:jc w:val="both"/>
        <w:ind w:left="2000" w:hanging="207"/>
        <w:spacing w:after="0" w:line="255" w:lineRule="auto"/>
        <w:tabs>
          <w:tab w:leader="none" w:pos="20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Overall, Credicorp had a very good 3Q which contributed to excellent income generation in all businesses reaching growth rates largely beyond 20% for the first 9 months, plus a 24.4% ROAE, a 1.6% PDL ratio and an improved efficiency ratio of 39.4% for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307975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841" w:right="239" w:bottom="1440" w:gutter="0" w:footer="0" w:header="0"/>
        </w:sectPr>
      </w:pPr>
    </w:p>
    <w:bookmarkStart w:id="2" w:name="page3"/>
    <w:bookmarkEnd w:id="2"/>
    <w:p>
      <w:pPr>
        <w:spacing w:after="0" w:line="5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175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I. Credicorp Ltd.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Credicorp reported solid 3Q10 earnings of US$ 156.2 million, which despite being down 3.5% QoQ, reflect a significant improvement in its core bottom line results of around 5% QoQ when excluding extraordinary non-recurrent income. This good performance is also evidenced by an excellent 27.2% YoY earnings growth. Performance ratios reflect these good results reaching excellent levels: 2.5% ROAA and 24.4 % ROAE.</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These good 3Q results confirm the recovered growth trend of the first half of the year leading to a strong total net income attributed to Credicorp for the first 9 months of US$ 442 million, up a very strong 27.2% from 2009, and setting the base for Credicorp´s net earnings for the year 2010 to reach a level closer to the high end of expectations.</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continuing and strong recovery of economic activity in the Peruvian market became even more evident in this second half of the year and is undoubtedly driving growth in the loan portfolio. Q-end loan balances grew 5.6% QoQ, revealing a 25.6% loan growth pace for the year. Once again, strong growth was reported both in the wholesale and in the retail segments, which expanded their average daily balances by 5.0% and 5.6% respectively QoQ. Overall average loan book growth was 5.5% within this Q, stronger than the average daily balances growth of 3.5% reported last Q. With respect to growth, star performers continued being the SME (PYME) sector and micro-lending in the Retail Banking segment, though the middle market segment of the wholesale business also performed strongly.</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 improvement of our PDL ratio to 1.6% in 3Q10 was recorded as our loan portfolio grew at the above mentioned rates, and the absolute volumes of past due loans dropped. Nevertheless, our conservative internal policy on coverage and provisions, as well as regulatory changes that required more provisions resulted in stronger provisions than originally projected reaching US$ 52 million, up 69.3% from last Q. Therefore, our coverage was up to 193.1% from 179.3% of last Q</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income was strong, growing 8.9% QoQ following the solid expansion of our loan portfolio and also strong growth of other interest earning assets through a 9.1% expansion in deposits. Interest expense increased however at a stronger pace. Notwithstanding, NIMs at Credicorp remained flat at 4.85% despite some pressure on NIMs at BCP given the strong growth of the wholesale portfolio and high levels of liquidity invested at the Central Bank with small margins.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Non-financial income, excluding the extraordinary non-recurrent gains on the sale of securities in this and last Q, was up 7.7% following a strong increase in fee income of 4.9%, and 11.0% growth in gains from FX transactions.</w:t>
      </w:r>
    </w:p>
    <w:p>
      <w:pPr>
        <w:spacing w:after="0" w:line="19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insurance business also performed well with income from net insurance premiums (net of claims) this 3Q remaining strong at US$ 44.2 million after claims, similar to last Q´s performance. Net income generated however did experience some contraction as we will explain further down.</w:t>
      </w:r>
    </w:p>
    <w:p>
      <w:pPr>
        <w:spacing w:after="0" w:line="1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After two consecutive QoQ drops in operating costs, these were 3.4% up this Q reflecting new recruiting for future growth and investments in training &amp; advisory services as we develop business opportunities. Nevertheless, the strong income generation led to a slight further improvement in the efficiency ratio to 39.4% from 39.6%.</w:t>
      </w:r>
    </w:p>
    <w:p>
      <w:pPr>
        <w:spacing w:after="0" w:line="20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Despite all the good income generation reported, the significantly higher provisions incurred this 3Q could not be fully offset and core operating income for Credicorp dropped by 2.2% QoQ. Furthermore, including the extraordinary gains from the sale of securities which were stronger in 2Q than in 3Q, total operating income dropped 8.6% for the Q.</w:t>
      </w:r>
    </w:p>
    <w:p>
      <w:pPr>
        <w:spacing w:after="0" w:line="357"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110490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3"/>
        </w:trPr>
        <w:tc>
          <w:tcPr>
            <w:tcW w:w="2080" w:type="dxa"/>
            <w:vAlign w:val="bottom"/>
            <w:gridSpan w:val="2"/>
          </w:tcPr>
          <w:p>
            <w:pPr>
              <w:spacing w:after="0"/>
              <w:rPr>
                <w:sz w:val="20"/>
                <w:szCs w:val="20"/>
                <w:color w:val="auto"/>
              </w:rPr>
            </w:pPr>
            <w:r>
              <w:rPr>
                <w:rFonts w:ascii="Arial" w:cs="Arial" w:eastAsia="Arial" w:hAnsi="Arial"/>
                <w:sz w:val="16"/>
                <w:szCs w:val="16"/>
                <w:b w:val="1"/>
                <w:bCs w:val="1"/>
                <w:color w:val="auto"/>
              </w:rPr>
              <w:t>Credicorp Ltd.</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Quarter</w:t>
            </w: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3"/>
          </w:tcPr>
          <w:p>
            <w:pPr>
              <w:ind w:left="640"/>
              <w:spacing w:after="0"/>
              <w:rPr>
                <w:sz w:val="20"/>
                <w:szCs w:val="20"/>
                <w:color w:val="auto"/>
              </w:rPr>
            </w:pPr>
            <w:r>
              <w:rPr>
                <w:rFonts w:ascii="Arial" w:cs="Arial" w:eastAsia="Arial" w:hAnsi="Arial"/>
                <w:sz w:val="16"/>
                <w:szCs w:val="16"/>
                <w:b w:val="1"/>
                <w:bCs w:val="1"/>
                <w:color w:val="auto"/>
                <w:w w:val="95"/>
              </w:rPr>
              <w:t>Change %</w:t>
            </w: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00" w:type="dxa"/>
            <w:vAlign w:val="bottom"/>
            <w:gridSpan w:val="4"/>
          </w:tcPr>
          <w:p>
            <w:pPr>
              <w:jc w:val="right"/>
              <w:ind w:right="860"/>
              <w:spacing w:after="0"/>
              <w:rPr>
                <w:sz w:val="20"/>
                <w:szCs w:val="20"/>
                <w:color w:val="auto"/>
              </w:rPr>
            </w:pPr>
            <w:r>
              <w:rPr>
                <w:rFonts w:ascii="Arial" w:cs="Arial" w:eastAsia="Arial" w:hAnsi="Arial"/>
                <w:sz w:val="16"/>
                <w:szCs w:val="16"/>
                <w:b w:val="1"/>
                <w:bCs w:val="1"/>
                <w:color w:val="auto"/>
              </w:rPr>
              <w:t>Year to date</w:t>
            </w:r>
          </w:p>
        </w:tc>
        <w:tc>
          <w:tcPr>
            <w:tcW w:w="11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5"/>
              </w:rPr>
              <w:t>Change %</w:t>
            </w:r>
          </w:p>
        </w:tc>
        <w:tc>
          <w:tcPr>
            <w:tcW w:w="0" w:type="dxa"/>
            <w:vAlign w:val="bottom"/>
          </w:tcPr>
          <w:p>
            <w:pPr>
              <w:spacing w:after="0"/>
              <w:rPr>
                <w:sz w:val="1"/>
                <w:szCs w:val="1"/>
                <w:color w:val="auto"/>
              </w:rPr>
            </w:pPr>
          </w:p>
        </w:tc>
      </w:tr>
      <w:tr>
        <w:trPr>
          <w:trHeight w:val="203"/>
        </w:trPr>
        <w:tc>
          <w:tcPr>
            <w:tcW w:w="208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US$ 000</w:t>
            </w:r>
          </w:p>
        </w:tc>
        <w:tc>
          <w:tcPr>
            <w:tcW w:w="120" w:type="dxa"/>
            <w:vAlign w:val="bottom"/>
          </w:tcPr>
          <w:p>
            <w:pPr>
              <w:spacing w:after="0"/>
              <w:rPr>
                <w:sz w:val="17"/>
                <w:szCs w:val="17"/>
                <w:color w:val="auto"/>
              </w:rPr>
            </w:pPr>
          </w:p>
        </w:tc>
        <w:tc>
          <w:tcPr>
            <w:tcW w:w="1140" w:type="dxa"/>
            <w:vAlign w:val="bottom"/>
            <w:tcBorders>
              <w:top w:val="single" w:sz="8" w:color="auto"/>
            </w:tcBorders>
            <w:gridSpan w:val="2"/>
          </w:tcPr>
          <w:p>
            <w:pPr>
              <w:jc w:val="right"/>
              <w:ind w:right="500"/>
              <w:spacing w:after="0"/>
              <w:rPr>
                <w:sz w:val="20"/>
                <w:szCs w:val="20"/>
                <w:color w:val="auto"/>
              </w:rPr>
            </w:pPr>
            <w:r>
              <w:rPr>
                <w:rFonts w:ascii="Arial" w:cs="Arial" w:eastAsia="Arial" w:hAnsi="Arial"/>
                <w:sz w:val="16"/>
                <w:szCs w:val="16"/>
                <w:b w:val="1"/>
                <w:bCs w:val="1"/>
                <w:color w:val="auto"/>
              </w:rPr>
              <w:t>3Q10</w:t>
            </w:r>
          </w:p>
        </w:tc>
        <w:tc>
          <w:tcPr>
            <w:tcW w:w="1160" w:type="dxa"/>
            <w:vAlign w:val="bottom"/>
            <w:tcBorders>
              <w:top w:val="single" w:sz="8" w:color="auto"/>
            </w:tcBorders>
            <w:gridSpan w:val="2"/>
          </w:tcPr>
          <w:p>
            <w:pPr>
              <w:jc w:val="right"/>
              <w:ind w:right="520"/>
              <w:spacing w:after="0"/>
              <w:rPr>
                <w:sz w:val="20"/>
                <w:szCs w:val="20"/>
                <w:color w:val="auto"/>
              </w:rPr>
            </w:pPr>
            <w:r>
              <w:rPr>
                <w:rFonts w:ascii="Arial" w:cs="Arial" w:eastAsia="Arial" w:hAnsi="Arial"/>
                <w:sz w:val="16"/>
                <w:szCs w:val="16"/>
                <w:b w:val="1"/>
                <w:bCs w:val="1"/>
                <w:color w:val="auto"/>
              </w:rPr>
              <w:t>2Q10</w:t>
            </w:r>
          </w:p>
        </w:tc>
        <w:tc>
          <w:tcPr>
            <w:tcW w:w="90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3Q09</w:t>
            </w:r>
          </w:p>
        </w:tc>
        <w:tc>
          <w:tcPr>
            <w:tcW w:w="240" w:type="dxa"/>
            <w:vAlign w:val="bottom"/>
          </w:tcPr>
          <w:p>
            <w:pPr>
              <w:spacing w:after="0"/>
              <w:rPr>
                <w:sz w:val="17"/>
                <w:szCs w:val="17"/>
                <w:color w:val="auto"/>
              </w:rPr>
            </w:pPr>
          </w:p>
        </w:tc>
        <w:tc>
          <w:tcPr>
            <w:tcW w:w="1400" w:type="dxa"/>
            <w:vAlign w:val="bottom"/>
            <w:tcBorders>
              <w:top w:val="single" w:sz="8" w:color="auto"/>
            </w:tcBorders>
            <w:gridSpan w:val="3"/>
          </w:tcPr>
          <w:p>
            <w:pPr>
              <w:ind w:left="280"/>
              <w:spacing w:after="0"/>
              <w:rPr>
                <w:sz w:val="20"/>
                <w:szCs w:val="20"/>
                <w:color w:val="auto"/>
              </w:rPr>
            </w:pPr>
            <w:r>
              <w:rPr>
                <w:rFonts w:ascii="Arial" w:cs="Arial" w:eastAsia="Arial" w:hAnsi="Arial"/>
                <w:sz w:val="16"/>
                <w:szCs w:val="16"/>
                <w:b w:val="1"/>
                <w:bCs w:val="1"/>
                <w:color w:val="auto"/>
              </w:rPr>
              <w:t>QoQ</w:t>
            </w:r>
          </w:p>
        </w:tc>
        <w:tc>
          <w:tcPr>
            <w:tcW w:w="6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YoY</w:t>
            </w:r>
          </w:p>
        </w:tc>
        <w:tc>
          <w:tcPr>
            <w:tcW w:w="280" w:type="dxa"/>
            <w:vAlign w:val="bottom"/>
          </w:tcPr>
          <w:p>
            <w:pPr>
              <w:spacing w:after="0"/>
              <w:rPr>
                <w:sz w:val="17"/>
                <w:szCs w:val="17"/>
                <w:color w:val="auto"/>
              </w:rPr>
            </w:pPr>
          </w:p>
        </w:tc>
        <w:tc>
          <w:tcPr>
            <w:tcW w:w="1140" w:type="dxa"/>
            <w:vAlign w:val="bottom"/>
            <w:tcBorders>
              <w:top w:val="single" w:sz="8" w:color="auto"/>
            </w:tcBorders>
            <w:gridSpan w:val="2"/>
          </w:tcPr>
          <w:p>
            <w:pPr>
              <w:jc w:val="right"/>
              <w:ind w:right="460"/>
              <w:spacing w:after="0"/>
              <w:rPr>
                <w:sz w:val="20"/>
                <w:szCs w:val="20"/>
                <w:color w:val="auto"/>
              </w:rPr>
            </w:pPr>
            <w:r>
              <w:rPr>
                <w:rFonts w:ascii="Arial" w:cs="Arial" w:eastAsia="Arial" w:hAnsi="Arial"/>
                <w:sz w:val="16"/>
                <w:szCs w:val="16"/>
                <w:b w:val="1"/>
                <w:bCs w:val="1"/>
                <w:color w:val="auto"/>
              </w:rPr>
              <w:t>Sep 10</w:t>
            </w:r>
          </w:p>
        </w:tc>
        <w:tc>
          <w:tcPr>
            <w:tcW w:w="90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Sep 09</w:t>
            </w:r>
          </w:p>
        </w:tc>
        <w:tc>
          <w:tcPr>
            <w:tcW w:w="260" w:type="dxa"/>
            <w:vAlign w:val="bottom"/>
          </w:tcPr>
          <w:p>
            <w:pPr>
              <w:spacing w:after="0"/>
              <w:rPr>
                <w:sz w:val="17"/>
                <w:szCs w:val="17"/>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Sep 10 / Sep 09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2060" w:type="dxa"/>
            <w:vAlign w:val="bottom"/>
            <w:shd w:val="clear" w:color="auto" w:fill="CCFFCC"/>
          </w:tcPr>
          <w:p>
            <w:pPr>
              <w:spacing w:after="0"/>
              <w:rPr>
                <w:sz w:val="20"/>
                <w:szCs w:val="20"/>
                <w:color w:val="auto"/>
              </w:rPr>
            </w:pPr>
            <w:r>
              <w:rPr>
                <w:rFonts w:ascii="Arial" w:cs="Arial" w:eastAsia="Arial" w:hAnsi="Arial"/>
                <w:sz w:val="16"/>
                <w:szCs w:val="16"/>
                <w:color w:val="auto"/>
              </w:rPr>
              <w:t>Net Interest income</w:t>
            </w:r>
          </w:p>
        </w:tc>
        <w:tc>
          <w:tcPr>
            <w:tcW w:w="120" w:type="dxa"/>
            <w:vAlign w:val="bottom"/>
            <w:shd w:val="clear" w:color="auto" w:fill="CCFFCC"/>
          </w:tcPr>
          <w:p>
            <w:pPr>
              <w:spacing w:after="0"/>
              <w:rPr>
                <w:sz w:val="17"/>
                <w:szCs w:val="17"/>
                <w:color w:val="auto"/>
              </w:rPr>
            </w:pPr>
          </w:p>
        </w:tc>
        <w:tc>
          <w:tcPr>
            <w:tcW w:w="1140" w:type="dxa"/>
            <w:vAlign w:val="bottom"/>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271,438</w:t>
            </w:r>
          </w:p>
        </w:tc>
        <w:tc>
          <w:tcPr>
            <w:tcW w:w="9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258,434</w:t>
            </w:r>
          </w:p>
        </w:tc>
        <w:tc>
          <w:tcPr>
            <w:tcW w:w="260" w:type="dxa"/>
            <w:vAlign w:val="bottom"/>
            <w:shd w:val="clear" w:color="auto" w:fill="CCFFCC"/>
          </w:tcPr>
          <w:p>
            <w:pPr>
              <w:spacing w:after="0"/>
              <w:rPr>
                <w:sz w:val="17"/>
                <w:szCs w:val="17"/>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214,547</w:t>
            </w:r>
          </w:p>
        </w:tc>
        <w:tc>
          <w:tcPr>
            <w:tcW w:w="240" w:type="dxa"/>
            <w:vAlign w:val="bottom"/>
            <w:shd w:val="clear" w:color="auto" w:fill="CCFFCC"/>
          </w:tcPr>
          <w:p>
            <w:pPr>
              <w:spacing w:after="0"/>
              <w:rPr>
                <w:sz w:val="17"/>
                <w:szCs w:val="17"/>
                <w:color w:val="auto"/>
              </w:rPr>
            </w:pPr>
          </w:p>
        </w:tc>
        <w:tc>
          <w:tcPr>
            <w:tcW w:w="114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5.0%</w:t>
            </w:r>
          </w:p>
        </w:tc>
        <w:tc>
          <w:tcPr>
            <w:tcW w:w="260" w:type="dxa"/>
            <w:vAlign w:val="bottom"/>
            <w:shd w:val="clear" w:color="auto" w:fill="CCFFCC"/>
          </w:tcPr>
          <w:p>
            <w:pPr>
              <w:spacing w:after="0"/>
              <w:rPr>
                <w:sz w:val="17"/>
                <w:szCs w:val="17"/>
                <w:color w:val="auto"/>
              </w:rPr>
            </w:pPr>
          </w:p>
        </w:tc>
        <w:tc>
          <w:tcPr>
            <w:tcW w:w="900" w:type="dxa"/>
            <w:vAlign w:val="bottom"/>
            <w:gridSpan w:val="2"/>
            <w:shd w:val="clear" w:color="auto" w:fill="CCFFCC"/>
          </w:tcPr>
          <w:p>
            <w:pPr>
              <w:jc w:val="right"/>
              <w:ind w:right="140"/>
              <w:spacing w:after="0"/>
              <w:rPr>
                <w:sz w:val="20"/>
                <w:szCs w:val="20"/>
                <w:color w:val="auto"/>
              </w:rPr>
            </w:pPr>
            <w:r>
              <w:rPr>
                <w:rFonts w:ascii="Arial" w:cs="Arial" w:eastAsia="Arial" w:hAnsi="Arial"/>
                <w:sz w:val="16"/>
                <w:szCs w:val="16"/>
                <w:color w:val="auto"/>
              </w:rPr>
              <w:t>26.5%</w:t>
            </w:r>
          </w:p>
        </w:tc>
        <w:tc>
          <w:tcPr>
            <w:tcW w:w="9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775,457</w:t>
            </w:r>
          </w:p>
        </w:tc>
        <w:tc>
          <w:tcPr>
            <w:tcW w:w="240" w:type="dxa"/>
            <w:vAlign w:val="bottom"/>
            <w:shd w:val="clear" w:color="auto" w:fill="CCFFCC"/>
          </w:tcPr>
          <w:p>
            <w:pPr>
              <w:spacing w:after="0"/>
              <w:rPr>
                <w:sz w:val="17"/>
                <w:szCs w:val="17"/>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653,955</w:t>
            </w:r>
          </w:p>
        </w:tc>
        <w:tc>
          <w:tcPr>
            <w:tcW w:w="260" w:type="dxa"/>
            <w:vAlign w:val="bottom"/>
            <w:tcBorders>
              <w:right w:val="single" w:sz="8" w:color="CCFFCC"/>
            </w:tcBorders>
            <w:shd w:val="clear" w:color="auto" w:fill="CCFFCC"/>
          </w:tcPr>
          <w:p>
            <w:pPr>
              <w:spacing w:after="0"/>
              <w:rPr>
                <w:sz w:val="17"/>
                <w:szCs w:val="17"/>
                <w:color w:val="auto"/>
              </w:rPr>
            </w:pPr>
          </w:p>
        </w:tc>
        <w:tc>
          <w:tcPr>
            <w:tcW w:w="1180" w:type="dxa"/>
            <w:vAlign w:val="bottom"/>
            <w:gridSpan w:val="2"/>
            <w:shd w:val="clear" w:color="auto" w:fill="CCFFCC"/>
          </w:tcPr>
          <w:p>
            <w:pPr>
              <w:jc w:val="right"/>
              <w:ind w:right="20"/>
              <w:spacing w:after="0"/>
              <w:rPr>
                <w:sz w:val="20"/>
                <w:szCs w:val="20"/>
                <w:color w:val="auto"/>
              </w:rPr>
            </w:pPr>
            <w:r>
              <w:rPr>
                <w:rFonts w:ascii="Arial" w:cs="Arial" w:eastAsia="Arial" w:hAnsi="Arial"/>
                <w:sz w:val="16"/>
                <w:szCs w:val="16"/>
                <w:color w:val="auto"/>
              </w:rPr>
              <w:t>18.6%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60" w:type="dxa"/>
            <w:vAlign w:val="bottom"/>
          </w:tcPr>
          <w:p>
            <w:pPr>
              <w:spacing w:after="0"/>
              <w:rPr>
                <w:sz w:val="20"/>
                <w:szCs w:val="20"/>
                <w:color w:val="auto"/>
              </w:rPr>
            </w:pPr>
            <w:r>
              <w:rPr>
                <w:rFonts w:ascii="Arial" w:cs="Arial" w:eastAsia="Arial" w:hAnsi="Arial"/>
                <w:sz w:val="16"/>
                <w:szCs w:val="16"/>
                <w:color w:val="auto"/>
                <w:w w:val="97"/>
              </w:rPr>
              <w:t>Net provisions for loan losses</w:t>
            </w:r>
          </w:p>
        </w:tc>
        <w:tc>
          <w:tcPr>
            <w:tcW w:w="1260" w:type="dxa"/>
            <w:vAlign w:val="bottom"/>
            <w:gridSpan w:val="3"/>
          </w:tcPr>
          <w:p>
            <w:pPr>
              <w:jc w:val="right"/>
              <w:ind w:right="180"/>
              <w:spacing w:after="0"/>
              <w:rPr>
                <w:sz w:val="20"/>
                <w:szCs w:val="20"/>
                <w:color w:val="auto"/>
              </w:rPr>
            </w:pPr>
            <w:r>
              <w:rPr>
                <w:rFonts w:ascii="Arial" w:cs="Arial" w:eastAsia="Arial" w:hAnsi="Arial"/>
                <w:sz w:val="16"/>
                <w:szCs w:val="16"/>
                <w:color w:val="auto"/>
              </w:rPr>
              <w:t>(52,303)</w:t>
            </w: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(30,895)</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(38,216)</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69.3%</w:t>
            </w:r>
          </w:p>
        </w:tc>
        <w:tc>
          <w:tcPr>
            <w:tcW w:w="26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36.9%</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(126,379)</w:t>
            </w: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(119,348)</w:t>
            </w: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60" w:type="dxa"/>
            <w:vAlign w:val="bottom"/>
            <w:shd w:val="clear" w:color="auto" w:fill="CCFFCC"/>
          </w:tcPr>
          <w:p>
            <w:pPr>
              <w:spacing w:after="0"/>
              <w:rPr>
                <w:sz w:val="20"/>
                <w:szCs w:val="20"/>
                <w:color w:val="auto"/>
              </w:rPr>
            </w:pPr>
            <w:r>
              <w:rPr>
                <w:rFonts w:ascii="Arial" w:cs="Arial" w:eastAsia="Arial" w:hAnsi="Arial"/>
                <w:sz w:val="16"/>
                <w:szCs w:val="16"/>
                <w:color w:val="auto"/>
              </w:rPr>
              <w:t>Non financial income</w:t>
            </w:r>
          </w:p>
        </w:tc>
        <w:tc>
          <w:tcPr>
            <w:tcW w:w="1260" w:type="dxa"/>
            <w:vAlign w:val="bottom"/>
            <w:gridSpan w:val="3"/>
            <w:shd w:val="clear" w:color="auto" w:fill="CCFFCC"/>
          </w:tcPr>
          <w:p>
            <w:pPr>
              <w:jc w:val="right"/>
              <w:ind w:right="240"/>
              <w:spacing w:after="0"/>
              <w:rPr>
                <w:sz w:val="20"/>
                <w:szCs w:val="20"/>
                <w:color w:val="auto"/>
              </w:rPr>
            </w:pPr>
            <w:r>
              <w:rPr>
                <w:rFonts w:ascii="Arial" w:cs="Arial" w:eastAsia="Arial" w:hAnsi="Arial"/>
                <w:sz w:val="16"/>
                <w:szCs w:val="16"/>
                <w:color w:val="auto"/>
              </w:rPr>
              <w:t>193,987</w:t>
            </w:r>
          </w:p>
        </w:tc>
        <w:tc>
          <w:tcPr>
            <w:tcW w:w="9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196,554</w:t>
            </w:r>
          </w:p>
        </w:tc>
        <w:tc>
          <w:tcPr>
            <w:tcW w:w="260" w:type="dxa"/>
            <w:vAlign w:val="bottom"/>
            <w:shd w:val="clear" w:color="auto" w:fill="CCFFCC"/>
          </w:tcPr>
          <w:p>
            <w:pPr>
              <w:spacing w:after="0"/>
              <w:rPr>
                <w:sz w:val="17"/>
                <w:szCs w:val="17"/>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162,596</w:t>
            </w:r>
          </w:p>
        </w:tc>
        <w:tc>
          <w:tcPr>
            <w:tcW w:w="240" w:type="dxa"/>
            <w:vAlign w:val="bottom"/>
            <w:shd w:val="clear" w:color="auto" w:fill="CCFFCC"/>
          </w:tcPr>
          <w:p>
            <w:pPr>
              <w:spacing w:after="0"/>
              <w:rPr>
                <w:sz w:val="17"/>
                <w:szCs w:val="17"/>
                <w:color w:val="auto"/>
              </w:rPr>
            </w:pPr>
          </w:p>
        </w:tc>
        <w:tc>
          <w:tcPr>
            <w:tcW w:w="114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-1.3%</w:t>
            </w:r>
          </w:p>
        </w:tc>
        <w:tc>
          <w:tcPr>
            <w:tcW w:w="260" w:type="dxa"/>
            <w:vAlign w:val="bottom"/>
            <w:shd w:val="clear" w:color="auto" w:fill="CCFFCC"/>
          </w:tcPr>
          <w:p>
            <w:pPr>
              <w:spacing w:after="0"/>
              <w:rPr>
                <w:sz w:val="17"/>
                <w:szCs w:val="17"/>
                <w:color w:val="auto"/>
              </w:rPr>
            </w:pPr>
          </w:p>
        </w:tc>
        <w:tc>
          <w:tcPr>
            <w:tcW w:w="900" w:type="dxa"/>
            <w:vAlign w:val="bottom"/>
            <w:gridSpan w:val="2"/>
            <w:shd w:val="clear" w:color="auto" w:fill="CCFFCC"/>
          </w:tcPr>
          <w:p>
            <w:pPr>
              <w:jc w:val="right"/>
              <w:ind w:right="140"/>
              <w:spacing w:after="0"/>
              <w:rPr>
                <w:sz w:val="20"/>
                <w:szCs w:val="20"/>
                <w:color w:val="auto"/>
              </w:rPr>
            </w:pPr>
            <w:r>
              <w:rPr>
                <w:rFonts w:ascii="Arial" w:cs="Arial" w:eastAsia="Arial" w:hAnsi="Arial"/>
                <w:sz w:val="16"/>
                <w:szCs w:val="16"/>
                <w:color w:val="auto"/>
              </w:rPr>
              <w:t>19.3%</w:t>
            </w:r>
          </w:p>
        </w:tc>
        <w:tc>
          <w:tcPr>
            <w:tcW w:w="9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558,349</w:t>
            </w:r>
          </w:p>
        </w:tc>
        <w:tc>
          <w:tcPr>
            <w:tcW w:w="240" w:type="dxa"/>
            <w:vAlign w:val="bottom"/>
            <w:shd w:val="clear" w:color="auto" w:fill="CCFFCC"/>
          </w:tcPr>
          <w:p>
            <w:pPr>
              <w:spacing w:after="0"/>
              <w:rPr>
                <w:sz w:val="17"/>
                <w:szCs w:val="17"/>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506,741</w:t>
            </w:r>
          </w:p>
        </w:tc>
        <w:tc>
          <w:tcPr>
            <w:tcW w:w="260" w:type="dxa"/>
            <w:vAlign w:val="bottom"/>
            <w:tcBorders>
              <w:right w:val="single" w:sz="8" w:color="CCFFCC"/>
            </w:tcBorders>
            <w:shd w:val="clear" w:color="auto" w:fill="CCFFCC"/>
          </w:tcPr>
          <w:p>
            <w:pPr>
              <w:spacing w:after="0"/>
              <w:rPr>
                <w:sz w:val="17"/>
                <w:szCs w:val="17"/>
                <w:color w:val="auto"/>
              </w:rPr>
            </w:pPr>
          </w:p>
        </w:tc>
        <w:tc>
          <w:tcPr>
            <w:tcW w:w="1180" w:type="dxa"/>
            <w:vAlign w:val="bottom"/>
            <w:gridSpan w:val="2"/>
            <w:shd w:val="clear" w:color="auto" w:fill="CCFFCC"/>
          </w:tcPr>
          <w:p>
            <w:pPr>
              <w:jc w:val="right"/>
              <w:ind w:right="20"/>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60" w:type="dxa"/>
            <w:vAlign w:val="bottom"/>
          </w:tcPr>
          <w:p>
            <w:pPr>
              <w:spacing w:after="0"/>
              <w:rPr>
                <w:sz w:val="20"/>
                <w:szCs w:val="20"/>
                <w:color w:val="auto"/>
              </w:rPr>
            </w:pPr>
            <w:r>
              <w:rPr>
                <w:rFonts w:ascii="Arial" w:cs="Arial" w:eastAsia="Arial" w:hAnsi="Arial"/>
                <w:sz w:val="16"/>
                <w:szCs w:val="16"/>
                <w:color w:val="auto"/>
                <w:w w:val="90"/>
              </w:rPr>
              <w:t>Insurance premiums and claims</w:t>
            </w:r>
          </w:p>
        </w:tc>
        <w:tc>
          <w:tcPr>
            <w:tcW w:w="1260" w:type="dxa"/>
            <w:vAlign w:val="bottom"/>
            <w:gridSpan w:val="3"/>
          </w:tcPr>
          <w:p>
            <w:pPr>
              <w:jc w:val="right"/>
              <w:ind w:right="240"/>
              <w:spacing w:after="0"/>
              <w:rPr>
                <w:sz w:val="20"/>
                <w:szCs w:val="20"/>
                <w:color w:val="auto"/>
              </w:rPr>
            </w:pPr>
            <w:r>
              <w:rPr>
                <w:rFonts w:ascii="Arial" w:cs="Arial" w:eastAsia="Arial" w:hAnsi="Arial"/>
                <w:sz w:val="16"/>
                <w:szCs w:val="16"/>
                <w:color w:val="auto"/>
              </w:rPr>
              <w:t>44,220</w:t>
            </w:r>
          </w:p>
        </w:tc>
        <w:tc>
          <w:tcPr>
            <w:tcW w:w="900" w:type="dxa"/>
            <w:vAlign w:val="bottom"/>
          </w:tcPr>
          <w:p>
            <w:pPr>
              <w:jc w:val="right"/>
              <w:spacing w:after="0"/>
              <w:rPr>
                <w:sz w:val="20"/>
                <w:szCs w:val="20"/>
                <w:color w:val="auto"/>
              </w:rPr>
            </w:pPr>
            <w:r>
              <w:rPr>
                <w:rFonts w:ascii="Arial" w:cs="Arial" w:eastAsia="Arial" w:hAnsi="Arial"/>
                <w:sz w:val="16"/>
                <w:szCs w:val="16"/>
                <w:color w:val="auto"/>
              </w:rPr>
              <w:t>45,517</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36,018</w:t>
            </w:r>
          </w:p>
        </w:tc>
        <w:tc>
          <w:tcPr>
            <w:tcW w:w="24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-2.9%</w:t>
            </w:r>
          </w:p>
        </w:tc>
        <w:tc>
          <w:tcPr>
            <w:tcW w:w="26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22.8%</w:t>
            </w:r>
          </w:p>
        </w:tc>
        <w:tc>
          <w:tcPr>
            <w:tcW w:w="900" w:type="dxa"/>
            <w:vAlign w:val="bottom"/>
          </w:tcPr>
          <w:p>
            <w:pPr>
              <w:jc w:val="right"/>
              <w:spacing w:after="0"/>
              <w:rPr>
                <w:sz w:val="20"/>
                <w:szCs w:val="20"/>
                <w:color w:val="auto"/>
              </w:rPr>
            </w:pPr>
            <w:r>
              <w:rPr>
                <w:rFonts w:ascii="Arial" w:cs="Arial" w:eastAsia="Arial" w:hAnsi="Arial"/>
                <w:sz w:val="16"/>
                <w:szCs w:val="16"/>
                <w:color w:val="auto"/>
              </w:rPr>
              <w:t>122,224</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93,195</w:t>
            </w:r>
          </w:p>
        </w:tc>
        <w:tc>
          <w:tcPr>
            <w:tcW w:w="260" w:type="dxa"/>
            <w:vAlign w:val="bottom"/>
          </w:tcPr>
          <w:p>
            <w:pPr>
              <w:spacing w:after="0"/>
              <w:rPr>
                <w:sz w:val="17"/>
                <w:szCs w:val="17"/>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31.1%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60" w:type="dxa"/>
            <w:vAlign w:val="bottom"/>
            <w:shd w:val="clear" w:color="auto" w:fill="CCFFCC"/>
          </w:tcPr>
          <w:p>
            <w:pPr>
              <w:spacing w:after="0"/>
              <w:rPr>
                <w:sz w:val="20"/>
                <w:szCs w:val="20"/>
                <w:color w:val="auto"/>
              </w:rPr>
            </w:pPr>
            <w:r>
              <w:rPr>
                <w:rFonts w:ascii="Arial" w:cs="Arial" w:eastAsia="Arial" w:hAnsi="Arial"/>
                <w:sz w:val="16"/>
                <w:szCs w:val="16"/>
                <w:color w:val="auto"/>
              </w:rPr>
              <w:t>Operating expenses</w:t>
            </w:r>
          </w:p>
        </w:tc>
        <w:tc>
          <w:tcPr>
            <w:tcW w:w="1260" w:type="dxa"/>
            <w:vAlign w:val="bottom"/>
            <w:gridSpan w:val="3"/>
            <w:shd w:val="clear" w:color="auto" w:fill="CCFFCC"/>
          </w:tcPr>
          <w:p>
            <w:pPr>
              <w:jc w:val="right"/>
              <w:ind w:right="180"/>
              <w:spacing w:after="0"/>
              <w:rPr>
                <w:sz w:val="20"/>
                <w:szCs w:val="20"/>
                <w:color w:val="auto"/>
              </w:rPr>
            </w:pPr>
            <w:r>
              <w:rPr>
                <w:rFonts w:ascii="Arial" w:cs="Arial" w:eastAsia="Arial" w:hAnsi="Arial"/>
                <w:sz w:val="16"/>
                <w:szCs w:val="16"/>
                <w:color w:val="auto"/>
              </w:rPr>
              <w:t>(243,281)</w:t>
            </w:r>
          </w:p>
        </w:tc>
        <w:tc>
          <w:tcPr>
            <w:tcW w:w="116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(235,321)</w:t>
            </w:r>
          </w:p>
        </w:tc>
        <w:tc>
          <w:tcPr>
            <w:tcW w:w="1140" w:type="dxa"/>
            <w:vAlign w:val="bottom"/>
            <w:gridSpan w:val="2"/>
            <w:shd w:val="clear" w:color="auto" w:fill="CCFFCC"/>
          </w:tcPr>
          <w:p>
            <w:pPr>
              <w:jc w:val="right"/>
              <w:ind w:right="180"/>
              <w:spacing w:after="0"/>
              <w:rPr>
                <w:sz w:val="20"/>
                <w:szCs w:val="20"/>
                <w:color w:val="auto"/>
              </w:rPr>
            </w:pPr>
            <w:r>
              <w:rPr>
                <w:rFonts w:ascii="Arial" w:cs="Arial" w:eastAsia="Arial" w:hAnsi="Arial"/>
                <w:sz w:val="16"/>
                <w:szCs w:val="16"/>
                <w:color w:val="auto"/>
              </w:rPr>
              <w:t>(211,568)</w:t>
            </w:r>
          </w:p>
        </w:tc>
        <w:tc>
          <w:tcPr>
            <w:tcW w:w="114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3.4%</w:t>
            </w:r>
          </w:p>
        </w:tc>
        <w:tc>
          <w:tcPr>
            <w:tcW w:w="260" w:type="dxa"/>
            <w:vAlign w:val="bottom"/>
            <w:shd w:val="clear" w:color="auto" w:fill="CCFFCC"/>
          </w:tcPr>
          <w:p>
            <w:pPr>
              <w:spacing w:after="0"/>
              <w:rPr>
                <w:sz w:val="17"/>
                <w:szCs w:val="17"/>
                <w:color w:val="auto"/>
              </w:rPr>
            </w:pPr>
          </w:p>
        </w:tc>
        <w:tc>
          <w:tcPr>
            <w:tcW w:w="900" w:type="dxa"/>
            <w:vAlign w:val="bottom"/>
            <w:gridSpan w:val="2"/>
            <w:shd w:val="clear" w:color="auto" w:fill="CCFFCC"/>
          </w:tcPr>
          <w:p>
            <w:pPr>
              <w:jc w:val="right"/>
              <w:ind w:right="140"/>
              <w:spacing w:after="0"/>
              <w:rPr>
                <w:sz w:val="20"/>
                <w:szCs w:val="20"/>
                <w:color w:val="auto"/>
              </w:rPr>
            </w:pPr>
            <w:r>
              <w:rPr>
                <w:rFonts w:ascii="Arial" w:cs="Arial" w:eastAsia="Arial" w:hAnsi="Arial"/>
                <w:sz w:val="16"/>
                <w:szCs w:val="16"/>
                <w:color w:val="auto"/>
              </w:rPr>
              <w:t>15.0%</w:t>
            </w:r>
          </w:p>
        </w:tc>
        <w:tc>
          <w:tcPr>
            <w:tcW w:w="1140" w:type="dxa"/>
            <w:vAlign w:val="bottom"/>
            <w:gridSpan w:val="2"/>
            <w:shd w:val="clear" w:color="auto" w:fill="CCFFCC"/>
          </w:tcPr>
          <w:p>
            <w:pPr>
              <w:jc w:val="right"/>
              <w:ind w:right="180"/>
              <w:spacing w:after="0"/>
              <w:rPr>
                <w:sz w:val="20"/>
                <w:szCs w:val="20"/>
                <w:color w:val="auto"/>
              </w:rPr>
            </w:pPr>
            <w:r>
              <w:rPr>
                <w:rFonts w:ascii="Arial" w:cs="Arial" w:eastAsia="Arial" w:hAnsi="Arial"/>
                <w:sz w:val="16"/>
                <w:szCs w:val="16"/>
                <w:color w:val="auto"/>
              </w:rPr>
              <w:t>(716,300)</w:t>
            </w:r>
          </w:p>
        </w:tc>
        <w:tc>
          <w:tcPr>
            <w:tcW w:w="1160" w:type="dxa"/>
            <w:vAlign w:val="bottom"/>
            <w:tcBorders>
              <w:right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(638,575)</w:t>
            </w:r>
          </w:p>
        </w:tc>
        <w:tc>
          <w:tcPr>
            <w:tcW w:w="1180" w:type="dxa"/>
            <w:vAlign w:val="bottom"/>
            <w:gridSpan w:val="2"/>
            <w:shd w:val="clear" w:color="auto" w:fill="CCFFCC"/>
          </w:tcPr>
          <w:p>
            <w:pPr>
              <w:jc w:val="right"/>
              <w:ind w:right="20"/>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60" w:type="dxa"/>
            <w:vAlign w:val="bottom"/>
          </w:tcPr>
          <w:p>
            <w:pPr>
              <w:spacing w:after="0"/>
              <w:rPr>
                <w:sz w:val="20"/>
                <w:szCs w:val="20"/>
                <w:color w:val="auto"/>
              </w:rPr>
            </w:pPr>
            <w:r>
              <w:rPr>
                <w:rFonts w:ascii="Arial" w:cs="Arial" w:eastAsia="Arial" w:hAnsi="Arial"/>
                <w:sz w:val="16"/>
                <w:szCs w:val="16"/>
                <w:b w:val="1"/>
                <w:bCs w:val="1"/>
                <w:color w:val="auto"/>
              </w:rPr>
              <w:t>Operating Income</w:t>
            </w:r>
          </w:p>
        </w:tc>
        <w:tc>
          <w:tcPr>
            <w:tcW w:w="1260" w:type="dxa"/>
            <w:vAlign w:val="bottom"/>
            <w:gridSpan w:val="3"/>
          </w:tcPr>
          <w:p>
            <w:pPr>
              <w:jc w:val="right"/>
              <w:ind w:right="240"/>
              <w:spacing w:after="0"/>
              <w:rPr>
                <w:sz w:val="20"/>
                <w:szCs w:val="20"/>
                <w:color w:val="auto"/>
              </w:rPr>
            </w:pPr>
            <w:r>
              <w:rPr>
                <w:rFonts w:ascii="Arial" w:cs="Arial" w:eastAsia="Arial" w:hAnsi="Arial"/>
                <w:sz w:val="16"/>
                <w:szCs w:val="16"/>
                <w:b w:val="1"/>
                <w:bCs w:val="1"/>
                <w:color w:val="auto"/>
              </w:rPr>
              <w:t>214,060</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234,289</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163,377</w:t>
            </w:r>
          </w:p>
        </w:tc>
        <w:tc>
          <w:tcPr>
            <w:tcW w:w="24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-8.6%</w:t>
            </w:r>
          </w:p>
        </w:tc>
        <w:tc>
          <w:tcPr>
            <w:tcW w:w="26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31.0%</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613,350</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495,968</w:t>
            </w:r>
          </w:p>
        </w:tc>
        <w:tc>
          <w:tcPr>
            <w:tcW w:w="260" w:type="dxa"/>
            <w:vAlign w:val="bottom"/>
          </w:tcPr>
          <w:p>
            <w:pPr>
              <w:spacing w:after="0"/>
              <w:rPr>
                <w:sz w:val="17"/>
                <w:szCs w:val="17"/>
                <w:color w:val="auto"/>
              </w:rPr>
            </w:pPr>
          </w:p>
        </w:tc>
        <w:tc>
          <w:tcPr>
            <w:tcW w:w="1180" w:type="dxa"/>
            <w:vAlign w:val="bottom"/>
            <w:gridSpan w:val="2"/>
          </w:tcPr>
          <w:p>
            <w:pPr>
              <w:jc w:val="right"/>
              <w:spacing w:after="0"/>
              <w:rPr>
                <w:sz w:val="20"/>
                <w:szCs w:val="20"/>
                <w:color w:val="auto"/>
              </w:rPr>
            </w:pPr>
            <w:r>
              <w:rPr>
                <w:rFonts w:ascii="Arial" w:cs="Arial" w:eastAsia="Arial" w:hAnsi="Arial"/>
                <w:sz w:val="16"/>
                <w:szCs w:val="16"/>
                <w:b w:val="1"/>
                <w:bCs w:val="1"/>
                <w:color w:val="auto"/>
              </w:rPr>
              <w:t>23.7%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60" w:type="dxa"/>
            <w:vAlign w:val="bottom"/>
            <w:shd w:val="clear" w:color="auto" w:fill="CCFFCC"/>
          </w:tcPr>
          <w:p>
            <w:pPr>
              <w:ind w:left="160"/>
              <w:spacing w:after="0"/>
              <w:rPr>
                <w:sz w:val="20"/>
                <w:szCs w:val="20"/>
                <w:color w:val="auto"/>
              </w:rPr>
            </w:pPr>
            <w:r>
              <w:rPr>
                <w:rFonts w:ascii="Arial" w:cs="Arial" w:eastAsia="Arial" w:hAnsi="Arial"/>
                <w:sz w:val="16"/>
                <w:szCs w:val="16"/>
                <w:color w:val="auto"/>
              </w:rPr>
              <w:t>Core operating income</w:t>
            </w:r>
          </w:p>
        </w:tc>
        <w:tc>
          <w:tcPr>
            <w:tcW w:w="1260" w:type="dxa"/>
            <w:vAlign w:val="bottom"/>
            <w:gridSpan w:val="3"/>
            <w:shd w:val="clear" w:color="auto" w:fill="CCFFCC"/>
          </w:tcPr>
          <w:p>
            <w:pPr>
              <w:jc w:val="right"/>
              <w:ind w:right="240"/>
              <w:spacing w:after="0"/>
              <w:rPr>
                <w:sz w:val="20"/>
                <w:szCs w:val="20"/>
                <w:color w:val="auto"/>
              </w:rPr>
            </w:pPr>
            <w:r>
              <w:rPr>
                <w:rFonts w:ascii="Arial" w:cs="Arial" w:eastAsia="Arial" w:hAnsi="Arial"/>
                <w:sz w:val="16"/>
                <w:szCs w:val="16"/>
                <w:color w:val="auto"/>
              </w:rPr>
              <w:t>204,423</w:t>
            </w:r>
          </w:p>
        </w:tc>
        <w:tc>
          <w:tcPr>
            <w:tcW w:w="9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208,940</w:t>
            </w:r>
          </w:p>
        </w:tc>
        <w:tc>
          <w:tcPr>
            <w:tcW w:w="260" w:type="dxa"/>
            <w:vAlign w:val="bottom"/>
            <w:shd w:val="clear" w:color="auto" w:fill="CCFFCC"/>
          </w:tcPr>
          <w:p>
            <w:pPr>
              <w:spacing w:after="0"/>
              <w:rPr>
                <w:sz w:val="17"/>
                <w:szCs w:val="17"/>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163,377</w:t>
            </w:r>
          </w:p>
        </w:tc>
        <w:tc>
          <w:tcPr>
            <w:tcW w:w="240" w:type="dxa"/>
            <w:vAlign w:val="bottom"/>
            <w:shd w:val="clear" w:color="auto" w:fill="CCFFCC"/>
          </w:tcPr>
          <w:p>
            <w:pPr>
              <w:spacing w:after="0"/>
              <w:rPr>
                <w:sz w:val="17"/>
                <w:szCs w:val="17"/>
                <w:color w:val="auto"/>
              </w:rPr>
            </w:pPr>
          </w:p>
        </w:tc>
        <w:tc>
          <w:tcPr>
            <w:tcW w:w="114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-2.2%</w:t>
            </w:r>
          </w:p>
        </w:tc>
        <w:tc>
          <w:tcPr>
            <w:tcW w:w="260" w:type="dxa"/>
            <w:vAlign w:val="bottom"/>
            <w:shd w:val="clear" w:color="auto" w:fill="CCFFCC"/>
          </w:tcPr>
          <w:p>
            <w:pPr>
              <w:spacing w:after="0"/>
              <w:rPr>
                <w:sz w:val="17"/>
                <w:szCs w:val="17"/>
                <w:color w:val="auto"/>
              </w:rPr>
            </w:pPr>
          </w:p>
        </w:tc>
        <w:tc>
          <w:tcPr>
            <w:tcW w:w="900" w:type="dxa"/>
            <w:vAlign w:val="bottom"/>
            <w:gridSpan w:val="2"/>
            <w:shd w:val="clear" w:color="auto" w:fill="CCFFCC"/>
          </w:tcPr>
          <w:p>
            <w:pPr>
              <w:jc w:val="right"/>
              <w:ind w:right="140"/>
              <w:spacing w:after="0"/>
              <w:rPr>
                <w:sz w:val="20"/>
                <w:szCs w:val="20"/>
                <w:color w:val="auto"/>
              </w:rPr>
            </w:pPr>
            <w:r>
              <w:rPr>
                <w:rFonts w:ascii="Arial" w:cs="Arial" w:eastAsia="Arial" w:hAnsi="Arial"/>
                <w:sz w:val="16"/>
                <w:szCs w:val="16"/>
                <w:color w:val="auto"/>
              </w:rPr>
              <w:t>25.1%</w:t>
            </w:r>
          </w:p>
        </w:tc>
        <w:tc>
          <w:tcPr>
            <w:tcW w:w="9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578,364</w:t>
            </w:r>
          </w:p>
        </w:tc>
        <w:tc>
          <w:tcPr>
            <w:tcW w:w="240" w:type="dxa"/>
            <w:vAlign w:val="bottom"/>
            <w:shd w:val="clear" w:color="auto" w:fill="CCFFCC"/>
          </w:tcPr>
          <w:p>
            <w:pPr>
              <w:spacing w:after="0"/>
              <w:rPr>
                <w:sz w:val="17"/>
                <w:szCs w:val="17"/>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423,241</w:t>
            </w:r>
          </w:p>
        </w:tc>
        <w:tc>
          <w:tcPr>
            <w:tcW w:w="260" w:type="dxa"/>
            <w:vAlign w:val="bottom"/>
            <w:tcBorders>
              <w:right w:val="single" w:sz="8" w:color="CCFFCC"/>
            </w:tcBorders>
            <w:shd w:val="clear" w:color="auto" w:fill="CCFFCC"/>
          </w:tcPr>
          <w:p>
            <w:pPr>
              <w:spacing w:after="0"/>
              <w:rPr>
                <w:sz w:val="17"/>
                <w:szCs w:val="17"/>
                <w:color w:val="auto"/>
              </w:rPr>
            </w:pPr>
          </w:p>
        </w:tc>
        <w:tc>
          <w:tcPr>
            <w:tcW w:w="1180" w:type="dxa"/>
            <w:vAlign w:val="bottom"/>
            <w:gridSpan w:val="2"/>
            <w:shd w:val="clear" w:color="auto" w:fill="CCFFCC"/>
          </w:tcPr>
          <w:p>
            <w:pPr>
              <w:jc w:val="right"/>
              <w:ind w:right="20"/>
              <w:spacing w:after="0"/>
              <w:rPr>
                <w:sz w:val="20"/>
                <w:szCs w:val="20"/>
                <w:color w:val="auto"/>
              </w:rPr>
            </w:pPr>
            <w:r>
              <w:rPr>
                <w:rFonts w:ascii="Arial" w:cs="Arial" w:eastAsia="Arial" w:hAnsi="Arial"/>
                <w:sz w:val="16"/>
                <w:szCs w:val="16"/>
                <w:color w:val="auto"/>
              </w:rPr>
              <w:t>36.7%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60" w:type="dxa"/>
            <w:vAlign w:val="bottom"/>
          </w:tcPr>
          <w:p>
            <w:pPr>
              <w:ind w:left="160"/>
              <w:spacing w:after="0"/>
              <w:rPr>
                <w:sz w:val="20"/>
                <w:szCs w:val="20"/>
                <w:color w:val="auto"/>
              </w:rPr>
            </w:pPr>
            <w:r>
              <w:rPr>
                <w:rFonts w:ascii="Arial" w:cs="Arial" w:eastAsia="Arial" w:hAnsi="Arial"/>
                <w:sz w:val="16"/>
                <w:szCs w:val="16"/>
                <w:color w:val="auto"/>
                <w:w w:val="94"/>
              </w:rPr>
              <w:t>Non core operating income*</w:t>
            </w:r>
          </w:p>
        </w:tc>
        <w:tc>
          <w:tcPr>
            <w:tcW w:w="1260" w:type="dxa"/>
            <w:vAlign w:val="bottom"/>
            <w:gridSpan w:val="3"/>
          </w:tcPr>
          <w:p>
            <w:pPr>
              <w:jc w:val="right"/>
              <w:ind w:right="240"/>
              <w:spacing w:after="0"/>
              <w:rPr>
                <w:sz w:val="20"/>
                <w:szCs w:val="20"/>
                <w:color w:val="auto"/>
              </w:rPr>
            </w:pPr>
            <w:r>
              <w:rPr>
                <w:rFonts w:ascii="Arial" w:cs="Arial" w:eastAsia="Arial" w:hAnsi="Arial"/>
                <w:sz w:val="16"/>
                <w:szCs w:val="16"/>
                <w:color w:val="auto"/>
              </w:rPr>
              <w:t>9,637</w:t>
            </w:r>
          </w:p>
        </w:tc>
        <w:tc>
          <w:tcPr>
            <w:tcW w:w="900" w:type="dxa"/>
            <w:vAlign w:val="bottom"/>
          </w:tcPr>
          <w:p>
            <w:pPr>
              <w:jc w:val="right"/>
              <w:spacing w:after="0"/>
              <w:rPr>
                <w:sz w:val="20"/>
                <w:szCs w:val="20"/>
                <w:color w:val="auto"/>
              </w:rPr>
            </w:pPr>
            <w:r>
              <w:rPr>
                <w:rFonts w:ascii="Arial" w:cs="Arial" w:eastAsia="Arial" w:hAnsi="Arial"/>
                <w:sz w:val="16"/>
                <w:szCs w:val="16"/>
                <w:color w:val="auto"/>
              </w:rPr>
              <w:t>25,349</w:t>
            </w:r>
          </w:p>
        </w:tc>
        <w:tc>
          <w:tcPr>
            <w:tcW w:w="26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-62.0%</w:t>
            </w:r>
          </w:p>
        </w:tc>
        <w:tc>
          <w:tcPr>
            <w:tcW w:w="260" w:type="dxa"/>
            <w:vAlign w:val="bottom"/>
          </w:tcPr>
          <w:p>
            <w:pPr>
              <w:spacing w:after="0"/>
              <w:rPr>
                <w:sz w:val="17"/>
                <w:szCs w:val="17"/>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34,986</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72,727</w:t>
            </w:r>
          </w:p>
        </w:tc>
        <w:tc>
          <w:tcPr>
            <w:tcW w:w="260" w:type="dxa"/>
            <w:vAlign w:val="bottom"/>
          </w:tcPr>
          <w:p>
            <w:pPr>
              <w:spacing w:after="0"/>
              <w:rPr>
                <w:sz w:val="17"/>
                <w:szCs w:val="17"/>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-51.9%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60" w:type="dxa"/>
            <w:vAlign w:val="bottom"/>
            <w:shd w:val="clear" w:color="auto" w:fill="CCFFCC"/>
          </w:tcPr>
          <w:p>
            <w:pPr>
              <w:spacing w:after="0"/>
              <w:rPr>
                <w:sz w:val="20"/>
                <w:szCs w:val="20"/>
                <w:color w:val="auto"/>
              </w:rPr>
            </w:pPr>
            <w:r>
              <w:rPr>
                <w:rFonts w:ascii="Arial" w:cs="Arial" w:eastAsia="Arial" w:hAnsi="Arial"/>
                <w:sz w:val="16"/>
                <w:szCs w:val="16"/>
                <w:color w:val="auto"/>
              </w:rPr>
              <w:t>Translation results</w:t>
            </w:r>
          </w:p>
        </w:tc>
        <w:tc>
          <w:tcPr>
            <w:tcW w:w="1260" w:type="dxa"/>
            <w:vAlign w:val="bottom"/>
            <w:gridSpan w:val="3"/>
            <w:shd w:val="clear" w:color="auto" w:fill="CCFFCC"/>
          </w:tcPr>
          <w:p>
            <w:pPr>
              <w:jc w:val="right"/>
              <w:ind w:right="240"/>
              <w:spacing w:after="0"/>
              <w:rPr>
                <w:sz w:val="20"/>
                <w:szCs w:val="20"/>
                <w:color w:val="auto"/>
              </w:rPr>
            </w:pPr>
            <w:r>
              <w:rPr>
                <w:rFonts w:ascii="Arial" w:cs="Arial" w:eastAsia="Arial" w:hAnsi="Arial"/>
                <w:sz w:val="16"/>
                <w:szCs w:val="16"/>
                <w:color w:val="auto"/>
              </w:rPr>
              <w:t>14,467</w:t>
            </w:r>
          </w:p>
        </w:tc>
        <w:tc>
          <w:tcPr>
            <w:tcW w:w="9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4,675</w:t>
            </w:r>
          </w:p>
        </w:tc>
        <w:tc>
          <w:tcPr>
            <w:tcW w:w="260" w:type="dxa"/>
            <w:vAlign w:val="bottom"/>
            <w:shd w:val="clear" w:color="auto" w:fill="CCFFCC"/>
          </w:tcPr>
          <w:p>
            <w:pPr>
              <w:spacing w:after="0"/>
              <w:rPr>
                <w:sz w:val="17"/>
                <w:szCs w:val="17"/>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12,046</w:t>
            </w:r>
          </w:p>
        </w:tc>
        <w:tc>
          <w:tcPr>
            <w:tcW w:w="240" w:type="dxa"/>
            <w:vAlign w:val="bottom"/>
            <w:shd w:val="clear" w:color="auto" w:fill="CCFFCC"/>
          </w:tcPr>
          <w:p>
            <w:pPr>
              <w:spacing w:after="0"/>
              <w:rPr>
                <w:sz w:val="17"/>
                <w:szCs w:val="17"/>
                <w:color w:val="auto"/>
              </w:rPr>
            </w:pPr>
          </w:p>
        </w:tc>
        <w:tc>
          <w:tcPr>
            <w:tcW w:w="114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209.4%</w:t>
            </w:r>
          </w:p>
        </w:tc>
        <w:tc>
          <w:tcPr>
            <w:tcW w:w="260" w:type="dxa"/>
            <w:vAlign w:val="bottom"/>
            <w:shd w:val="clear" w:color="auto" w:fill="CCFFCC"/>
          </w:tcPr>
          <w:p>
            <w:pPr>
              <w:spacing w:after="0"/>
              <w:rPr>
                <w:sz w:val="17"/>
                <w:szCs w:val="17"/>
                <w:color w:val="auto"/>
              </w:rPr>
            </w:pPr>
          </w:p>
        </w:tc>
        <w:tc>
          <w:tcPr>
            <w:tcW w:w="900" w:type="dxa"/>
            <w:vAlign w:val="bottom"/>
            <w:gridSpan w:val="2"/>
            <w:shd w:val="clear" w:color="auto" w:fill="CCFFCC"/>
          </w:tcPr>
          <w:p>
            <w:pPr>
              <w:jc w:val="right"/>
              <w:ind w:right="140"/>
              <w:spacing w:after="0"/>
              <w:rPr>
                <w:sz w:val="20"/>
                <w:szCs w:val="20"/>
                <w:color w:val="auto"/>
              </w:rPr>
            </w:pPr>
            <w:r>
              <w:rPr>
                <w:rFonts w:ascii="Arial" w:cs="Arial" w:eastAsia="Arial" w:hAnsi="Arial"/>
                <w:sz w:val="16"/>
                <w:szCs w:val="16"/>
                <w:color w:val="auto"/>
              </w:rPr>
              <w:t>20.1%</w:t>
            </w:r>
          </w:p>
        </w:tc>
        <w:tc>
          <w:tcPr>
            <w:tcW w:w="9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31,202</w:t>
            </w:r>
          </w:p>
        </w:tc>
        <w:tc>
          <w:tcPr>
            <w:tcW w:w="240" w:type="dxa"/>
            <w:vAlign w:val="bottom"/>
            <w:shd w:val="clear" w:color="auto" w:fill="CCFFCC"/>
          </w:tcPr>
          <w:p>
            <w:pPr>
              <w:spacing w:after="0"/>
              <w:rPr>
                <w:sz w:val="17"/>
                <w:szCs w:val="17"/>
                <w:color w:val="auto"/>
              </w:rPr>
            </w:pPr>
          </w:p>
        </w:tc>
        <w:tc>
          <w:tcPr>
            <w:tcW w:w="1160" w:type="dxa"/>
            <w:vAlign w:val="bottom"/>
            <w:tcBorders>
              <w:right w:val="single" w:sz="8" w:color="CCFFCC"/>
            </w:tcBorders>
            <w:gridSpan w:val="2"/>
            <w:shd w:val="clear" w:color="auto" w:fill="CCFFCC"/>
          </w:tcPr>
          <w:p>
            <w:pPr>
              <w:jc w:val="right"/>
              <w:ind w:right="260"/>
              <w:spacing w:after="0"/>
              <w:rPr>
                <w:sz w:val="20"/>
                <w:szCs w:val="20"/>
                <w:color w:val="auto"/>
              </w:rPr>
            </w:pPr>
            <w:r>
              <w:rPr>
                <w:rFonts w:ascii="Arial" w:cs="Arial" w:eastAsia="Arial" w:hAnsi="Arial"/>
                <w:sz w:val="16"/>
                <w:szCs w:val="16"/>
                <w:color w:val="auto"/>
              </w:rPr>
              <w:t>11,296</w:t>
            </w:r>
          </w:p>
        </w:tc>
        <w:tc>
          <w:tcPr>
            <w:tcW w:w="1180" w:type="dxa"/>
            <w:vAlign w:val="bottom"/>
            <w:gridSpan w:val="2"/>
            <w:shd w:val="clear" w:color="auto" w:fill="CCFFCC"/>
          </w:tcPr>
          <w:p>
            <w:pPr>
              <w:jc w:val="right"/>
              <w:ind w:right="20"/>
              <w:spacing w:after="0"/>
              <w:rPr>
                <w:sz w:val="20"/>
                <w:szCs w:val="20"/>
                <w:color w:val="auto"/>
              </w:rPr>
            </w:pPr>
            <w:r>
              <w:rPr>
                <w:rFonts w:ascii="Arial" w:cs="Arial" w:eastAsia="Arial" w:hAnsi="Arial"/>
                <w:sz w:val="16"/>
                <w:szCs w:val="16"/>
                <w:color w:val="auto"/>
              </w:rPr>
              <w:t>176.2%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60" w:type="dxa"/>
            <w:vAlign w:val="bottom"/>
          </w:tcPr>
          <w:p>
            <w:pPr>
              <w:spacing w:after="0"/>
              <w:rPr>
                <w:sz w:val="20"/>
                <w:szCs w:val="20"/>
                <w:color w:val="auto"/>
              </w:rPr>
            </w:pPr>
            <w:r>
              <w:rPr>
                <w:rFonts w:ascii="Arial" w:cs="Arial" w:eastAsia="Arial" w:hAnsi="Arial"/>
                <w:sz w:val="16"/>
                <w:szCs w:val="16"/>
                <w:color w:val="auto"/>
              </w:rPr>
              <w:t>Worker's profit sharing and</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80" w:type="dxa"/>
            <w:vAlign w:val="bottom"/>
            <w:gridSpan w:val="2"/>
          </w:tcPr>
          <w:p>
            <w:pPr>
              <w:spacing w:after="0"/>
              <w:rPr>
                <w:sz w:val="20"/>
                <w:szCs w:val="20"/>
                <w:color w:val="auto"/>
              </w:rPr>
            </w:pPr>
            <w:r>
              <w:rPr>
                <w:rFonts w:ascii="Arial" w:cs="Arial" w:eastAsia="Arial" w:hAnsi="Arial"/>
                <w:sz w:val="16"/>
                <w:szCs w:val="16"/>
                <w:color w:val="auto"/>
              </w:rPr>
              <w:t>income taxes</w:t>
            </w:r>
          </w:p>
        </w:tc>
        <w:tc>
          <w:tcPr>
            <w:tcW w:w="1260" w:type="dxa"/>
            <w:vAlign w:val="bottom"/>
            <w:gridSpan w:val="3"/>
          </w:tcPr>
          <w:p>
            <w:pPr>
              <w:jc w:val="right"/>
              <w:ind w:right="180"/>
              <w:spacing w:after="0"/>
              <w:rPr>
                <w:sz w:val="20"/>
                <w:szCs w:val="20"/>
                <w:color w:val="auto"/>
              </w:rPr>
            </w:pPr>
            <w:r>
              <w:rPr>
                <w:rFonts w:ascii="Arial" w:cs="Arial" w:eastAsia="Arial" w:hAnsi="Arial"/>
                <w:sz w:val="16"/>
                <w:szCs w:val="16"/>
                <w:color w:val="auto"/>
              </w:rPr>
              <w:t>(62,941)</w:t>
            </w: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(65,611)</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(45,285)</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-4.1%</w:t>
            </w:r>
          </w:p>
        </w:tc>
        <w:tc>
          <w:tcPr>
            <w:tcW w:w="26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39.0%</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(173,454)</w:t>
            </w: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(135,801)</w:t>
            </w: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27.7%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60" w:type="dxa"/>
            <w:vAlign w:val="bottom"/>
            <w:shd w:val="clear" w:color="auto" w:fill="CCFFCC"/>
          </w:tcPr>
          <w:p>
            <w:pPr>
              <w:spacing w:after="0"/>
              <w:rPr>
                <w:sz w:val="20"/>
                <w:szCs w:val="20"/>
                <w:color w:val="auto"/>
              </w:rPr>
            </w:pPr>
            <w:r>
              <w:rPr>
                <w:rFonts w:ascii="Arial" w:cs="Arial" w:eastAsia="Arial" w:hAnsi="Arial"/>
                <w:sz w:val="16"/>
                <w:szCs w:val="16"/>
                <w:b w:val="1"/>
                <w:bCs w:val="1"/>
                <w:color w:val="auto"/>
              </w:rPr>
              <w:t>Net income</w:t>
            </w:r>
          </w:p>
        </w:tc>
        <w:tc>
          <w:tcPr>
            <w:tcW w:w="1260" w:type="dxa"/>
            <w:vAlign w:val="bottom"/>
            <w:gridSpan w:val="3"/>
            <w:shd w:val="clear" w:color="auto" w:fill="CCFFCC"/>
          </w:tcPr>
          <w:p>
            <w:pPr>
              <w:jc w:val="right"/>
              <w:ind w:right="240"/>
              <w:spacing w:after="0"/>
              <w:rPr>
                <w:sz w:val="20"/>
                <w:szCs w:val="20"/>
                <w:color w:val="auto"/>
              </w:rPr>
            </w:pPr>
            <w:r>
              <w:rPr>
                <w:rFonts w:ascii="Arial" w:cs="Arial" w:eastAsia="Arial" w:hAnsi="Arial"/>
                <w:sz w:val="16"/>
                <w:szCs w:val="16"/>
                <w:b w:val="1"/>
                <w:bCs w:val="1"/>
                <w:color w:val="auto"/>
              </w:rPr>
              <w:t>165,586</w:t>
            </w:r>
          </w:p>
        </w:tc>
        <w:tc>
          <w:tcPr>
            <w:tcW w:w="900" w:type="dxa"/>
            <w:vAlign w:val="bottom"/>
            <w:shd w:val="clear" w:color="auto" w:fill="CCFFCC"/>
          </w:tcPr>
          <w:p>
            <w:pPr>
              <w:jc w:val="right"/>
              <w:spacing w:after="0"/>
              <w:rPr>
                <w:sz w:val="20"/>
                <w:szCs w:val="20"/>
                <w:color w:val="auto"/>
              </w:rPr>
            </w:pPr>
            <w:r>
              <w:rPr>
                <w:rFonts w:ascii="Arial" w:cs="Arial" w:eastAsia="Arial" w:hAnsi="Arial"/>
                <w:sz w:val="16"/>
                <w:szCs w:val="16"/>
                <w:b w:val="1"/>
                <w:bCs w:val="1"/>
                <w:color w:val="auto"/>
              </w:rPr>
              <w:t>173,353</w:t>
            </w:r>
          </w:p>
        </w:tc>
        <w:tc>
          <w:tcPr>
            <w:tcW w:w="26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6"/>
                <w:szCs w:val="16"/>
                <w:b w:val="1"/>
                <w:bCs w:val="1"/>
                <w:color w:val="auto"/>
              </w:rPr>
              <w:t>130,139</w:t>
            </w:r>
          </w:p>
        </w:tc>
        <w:tc>
          <w:tcPr>
            <w:tcW w:w="24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b w:val="1"/>
                <w:bCs w:val="1"/>
                <w:color w:val="auto"/>
              </w:rPr>
              <w:t>-4.5%</w:t>
            </w:r>
          </w:p>
        </w:tc>
        <w:tc>
          <w:tcPr>
            <w:tcW w:w="26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b w:val="1"/>
                <w:bCs w:val="1"/>
                <w:color w:val="auto"/>
              </w:rPr>
              <w:t>27.2%</w:t>
            </w:r>
          </w:p>
        </w:tc>
        <w:tc>
          <w:tcPr>
            <w:tcW w:w="900" w:type="dxa"/>
            <w:vAlign w:val="bottom"/>
            <w:shd w:val="clear" w:color="auto" w:fill="CCFFCC"/>
          </w:tcPr>
          <w:p>
            <w:pPr>
              <w:jc w:val="right"/>
              <w:spacing w:after="0"/>
              <w:rPr>
                <w:sz w:val="20"/>
                <w:szCs w:val="20"/>
                <w:color w:val="auto"/>
              </w:rPr>
            </w:pPr>
            <w:r>
              <w:rPr>
                <w:rFonts w:ascii="Arial" w:cs="Arial" w:eastAsia="Arial" w:hAnsi="Arial"/>
                <w:sz w:val="16"/>
                <w:szCs w:val="16"/>
                <w:b w:val="1"/>
                <w:bCs w:val="1"/>
                <w:color w:val="auto"/>
              </w:rPr>
              <w:t>471,098</w:t>
            </w: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6"/>
                <w:szCs w:val="16"/>
                <w:b w:val="1"/>
                <w:bCs w:val="1"/>
                <w:color w:val="auto"/>
              </w:rPr>
              <w:t>371,463</w:t>
            </w:r>
          </w:p>
        </w:tc>
        <w:tc>
          <w:tcPr>
            <w:tcW w:w="260" w:type="dxa"/>
            <w:vAlign w:val="bottom"/>
            <w:tcBorders>
              <w:right w:val="single" w:sz="8" w:color="CCFFCC"/>
            </w:tcBorders>
            <w:shd w:val="clear" w:color="auto" w:fill="CCFFCC"/>
          </w:tcPr>
          <w:p>
            <w:pPr>
              <w:spacing w:after="0"/>
              <w:rPr>
                <w:sz w:val="18"/>
                <w:szCs w:val="18"/>
                <w:color w:val="auto"/>
              </w:rPr>
            </w:pPr>
          </w:p>
        </w:tc>
        <w:tc>
          <w:tcPr>
            <w:tcW w:w="1180" w:type="dxa"/>
            <w:vAlign w:val="bottom"/>
            <w:gridSpan w:val="2"/>
            <w:shd w:val="clear" w:color="auto" w:fill="CCFFCC"/>
          </w:tcPr>
          <w:p>
            <w:pPr>
              <w:jc w:val="right"/>
              <w:spacing w:after="0"/>
              <w:rPr>
                <w:sz w:val="20"/>
                <w:szCs w:val="20"/>
                <w:color w:val="auto"/>
              </w:rPr>
            </w:pPr>
            <w:r>
              <w:rPr>
                <w:rFonts w:ascii="Arial" w:cs="Arial" w:eastAsia="Arial" w:hAnsi="Arial"/>
                <w:sz w:val="16"/>
                <w:szCs w:val="16"/>
                <w:b w:val="1"/>
                <w:bCs w:val="1"/>
                <w:color w:val="auto"/>
              </w:rPr>
              <w:t>26.8%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60" w:type="dxa"/>
            <w:vAlign w:val="bottom"/>
          </w:tcPr>
          <w:p>
            <w:pPr>
              <w:spacing w:after="0"/>
              <w:rPr>
                <w:sz w:val="20"/>
                <w:szCs w:val="20"/>
                <w:color w:val="auto"/>
              </w:rPr>
            </w:pPr>
            <w:r>
              <w:rPr>
                <w:rFonts w:ascii="Arial" w:cs="Arial" w:eastAsia="Arial" w:hAnsi="Arial"/>
                <w:sz w:val="16"/>
                <w:szCs w:val="16"/>
                <w:color w:val="auto"/>
              </w:rPr>
              <w:t>Minority Interest</w:t>
            </w:r>
          </w:p>
        </w:tc>
        <w:tc>
          <w:tcPr>
            <w:tcW w:w="1260" w:type="dxa"/>
            <w:vAlign w:val="bottom"/>
            <w:gridSpan w:val="3"/>
          </w:tcPr>
          <w:p>
            <w:pPr>
              <w:jc w:val="right"/>
              <w:ind w:right="240"/>
              <w:spacing w:after="0"/>
              <w:rPr>
                <w:sz w:val="20"/>
                <w:szCs w:val="20"/>
                <w:color w:val="auto"/>
              </w:rPr>
            </w:pPr>
            <w:r>
              <w:rPr>
                <w:rFonts w:ascii="Arial" w:cs="Arial" w:eastAsia="Arial" w:hAnsi="Arial"/>
                <w:sz w:val="16"/>
                <w:szCs w:val="16"/>
                <w:color w:val="auto"/>
              </w:rPr>
              <w:t>9,360</w:t>
            </w: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11,429</w:t>
            </w:r>
          </w:p>
        </w:tc>
        <w:tc>
          <w:tcPr>
            <w:tcW w:w="900" w:type="dxa"/>
            <w:vAlign w:val="bottom"/>
          </w:tcPr>
          <w:p>
            <w:pPr>
              <w:jc w:val="right"/>
              <w:spacing w:after="0"/>
              <w:rPr>
                <w:sz w:val="20"/>
                <w:szCs w:val="20"/>
                <w:color w:val="auto"/>
              </w:rPr>
            </w:pPr>
            <w:r>
              <w:rPr>
                <w:rFonts w:ascii="Arial" w:cs="Arial" w:eastAsia="Arial" w:hAnsi="Arial"/>
                <w:sz w:val="16"/>
                <w:szCs w:val="16"/>
                <w:color w:val="auto"/>
              </w:rPr>
              <w:t>8,432</w:t>
            </w:r>
          </w:p>
        </w:tc>
        <w:tc>
          <w:tcPr>
            <w:tcW w:w="24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-18.1%</w:t>
            </w:r>
          </w:p>
        </w:tc>
        <w:tc>
          <w:tcPr>
            <w:tcW w:w="26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11.0%</w:t>
            </w:r>
          </w:p>
        </w:tc>
        <w:tc>
          <w:tcPr>
            <w:tcW w:w="900" w:type="dxa"/>
            <w:vAlign w:val="bottom"/>
          </w:tcPr>
          <w:p>
            <w:pPr>
              <w:jc w:val="right"/>
              <w:spacing w:after="0"/>
              <w:rPr>
                <w:sz w:val="20"/>
                <w:szCs w:val="20"/>
                <w:color w:val="auto"/>
              </w:rPr>
            </w:pPr>
            <w:r>
              <w:rPr>
                <w:rFonts w:ascii="Arial" w:cs="Arial" w:eastAsia="Arial" w:hAnsi="Arial"/>
                <w:sz w:val="16"/>
                <w:szCs w:val="16"/>
                <w:color w:val="auto"/>
              </w:rPr>
              <w:t>29,078</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23,976</w:t>
            </w:r>
          </w:p>
        </w:tc>
        <w:tc>
          <w:tcPr>
            <w:tcW w:w="260" w:type="dxa"/>
            <w:vAlign w:val="bottom"/>
          </w:tcPr>
          <w:p>
            <w:pPr>
              <w:spacing w:after="0"/>
              <w:rPr>
                <w:sz w:val="17"/>
                <w:szCs w:val="17"/>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21.3%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060" w:type="dxa"/>
            <w:vAlign w:val="bottom"/>
            <w:shd w:val="clear" w:color="auto" w:fill="CCFFCC"/>
          </w:tcPr>
          <w:p>
            <w:pPr>
              <w:spacing w:after="0"/>
              <w:rPr>
                <w:sz w:val="20"/>
                <w:szCs w:val="20"/>
                <w:color w:val="auto"/>
              </w:rPr>
            </w:pPr>
            <w:r>
              <w:rPr>
                <w:rFonts w:ascii="Arial" w:cs="Arial" w:eastAsia="Arial" w:hAnsi="Arial"/>
                <w:sz w:val="16"/>
                <w:szCs w:val="16"/>
                <w:b w:val="1"/>
                <w:bCs w:val="1"/>
                <w:color w:val="auto"/>
              </w:rPr>
              <w:t>Net income attributed to</w:t>
            </w:r>
          </w:p>
        </w:tc>
        <w:tc>
          <w:tcPr>
            <w:tcW w:w="120" w:type="dxa"/>
            <w:vAlign w:val="bottom"/>
            <w:shd w:val="clear" w:color="auto" w:fill="CCFFCC"/>
          </w:tcPr>
          <w:p>
            <w:pPr>
              <w:spacing w:after="0"/>
              <w:rPr>
                <w:sz w:val="16"/>
                <w:szCs w:val="16"/>
                <w:color w:val="auto"/>
              </w:rPr>
            </w:pPr>
          </w:p>
        </w:tc>
        <w:tc>
          <w:tcPr>
            <w:tcW w:w="900" w:type="dxa"/>
            <w:vAlign w:val="bottom"/>
            <w:shd w:val="clear" w:color="auto" w:fill="CCFFCC"/>
          </w:tcPr>
          <w:p>
            <w:pPr>
              <w:spacing w:after="0"/>
              <w:rPr>
                <w:sz w:val="16"/>
                <w:szCs w:val="16"/>
                <w:color w:val="auto"/>
              </w:rPr>
            </w:pPr>
          </w:p>
        </w:tc>
        <w:tc>
          <w:tcPr>
            <w:tcW w:w="240" w:type="dxa"/>
            <w:vAlign w:val="bottom"/>
            <w:shd w:val="clear" w:color="auto" w:fill="CCFFCC"/>
          </w:tcPr>
          <w:p>
            <w:pPr>
              <w:spacing w:after="0"/>
              <w:rPr>
                <w:sz w:val="16"/>
                <w:szCs w:val="16"/>
                <w:color w:val="auto"/>
              </w:rPr>
            </w:pPr>
          </w:p>
        </w:tc>
        <w:tc>
          <w:tcPr>
            <w:tcW w:w="900" w:type="dxa"/>
            <w:vAlign w:val="bottom"/>
            <w:shd w:val="clear" w:color="auto" w:fill="CCFFCC"/>
          </w:tcPr>
          <w:p>
            <w:pPr>
              <w:spacing w:after="0"/>
              <w:rPr>
                <w:sz w:val="16"/>
                <w:szCs w:val="16"/>
                <w:color w:val="auto"/>
              </w:rPr>
            </w:pPr>
          </w:p>
        </w:tc>
        <w:tc>
          <w:tcPr>
            <w:tcW w:w="260" w:type="dxa"/>
            <w:vAlign w:val="bottom"/>
            <w:shd w:val="clear" w:color="auto" w:fill="CCFFCC"/>
          </w:tcPr>
          <w:p>
            <w:pPr>
              <w:spacing w:after="0"/>
              <w:rPr>
                <w:sz w:val="16"/>
                <w:szCs w:val="16"/>
                <w:color w:val="auto"/>
              </w:rPr>
            </w:pPr>
          </w:p>
        </w:tc>
        <w:tc>
          <w:tcPr>
            <w:tcW w:w="900" w:type="dxa"/>
            <w:vAlign w:val="bottom"/>
            <w:shd w:val="clear" w:color="auto" w:fill="CCFFCC"/>
          </w:tcPr>
          <w:p>
            <w:pPr>
              <w:spacing w:after="0"/>
              <w:rPr>
                <w:sz w:val="16"/>
                <w:szCs w:val="16"/>
                <w:color w:val="auto"/>
              </w:rPr>
            </w:pPr>
          </w:p>
        </w:tc>
        <w:tc>
          <w:tcPr>
            <w:tcW w:w="240" w:type="dxa"/>
            <w:vAlign w:val="bottom"/>
            <w:shd w:val="clear" w:color="auto" w:fill="CCFFCC"/>
          </w:tcPr>
          <w:p>
            <w:pPr>
              <w:spacing w:after="0"/>
              <w:rPr>
                <w:sz w:val="16"/>
                <w:szCs w:val="16"/>
                <w:color w:val="auto"/>
              </w:rPr>
            </w:pPr>
          </w:p>
        </w:tc>
        <w:tc>
          <w:tcPr>
            <w:tcW w:w="880" w:type="dxa"/>
            <w:vAlign w:val="bottom"/>
            <w:shd w:val="clear" w:color="auto" w:fill="CCFFCC"/>
          </w:tcPr>
          <w:p>
            <w:pPr>
              <w:spacing w:after="0"/>
              <w:rPr>
                <w:sz w:val="16"/>
                <w:szCs w:val="16"/>
                <w:color w:val="auto"/>
              </w:rPr>
            </w:pPr>
          </w:p>
        </w:tc>
        <w:tc>
          <w:tcPr>
            <w:tcW w:w="260" w:type="dxa"/>
            <w:vAlign w:val="bottom"/>
            <w:shd w:val="clear" w:color="auto" w:fill="CCFFCC"/>
          </w:tcPr>
          <w:p>
            <w:pPr>
              <w:spacing w:after="0"/>
              <w:rPr>
                <w:sz w:val="16"/>
                <w:szCs w:val="16"/>
                <w:color w:val="auto"/>
              </w:rPr>
            </w:pPr>
          </w:p>
        </w:tc>
        <w:tc>
          <w:tcPr>
            <w:tcW w:w="260" w:type="dxa"/>
            <w:vAlign w:val="bottom"/>
            <w:shd w:val="clear" w:color="auto" w:fill="CCFFCC"/>
          </w:tcPr>
          <w:p>
            <w:pPr>
              <w:spacing w:after="0"/>
              <w:rPr>
                <w:sz w:val="16"/>
                <w:szCs w:val="16"/>
                <w:color w:val="auto"/>
              </w:rPr>
            </w:pPr>
          </w:p>
        </w:tc>
        <w:tc>
          <w:tcPr>
            <w:tcW w:w="620" w:type="dxa"/>
            <w:vAlign w:val="bottom"/>
            <w:shd w:val="clear" w:color="auto" w:fill="CCFFCC"/>
          </w:tcPr>
          <w:p>
            <w:pPr>
              <w:spacing w:after="0"/>
              <w:rPr>
                <w:sz w:val="16"/>
                <w:szCs w:val="16"/>
                <w:color w:val="auto"/>
              </w:rPr>
            </w:pPr>
          </w:p>
        </w:tc>
        <w:tc>
          <w:tcPr>
            <w:tcW w:w="280" w:type="dxa"/>
            <w:vAlign w:val="bottom"/>
            <w:shd w:val="clear" w:color="auto" w:fill="CCFFCC"/>
          </w:tcPr>
          <w:p>
            <w:pPr>
              <w:spacing w:after="0"/>
              <w:rPr>
                <w:sz w:val="16"/>
                <w:szCs w:val="16"/>
                <w:color w:val="auto"/>
              </w:rPr>
            </w:pPr>
          </w:p>
        </w:tc>
        <w:tc>
          <w:tcPr>
            <w:tcW w:w="900" w:type="dxa"/>
            <w:vAlign w:val="bottom"/>
            <w:shd w:val="clear" w:color="auto" w:fill="CCFFCC"/>
          </w:tcPr>
          <w:p>
            <w:pPr>
              <w:spacing w:after="0"/>
              <w:rPr>
                <w:sz w:val="16"/>
                <w:szCs w:val="16"/>
                <w:color w:val="auto"/>
              </w:rPr>
            </w:pPr>
          </w:p>
        </w:tc>
        <w:tc>
          <w:tcPr>
            <w:tcW w:w="240" w:type="dxa"/>
            <w:vAlign w:val="bottom"/>
            <w:shd w:val="clear" w:color="auto" w:fill="CCFFCC"/>
          </w:tcPr>
          <w:p>
            <w:pPr>
              <w:spacing w:after="0"/>
              <w:rPr>
                <w:sz w:val="16"/>
                <w:szCs w:val="16"/>
                <w:color w:val="auto"/>
              </w:rPr>
            </w:pPr>
          </w:p>
        </w:tc>
        <w:tc>
          <w:tcPr>
            <w:tcW w:w="900" w:type="dxa"/>
            <w:vAlign w:val="bottom"/>
            <w:shd w:val="clear" w:color="auto" w:fill="CCFFCC"/>
          </w:tcPr>
          <w:p>
            <w:pPr>
              <w:spacing w:after="0"/>
              <w:rPr>
                <w:sz w:val="16"/>
                <w:szCs w:val="16"/>
                <w:color w:val="auto"/>
              </w:rPr>
            </w:pPr>
          </w:p>
        </w:tc>
        <w:tc>
          <w:tcPr>
            <w:tcW w:w="260" w:type="dxa"/>
            <w:vAlign w:val="bottom"/>
            <w:tcBorders>
              <w:right w:val="single" w:sz="8" w:color="CCFFCC"/>
            </w:tcBorders>
            <w:shd w:val="clear" w:color="auto" w:fill="CCFFCC"/>
          </w:tcPr>
          <w:p>
            <w:pPr>
              <w:spacing w:after="0"/>
              <w:rPr>
                <w:sz w:val="16"/>
                <w:szCs w:val="16"/>
                <w:color w:val="auto"/>
              </w:rPr>
            </w:pPr>
          </w:p>
        </w:tc>
        <w:tc>
          <w:tcPr>
            <w:tcW w:w="102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FFCC"/>
          </w:tcPr>
          <w:p>
            <w:pPr>
              <w:spacing w:after="0"/>
              <w:rPr>
                <w:sz w:val="20"/>
                <w:szCs w:val="20"/>
                <w:color w:val="auto"/>
              </w:rPr>
            </w:pPr>
            <w:r>
              <w:rPr>
                <w:rFonts w:ascii="Arial" w:cs="Arial" w:eastAsia="Arial" w:hAnsi="Arial"/>
                <w:sz w:val="16"/>
                <w:szCs w:val="16"/>
                <w:b w:val="1"/>
                <w:bCs w:val="1"/>
                <w:color w:val="auto"/>
              </w:rPr>
              <w:t>Credicorp</w:t>
            </w:r>
          </w:p>
        </w:tc>
        <w:tc>
          <w:tcPr>
            <w:tcW w:w="1260" w:type="dxa"/>
            <w:vAlign w:val="bottom"/>
            <w:gridSpan w:val="3"/>
            <w:shd w:val="clear" w:color="auto" w:fill="CCFFCC"/>
          </w:tcPr>
          <w:p>
            <w:pPr>
              <w:jc w:val="right"/>
              <w:ind w:right="240"/>
              <w:spacing w:after="0"/>
              <w:rPr>
                <w:sz w:val="20"/>
                <w:szCs w:val="20"/>
                <w:color w:val="auto"/>
              </w:rPr>
            </w:pPr>
            <w:r>
              <w:rPr>
                <w:rFonts w:ascii="Arial" w:cs="Arial" w:eastAsia="Arial" w:hAnsi="Arial"/>
                <w:sz w:val="16"/>
                <w:szCs w:val="16"/>
                <w:b w:val="1"/>
                <w:bCs w:val="1"/>
                <w:color w:val="auto"/>
              </w:rPr>
              <w:t>156,226</w:t>
            </w:r>
          </w:p>
        </w:tc>
        <w:tc>
          <w:tcPr>
            <w:tcW w:w="900" w:type="dxa"/>
            <w:vAlign w:val="bottom"/>
            <w:shd w:val="clear" w:color="auto" w:fill="CCFFCC"/>
          </w:tcPr>
          <w:p>
            <w:pPr>
              <w:jc w:val="right"/>
              <w:spacing w:after="0"/>
              <w:rPr>
                <w:sz w:val="20"/>
                <w:szCs w:val="20"/>
                <w:color w:val="auto"/>
              </w:rPr>
            </w:pPr>
            <w:r>
              <w:rPr>
                <w:rFonts w:ascii="Arial" w:cs="Arial" w:eastAsia="Arial" w:hAnsi="Arial"/>
                <w:sz w:val="16"/>
                <w:szCs w:val="16"/>
                <w:b w:val="1"/>
                <w:bCs w:val="1"/>
                <w:color w:val="auto"/>
              </w:rPr>
              <w:t>161,924</w:t>
            </w:r>
          </w:p>
        </w:tc>
        <w:tc>
          <w:tcPr>
            <w:tcW w:w="26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6"/>
                <w:szCs w:val="16"/>
                <w:b w:val="1"/>
                <w:bCs w:val="1"/>
                <w:color w:val="auto"/>
              </w:rPr>
              <w:t>121,707</w:t>
            </w:r>
          </w:p>
        </w:tc>
        <w:tc>
          <w:tcPr>
            <w:tcW w:w="24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b w:val="1"/>
                <w:bCs w:val="1"/>
                <w:color w:val="auto"/>
              </w:rPr>
              <w:t>-3.5%</w:t>
            </w:r>
          </w:p>
        </w:tc>
        <w:tc>
          <w:tcPr>
            <w:tcW w:w="26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b w:val="1"/>
                <w:bCs w:val="1"/>
                <w:color w:val="auto"/>
              </w:rPr>
              <w:t>28.4%</w:t>
            </w:r>
          </w:p>
        </w:tc>
        <w:tc>
          <w:tcPr>
            <w:tcW w:w="900" w:type="dxa"/>
            <w:vAlign w:val="bottom"/>
            <w:shd w:val="clear" w:color="auto" w:fill="CCFFCC"/>
          </w:tcPr>
          <w:p>
            <w:pPr>
              <w:jc w:val="right"/>
              <w:spacing w:after="0"/>
              <w:rPr>
                <w:sz w:val="20"/>
                <w:szCs w:val="20"/>
                <w:color w:val="auto"/>
              </w:rPr>
            </w:pPr>
            <w:r>
              <w:rPr>
                <w:rFonts w:ascii="Arial" w:cs="Arial" w:eastAsia="Arial" w:hAnsi="Arial"/>
                <w:sz w:val="16"/>
                <w:szCs w:val="16"/>
                <w:b w:val="1"/>
                <w:bCs w:val="1"/>
                <w:color w:val="auto"/>
              </w:rPr>
              <w:t>442,020</w:t>
            </w: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6"/>
                <w:szCs w:val="16"/>
                <w:b w:val="1"/>
                <w:bCs w:val="1"/>
                <w:color w:val="auto"/>
              </w:rPr>
              <w:t>347,487</w:t>
            </w:r>
          </w:p>
        </w:tc>
        <w:tc>
          <w:tcPr>
            <w:tcW w:w="260" w:type="dxa"/>
            <w:vAlign w:val="bottom"/>
            <w:tcBorders>
              <w:right w:val="single" w:sz="8" w:color="CCFFCC"/>
            </w:tcBorders>
            <w:shd w:val="clear" w:color="auto" w:fill="CCFFCC"/>
          </w:tcPr>
          <w:p>
            <w:pPr>
              <w:spacing w:after="0"/>
              <w:rPr>
                <w:sz w:val="18"/>
                <w:szCs w:val="18"/>
                <w:color w:val="auto"/>
              </w:rPr>
            </w:pPr>
          </w:p>
        </w:tc>
        <w:tc>
          <w:tcPr>
            <w:tcW w:w="1180" w:type="dxa"/>
            <w:vAlign w:val="bottom"/>
            <w:gridSpan w:val="2"/>
            <w:shd w:val="clear" w:color="auto" w:fill="CCFFCC"/>
          </w:tcPr>
          <w:p>
            <w:pPr>
              <w:jc w:val="right"/>
              <w:spacing w:after="0"/>
              <w:rPr>
                <w:sz w:val="20"/>
                <w:szCs w:val="20"/>
                <w:color w:val="auto"/>
              </w:rPr>
            </w:pPr>
            <w:r>
              <w:rPr>
                <w:rFonts w:ascii="Arial" w:cs="Arial" w:eastAsia="Arial" w:hAnsi="Arial"/>
                <w:sz w:val="16"/>
                <w:szCs w:val="16"/>
                <w:b w:val="1"/>
                <w:bCs w:val="1"/>
                <w:color w:val="auto"/>
              </w:rPr>
              <w:t>27.2%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60" w:type="dxa"/>
            <w:vAlign w:val="bottom"/>
          </w:tcPr>
          <w:p>
            <w:pPr>
              <w:spacing w:after="0"/>
              <w:rPr>
                <w:sz w:val="20"/>
                <w:szCs w:val="20"/>
                <w:color w:val="auto"/>
              </w:rPr>
            </w:pPr>
            <w:r>
              <w:rPr>
                <w:rFonts w:ascii="Arial" w:cs="Arial" w:eastAsia="Arial" w:hAnsi="Arial"/>
                <w:sz w:val="16"/>
                <w:szCs w:val="16"/>
                <w:color w:val="auto"/>
              </w:rPr>
              <w:t>Net income / share (US$)</w:t>
            </w:r>
          </w:p>
        </w:tc>
        <w:tc>
          <w:tcPr>
            <w:tcW w:w="12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1.96</w:t>
            </w:r>
          </w:p>
        </w:tc>
        <w:tc>
          <w:tcPr>
            <w:tcW w:w="900" w:type="dxa"/>
            <w:vAlign w:val="bottom"/>
          </w:tcPr>
          <w:p>
            <w:pPr>
              <w:jc w:val="right"/>
              <w:spacing w:after="0"/>
              <w:rPr>
                <w:sz w:val="20"/>
                <w:szCs w:val="20"/>
                <w:color w:val="auto"/>
              </w:rPr>
            </w:pPr>
            <w:r>
              <w:rPr>
                <w:rFonts w:ascii="Arial" w:cs="Arial" w:eastAsia="Arial" w:hAnsi="Arial"/>
                <w:sz w:val="16"/>
                <w:szCs w:val="16"/>
                <w:color w:val="auto"/>
              </w:rPr>
              <w:t>2.03</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1.53</w:t>
            </w:r>
          </w:p>
        </w:tc>
        <w:tc>
          <w:tcPr>
            <w:tcW w:w="24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-3.5%</w:t>
            </w:r>
          </w:p>
        </w:tc>
        <w:tc>
          <w:tcPr>
            <w:tcW w:w="26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28.4%</w:t>
            </w:r>
          </w:p>
        </w:tc>
        <w:tc>
          <w:tcPr>
            <w:tcW w:w="900" w:type="dxa"/>
            <w:vAlign w:val="bottom"/>
          </w:tcPr>
          <w:p>
            <w:pPr>
              <w:jc w:val="right"/>
              <w:spacing w:after="0"/>
              <w:rPr>
                <w:sz w:val="20"/>
                <w:szCs w:val="20"/>
                <w:color w:val="auto"/>
              </w:rPr>
            </w:pPr>
            <w:r>
              <w:rPr>
                <w:rFonts w:ascii="Arial" w:cs="Arial" w:eastAsia="Arial" w:hAnsi="Arial"/>
                <w:sz w:val="16"/>
                <w:szCs w:val="16"/>
                <w:color w:val="auto"/>
              </w:rPr>
              <w:t>5.54</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4.36</w:t>
            </w:r>
          </w:p>
        </w:tc>
        <w:tc>
          <w:tcPr>
            <w:tcW w:w="260" w:type="dxa"/>
            <w:vAlign w:val="bottom"/>
          </w:tcPr>
          <w:p>
            <w:pPr>
              <w:spacing w:after="0"/>
              <w:rPr>
                <w:sz w:val="17"/>
                <w:szCs w:val="17"/>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27.2%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2060" w:type="dxa"/>
            <w:vAlign w:val="bottom"/>
            <w:shd w:val="clear" w:color="auto" w:fill="CCFFCC"/>
          </w:tcPr>
          <w:p>
            <w:pPr>
              <w:spacing w:after="0"/>
              <w:rPr>
                <w:sz w:val="20"/>
                <w:szCs w:val="20"/>
                <w:color w:val="auto"/>
              </w:rPr>
            </w:pPr>
            <w:r>
              <w:rPr>
                <w:rFonts w:ascii="Arial" w:cs="Arial" w:eastAsia="Arial" w:hAnsi="Arial"/>
                <w:sz w:val="16"/>
                <w:szCs w:val="16"/>
                <w:color w:val="auto"/>
              </w:rPr>
              <w:t>Total loans</w:t>
            </w:r>
          </w:p>
        </w:tc>
        <w:tc>
          <w:tcPr>
            <w:tcW w:w="120" w:type="dxa"/>
            <w:vAlign w:val="bottom"/>
            <w:shd w:val="clear" w:color="auto" w:fill="CCFFCC"/>
          </w:tcPr>
          <w:p>
            <w:pPr>
              <w:spacing w:after="0"/>
              <w:rPr>
                <w:sz w:val="17"/>
                <w:szCs w:val="17"/>
                <w:color w:val="auto"/>
              </w:rPr>
            </w:pPr>
          </w:p>
        </w:tc>
        <w:tc>
          <w:tcPr>
            <w:tcW w:w="1140" w:type="dxa"/>
            <w:vAlign w:val="bottom"/>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13,409,258</w:t>
            </w:r>
          </w:p>
        </w:tc>
        <w:tc>
          <w:tcPr>
            <w:tcW w:w="9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12,697,597</w:t>
            </w:r>
          </w:p>
        </w:tc>
        <w:tc>
          <w:tcPr>
            <w:tcW w:w="260" w:type="dxa"/>
            <w:vAlign w:val="bottom"/>
            <w:shd w:val="clear" w:color="auto" w:fill="CCFFCC"/>
          </w:tcPr>
          <w:p>
            <w:pPr>
              <w:spacing w:after="0"/>
              <w:rPr>
                <w:sz w:val="17"/>
                <w:szCs w:val="17"/>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10,675,462</w:t>
            </w:r>
          </w:p>
        </w:tc>
        <w:tc>
          <w:tcPr>
            <w:tcW w:w="240" w:type="dxa"/>
            <w:vAlign w:val="bottom"/>
            <w:shd w:val="clear" w:color="auto" w:fill="CCFFCC"/>
          </w:tcPr>
          <w:p>
            <w:pPr>
              <w:spacing w:after="0"/>
              <w:rPr>
                <w:sz w:val="17"/>
                <w:szCs w:val="17"/>
                <w:color w:val="auto"/>
              </w:rPr>
            </w:pPr>
          </w:p>
        </w:tc>
        <w:tc>
          <w:tcPr>
            <w:tcW w:w="114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5.6%</w:t>
            </w:r>
          </w:p>
        </w:tc>
        <w:tc>
          <w:tcPr>
            <w:tcW w:w="260" w:type="dxa"/>
            <w:vAlign w:val="bottom"/>
            <w:shd w:val="clear" w:color="auto" w:fill="CCFFCC"/>
          </w:tcPr>
          <w:p>
            <w:pPr>
              <w:spacing w:after="0"/>
              <w:rPr>
                <w:sz w:val="17"/>
                <w:szCs w:val="17"/>
                <w:color w:val="auto"/>
              </w:rPr>
            </w:pPr>
          </w:p>
        </w:tc>
        <w:tc>
          <w:tcPr>
            <w:tcW w:w="900" w:type="dxa"/>
            <w:vAlign w:val="bottom"/>
            <w:gridSpan w:val="2"/>
            <w:shd w:val="clear" w:color="auto" w:fill="CCFFCC"/>
          </w:tcPr>
          <w:p>
            <w:pPr>
              <w:jc w:val="right"/>
              <w:ind w:right="140"/>
              <w:spacing w:after="0"/>
              <w:rPr>
                <w:sz w:val="20"/>
                <w:szCs w:val="20"/>
                <w:color w:val="auto"/>
              </w:rPr>
            </w:pPr>
            <w:r>
              <w:rPr>
                <w:rFonts w:ascii="Arial" w:cs="Arial" w:eastAsia="Arial" w:hAnsi="Arial"/>
                <w:sz w:val="16"/>
                <w:szCs w:val="16"/>
                <w:color w:val="auto"/>
              </w:rPr>
              <w:t>25.6%</w:t>
            </w:r>
          </w:p>
        </w:tc>
        <w:tc>
          <w:tcPr>
            <w:tcW w:w="9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13,409,258</w:t>
            </w:r>
          </w:p>
        </w:tc>
        <w:tc>
          <w:tcPr>
            <w:tcW w:w="240" w:type="dxa"/>
            <w:vAlign w:val="bottom"/>
            <w:shd w:val="clear" w:color="auto" w:fill="CCFFCC"/>
          </w:tcPr>
          <w:p>
            <w:pPr>
              <w:spacing w:after="0"/>
              <w:rPr>
                <w:sz w:val="17"/>
                <w:szCs w:val="17"/>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10,675,462</w:t>
            </w:r>
          </w:p>
        </w:tc>
        <w:tc>
          <w:tcPr>
            <w:tcW w:w="260" w:type="dxa"/>
            <w:vAlign w:val="bottom"/>
            <w:tcBorders>
              <w:right w:val="single" w:sz="8" w:color="CCFFCC"/>
            </w:tcBorders>
            <w:shd w:val="clear" w:color="auto" w:fill="CCFFCC"/>
          </w:tcPr>
          <w:p>
            <w:pPr>
              <w:spacing w:after="0"/>
              <w:rPr>
                <w:sz w:val="17"/>
                <w:szCs w:val="17"/>
                <w:color w:val="auto"/>
              </w:rPr>
            </w:pPr>
          </w:p>
        </w:tc>
        <w:tc>
          <w:tcPr>
            <w:tcW w:w="1180" w:type="dxa"/>
            <w:vAlign w:val="bottom"/>
            <w:gridSpan w:val="2"/>
            <w:shd w:val="clear" w:color="auto" w:fill="CCFFCC"/>
          </w:tcPr>
          <w:p>
            <w:pPr>
              <w:jc w:val="right"/>
              <w:ind w:right="20"/>
              <w:spacing w:after="0"/>
              <w:rPr>
                <w:sz w:val="20"/>
                <w:szCs w:val="20"/>
                <w:color w:val="auto"/>
              </w:rPr>
            </w:pPr>
            <w:r>
              <w:rPr>
                <w:rFonts w:ascii="Arial" w:cs="Arial" w:eastAsia="Arial" w:hAnsi="Arial"/>
                <w:sz w:val="16"/>
                <w:szCs w:val="16"/>
                <w:color w:val="auto"/>
              </w:rPr>
              <w:t>25.6%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60" w:type="dxa"/>
            <w:vAlign w:val="bottom"/>
          </w:tcPr>
          <w:p>
            <w:pPr>
              <w:spacing w:after="0"/>
              <w:rPr>
                <w:sz w:val="20"/>
                <w:szCs w:val="20"/>
                <w:color w:val="auto"/>
              </w:rPr>
            </w:pPr>
            <w:r>
              <w:rPr>
                <w:rFonts w:ascii="Arial" w:cs="Arial" w:eastAsia="Arial" w:hAnsi="Arial"/>
                <w:sz w:val="16"/>
                <w:szCs w:val="16"/>
                <w:color w:val="auto"/>
              </w:rPr>
              <w:t>Deposits and obligations</w:t>
            </w:r>
          </w:p>
        </w:tc>
        <w:tc>
          <w:tcPr>
            <w:tcW w:w="1260" w:type="dxa"/>
            <w:vAlign w:val="bottom"/>
            <w:gridSpan w:val="3"/>
          </w:tcPr>
          <w:p>
            <w:pPr>
              <w:jc w:val="right"/>
              <w:ind w:right="240"/>
              <w:spacing w:after="0"/>
              <w:rPr>
                <w:sz w:val="20"/>
                <w:szCs w:val="20"/>
                <w:color w:val="auto"/>
              </w:rPr>
            </w:pPr>
            <w:r>
              <w:rPr>
                <w:rFonts w:ascii="Arial" w:cs="Arial" w:eastAsia="Arial" w:hAnsi="Arial"/>
                <w:sz w:val="16"/>
                <w:szCs w:val="16"/>
                <w:color w:val="auto"/>
              </w:rPr>
              <w:t>16,652,009</w:t>
            </w:r>
          </w:p>
        </w:tc>
        <w:tc>
          <w:tcPr>
            <w:tcW w:w="900" w:type="dxa"/>
            <w:vAlign w:val="bottom"/>
          </w:tcPr>
          <w:p>
            <w:pPr>
              <w:jc w:val="right"/>
              <w:spacing w:after="0"/>
              <w:rPr>
                <w:sz w:val="20"/>
                <w:szCs w:val="20"/>
                <w:color w:val="auto"/>
              </w:rPr>
            </w:pPr>
            <w:r>
              <w:rPr>
                <w:rFonts w:ascii="Arial" w:cs="Arial" w:eastAsia="Arial" w:hAnsi="Arial"/>
                <w:sz w:val="16"/>
                <w:szCs w:val="16"/>
                <w:color w:val="auto"/>
              </w:rPr>
              <w:t>15,257,042</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13,672,287</w:t>
            </w:r>
          </w:p>
        </w:tc>
        <w:tc>
          <w:tcPr>
            <w:tcW w:w="24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9.1%</w:t>
            </w:r>
          </w:p>
        </w:tc>
        <w:tc>
          <w:tcPr>
            <w:tcW w:w="26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21.8%</w:t>
            </w:r>
          </w:p>
        </w:tc>
        <w:tc>
          <w:tcPr>
            <w:tcW w:w="900" w:type="dxa"/>
            <w:vAlign w:val="bottom"/>
          </w:tcPr>
          <w:p>
            <w:pPr>
              <w:jc w:val="right"/>
              <w:spacing w:after="0"/>
              <w:rPr>
                <w:sz w:val="20"/>
                <w:szCs w:val="20"/>
                <w:color w:val="auto"/>
              </w:rPr>
            </w:pPr>
            <w:r>
              <w:rPr>
                <w:rFonts w:ascii="Arial" w:cs="Arial" w:eastAsia="Arial" w:hAnsi="Arial"/>
                <w:sz w:val="16"/>
                <w:szCs w:val="16"/>
                <w:color w:val="auto"/>
              </w:rPr>
              <w:t>16,652,009</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13,672,287</w:t>
            </w:r>
          </w:p>
        </w:tc>
        <w:tc>
          <w:tcPr>
            <w:tcW w:w="260" w:type="dxa"/>
            <w:vAlign w:val="bottom"/>
          </w:tcPr>
          <w:p>
            <w:pPr>
              <w:spacing w:after="0"/>
              <w:rPr>
                <w:sz w:val="17"/>
                <w:szCs w:val="17"/>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21.8%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60" w:type="dxa"/>
            <w:vAlign w:val="bottom"/>
            <w:shd w:val="clear" w:color="auto" w:fill="CCFFCC"/>
          </w:tcPr>
          <w:p>
            <w:pPr>
              <w:spacing w:after="0"/>
              <w:rPr>
                <w:sz w:val="20"/>
                <w:szCs w:val="20"/>
                <w:color w:val="auto"/>
              </w:rPr>
            </w:pPr>
            <w:r>
              <w:rPr>
                <w:rFonts w:ascii="Arial" w:cs="Arial" w:eastAsia="Arial" w:hAnsi="Arial"/>
                <w:sz w:val="16"/>
                <w:szCs w:val="16"/>
                <w:color w:val="auto"/>
              </w:rPr>
              <w:t>Net shareholders' equity</w:t>
            </w:r>
          </w:p>
        </w:tc>
        <w:tc>
          <w:tcPr>
            <w:tcW w:w="120" w:type="dxa"/>
            <w:vAlign w:val="bottom"/>
            <w:shd w:val="clear" w:color="auto" w:fill="CCFFCC"/>
          </w:tcPr>
          <w:p>
            <w:pPr>
              <w:spacing w:after="0"/>
              <w:rPr>
                <w:sz w:val="17"/>
                <w:szCs w:val="17"/>
                <w:color w:val="auto"/>
              </w:rPr>
            </w:pPr>
          </w:p>
        </w:tc>
        <w:tc>
          <w:tcPr>
            <w:tcW w:w="1140" w:type="dxa"/>
            <w:vAlign w:val="bottom"/>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2,689,315</w:t>
            </w:r>
          </w:p>
        </w:tc>
        <w:tc>
          <w:tcPr>
            <w:tcW w:w="9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2,433,065</w:t>
            </w:r>
          </w:p>
        </w:tc>
        <w:tc>
          <w:tcPr>
            <w:tcW w:w="260" w:type="dxa"/>
            <w:vAlign w:val="bottom"/>
            <w:shd w:val="clear" w:color="auto" w:fill="CCFFCC"/>
          </w:tcPr>
          <w:p>
            <w:pPr>
              <w:spacing w:after="0"/>
              <w:rPr>
                <w:sz w:val="17"/>
                <w:szCs w:val="17"/>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2,130,102</w:t>
            </w:r>
          </w:p>
        </w:tc>
        <w:tc>
          <w:tcPr>
            <w:tcW w:w="240" w:type="dxa"/>
            <w:vAlign w:val="bottom"/>
            <w:shd w:val="clear" w:color="auto" w:fill="CCFFCC"/>
          </w:tcPr>
          <w:p>
            <w:pPr>
              <w:spacing w:after="0"/>
              <w:rPr>
                <w:sz w:val="17"/>
                <w:szCs w:val="17"/>
                <w:color w:val="auto"/>
              </w:rPr>
            </w:pPr>
          </w:p>
        </w:tc>
        <w:tc>
          <w:tcPr>
            <w:tcW w:w="114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10.5%</w:t>
            </w:r>
          </w:p>
        </w:tc>
        <w:tc>
          <w:tcPr>
            <w:tcW w:w="260" w:type="dxa"/>
            <w:vAlign w:val="bottom"/>
            <w:shd w:val="clear" w:color="auto" w:fill="CCFFCC"/>
          </w:tcPr>
          <w:p>
            <w:pPr>
              <w:spacing w:after="0"/>
              <w:rPr>
                <w:sz w:val="17"/>
                <w:szCs w:val="17"/>
                <w:color w:val="auto"/>
              </w:rPr>
            </w:pPr>
          </w:p>
        </w:tc>
        <w:tc>
          <w:tcPr>
            <w:tcW w:w="900" w:type="dxa"/>
            <w:vAlign w:val="bottom"/>
            <w:gridSpan w:val="2"/>
            <w:shd w:val="clear" w:color="auto" w:fill="CCFFCC"/>
          </w:tcPr>
          <w:p>
            <w:pPr>
              <w:jc w:val="right"/>
              <w:ind w:right="140"/>
              <w:spacing w:after="0"/>
              <w:rPr>
                <w:sz w:val="20"/>
                <w:szCs w:val="20"/>
                <w:color w:val="auto"/>
              </w:rPr>
            </w:pPr>
            <w:r>
              <w:rPr>
                <w:rFonts w:ascii="Arial" w:cs="Arial" w:eastAsia="Arial" w:hAnsi="Arial"/>
                <w:sz w:val="16"/>
                <w:szCs w:val="16"/>
                <w:color w:val="auto"/>
              </w:rPr>
              <w:t>26.3%</w:t>
            </w:r>
          </w:p>
        </w:tc>
        <w:tc>
          <w:tcPr>
            <w:tcW w:w="9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2,689,315</w:t>
            </w:r>
          </w:p>
        </w:tc>
        <w:tc>
          <w:tcPr>
            <w:tcW w:w="240" w:type="dxa"/>
            <w:vAlign w:val="bottom"/>
            <w:shd w:val="clear" w:color="auto" w:fill="CCFFCC"/>
          </w:tcPr>
          <w:p>
            <w:pPr>
              <w:spacing w:after="0"/>
              <w:rPr>
                <w:sz w:val="17"/>
                <w:szCs w:val="17"/>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2,130,102</w:t>
            </w:r>
          </w:p>
        </w:tc>
        <w:tc>
          <w:tcPr>
            <w:tcW w:w="260" w:type="dxa"/>
            <w:vAlign w:val="bottom"/>
            <w:tcBorders>
              <w:right w:val="single" w:sz="8" w:color="CCFFCC"/>
            </w:tcBorders>
            <w:shd w:val="clear" w:color="auto" w:fill="CCFFCC"/>
          </w:tcPr>
          <w:p>
            <w:pPr>
              <w:spacing w:after="0"/>
              <w:rPr>
                <w:sz w:val="17"/>
                <w:szCs w:val="17"/>
                <w:color w:val="auto"/>
              </w:rPr>
            </w:pPr>
          </w:p>
        </w:tc>
        <w:tc>
          <w:tcPr>
            <w:tcW w:w="1180" w:type="dxa"/>
            <w:vAlign w:val="bottom"/>
            <w:gridSpan w:val="2"/>
            <w:shd w:val="clear" w:color="auto" w:fill="CCFFCC"/>
          </w:tcPr>
          <w:p>
            <w:pPr>
              <w:jc w:val="right"/>
              <w:ind w:right="20"/>
              <w:spacing w:after="0"/>
              <w:rPr>
                <w:sz w:val="20"/>
                <w:szCs w:val="20"/>
                <w:color w:val="auto"/>
              </w:rPr>
            </w:pPr>
            <w:r>
              <w:rPr>
                <w:rFonts w:ascii="Arial" w:cs="Arial" w:eastAsia="Arial" w:hAnsi="Arial"/>
                <w:sz w:val="16"/>
                <w:szCs w:val="16"/>
                <w:color w:val="auto"/>
              </w:rPr>
              <w:t>26.3%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6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Borders>
              <w:right w:val="single" w:sz="8" w:color="CCFFCC"/>
            </w:tcBorders>
            <w:shd w:val="clear" w:color="auto" w:fill="CCFFCC"/>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2060" w:type="dxa"/>
            <w:vAlign w:val="bottom"/>
          </w:tcPr>
          <w:p>
            <w:pPr>
              <w:spacing w:after="0"/>
              <w:rPr>
                <w:sz w:val="20"/>
                <w:szCs w:val="20"/>
                <w:color w:val="auto"/>
              </w:rPr>
            </w:pPr>
            <w:r>
              <w:rPr>
                <w:rFonts w:ascii="Arial" w:cs="Arial" w:eastAsia="Arial" w:hAnsi="Arial"/>
                <w:sz w:val="16"/>
                <w:szCs w:val="16"/>
                <w:color w:val="auto"/>
              </w:rPr>
              <w:t>Net interest margin</w:t>
            </w:r>
          </w:p>
        </w:tc>
        <w:tc>
          <w:tcPr>
            <w:tcW w:w="12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4.85%</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4.99%</w:t>
            </w: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4.72%</w:t>
            </w: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5.05%</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4.78%</w:t>
            </w: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60" w:type="dxa"/>
            <w:vAlign w:val="bottom"/>
            <w:shd w:val="clear" w:color="auto" w:fill="CCFFCC"/>
          </w:tcPr>
          <w:p>
            <w:pPr>
              <w:spacing w:after="0"/>
              <w:rPr>
                <w:sz w:val="20"/>
                <w:szCs w:val="20"/>
                <w:color w:val="auto"/>
              </w:rPr>
            </w:pPr>
            <w:r>
              <w:rPr>
                <w:rFonts w:ascii="Arial" w:cs="Arial" w:eastAsia="Arial" w:hAnsi="Arial"/>
                <w:sz w:val="16"/>
                <w:szCs w:val="16"/>
                <w:color w:val="auto"/>
              </w:rPr>
              <w:t>Efficiency ratio</w:t>
            </w:r>
          </w:p>
        </w:tc>
        <w:tc>
          <w:tcPr>
            <w:tcW w:w="1260" w:type="dxa"/>
            <w:vAlign w:val="bottom"/>
            <w:gridSpan w:val="3"/>
            <w:shd w:val="clear" w:color="auto" w:fill="CCFFCC"/>
          </w:tcPr>
          <w:p>
            <w:pPr>
              <w:jc w:val="right"/>
              <w:ind w:right="100"/>
              <w:spacing w:after="0"/>
              <w:rPr>
                <w:sz w:val="20"/>
                <w:szCs w:val="20"/>
                <w:color w:val="auto"/>
              </w:rPr>
            </w:pPr>
            <w:r>
              <w:rPr>
                <w:rFonts w:ascii="Arial" w:cs="Arial" w:eastAsia="Arial" w:hAnsi="Arial"/>
                <w:sz w:val="16"/>
                <w:szCs w:val="16"/>
                <w:color w:val="auto"/>
              </w:rPr>
              <w:t>39.4%</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39.6%</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39.8%</w:t>
            </w:r>
          </w:p>
        </w:tc>
        <w:tc>
          <w:tcPr>
            <w:tcW w:w="88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62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40.3%</w:t>
            </w:r>
          </w:p>
        </w:tc>
        <w:tc>
          <w:tcPr>
            <w:tcW w:w="116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41.4%</w:t>
            </w:r>
          </w:p>
        </w:tc>
        <w:tc>
          <w:tcPr>
            <w:tcW w:w="10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60" w:type="dxa"/>
            <w:vAlign w:val="bottom"/>
          </w:tcPr>
          <w:p>
            <w:pPr>
              <w:spacing w:after="0"/>
              <w:rPr>
                <w:sz w:val="20"/>
                <w:szCs w:val="20"/>
                <w:color w:val="auto"/>
              </w:rPr>
            </w:pPr>
            <w:r>
              <w:rPr>
                <w:rFonts w:ascii="Arial" w:cs="Arial" w:eastAsia="Arial" w:hAnsi="Arial"/>
                <w:sz w:val="16"/>
                <w:szCs w:val="16"/>
                <w:color w:val="auto"/>
                <w:w w:val="87"/>
              </w:rPr>
              <w:t>Return on average shareholders'</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80" w:type="dxa"/>
            <w:vAlign w:val="bottom"/>
            <w:gridSpan w:val="2"/>
          </w:tcPr>
          <w:p>
            <w:pPr>
              <w:spacing w:after="0"/>
              <w:rPr>
                <w:sz w:val="20"/>
                <w:szCs w:val="20"/>
                <w:color w:val="auto"/>
              </w:rPr>
            </w:pPr>
            <w:r>
              <w:rPr>
                <w:rFonts w:ascii="Arial" w:cs="Arial" w:eastAsia="Arial" w:hAnsi="Arial"/>
                <w:sz w:val="16"/>
                <w:szCs w:val="16"/>
                <w:color w:val="auto"/>
              </w:rPr>
              <w:t>equity</w:t>
            </w:r>
          </w:p>
        </w:tc>
        <w:tc>
          <w:tcPr>
            <w:tcW w:w="1260" w:type="dxa"/>
            <w:vAlign w:val="bottom"/>
            <w:gridSpan w:val="3"/>
          </w:tcPr>
          <w:p>
            <w:pPr>
              <w:jc w:val="right"/>
              <w:ind w:right="100"/>
              <w:spacing w:after="0"/>
              <w:rPr>
                <w:sz w:val="20"/>
                <w:szCs w:val="20"/>
                <w:color w:val="auto"/>
              </w:rPr>
            </w:pPr>
            <w:r>
              <w:rPr>
                <w:rFonts w:ascii="Arial" w:cs="Arial" w:eastAsia="Arial" w:hAnsi="Arial"/>
                <w:sz w:val="16"/>
                <w:szCs w:val="16"/>
                <w:color w:val="auto"/>
              </w:rPr>
              <w:t>24.4%</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27.5%</w:t>
            </w: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24.0%</w:t>
            </w: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24.2%</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24.8%</w:t>
            </w: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60" w:type="dxa"/>
            <w:vAlign w:val="bottom"/>
            <w:shd w:val="clear" w:color="auto" w:fill="CCFFCC"/>
          </w:tcPr>
          <w:p>
            <w:pPr>
              <w:spacing w:after="0"/>
              <w:rPr>
                <w:sz w:val="20"/>
                <w:szCs w:val="20"/>
                <w:color w:val="auto"/>
              </w:rPr>
            </w:pPr>
            <w:r>
              <w:rPr>
                <w:rFonts w:ascii="Arial" w:cs="Arial" w:eastAsia="Arial" w:hAnsi="Arial"/>
                <w:sz w:val="16"/>
                <w:szCs w:val="16"/>
                <w:color w:val="auto"/>
              </w:rPr>
              <w:t>PDL / total loans</w:t>
            </w:r>
          </w:p>
        </w:tc>
        <w:tc>
          <w:tcPr>
            <w:tcW w:w="1260" w:type="dxa"/>
            <w:vAlign w:val="bottom"/>
            <w:gridSpan w:val="3"/>
            <w:shd w:val="clear" w:color="auto" w:fill="CCFFCC"/>
          </w:tcPr>
          <w:p>
            <w:pPr>
              <w:jc w:val="right"/>
              <w:ind w:right="100"/>
              <w:spacing w:after="0"/>
              <w:rPr>
                <w:sz w:val="20"/>
                <w:szCs w:val="20"/>
                <w:color w:val="auto"/>
              </w:rPr>
            </w:pPr>
            <w:r>
              <w:rPr>
                <w:rFonts w:ascii="Arial" w:cs="Arial" w:eastAsia="Arial" w:hAnsi="Arial"/>
                <w:sz w:val="16"/>
                <w:szCs w:val="16"/>
                <w:color w:val="auto"/>
              </w:rPr>
              <w:t>1.59%</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1.70%</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1.55%</w:t>
            </w:r>
          </w:p>
        </w:tc>
        <w:tc>
          <w:tcPr>
            <w:tcW w:w="8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6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1.59%</w:t>
            </w:r>
          </w:p>
        </w:tc>
        <w:tc>
          <w:tcPr>
            <w:tcW w:w="116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1.55%</w:t>
            </w:r>
          </w:p>
        </w:tc>
        <w:tc>
          <w:tcPr>
            <w:tcW w:w="10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60" w:type="dxa"/>
            <w:vAlign w:val="bottom"/>
          </w:tcPr>
          <w:p>
            <w:pPr>
              <w:spacing w:after="0"/>
              <w:rPr>
                <w:sz w:val="20"/>
                <w:szCs w:val="20"/>
                <w:color w:val="auto"/>
              </w:rPr>
            </w:pPr>
            <w:r>
              <w:rPr>
                <w:rFonts w:ascii="Arial" w:cs="Arial" w:eastAsia="Arial" w:hAnsi="Arial"/>
                <w:sz w:val="16"/>
                <w:szCs w:val="16"/>
                <w:color w:val="auto"/>
              </w:rPr>
              <w:t>Coverage ratio of PDLs</w:t>
            </w:r>
          </w:p>
        </w:tc>
        <w:tc>
          <w:tcPr>
            <w:tcW w:w="1260" w:type="dxa"/>
            <w:vAlign w:val="bottom"/>
            <w:gridSpan w:val="3"/>
          </w:tcPr>
          <w:p>
            <w:pPr>
              <w:jc w:val="right"/>
              <w:ind w:right="100"/>
              <w:spacing w:after="0"/>
              <w:rPr>
                <w:sz w:val="20"/>
                <w:szCs w:val="20"/>
                <w:color w:val="auto"/>
              </w:rPr>
            </w:pPr>
            <w:r>
              <w:rPr>
                <w:rFonts w:ascii="Arial" w:cs="Arial" w:eastAsia="Arial" w:hAnsi="Arial"/>
                <w:sz w:val="16"/>
                <w:szCs w:val="16"/>
                <w:color w:val="auto"/>
              </w:rPr>
              <w:t>193.1%</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179.3%</w:t>
            </w: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191.7%</w:t>
            </w: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193.1%</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191.7%</w:t>
            </w: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60" w:type="dxa"/>
            <w:vAlign w:val="bottom"/>
            <w:shd w:val="clear" w:color="auto" w:fill="CCFFCC"/>
          </w:tcPr>
          <w:p>
            <w:pPr>
              <w:spacing w:after="0"/>
              <w:rPr>
                <w:sz w:val="20"/>
                <w:szCs w:val="20"/>
                <w:color w:val="auto"/>
              </w:rPr>
            </w:pPr>
            <w:r>
              <w:rPr>
                <w:rFonts w:ascii="Arial" w:cs="Arial" w:eastAsia="Arial" w:hAnsi="Arial"/>
                <w:sz w:val="16"/>
                <w:szCs w:val="16"/>
                <w:color w:val="auto"/>
              </w:rPr>
              <w:t>Employees</w:t>
            </w:r>
          </w:p>
        </w:tc>
        <w:tc>
          <w:tcPr>
            <w:tcW w:w="120" w:type="dxa"/>
            <w:vAlign w:val="bottom"/>
            <w:shd w:val="clear" w:color="auto" w:fill="CCFFCC"/>
          </w:tcPr>
          <w:p>
            <w:pPr>
              <w:spacing w:after="0"/>
              <w:rPr>
                <w:sz w:val="17"/>
                <w:szCs w:val="17"/>
                <w:color w:val="auto"/>
              </w:rPr>
            </w:pPr>
          </w:p>
        </w:tc>
        <w:tc>
          <w:tcPr>
            <w:tcW w:w="1140" w:type="dxa"/>
            <w:vAlign w:val="bottom"/>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19,012</w:t>
            </w:r>
          </w:p>
        </w:tc>
        <w:tc>
          <w:tcPr>
            <w:tcW w:w="9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19,174</w:t>
            </w:r>
          </w:p>
        </w:tc>
        <w:tc>
          <w:tcPr>
            <w:tcW w:w="260" w:type="dxa"/>
            <w:vAlign w:val="bottom"/>
            <w:shd w:val="clear" w:color="auto" w:fill="CCFFCC"/>
          </w:tcPr>
          <w:p>
            <w:pPr>
              <w:spacing w:after="0"/>
              <w:rPr>
                <w:sz w:val="17"/>
                <w:szCs w:val="17"/>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19,269</w:t>
            </w:r>
          </w:p>
        </w:tc>
        <w:tc>
          <w:tcPr>
            <w:tcW w:w="240" w:type="dxa"/>
            <w:vAlign w:val="bottom"/>
            <w:shd w:val="clear" w:color="auto" w:fill="CCFFCC"/>
          </w:tcPr>
          <w:p>
            <w:pPr>
              <w:spacing w:after="0"/>
              <w:rPr>
                <w:sz w:val="17"/>
                <w:szCs w:val="17"/>
                <w:color w:val="auto"/>
              </w:rPr>
            </w:pPr>
          </w:p>
        </w:tc>
        <w:tc>
          <w:tcPr>
            <w:tcW w:w="88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62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19,012</w:t>
            </w:r>
          </w:p>
        </w:tc>
        <w:tc>
          <w:tcPr>
            <w:tcW w:w="240" w:type="dxa"/>
            <w:vAlign w:val="bottom"/>
            <w:shd w:val="clear" w:color="auto" w:fill="CCFFCC"/>
          </w:tcPr>
          <w:p>
            <w:pPr>
              <w:spacing w:after="0"/>
              <w:rPr>
                <w:sz w:val="17"/>
                <w:szCs w:val="17"/>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19,269</w:t>
            </w:r>
          </w:p>
        </w:tc>
        <w:tc>
          <w:tcPr>
            <w:tcW w:w="260" w:type="dxa"/>
            <w:vAlign w:val="bottom"/>
            <w:tcBorders>
              <w:right w:val="single" w:sz="8" w:color="CCFFCC"/>
            </w:tcBorders>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6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880" w:type="dxa"/>
            <w:vAlign w:val="bottom"/>
            <w:shd w:val="clear" w:color="auto" w:fill="CCFFCC"/>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620" w:type="dxa"/>
            <w:vAlign w:val="bottom"/>
            <w:shd w:val="clear" w:color="auto" w:fill="CCFFCC"/>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Borders>
              <w:right w:val="single" w:sz="8" w:color="CCFFCC"/>
            </w:tcBorders>
            <w:shd w:val="clear" w:color="auto" w:fill="CCFFCC"/>
          </w:tcPr>
          <w:p>
            <w:pPr>
              <w:spacing w:after="0"/>
              <w:rPr>
                <w:sz w:val="2"/>
                <w:szCs w:val="2"/>
                <w:color w:val="auto"/>
              </w:rPr>
            </w:pPr>
          </w:p>
        </w:tc>
        <w:tc>
          <w:tcPr>
            <w:tcW w:w="1020" w:type="dxa"/>
            <w:vAlign w:val="bottom"/>
            <w:shd w:val="clear" w:color="auto" w:fill="CCFFCC"/>
          </w:tcPr>
          <w:p>
            <w:pPr>
              <w:spacing w:after="0"/>
              <w:rPr>
                <w:sz w:val="2"/>
                <w:szCs w:val="2"/>
                <w:color w:val="auto"/>
              </w:rPr>
            </w:pPr>
          </w:p>
        </w:tc>
        <w:tc>
          <w:tcPr>
            <w:tcW w:w="16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175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 It refers to a net gain on sales of securities (non financial income)</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Offsetting to some extent the drop in total operating income, and following strict A&amp;L management guidelines, some advantage was taken from the dollar weakness and a translation gain was reported. Thus net income reached US$ 165.6 million, which resulted in net income attributable to Credicorp of US$ 156.2 million.</w:t>
      </w:r>
    </w:p>
    <w:p>
      <w:pPr>
        <w:spacing w:after="0" w:line="20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excellent performance of Credicorp is significantly more evident looking at year to date numbers, with operating income up by 23.7% and core operating income up by an even stronger 36.7%, leading to total net income generated by Credicorp of US$ 471.1 million, of which US$ 442.0 million are attributable to Credicorp and represent an impressive income growth of 27.2% for the YTD. This performance reflects a 24.2% ROAE, 2.5% ROAA, 5.1% NIM, 40.3% efficiency ratio and 1.59% PDL ratio with 193.1% coverage, by all means, more than satisfying results and all at the high end of expected targets.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Credicorp – The Sum of Its Parts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good 3Q10 results of Credicorp are this time somewhat hidden by different elements, but looking through the numbers and especially at year to date results, the excellence of its performance becomes evident.</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Furthermore, as we expressed last Q, the recovery in economic activity has not only reactivated loan growth, but further increased the good levels of income at the asset management subsidiaries and spurred growth in insurance activity, leading to consistently strong numbers.</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BCP’s 3Q operating results also reflect solid growth in average daily lending volumes of 5.5% and a minimal 0.9% increase in operating costs. Even though provisions for loan losses registered a significant increase, despite the improvement of portfolio quality indicators, operating result was 2.6% up QoQ, excluding non-recurrent gains in securities. The large difference in non-recurrent income QoQ resulted in total operating income dropping 6.3% QoQ, a drop that was compensated by translation gains given the careful A&amp;L management that took advantage of the USD weakness, and lower tax provisions due to tax benefits generated by investments in CDs of BCR. Thus, net contribution to Credicorp was up 3.4% reaching US$ 135.2 million for 3Q10, which reflects a strong ROAE of 31.3% and ROAA of 2.5%.</w:t>
      </w:r>
    </w:p>
    <w:p>
      <w:pPr>
        <w:spacing w:after="0" w:line="36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0" w:right="239" w:bottom="1440" w:gutter="0" w:footer="0" w:header="0"/>
        </w:sectPr>
      </w:pPr>
    </w:p>
    <w:bookmarkStart w:id="4" w:name="page5"/>
    <w:bookmarkEnd w:id="4"/>
    <w:p>
      <w:pPr>
        <w:jc w:val="both"/>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175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Furthermore, income generation has gone up 20.7% YTD, certainly beating all expectations. YTD numbers reveal also that interest income is up by 16.4% while provisions rise only 5.9% for the year, certainly smoothing down the perception of strong rise in provisions of last Q. Non financial income is up by 10.8% given that non-recurrent gains on the sale of securities in 2009 reached a all time high, which in turn disguised an impressive growth in banking services commissions of 32.2%. The efforts on the expense side are also reflected in expense growth of only 11.6% for the year, an achievement in the midst of strong portfolio and business expansion. This excellent performance, added to a sound A&amp;L management that generated some translation gains resulted in the impressive net earnings growth mentioned of 29.2% for the year reaching US$ 374.8 million. BCP’s ratios reflect these improvements with ROAE at 29.3%, ROAA at 2.3%.</w:t>
      </w:r>
    </w:p>
    <w:p>
      <w:pPr>
        <w:spacing w:after="0" w:line="2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Therefore, BCP´s contribution to Credicorp’s bottom line reached US$ 135.2 million this 3Q vs. US$ 130.7 million in 2Q, while on a cumulative basis, net income contribution totaled US$ 365.2 million for the YTD vs. US$ 284.0 million for the same period in 2009, an increase of 28.6%.</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80" w:type="dxa"/>
            <w:vAlign w:val="bottom"/>
            <w:gridSpan w:val="2"/>
          </w:tcPr>
          <w:p>
            <w:pPr>
              <w:spacing w:after="0"/>
              <w:rPr>
                <w:sz w:val="20"/>
                <w:szCs w:val="20"/>
                <w:color w:val="auto"/>
              </w:rPr>
            </w:pPr>
            <w:r>
              <w:rPr>
                <w:rFonts w:ascii="Arial" w:cs="Arial" w:eastAsia="Arial" w:hAnsi="Arial"/>
                <w:sz w:val="18"/>
                <w:szCs w:val="18"/>
                <w:b w:val="1"/>
                <w:bCs w:val="1"/>
                <w:color w:val="auto"/>
              </w:rPr>
              <w:t>Earnings contribution</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Quarter</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gridSpan w:val="3"/>
          </w:tcPr>
          <w:p>
            <w:pPr>
              <w:ind w:left="640"/>
              <w:spacing w:after="0"/>
              <w:rPr>
                <w:sz w:val="20"/>
                <w:szCs w:val="20"/>
                <w:color w:val="auto"/>
              </w:rPr>
            </w:pPr>
            <w:r>
              <w:rPr>
                <w:rFonts w:ascii="Arial" w:cs="Arial" w:eastAsia="Arial" w:hAnsi="Arial"/>
                <w:sz w:val="18"/>
                <w:szCs w:val="18"/>
                <w:b w:val="1"/>
                <w:bCs w:val="1"/>
                <w:color w:val="auto"/>
                <w:w w:val="91"/>
              </w:rPr>
              <w:t>Change %</w:t>
            </w: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20" w:type="dxa"/>
            <w:vAlign w:val="bottom"/>
            <w:gridSpan w:val="4"/>
          </w:tcPr>
          <w:p>
            <w:pPr>
              <w:jc w:val="right"/>
              <w:ind w:right="740"/>
              <w:spacing w:after="0"/>
              <w:rPr>
                <w:sz w:val="20"/>
                <w:szCs w:val="20"/>
                <w:color w:val="auto"/>
              </w:rPr>
            </w:pPr>
            <w:r>
              <w:rPr>
                <w:rFonts w:ascii="Arial" w:cs="Arial" w:eastAsia="Arial" w:hAnsi="Arial"/>
                <w:sz w:val="18"/>
                <w:szCs w:val="18"/>
                <w:b w:val="1"/>
                <w:bCs w:val="1"/>
                <w:color w:val="auto"/>
              </w:rPr>
              <w:t>Year to date</w:t>
            </w:r>
          </w:p>
        </w:tc>
        <w:tc>
          <w:tcPr>
            <w:tcW w:w="13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Change %</w:t>
            </w:r>
          </w:p>
        </w:tc>
        <w:tc>
          <w:tcPr>
            <w:tcW w:w="0" w:type="dxa"/>
            <w:vAlign w:val="bottom"/>
          </w:tcPr>
          <w:p>
            <w:pPr>
              <w:spacing w:after="0"/>
              <w:rPr>
                <w:sz w:val="1"/>
                <w:szCs w:val="1"/>
                <w:color w:val="auto"/>
              </w:rPr>
            </w:pPr>
          </w:p>
        </w:tc>
      </w:tr>
      <w:tr>
        <w:trPr>
          <w:trHeight w:val="216"/>
        </w:trPr>
        <w:tc>
          <w:tcPr>
            <w:tcW w:w="20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US$ 000</w:t>
            </w:r>
          </w:p>
        </w:tc>
        <w:tc>
          <w:tcPr>
            <w:tcW w:w="120" w:type="dxa"/>
            <w:vAlign w:val="bottom"/>
          </w:tcPr>
          <w:p>
            <w:pPr>
              <w:spacing w:after="0"/>
              <w:rPr>
                <w:sz w:val="18"/>
                <w:szCs w:val="18"/>
                <w:color w:val="auto"/>
              </w:rPr>
            </w:pPr>
          </w:p>
        </w:tc>
        <w:tc>
          <w:tcPr>
            <w:tcW w:w="1080" w:type="dxa"/>
            <w:vAlign w:val="bottom"/>
            <w:tcBorders>
              <w:top w:val="single" w:sz="8" w:color="auto"/>
            </w:tcBorders>
            <w:gridSpan w:val="2"/>
          </w:tcPr>
          <w:p>
            <w:pPr>
              <w:jc w:val="right"/>
              <w:ind w:right="440"/>
              <w:spacing w:after="0"/>
              <w:rPr>
                <w:sz w:val="20"/>
                <w:szCs w:val="20"/>
                <w:color w:val="auto"/>
              </w:rPr>
            </w:pPr>
            <w:r>
              <w:rPr>
                <w:rFonts w:ascii="Arial" w:cs="Arial" w:eastAsia="Arial" w:hAnsi="Arial"/>
                <w:sz w:val="18"/>
                <w:szCs w:val="18"/>
                <w:b w:val="1"/>
                <w:bCs w:val="1"/>
                <w:color w:val="auto"/>
              </w:rPr>
              <w:t>3Q10</w:t>
            </w:r>
          </w:p>
        </w:tc>
        <w:tc>
          <w:tcPr>
            <w:tcW w:w="1120" w:type="dxa"/>
            <w:vAlign w:val="bottom"/>
            <w:tcBorders>
              <w:top w:val="single" w:sz="8" w:color="auto"/>
            </w:tcBorders>
            <w:gridSpan w:val="2"/>
          </w:tcPr>
          <w:p>
            <w:pPr>
              <w:jc w:val="right"/>
              <w:ind w:right="460"/>
              <w:spacing w:after="0"/>
              <w:rPr>
                <w:sz w:val="20"/>
                <w:szCs w:val="20"/>
                <w:color w:val="auto"/>
              </w:rPr>
            </w:pPr>
            <w:r>
              <w:rPr>
                <w:rFonts w:ascii="Arial" w:cs="Arial" w:eastAsia="Arial" w:hAnsi="Arial"/>
                <w:sz w:val="18"/>
                <w:szCs w:val="18"/>
                <w:b w:val="1"/>
                <w:bCs w:val="1"/>
                <w:color w:val="auto"/>
              </w:rPr>
              <w:t>2Q10</w:t>
            </w:r>
          </w:p>
        </w:tc>
        <w:tc>
          <w:tcPr>
            <w:tcW w:w="880" w:type="dxa"/>
            <w:vAlign w:val="bottom"/>
            <w:tcBorders>
              <w:top w:val="single" w:sz="8" w:color="auto"/>
            </w:tcBorders>
          </w:tcPr>
          <w:p>
            <w:pPr>
              <w:ind w:left="240"/>
              <w:spacing w:after="0"/>
              <w:rPr>
                <w:sz w:val="20"/>
                <w:szCs w:val="20"/>
                <w:color w:val="auto"/>
              </w:rPr>
            </w:pPr>
            <w:r>
              <w:rPr>
                <w:rFonts w:ascii="Arial" w:cs="Arial" w:eastAsia="Arial" w:hAnsi="Arial"/>
                <w:sz w:val="18"/>
                <w:szCs w:val="18"/>
                <w:b w:val="1"/>
                <w:bCs w:val="1"/>
                <w:color w:val="auto"/>
              </w:rPr>
              <w:t>3Q09</w:t>
            </w:r>
          </w:p>
        </w:tc>
        <w:tc>
          <w:tcPr>
            <w:tcW w:w="220" w:type="dxa"/>
            <w:vAlign w:val="bottom"/>
          </w:tcPr>
          <w:p>
            <w:pPr>
              <w:spacing w:after="0"/>
              <w:rPr>
                <w:sz w:val="18"/>
                <w:szCs w:val="18"/>
                <w:color w:val="auto"/>
              </w:rPr>
            </w:pPr>
          </w:p>
        </w:tc>
        <w:tc>
          <w:tcPr>
            <w:tcW w:w="1460" w:type="dxa"/>
            <w:vAlign w:val="bottom"/>
            <w:tcBorders>
              <w:top w:val="single" w:sz="8" w:color="auto"/>
            </w:tcBorders>
            <w:gridSpan w:val="3"/>
          </w:tcPr>
          <w:p>
            <w:pPr>
              <w:ind w:left="260"/>
              <w:spacing w:after="0"/>
              <w:rPr>
                <w:sz w:val="20"/>
                <w:szCs w:val="20"/>
                <w:color w:val="auto"/>
              </w:rPr>
            </w:pPr>
            <w:r>
              <w:rPr>
                <w:rFonts w:ascii="Arial" w:cs="Arial" w:eastAsia="Arial" w:hAnsi="Arial"/>
                <w:sz w:val="18"/>
                <w:szCs w:val="18"/>
                <w:b w:val="1"/>
                <w:bCs w:val="1"/>
                <w:color w:val="auto"/>
              </w:rPr>
              <w:t>QoQ</w:t>
            </w:r>
          </w:p>
        </w:tc>
        <w:tc>
          <w:tcPr>
            <w:tcW w:w="6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1"/>
              </w:rPr>
              <w:t>YoY</w:t>
            </w:r>
          </w:p>
        </w:tc>
        <w:tc>
          <w:tcPr>
            <w:tcW w:w="280" w:type="dxa"/>
            <w:vAlign w:val="bottom"/>
          </w:tcPr>
          <w:p>
            <w:pPr>
              <w:spacing w:after="0"/>
              <w:rPr>
                <w:sz w:val="18"/>
                <w:szCs w:val="18"/>
                <w:color w:val="auto"/>
              </w:rPr>
            </w:pPr>
          </w:p>
        </w:tc>
        <w:tc>
          <w:tcPr>
            <w:tcW w:w="112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rPr>
              <w:t>Sep 10</w:t>
            </w:r>
          </w:p>
        </w:tc>
        <w:tc>
          <w:tcPr>
            <w:tcW w:w="8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Sep 09</w:t>
            </w:r>
          </w:p>
        </w:tc>
        <w:tc>
          <w:tcPr>
            <w:tcW w:w="22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Sep 10 / Sep 09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60" w:type="dxa"/>
            <w:vAlign w:val="bottom"/>
            <w:shd w:val="clear" w:color="auto" w:fill="CCFFCC"/>
          </w:tcPr>
          <w:p>
            <w:pPr>
              <w:spacing w:after="0"/>
              <w:rPr>
                <w:sz w:val="20"/>
                <w:szCs w:val="20"/>
                <w:color w:val="auto"/>
              </w:rPr>
            </w:pPr>
            <w:r>
              <w:rPr>
                <w:rFonts w:ascii="Arial" w:cs="Arial" w:eastAsia="Arial" w:hAnsi="Arial"/>
                <w:sz w:val="18"/>
                <w:szCs w:val="18"/>
                <w:color w:val="auto"/>
              </w:rPr>
              <w:t>Banco de Crédito BCP(1)</w:t>
            </w:r>
          </w:p>
        </w:tc>
        <w:tc>
          <w:tcPr>
            <w:tcW w:w="12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135,216</w:t>
            </w:r>
          </w:p>
        </w:tc>
        <w:tc>
          <w:tcPr>
            <w:tcW w:w="20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130,761</w:t>
            </w:r>
          </w:p>
        </w:tc>
        <w:tc>
          <w:tcPr>
            <w:tcW w:w="11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98,826</w:t>
            </w:r>
          </w:p>
        </w:tc>
        <w:tc>
          <w:tcPr>
            <w:tcW w:w="12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3.4%</w:t>
            </w:r>
          </w:p>
        </w:tc>
        <w:tc>
          <w:tcPr>
            <w:tcW w:w="26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36.8%</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365,231</w:t>
            </w:r>
          </w:p>
        </w:tc>
        <w:tc>
          <w:tcPr>
            <w:tcW w:w="22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283,983</w:t>
            </w:r>
          </w:p>
        </w:tc>
        <w:tc>
          <w:tcPr>
            <w:tcW w:w="13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ind w:left="160"/>
              <w:spacing w:after="0"/>
              <w:rPr>
                <w:sz w:val="20"/>
                <w:szCs w:val="20"/>
                <w:color w:val="auto"/>
              </w:rPr>
            </w:pPr>
            <w:r>
              <w:rPr>
                <w:rFonts w:ascii="Arial" w:cs="Arial" w:eastAsia="Arial" w:hAnsi="Arial"/>
                <w:sz w:val="18"/>
                <w:szCs w:val="18"/>
                <w:color w:val="auto"/>
              </w:rPr>
              <w:t>BCB</w:t>
            </w: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3,442</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3,318</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7,086</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3.7%</w:t>
            </w:r>
          </w:p>
        </w:tc>
        <w:tc>
          <w:tcPr>
            <w:tcW w:w="2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-51.4%</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12,370</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20,851</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Financiera Edyficar</w:t>
            </w:r>
          </w:p>
        </w:tc>
        <w:tc>
          <w:tcPr>
            <w:tcW w:w="12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5,316</w:t>
            </w:r>
          </w:p>
        </w:tc>
        <w:tc>
          <w:tcPr>
            <w:tcW w:w="20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4,980</w:t>
            </w:r>
          </w:p>
        </w:tc>
        <w:tc>
          <w:tcPr>
            <w:tcW w:w="11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6.8%</w:t>
            </w:r>
          </w:p>
        </w:tc>
        <w:tc>
          <w:tcPr>
            <w:tcW w:w="26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17,113</w:t>
            </w:r>
          </w:p>
        </w:tc>
        <w:tc>
          <w:tcPr>
            <w:tcW w:w="22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6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Atlantic</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10,603</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13,076</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8,444</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-18.9%</w:t>
            </w:r>
          </w:p>
        </w:tc>
        <w:tc>
          <w:tcPr>
            <w:tcW w:w="2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25.6%</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37,090</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14,860</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149.6%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60" w:type="dxa"/>
            <w:vAlign w:val="bottom"/>
            <w:shd w:val="clear" w:color="auto" w:fill="CCFFCC"/>
          </w:tcPr>
          <w:p>
            <w:pPr>
              <w:spacing w:after="0"/>
              <w:rPr>
                <w:sz w:val="20"/>
                <w:szCs w:val="20"/>
                <w:color w:val="auto"/>
              </w:rPr>
            </w:pPr>
            <w:r>
              <w:rPr>
                <w:rFonts w:ascii="Arial" w:cs="Arial" w:eastAsia="Arial" w:hAnsi="Arial"/>
                <w:sz w:val="18"/>
                <w:szCs w:val="18"/>
                <w:color w:val="auto"/>
              </w:rPr>
              <w:t>PPS</w:t>
            </w:r>
          </w:p>
        </w:tc>
        <w:tc>
          <w:tcPr>
            <w:tcW w:w="12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10,439</w:t>
            </w:r>
          </w:p>
        </w:tc>
        <w:tc>
          <w:tcPr>
            <w:tcW w:w="20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12,518</w:t>
            </w:r>
          </w:p>
        </w:tc>
        <w:tc>
          <w:tcPr>
            <w:tcW w:w="11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10,088</w:t>
            </w:r>
          </w:p>
        </w:tc>
        <w:tc>
          <w:tcPr>
            <w:tcW w:w="12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-16.6%</w:t>
            </w:r>
          </w:p>
        </w:tc>
        <w:tc>
          <w:tcPr>
            <w:tcW w:w="26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3.5%</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31,449</w:t>
            </w:r>
          </w:p>
        </w:tc>
        <w:tc>
          <w:tcPr>
            <w:tcW w:w="11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25,003</w:t>
            </w:r>
          </w:p>
        </w:tc>
        <w:tc>
          <w:tcPr>
            <w:tcW w:w="13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6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Grupo Crédito (2)</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6,069</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6,119</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6,878</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-0.8%</w:t>
            </w:r>
          </w:p>
        </w:tc>
        <w:tc>
          <w:tcPr>
            <w:tcW w:w="2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-11.8%</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20,136</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21,008</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Prima</w:t>
            </w:r>
          </w:p>
        </w:tc>
        <w:tc>
          <w:tcPr>
            <w:tcW w:w="120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5,696</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5,857</w:t>
            </w:r>
          </w:p>
        </w:tc>
        <w:tc>
          <w:tcPr>
            <w:tcW w:w="11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5,661</w:t>
            </w:r>
          </w:p>
        </w:tc>
        <w:tc>
          <w:tcPr>
            <w:tcW w:w="12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-2.7%</w:t>
            </w:r>
          </w:p>
        </w:tc>
        <w:tc>
          <w:tcPr>
            <w:tcW w:w="26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0.6%</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17,499</w:t>
            </w:r>
          </w:p>
        </w:tc>
        <w:tc>
          <w:tcPr>
            <w:tcW w:w="11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16,574</w:t>
            </w:r>
          </w:p>
        </w:tc>
        <w:tc>
          <w:tcPr>
            <w:tcW w:w="13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ind w:left="160"/>
              <w:spacing w:after="0"/>
              <w:rPr>
                <w:sz w:val="20"/>
                <w:szCs w:val="20"/>
                <w:color w:val="auto"/>
              </w:rPr>
            </w:pPr>
            <w:r>
              <w:rPr>
                <w:rFonts w:ascii="Arial" w:cs="Arial" w:eastAsia="Arial" w:hAnsi="Arial"/>
                <w:sz w:val="18"/>
                <w:szCs w:val="18"/>
                <w:color w:val="auto"/>
              </w:rPr>
              <w:t>Others</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373</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262</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1,217</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42.4%</w:t>
            </w:r>
          </w:p>
        </w:tc>
        <w:tc>
          <w:tcPr>
            <w:tcW w:w="2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-69.4%</w:t>
            </w:r>
          </w:p>
        </w:tc>
        <w:tc>
          <w:tcPr>
            <w:tcW w:w="900" w:type="dxa"/>
            <w:vAlign w:val="bottom"/>
          </w:tcPr>
          <w:p>
            <w:pPr>
              <w:jc w:val="right"/>
              <w:spacing w:after="0"/>
              <w:rPr>
                <w:sz w:val="20"/>
                <w:szCs w:val="20"/>
                <w:color w:val="auto"/>
              </w:rPr>
            </w:pPr>
            <w:r>
              <w:rPr>
                <w:rFonts w:ascii="Arial" w:cs="Arial" w:eastAsia="Arial" w:hAnsi="Arial"/>
                <w:sz w:val="18"/>
                <w:szCs w:val="18"/>
                <w:color w:val="auto"/>
              </w:rPr>
              <w:t>2,637</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4,434</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60" w:type="dxa"/>
            <w:vAlign w:val="bottom"/>
            <w:shd w:val="clear" w:color="auto" w:fill="CCFFCC"/>
          </w:tcPr>
          <w:p>
            <w:pPr>
              <w:spacing w:after="0"/>
              <w:rPr>
                <w:sz w:val="20"/>
                <w:szCs w:val="20"/>
                <w:color w:val="auto"/>
              </w:rPr>
            </w:pPr>
            <w:r>
              <w:rPr>
                <w:rFonts w:ascii="Arial" w:cs="Arial" w:eastAsia="Arial" w:hAnsi="Arial"/>
                <w:sz w:val="18"/>
                <w:szCs w:val="18"/>
                <w:color w:val="auto"/>
              </w:rPr>
              <w:t>Credicorp and others (3)</w:t>
            </w:r>
          </w:p>
        </w:tc>
        <w:tc>
          <w:tcPr>
            <w:tcW w:w="12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(6,101)</w:t>
            </w:r>
          </w:p>
        </w:tc>
        <w:tc>
          <w:tcPr>
            <w:tcW w:w="11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(550)</w:t>
            </w:r>
          </w:p>
        </w:tc>
        <w:tc>
          <w:tcPr>
            <w:tcW w:w="11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(2,529)</w:t>
            </w:r>
          </w:p>
        </w:tc>
        <w:tc>
          <w:tcPr>
            <w:tcW w:w="12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-1009.3%</w:t>
            </w:r>
          </w:p>
        </w:tc>
        <w:tc>
          <w:tcPr>
            <w:tcW w:w="26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-141.2%</w:t>
            </w:r>
          </w:p>
        </w:tc>
        <w:tc>
          <w:tcPr>
            <w:tcW w:w="11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(11,886)</w:t>
            </w:r>
          </w:p>
        </w:tc>
        <w:tc>
          <w:tcPr>
            <w:tcW w:w="11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2,633</w:t>
            </w:r>
          </w:p>
        </w:tc>
        <w:tc>
          <w:tcPr>
            <w:tcW w:w="13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ind w:left="160"/>
              <w:spacing w:after="0"/>
              <w:rPr>
                <w:sz w:val="20"/>
                <w:szCs w:val="20"/>
                <w:color w:val="auto"/>
              </w:rPr>
            </w:pPr>
            <w:r>
              <w:rPr>
                <w:rFonts w:ascii="Arial" w:cs="Arial" w:eastAsia="Arial" w:hAnsi="Arial"/>
                <w:sz w:val="18"/>
                <w:szCs w:val="18"/>
                <w:color w:val="auto"/>
              </w:rPr>
              <w:t>Credicorp Ltd.</w:t>
            </w:r>
          </w:p>
        </w:tc>
        <w:tc>
          <w:tcPr>
            <w:tcW w:w="1200" w:type="dxa"/>
            <w:vAlign w:val="bottom"/>
            <w:gridSpan w:val="3"/>
          </w:tcPr>
          <w:p>
            <w:pPr>
              <w:jc w:val="right"/>
              <w:ind w:right="140"/>
              <w:spacing w:after="0"/>
              <w:rPr>
                <w:sz w:val="20"/>
                <w:szCs w:val="20"/>
                <w:color w:val="auto"/>
              </w:rPr>
            </w:pPr>
            <w:r>
              <w:rPr>
                <w:rFonts w:ascii="Arial" w:cs="Arial" w:eastAsia="Arial" w:hAnsi="Arial"/>
                <w:sz w:val="18"/>
                <w:szCs w:val="18"/>
                <w:color w:val="auto"/>
              </w:rPr>
              <w:t>(5,844)</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(274)</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(2,994)</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-2031.3%</w:t>
            </w:r>
          </w:p>
        </w:tc>
        <w:tc>
          <w:tcPr>
            <w:tcW w:w="2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-95.2%</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(11,342)</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1,205</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-1041.2%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Others</w:t>
            </w:r>
          </w:p>
        </w:tc>
        <w:tc>
          <w:tcPr>
            <w:tcW w:w="120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(257)</w:t>
            </w:r>
          </w:p>
        </w:tc>
        <w:tc>
          <w:tcPr>
            <w:tcW w:w="11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(276)</w:t>
            </w:r>
          </w:p>
        </w:tc>
        <w:tc>
          <w:tcPr>
            <w:tcW w:w="11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465</w:t>
            </w:r>
          </w:p>
        </w:tc>
        <w:tc>
          <w:tcPr>
            <w:tcW w:w="12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6.8%</w:t>
            </w:r>
          </w:p>
        </w:tc>
        <w:tc>
          <w:tcPr>
            <w:tcW w:w="260" w:type="dxa"/>
            <w:vAlign w:val="bottom"/>
            <w:shd w:val="clear" w:color="auto" w:fill="CCFFCC"/>
          </w:tcPr>
          <w:p>
            <w:pPr>
              <w:spacing w:after="0"/>
              <w:rPr>
                <w:sz w:val="19"/>
                <w:szCs w:val="19"/>
                <w:color w:val="auto"/>
              </w:rPr>
            </w:pPr>
          </w:p>
        </w:tc>
        <w:tc>
          <w:tcPr>
            <w:tcW w:w="9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-155.3%</w:t>
            </w:r>
          </w:p>
        </w:tc>
        <w:tc>
          <w:tcPr>
            <w:tcW w:w="11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(544)</w:t>
            </w:r>
          </w:p>
        </w:tc>
        <w:tc>
          <w:tcPr>
            <w:tcW w:w="11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1,428</w:t>
            </w:r>
          </w:p>
        </w:tc>
        <w:tc>
          <w:tcPr>
            <w:tcW w:w="13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-138.1%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060" w:type="dxa"/>
            <w:vAlign w:val="bottom"/>
            <w:tcBorders>
              <w:top w:val="single" w:sz="8" w:color="CCFFCC"/>
            </w:tcBorders>
          </w:tcPr>
          <w:p>
            <w:pPr>
              <w:spacing w:after="0" w:line="198" w:lineRule="exact"/>
              <w:rPr>
                <w:sz w:val="20"/>
                <w:szCs w:val="20"/>
                <w:color w:val="auto"/>
              </w:rPr>
            </w:pPr>
            <w:r>
              <w:rPr>
                <w:rFonts w:ascii="Arial" w:cs="Arial" w:eastAsia="Arial" w:hAnsi="Arial"/>
                <w:sz w:val="18"/>
                <w:szCs w:val="18"/>
                <w:b w:val="1"/>
                <w:bCs w:val="1"/>
                <w:color w:val="auto"/>
                <w:w w:val="91"/>
              </w:rPr>
              <w:t>Net income attributable to</w:t>
            </w:r>
          </w:p>
        </w:tc>
        <w:tc>
          <w:tcPr>
            <w:tcW w:w="120" w:type="dxa"/>
            <w:vAlign w:val="bottom"/>
            <w:tcBorders>
              <w:top w:val="single" w:sz="8" w:color="CCFFCC"/>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Borders>
              <w:top w:val="single" w:sz="8" w:color="CCFFCC"/>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FFCC"/>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CFFCC"/>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300" w:type="dxa"/>
            <w:vAlign w:val="bottom"/>
            <w:tcBorders>
              <w:top w:val="single" w:sz="8" w:color="CCFFC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80" w:type="dxa"/>
            <w:vAlign w:val="bottom"/>
            <w:tcBorders>
              <w:top w:val="single" w:sz="8" w:color="CCFFCC"/>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FFCC"/>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CFFCC"/>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80" w:type="dxa"/>
            <w:vAlign w:val="bottom"/>
            <w:tcBorders>
              <w:top w:val="single" w:sz="8" w:color="CCFFCC"/>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80" w:type="dxa"/>
            <w:vAlign w:val="bottom"/>
            <w:gridSpan w:val="2"/>
          </w:tcPr>
          <w:p>
            <w:pPr>
              <w:spacing w:after="0"/>
              <w:rPr>
                <w:sz w:val="20"/>
                <w:szCs w:val="20"/>
                <w:color w:val="auto"/>
              </w:rPr>
            </w:pPr>
            <w:r>
              <w:rPr>
                <w:rFonts w:ascii="Arial" w:cs="Arial" w:eastAsia="Arial" w:hAnsi="Arial"/>
                <w:sz w:val="18"/>
                <w:szCs w:val="18"/>
                <w:b w:val="1"/>
                <w:bCs w:val="1"/>
                <w:color w:val="auto"/>
              </w:rPr>
              <w:t>Credicorp</w:t>
            </w:r>
          </w:p>
        </w:tc>
        <w:tc>
          <w:tcPr>
            <w:tcW w:w="1200" w:type="dxa"/>
            <w:vAlign w:val="bottom"/>
            <w:gridSpan w:val="3"/>
          </w:tcPr>
          <w:p>
            <w:pPr>
              <w:jc w:val="right"/>
              <w:ind w:right="200"/>
              <w:spacing w:after="0"/>
              <w:rPr>
                <w:sz w:val="20"/>
                <w:szCs w:val="20"/>
                <w:color w:val="auto"/>
              </w:rPr>
            </w:pPr>
            <w:r>
              <w:rPr>
                <w:rFonts w:ascii="Arial" w:cs="Arial" w:eastAsia="Arial" w:hAnsi="Arial"/>
                <w:sz w:val="18"/>
                <w:szCs w:val="18"/>
                <w:b w:val="1"/>
                <w:bCs w:val="1"/>
                <w:u w:val="single" w:color="auto"/>
                <w:color w:val="auto"/>
              </w:rPr>
              <w:t>156,226</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u w:val="single" w:color="auto"/>
                <w:color w:val="auto"/>
              </w:rPr>
              <w:t>161,924</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u w:val="single" w:color="auto"/>
                <w:color w:val="auto"/>
              </w:rPr>
              <w:t>121,707</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-3.5%</w:t>
            </w:r>
          </w:p>
        </w:tc>
        <w:tc>
          <w:tcPr>
            <w:tcW w:w="26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28.4%</w:t>
            </w:r>
          </w:p>
        </w:tc>
        <w:tc>
          <w:tcPr>
            <w:tcW w:w="90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rPr>
              <w:t>442,020</w:t>
            </w:r>
          </w:p>
        </w:tc>
        <w:tc>
          <w:tcPr>
            <w:tcW w:w="2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u w:val="single" w:color="auto"/>
                <w:color w:val="auto"/>
              </w:rPr>
              <w:t>347,487</w:t>
            </w:r>
          </w:p>
        </w:tc>
        <w:tc>
          <w:tcPr>
            <w:tcW w:w="1340" w:type="dxa"/>
            <w:vAlign w:val="bottom"/>
            <w:gridSpan w:val="2"/>
          </w:tcPr>
          <w:p>
            <w:pPr>
              <w:jc w:val="right"/>
              <w:spacing w:after="0"/>
              <w:rPr>
                <w:sz w:val="20"/>
                <w:szCs w:val="20"/>
                <w:color w:val="auto"/>
              </w:rPr>
            </w:pPr>
            <w:r>
              <w:rPr>
                <w:rFonts w:ascii="Arial" w:cs="Arial" w:eastAsia="Arial" w:hAnsi="Arial"/>
                <w:sz w:val="18"/>
                <w:szCs w:val="18"/>
                <w:b w:val="1"/>
                <w:bCs w:val="1"/>
                <w:color w:val="auto"/>
              </w:rPr>
              <w:t>27.2%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0</wp:posOffset>
            </wp:positionV>
            <wp:extent cx="131191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11910" cy="17145"/>
                    </a:xfrm>
                    <a:prstGeom prst="rect">
                      <a:avLst/>
                    </a:prstGeom>
                    <a:noFill/>
                  </pic:spPr>
                </pic:pic>
              </a:graphicData>
            </a:graphic>
          </wp:anchor>
        </w:drawing>
        <w:drawing>
          <wp:anchor simplePos="0" relativeHeight="251657728" behindDoc="1" locked="0" layoutInCell="0" allowOverlap="1">
            <wp:simplePos x="0" y="0"/>
            <wp:positionH relativeFrom="column">
              <wp:posOffset>6402705</wp:posOffset>
            </wp:positionH>
            <wp:positionV relativeFrom="paragraph">
              <wp:posOffset>0</wp:posOffset>
            </wp:positionV>
            <wp:extent cx="72898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80" cy="17145"/>
                    </a:xfrm>
                    <a:prstGeom prst="rect">
                      <a:avLst/>
                    </a:prstGeom>
                    <a:noFill/>
                  </pic:spPr>
                </pic:pic>
              </a:graphicData>
            </a:graphic>
          </wp:anchor>
        </w:drawing>
      </w:r>
    </w:p>
    <w:p>
      <w:pPr>
        <w:ind w:left="260" w:hanging="252"/>
        <w:spacing w:after="0"/>
        <w:tabs>
          <w:tab w:leader="none" w:pos="2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Includes Banco de Crédito de Bolivia and Financiera Edyficar.</w:t>
      </w:r>
    </w:p>
    <w:p>
      <w:pPr>
        <w:spacing w:after="0" w:line="23" w:lineRule="exact"/>
        <w:rPr>
          <w:rFonts w:ascii="Arial" w:cs="Arial" w:eastAsia="Arial" w:hAnsi="Arial"/>
          <w:sz w:val="18"/>
          <w:szCs w:val="18"/>
          <w:i w:val="1"/>
          <w:iCs w:val="1"/>
          <w:color w:val="auto"/>
        </w:rPr>
      </w:pPr>
    </w:p>
    <w:p>
      <w:pPr>
        <w:ind w:left="260" w:hanging="252"/>
        <w:spacing w:after="0"/>
        <w:tabs>
          <w:tab w:leader="none" w:pos="2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Includes Grupo Crédito, Servicorp and Prima AFP</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Includes taxes on BCP's and PPS's dividends, and other expenses at the holding company level.</w:t>
      </w:r>
    </w:p>
    <w:p>
      <w:pPr>
        <w:spacing w:after="0" w:line="2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BCP Bolivia reported this 3Q a modest increase in earnings contribution of 3.7% mainly driven by lower provisions as the Bolivian financial market remains stable, but certainly subdued compared to the previous year. Loan growth however was strong reaching 8.6% QoQ, though this did not translate into higher NII revealing further compression of margins, which is to a large extent the result of the prevailing economic, political and regulatory environment. Overall, profitability continues dropping; as also reflected by a further drop in ROAE to 18.3% from 20.0% the previous Q. For the YTD, BCP Bolivia reports a 40.7% drop in income contribution to US$ 12.4 million, whereby this will probably set the new level of income that can be achieved within the existent economic framework.</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Edyficar, BCP’s micro-lending vehicle has in turn reported a very good business evolution with lending activity growing at a very strong pace of 10.1% this Q. Reported contribution to Credicorp shows a 6.8% increase QoQ, which reflects strong loan growth and the low level of provisions this year. Therefore, Edyficar continues being a strong performer and a fast growing business and has accumulated a contribution to Credicorp of US$ 17.1 million for the first 9 months reflecting a ROAE of 24.6%.</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ASHC’s reported a slip in contribution this 3Q down from US$ 13.0 million to US$ 10.6 million as a result of conservative provisions made for some investments on its portfolio since income generation, both interest income and fee income, remained stable increasing slightly by 1.9% for the Q. For the YTD however, the substantial improvement in ASHC´s performance is evident with a total contribution to Credicorp more than doubling from US$ 14.9 million in 2009 to US$ 37.1 million in 2010 as a consequence of the recovery in the asset management business internationally and the substantial changes in the business structure and professionalization of services at Credicorp.</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low casualty levels, from which PPS´s results were benefitting, increased across the board leading to a reduction in technical results. PV had the lion´s share of this effect, in addition to excellent sales in life policies which in the short run generate high reserves affecting negatively technical results. Thus, bottom line of the insurance business reflects this and its contribution to Credicorp dropped to a still very solid US$ 10.4 million for the 3Q from US$ 12.5 million in 2Q. Nevertheless, also this business shows the significant improvement of its earnings generation capacity when looking at the accumulated earnings and contribution to Credicorp for the YTD, which reached US$ 31.5 million vs. US$ 25.0 million in 2009, which in turn was already a very good year. Furthermore, having announced the acquisition of ALICO’s shares in the insurance group, future contributions to Credicorp will include such additional share and reflect a more substantial role in Credicorp’s income generation.</w:t>
      </w:r>
    </w:p>
    <w:p>
      <w:pPr>
        <w:spacing w:after="0" w:line="3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0" w:right="239" w:bottom="1440" w:gutter="0" w:footer="0" w:header="0"/>
        </w:sectPr>
      </w:pPr>
    </w:p>
    <w:bookmarkStart w:id="5" w:name="page6"/>
    <w:bookmarkEnd w:id="5"/>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175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Finally, Prima AFP maintained the excellent results from previous Qs and reported 4.1% higher fee income, 3.8% higher operating income but lower bottom line results due to higher income taxes, leading to a stable contribution to Credicorp of US$ 5.7 million for the Q, and a YTD contribution of US$ 17.5 million up 5.6% from US$ 16.6 million in 2009.</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Credicorp Ltd.’s line includes the provisions for withholding taxes on dividends paid to Credicorp and eventually translation effects, though in 2Q it showed a strong reduction since such tax provisions were compensated by dividend &amp; interest income from investments in some selected Peruvian stocks and bonds recorded during the period, which are today held at Credicorp Ltd. and previously booked at Grupo Crédito.</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Though the 3Q results of all subsidiaries given the effects explained led to a drop in total net earnings of Credicorp for the Q of 3.5%, the good performance of all of Credicorp’s subsidiaries throughout the year led to a substantial 27.2% QoQ increase in net income attributable to Credicorp for this first 9 months of the year, a remarkable performance that puts Credicorp´s earnings at the high end of expectations.</w:t>
      </w:r>
    </w:p>
    <w:p>
      <w:pPr>
        <w:spacing w:after="0" w:line="3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175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II. Banco de Crédito – BCP - Consolidated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3Q10</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third quarter of this year, BCP achieved its best quarterly result to date. This reflects the fact that the financial system continues to expand alongside solid growth in the Peruvian economy, which accumulated 8.4% growth from January to August this year.</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BCP’s net income totaled US$ 138.6 million in 3Q10, which represented a 3.3% increase QoQ and 26.6% YoY. The year’s accumulated results showed that net income grew 29.2% with regard to the level reported for January-September 2009.</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It is important to point out that operating income, excluding extraordinary income, also expanded significantly to total US$ 162.6 million, which was 2.6% higher than the US$ 158.5 million generated in 2Q10.</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60" w:type="dxa"/>
            <w:vAlign w:val="bottom"/>
            <w:gridSpan w:val="2"/>
          </w:tcPr>
          <w:p>
            <w:pPr>
              <w:spacing w:after="0"/>
              <w:rPr>
                <w:sz w:val="20"/>
                <w:szCs w:val="20"/>
                <w:color w:val="auto"/>
              </w:rPr>
            </w:pPr>
            <w:r>
              <w:rPr>
                <w:rFonts w:ascii="Arial" w:cs="Arial" w:eastAsia="Arial" w:hAnsi="Arial"/>
                <w:sz w:val="18"/>
                <w:szCs w:val="18"/>
                <w:b w:val="1"/>
                <w:bCs w:val="1"/>
                <w:color w:val="auto"/>
              </w:rPr>
              <w:t>Banco de Credito and</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960" w:type="dxa"/>
            <w:vAlign w:val="bottom"/>
            <w:gridSpan w:val="2"/>
          </w:tcPr>
          <w:p>
            <w:pPr>
              <w:spacing w:after="0"/>
              <w:rPr>
                <w:sz w:val="20"/>
                <w:szCs w:val="20"/>
                <w:color w:val="auto"/>
              </w:rPr>
            </w:pPr>
            <w:r>
              <w:rPr>
                <w:rFonts w:ascii="Arial" w:cs="Arial" w:eastAsia="Arial" w:hAnsi="Arial"/>
                <w:sz w:val="18"/>
                <w:szCs w:val="18"/>
                <w:b w:val="1"/>
                <w:bCs w:val="1"/>
                <w:color w:val="auto"/>
              </w:rPr>
              <w:t>Subsidiaries</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Quarter</w:t>
            </w: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gridSpan w:val="3"/>
          </w:tcPr>
          <w:p>
            <w:pPr>
              <w:ind w:left="560"/>
              <w:spacing w:after="0"/>
              <w:rPr>
                <w:sz w:val="20"/>
                <w:szCs w:val="20"/>
                <w:color w:val="auto"/>
              </w:rPr>
            </w:pPr>
            <w:r>
              <w:rPr>
                <w:rFonts w:ascii="Arial" w:cs="Arial" w:eastAsia="Arial" w:hAnsi="Arial"/>
                <w:sz w:val="18"/>
                <w:szCs w:val="18"/>
                <w:b w:val="1"/>
                <w:bCs w:val="1"/>
                <w:color w:val="auto"/>
              </w:rPr>
              <w:t>Change %</w:t>
            </w: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20" w:type="dxa"/>
            <w:vAlign w:val="bottom"/>
            <w:gridSpan w:val="4"/>
          </w:tcPr>
          <w:p>
            <w:pPr>
              <w:jc w:val="right"/>
              <w:ind w:right="740"/>
              <w:spacing w:after="0"/>
              <w:rPr>
                <w:sz w:val="20"/>
                <w:szCs w:val="20"/>
                <w:color w:val="auto"/>
              </w:rPr>
            </w:pPr>
            <w:r>
              <w:rPr>
                <w:rFonts w:ascii="Arial" w:cs="Arial" w:eastAsia="Arial" w:hAnsi="Arial"/>
                <w:sz w:val="18"/>
                <w:szCs w:val="18"/>
                <w:b w:val="1"/>
                <w:bCs w:val="1"/>
                <w:color w:val="auto"/>
              </w:rPr>
              <w:t>Year to date</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Change %</w:t>
            </w:r>
          </w:p>
        </w:tc>
        <w:tc>
          <w:tcPr>
            <w:tcW w:w="0" w:type="dxa"/>
            <w:vAlign w:val="bottom"/>
          </w:tcPr>
          <w:p>
            <w:pPr>
              <w:spacing w:after="0"/>
              <w:rPr>
                <w:sz w:val="1"/>
                <w:szCs w:val="1"/>
                <w:color w:val="auto"/>
              </w:rPr>
            </w:pPr>
          </w:p>
        </w:tc>
      </w:tr>
      <w:tr>
        <w:trPr>
          <w:trHeight w:val="216"/>
        </w:trPr>
        <w:tc>
          <w:tcPr>
            <w:tcW w:w="19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US$ 000</w:t>
            </w:r>
          </w:p>
        </w:tc>
        <w:tc>
          <w:tcPr>
            <w:tcW w:w="80" w:type="dxa"/>
            <w:vAlign w:val="bottom"/>
          </w:tcPr>
          <w:p>
            <w:pPr>
              <w:spacing w:after="0"/>
              <w:rPr>
                <w:sz w:val="18"/>
                <w:szCs w:val="18"/>
                <w:color w:val="auto"/>
              </w:rPr>
            </w:pPr>
          </w:p>
        </w:tc>
        <w:tc>
          <w:tcPr>
            <w:tcW w:w="1200" w:type="dxa"/>
            <w:vAlign w:val="bottom"/>
            <w:tcBorders>
              <w:top w:val="single" w:sz="8" w:color="auto"/>
            </w:tcBorders>
            <w:gridSpan w:val="2"/>
          </w:tcPr>
          <w:p>
            <w:pPr>
              <w:jc w:val="right"/>
              <w:ind w:right="520"/>
              <w:spacing w:after="0"/>
              <w:rPr>
                <w:sz w:val="20"/>
                <w:szCs w:val="20"/>
                <w:color w:val="auto"/>
              </w:rPr>
            </w:pPr>
            <w:r>
              <w:rPr>
                <w:rFonts w:ascii="Arial" w:cs="Arial" w:eastAsia="Arial" w:hAnsi="Arial"/>
                <w:sz w:val="18"/>
                <w:szCs w:val="18"/>
                <w:b w:val="1"/>
                <w:bCs w:val="1"/>
                <w:color w:val="auto"/>
              </w:rPr>
              <w:t>3Q10</w:t>
            </w:r>
          </w:p>
        </w:tc>
        <w:tc>
          <w:tcPr>
            <w:tcW w:w="1180" w:type="dxa"/>
            <w:vAlign w:val="bottom"/>
            <w:tcBorders>
              <w:top w:val="single" w:sz="8" w:color="auto"/>
            </w:tcBorders>
            <w:gridSpan w:val="2"/>
          </w:tcPr>
          <w:p>
            <w:pPr>
              <w:jc w:val="right"/>
              <w:ind w:right="520"/>
              <w:spacing w:after="0"/>
              <w:rPr>
                <w:sz w:val="20"/>
                <w:szCs w:val="20"/>
                <w:color w:val="auto"/>
              </w:rPr>
            </w:pPr>
            <w:r>
              <w:rPr>
                <w:rFonts w:ascii="Arial" w:cs="Arial" w:eastAsia="Arial" w:hAnsi="Arial"/>
                <w:sz w:val="18"/>
                <w:szCs w:val="18"/>
                <w:b w:val="1"/>
                <w:bCs w:val="1"/>
                <w:color w:val="auto"/>
              </w:rPr>
              <w:t>2Q10</w:t>
            </w:r>
          </w:p>
        </w:tc>
        <w:tc>
          <w:tcPr>
            <w:tcW w:w="9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3Q09</w:t>
            </w:r>
          </w:p>
        </w:tc>
        <w:tc>
          <w:tcPr>
            <w:tcW w:w="280" w:type="dxa"/>
            <w:vAlign w:val="bottom"/>
          </w:tcPr>
          <w:p>
            <w:pPr>
              <w:spacing w:after="0"/>
              <w:rPr>
                <w:sz w:val="18"/>
                <w:szCs w:val="18"/>
                <w:color w:val="auto"/>
              </w:rPr>
            </w:pPr>
          </w:p>
        </w:tc>
        <w:tc>
          <w:tcPr>
            <w:tcW w:w="1120" w:type="dxa"/>
            <w:vAlign w:val="bottom"/>
            <w:tcBorders>
              <w:top w:val="single" w:sz="8" w:color="auto"/>
            </w:tcBorders>
            <w:gridSpan w:val="2"/>
          </w:tcPr>
          <w:p>
            <w:pPr>
              <w:jc w:val="right"/>
              <w:ind w:right="520"/>
              <w:spacing w:after="0"/>
              <w:rPr>
                <w:sz w:val="20"/>
                <w:szCs w:val="20"/>
                <w:color w:val="auto"/>
              </w:rPr>
            </w:pPr>
            <w:r>
              <w:rPr>
                <w:rFonts w:ascii="Arial" w:cs="Arial" w:eastAsia="Arial" w:hAnsi="Arial"/>
                <w:sz w:val="18"/>
                <w:szCs w:val="18"/>
                <w:b w:val="1"/>
                <w:bCs w:val="1"/>
                <w:color w:val="auto"/>
              </w:rPr>
              <w:t>QoQ</w:t>
            </w:r>
          </w:p>
        </w:tc>
        <w:tc>
          <w:tcPr>
            <w:tcW w:w="840" w:type="dxa"/>
            <w:vAlign w:val="bottom"/>
            <w:tcBorders>
              <w:top w:val="single" w:sz="8" w:color="auto"/>
            </w:tcBorders>
            <w:gridSpan w:val="2"/>
          </w:tcPr>
          <w:p>
            <w:pPr>
              <w:jc w:val="right"/>
              <w:ind w:right="170"/>
              <w:spacing w:after="0"/>
              <w:rPr>
                <w:sz w:val="20"/>
                <w:szCs w:val="20"/>
                <w:color w:val="auto"/>
              </w:rPr>
            </w:pPr>
            <w:r>
              <w:rPr>
                <w:rFonts w:ascii="Arial" w:cs="Arial" w:eastAsia="Arial" w:hAnsi="Arial"/>
                <w:sz w:val="18"/>
                <w:szCs w:val="18"/>
                <w:b w:val="1"/>
                <w:bCs w:val="1"/>
                <w:color w:val="auto"/>
              </w:rPr>
              <w:t>YoY</w:t>
            </w:r>
          </w:p>
        </w:tc>
        <w:tc>
          <w:tcPr>
            <w:tcW w:w="280" w:type="dxa"/>
            <w:vAlign w:val="bottom"/>
          </w:tcPr>
          <w:p>
            <w:pPr>
              <w:spacing w:after="0"/>
              <w:rPr>
                <w:sz w:val="18"/>
                <w:szCs w:val="18"/>
                <w:color w:val="auto"/>
              </w:rPr>
            </w:pPr>
          </w:p>
        </w:tc>
        <w:tc>
          <w:tcPr>
            <w:tcW w:w="112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rPr>
              <w:t>Sep 10</w:t>
            </w:r>
          </w:p>
        </w:tc>
        <w:tc>
          <w:tcPr>
            <w:tcW w:w="8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Sep 09</w:t>
            </w:r>
          </w:p>
        </w:tc>
        <w:tc>
          <w:tcPr>
            <w:tcW w:w="220" w:type="dxa"/>
            <w:vAlign w:val="bottom"/>
          </w:tcPr>
          <w:p>
            <w:pPr>
              <w:spacing w:after="0"/>
              <w:rPr>
                <w:sz w:val="18"/>
                <w:szCs w:val="18"/>
                <w:color w:val="auto"/>
              </w:rPr>
            </w:pP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Sep 10 / Sep 09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40" w:type="dxa"/>
            <w:vAlign w:val="bottom"/>
            <w:shd w:val="clear" w:color="auto" w:fill="CCFFCC"/>
          </w:tcPr>
          <w:p>
            <w:pPr>
              <w:spacing w:after="0"/>
              <w:rPr>
                <w:sz w:val="20"/>
                <w:szCs w:val="20"/>
                <w:color w:val="auto"/>
              </w:rPr>
            </w:pPr>
            <w:r>
              <w:rPr>
                <w:rFonts w:ascii="Arial" w:cs="Arial" w:eastAsia="Arial" w:hAnsi="Arial"/>
                <w:sz w:val="18"/>
                <w:szCs w:val="18"/>
                <w:color w:val="auto"/>
              </w:rPr>
              <w:t>Net financial income</w:t>
            </w:r>
          </w:p>
        </w:tc>
        <w:tc>
          <w:tcPr>
            <w:tcW w:w="8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242,274</w:t>
            </w:r>
          </w:p>
        </w:tc>
        <w:tc>
          <w:tcPr>
            <w:tcW w:w="11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228,652</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197,262</w:t>
            </w:r>
          </w:p>
        </w:tc>
        <w:tc>
          <w:tcPr>
            <w:tcW w:w="28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6.0%</w:t>
            </w:r>
          </w:p>
        </w:tc>
        <w:tc>
          <w:tcPr>
            <w:tcW w:w="380" w:type="dxa"/>
            <w:vAlign w:val="bottom"/>
            <w:shd w:val="clear" w:color="auto" w:fill="CCFFCC"/>
          </w:tcPr>
          <w:p>
            <w:pPr>
              <w:spacing w:after="0"/>
              <w:rPr>
                <w:sz w:val="18"/>
                <w:szCs w:val="18"/>
                <w:color w:val="auto"/>
              </w:rPr>
            </w:pPr>
          </w:p>
        </w:tc>
        <w:tc>
          <w:tcPr>
            <w:tcW w:w="7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22.8%</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690,101</w:t>
            </w:r>
          </w:p>
        </w:tc>
        <w:tc>
          <w:tcPr>
            <w:tcW w:w="22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592,883</w:t>
            </w:r>
          </w:p>
        </w:tc>
        <w:tc>
          <w:tcPr>
            <w:tcW w:w="13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tcPr>
          <w:p>
            <w:pPr>
              <w:spacing w:after="0" w:line="201" w:lineRule="exact"/>
              <w:rPr>
                <w:sz w:val="20"/>
                <w:szCs w:val="20"/>
                <w:color w:val="auto"/>
              </w:rPr>
            </w:pPr>
            <w:r>
              <w:rPr>
                <w:rFonts w:ascii="Arial" w:cs="Arial" w:eastAsia="Arial" w:hAnsi="Arial"/>
                <w:sz w:val="18"/>
                <w:szCs w:val="18"/>
                <w:color w:val="auto"/>
              </w:rPr>
              <w:t>Total provisions for loan</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60" w:type="dxa"/>
            <w:vAlign w:val="bottom"/>
            <w:gridSpan w:val="2"/>
          </w:tcPr>
          <w:p>
            <w:pPr>
              <w:spacing w:after="0"/>
              <w:rPr>
                <w:sz w:val="20"/>
                <w:szCs w:val="20"/>
                <w:color w:val="auto"/>
              </w:rPr>
            </w:pPr>
            <w:r>
              <w:rPr>
                <w:rFonts w:ascii="Arial" w:cs="Arial" w:eastAsia="Arial" w:hAnsi="Arial"/>
                <w:sz w:val="18"/>
                <w:szCs w:val="18"/>
                <w:color w:val="auto"/>
              </w:rPr>
              <w:t>loasses</w:t>
            </w:r>
          </w:p>
        </w:tc>
        <w:tc>
          <w:tcPr>
            <w:tcW w:w="1280" w:type="dxa"/>
            <w:vAlign w:val="bottom"/>
            <w:gridSpan w:val="3"/>
          </w:tcPr>
          <w:p>
            <w:pPr>
              <w:jc w:val="right"/>
              <w:ind w:right="220"/>
              <w:spacing w:after="0"/>
              <w:rPr>
                <w:sz w:val="20"/>
                <w:szCs w:val="20"/>
                <w:color w:val="auto"/>
              </w:rPr>
            </w:pPr>
            <w:r>
              <w:rPr>
                <w:rFonts w:ascii="Arial" w:cs="Arial" w:eastAsia="Arial" w:hAnsi="Arial"/>
                <w:sz w:val="18"/>
                <w:szCs w:val="18"/>
                <w:color w:val="auto"/>
              </w:rPr>
              <w:t>(52,614)</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(31,183)</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(38,917)</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68.7%</w:t>
            </w:r>
          </w:p>
        </w:tc>
        <w:tc>
          <w:tcPr>
            <w:tcW w:w="380" w:type="dxa"/>
            <w:vAlign w:val="bottom"/>
          </w:tcPr>
          <w:p>
            <w:pPr>
              <w:spacing w:after="0"/>
              <w:rPr>
                <w:sz w:val="20"/>
                <w:szCs w:val="20"/>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35.2%</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(127,242)</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(120,171)</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FFCC"/>
          </w:tcPr>
          <w:p>
            <w:pPr>
              <w:spacing w:after="0"/>
              <w:rPr>
                <w:sz w:val="20"/>
                <w:szCs w:val="20"/>
                <w:color w:val="auto"/>
              </w:rPr>
            </w:pPr>
            <w:r>
              <w:rPr>
                <w:rFonts w:ascii="Arial" w:cs="Arial" w:eastAsia="Arial" w:hAnsi="Arial"/>
                <w:sz w:val="18"/>
                <w:szCs w:val="18"/>
                <w:color w:val="auto"/>
              </w:rPr>
              <w:t>Non financial income</w:t>
            </w:r>
          </w:p>
        </w:tc>
        <w:tc>
          <w:tcPr>
            <w:tcW w:w="1280" w:type="dxa"/>
            <w:vAlign w:val="bottom"/>
            <w:gridSpan w:val="3"/>
            <w:shd w:val="clear" w:color="auto" w:fill="CCFFCC"/>
          </w:tcPr>
          <w:p>
            <w:pPr>
              <w:jc w:val="right"/>
              <w:ind w:right="280"/>
              <w:spacing w:after="0"/>
              <w:rPr>
                <w:sz w:val="20"/>
                <w:szCs w:val="20"/>
                <w:color w:val="auto"/>
              </w:rPr>
            </w:pPr>
            <w:r>
              <w:rPr>
                <w:rFonts w:ascii="Arial" w:cs="Arial" w:eastAsia="Arial" w:hAnsi="Arial"/>
                <w:sz w:val="18"/>
                <w:szCs w:val="18"/>
                <w:color w:val="auto"/>
              </w:rPr>
              <w:t>167,348</w:t>
            </w:r>
          </w:p>
        </w:tc>
        <w:tc>
          <w:tcPr>
            <w:tcW w:w="11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169,541</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129,689</w:t>
            </w:r>
          </w:p>
        </w:tc>
        <w:tc>
          <w:tcPr>
            <w:tcW w:w="28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-1.3%</w:t>
            </w:r>
          </w:p>
        </w:tc>
        <w:tc>
          <w:tcPr>
            <w:tcW w:w="380" w:type="dxa"/>
            <w:vAlign w:val="bottom"/>
            <w:shd w:val="clear" w:color="auto" w:fill="CCFFCC"/>
          </w:tcPr>
          <w:p>
            <w:pPr>
              <w:spacing w:after="0"/>
              <w:rPr>
                <w:sz w:val="18"/>
                <w:szCs w:val="18"/>
                <w:color w:val="auto"/>
              </w:rPr>
            </w:pPr>
          </w:p>
        </w:tc>
        <w:tc>
          <w:tcPr>
            <w:tcW w:w="7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29.0%</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474,730</w:t>
            </w:r>
          </w:p>
        </w:tc>
        <w:tc>
          <w:tcPr>
            <w:tcW w:w="22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428,524</w:t>
            </w:r>
          </w:p>
        </w:tc>
        <w:tc>
          <w:tcPr>
            <w:tcW w:w="13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Operating expenses</w:t>
            </w:r>
          </w:p>
        </w:tc>
        <w:tc>
          <w:tcPr>
            <w:tcW w:w="1280" w:type="dxa"/>
            <w:vAlign w:val="bottom"/>
            <w:gridSpan w:val="3"/>
          </w:tcPr>
          <w:p>
            <w:pPr>
              <w:jc w:val="right"/>
              <w:ind w:right="220"/>
              <w:spacing w:after="0"/>
              <w:rPr>
                <w:sz w:val="20"/>
                <w:szCs w:val="20"/>
                <w:color w:val="auto"/>
              </w:rPr>
            </w:pPr>
            <w:r>
              <w:rPr>
                <w:rFonts w:ascii="Arial" w:cs="Arial" w:eastAsia="Arial" w:hAnsi="Arial"/>
                <w:sz w:val="18"/>
                <w:szCs w:val="18"/>
                <w:color w:val="auto"/>
              </w:rPr>
              <w:t>(184,751)</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(183,180)</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(161,093)</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0.9%</w:t>
            </w:r>
          </w:p>
        </w:tc>
        <w:tc>
          <w:tcPr>
            <w:tcW w:w="3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14.7%</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(553,264)</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(495,774)</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Operating Income</w:t>
            </w:r>
          </w:p>
        </w:tc>
        <w:tc>
          <w:tcPr>
            <w:tcW w:w="1280" w:type="dxa"/>
            <w:vAlign w:val="bottom"/>
            <w:gridSpan w:val="3"/>
            <w:shd w:val="clear" w:color="auto" w:fill="CCFFCC"/>
          </w:tcPr>
          <w:p>
            <w:pPr>
              <w:jc w:val="right"/>
              <w:ind w:right="280"/>
              <w:spacing w:after="0"/>
              <w:rPr>
                <w:sz w:val="20"/>
                <w:szCs w:val="20"/>
                <w:color w:val="auto"/>
              </w:rPr>
            </w:pPr>
            <w:r>
              <w:rPr>
                <w:rFonts w:ascii="Arial" w:cs="Arial" w:eastAsia="Arial" w:hAnsi="Arial"/>
                <w:sz w:val="18"/>
                <w:szCs w:val="18"/>
                <w:b w:val="1"/>
                <w:bCs w:val="1"/>
                <w:color w:val="auto"/>
              </w:rPr>
              <w:t>172,257</w:t>
            </w:r>
          </w:p>
        </w:tc>
        <w:tc>
          <w:tcPr>
            <w:tcW w:w="11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183,830</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126,941</w:t>
            </w:r>
          </w:p>
        </w:tc>
        <w:tc>
          <w:tcPr>
            <w:tcW w:w="28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-6.3%</w:t>
            </w:r>
          </w:p>
        </w:tc>
        <w:tc>
          <w:tcPr>
            <w:tcW w:w="380" w:type="dxa"/>
            <w:vAlign w:val="bottom"/>
            <w:shd w:val="clear" w:color="auto" w:fill="CCFFCC"/>
          </w:tcPr>
          <w:p>
            <w:pPr>
              <w:spacing w:after="0"/>
              <w:rPr>
                <w:sz w:val="18"/>
                <w:szCs w:val="18"/>
                <w:color w:val="auto"/>
              </w:rPr>
            </w:pP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35.7%</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484,325</w:t>
            </w:r>
          </w:p>
        </w:tc>
        <w:tc>
          <w:tcPr>
            <w:tcW w:w="22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405,462</w:t>
            </w:r>
          </w:p>
        </w:tc>
        <w:tc>
          <w:tcPr>
            <w:tcW w:w="134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ind w:left="160"/>
              <w:spacing w:after="0"/>
              <w:rPr>
                <w:sz w:val="20"/>
                <w:szCs w:val="20"/>
                <w:color w:val="auto"/>
              </w:rPr>
            </w:pPr>
            <w:r>
              <w:rPr>
                <w:rFonts w:ascii="Arial" w:cs="Arial" w:eastAsia="Arial" w:hAnsi="Arial"/>
                <w:sz w:val="18"/>
                <w:szCs w:val="18"/>
                <w:color w:val="auto"/>
                <w:w w:val="96"/>
              </w:rPr>
              <w:t>Core operating income</w:t>
            </w:r>
          </w:p>
        </w:tc>
        <w:tc>
          <w:tcPr>
            <w:tcW w:w="1280" w:type="dxa"/>
            <w:vAlign w:val="bottom"/>
            <w:gridSpan w:val="3"/>
          </w:tcPr>
          <w:p>
            <w:pPr>
              <w:jc w:val="right"/>
              <w:ind w:right="280"/>
              <w:spacing w:after="0"/>
              <w:rPr>
                <w:sz w:val="20"/>
                <w:szCs w:val="20"/>
                <w:color w:val="auto"/>
              </w:rPr>
            </w:pPr>
            <w:r>
              <w:rPr>
                <w:rFonts w:ascii="Arial" w:cs="Arial" w:eastAsia="Arial" w:hAnsi="Arial"/>
                <w:sz w:val="18"/>
                <w:szCs w:val="18"/>
                <w:color w:val="auto"/>
              </w:rPr>
              <w:t>162,620</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158,481</w:t>
            </w:r>
          </w:p>
        </w:tc>
        <w:tc>
          <w:tcPr>
            <w:tcW w:w="920" w:type="dxa"/>
            <w:vAlign w:val="bottom"/>
          </w:tcPr>
          <w:p>
            <w:pPr>
              <w:jc w:val="right"/>
              <w:spacing w:after="0"/>
              <w:rPr>
                <w:sz w:val="20"/>
                <w:szCs w:val="20"/>
                <w:color w:val="auto"/>
              </w:rPr>
            </w:pPr>
            <w:r>
              <w:rPr>
                <w:rFonts w:ascii="Arial" w:cs="Arial" w:eastAsia="Arial" w:hAnsi="Arial"/>
                <w:sz w:val="18"/>
                <w:szCs w:val="18"/>
                <w:color w:val="auto"/>
              </w:rPr>
              <w:t>126,941</w:t>
            </w:r>
          </w:p>
        </w:tc>
        <w:tc>
          <w:tcPr>
            <w:tcW w:w="2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2.6%</w:t>
            </w:r>
          </w:p>
        </w:tc>
        <w:tc>
          <w:tcPr>
            <w:tcW w:w="3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28.1%</w:t>
            </w:r>
          </w:p>
        </w:tc>
        <w:tc>
          <w:tcPr>
            <w:tcW w:w="900" w:type="dxa"/>
            <w:vAlign w:val="bottom"/>
          </w:tcPr>
          <w:p>
            <w:pPr>
              <w:jc w:val="right"/>
              <w:spacing w:after="0"/>
              <w:rPr>
                <w:sz w:val="20"/>
                <w:szCs w:val="20"/>
                <w:color w:val="auto"/>
              </w:rPr>
            </w:pPr>
            <w:r>
              <w:rPr>
                <w:rFonts w:ascii="Arial" w:cs="Arial" w:eastAsia="Arial" w:hAnsi="Arial"/>
                <w:sz w:val="18"/>
                <w:szCs w:val="18"/>
                <w:color w:val="auto"/>
              </w:rPr>
              <w:t>449,339</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332,735</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shd w:val="clear" w:color="auto" w:fill="CCFFCC"/>
          </w:tcPr>
          <w:p>
            <w:pPr>
              <w:ind w:left="160"/>
              <w:spacing w:after="0" w:line="201" w:lineRule="exact"/>
              <w:rPr>
                <w:sz w:val="20"/>
                <w:szCs w:val="20"/>
                <w:color w:val="auto"/>
              </w:rPr>
            </w:pPr>
            <w:r>
              <w:rPr>
                <w:rFonts w:ascii="Arial" w:cs="Arial" w:eastAsia="Arial" w:hAnsi="Arial"/>
                <w:sz w:val="18"/>
                <w:szCs w:val="18"/>
                <w:color w:val="auto"/>
              </w:rPr>
              <w:t>Non core operating</w:t>
            </w:r>
          </w:p>
        </w:tc>
        <w:tc>
          <w:tcPr>
            <w:tcW w:w="8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380" w:type="dxa"/>
            <w:vAlign w:val="bottom"/>
            <w:shd w:val="clear" w:color="auto" w:fill="CCFFCC"/>
          </w:tcPr>
          <w:p>
            <w:pPr>
              <w:spacing w:after="0"/>
              <w:rPr>
                <w:sz w:val="17"/>
                <w:szCs w:val="17"/>
                <w:color w:val="auto"/>
              </w:rPr>
            </w:pPr>
          </w:p>
        </w:tc>
        <w:tc>
          <w:tcPr>
            <w:tcW w:w="46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88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16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income*</w:t>
            </w:r>
          </w:p>
        </w:tc>
        <w:tc>
          <w:tcPr>
            <w:tcW w:w="1280" w:type="dxa"/>
            <w:vAlign w:val="bottom"/>
            <w:gridSpan w:val="3"/>
            <w:shd w:val="clear" w:color="auto" w:fill="CCFFCC"/>
          </w:tcPr>
          <w:p>
            <w:pPr>
              <w:jc w:val="right"/>
              <w:ind w:right="280"/>
              <w:spacing w:after="0"/>
              <w:rPr>
                <w:sz w:val="20"/>
                <w:szCs w:val="20"/>
                <w:color w:val="auto"/>
              </w:rPr>
            </w:pPr>
            <w:r>
              <w:rPr>
                <w:rFonts w:ascii="Arial" w:cs="Arial" w:eastAsia="Arial" w:hAnsi="Arial"/>
                <w:sz w:val="18"/>
                <w:szCs w:val="18"/>
                <w:color w:val="auto"/>
              </w:rPr>
              <w:t>9,637</w:t>
            </w:r>
          </w:p>
        </w:tc>
        <w:tc>
          <w:tcPr>
            <w:tcW w:w="11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25,349</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FFCC"/>
          </w:tcPr>
          <w:p>
            <w:pPr>
              <w:spacing w:after="0"/>
              <w:rPr>
                <w:sz w:val="20"/>
                <w:szCs w:val="20"/>
                <w:color w:val="auto"/>
              </w:rPr>
            </w:pPr>
          </w:p>
        </w:tc>
        <w:tc>
          <w:tcPr>
            <w:tcW w:w="11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-62.0%</w:t>
            </w:r>
          </w:p>
        </w:tc>
        <w:tc>
          <w:tcPr>
            <w:tcW w:w="380" w:type="dxa"/>
            <w:vAlign w:val="bottom"/>
            <w:shd w:val="clear" w:color="auto" w:fill="CCFFCC"/>
          </w:tcPr>
          <w:p>
            <w:pPr>
              <w:spacing w:after="0"/>
              <w:rPr>
                <w:sz w:val="20"/>
                <w:szCs w:val="20"/>
                <w:color w:val="auto"/>
              </w:rPr>
            </w:pPr>
          </w:p>
        </w:tc>
        <w:tc>
          <w:tcPr>
            <w:tcW w:w="7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34,986</w:t>
            </w:r>
          </w:p>
        </w:tc>
        <w:tc>
          <w:tcPr>
            <w:tcW w:w="11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72,727</w:t>
            </w:r>
          </w:p>
        </w:tc>
        <w:tc>
          <w:tcPr>
            <w:tcW w:w="13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Translation results</w:t>
            </w:r>
          </w:p>
        </w:tc>
        <w:tc>
          <w:tcPr>
            <w:tcW w:w="1280" w:type="dxa"/>
            <w:vAlign w:val="bottom"/>
            <w:gridSpan w:val="3"/>
          </w:tcPr>
          <w:p>
            <w:pPr>
              <w:jc w:val="right"/>
              <w:ind w:right="280"/>
              <w:spacing w:after="0"/>
              <w:rPr>
                <w:sz w:val="20"/>
                <w:szCs w:val="20"/>
                <w:color w:val="auto"/>
              </w:rPr>
            </w:pPr>
            <w:r>
              <w:rPr>
                <w:rFonts w:ascii="Arial" w:cs="Arial" w:eastAsia="Arial" w:hAnsi="Arial"/>
                <w:sz w:val="18"/>
                <w:szCs w:val="18"/>
                <w:color w:val="auto"/>
              </w:rPr>
              <w:t>12,896</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4,972</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10,204</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159.4%</w:t>
            </w:r>
          </w:p>
        </w:tc>
        <w:tc>
          <w:tcPr>
            <w:tcW w:w="3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26.4%</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29,548</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(4,955)</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693.3%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Worker's profit sharing</w:t>
            </w:r>
          </w:p>
        </w:tc>
        <w:tc>
          <w:tcPr>
            <w:tcW w:w="8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380" w:type="dxa"/>
            <w:vAlign w:val="bottom"/>
            <w:shd w:val="clear" w:color="auto" w:fill="CCFFCC"/>
          </w:tcPr>
          <w:p>
            <w:pPr>
              <w:spacing w:after="0"/>
              <w:rPr>
                <w:sz w:val="17"/>
                <w:szCs w:val="17"/>
                <w:color w:val="auto"/>
              </w:rPr>
            </w:pPr>
          </w:p>
        </w:tc>
        <w:tc>
          <w:tcPr>
            <w:tcW w:w="46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88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16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shd w:val="clear" w:color="auto" w:fill="CCFFCC"/>
          </w:tcPr>
          <w:p>
            <w:pPr>
              <w:spacing w:after="0"/>
              <w:rPr>
                <w:sz w:val="20"/>
                <w:szCs w:val="20"/>
                <w:color w:val="auto"/>
              </w:rPr>
            </w:pPr>
            <w:r>
              <w:rPr>
                <w:rFonts w:ascii="Arial" w:cs="Arial" w:eastAsia="Arial" w:hAnsi="Arial"/>
                <w:sz w:val="18"/>
                <w:szCs w:val="18"/>
                <w:color w:val="auto"/>
              </w:rPr>
              <w:t>and income taxes</w:t>
            </w:r>
          </w:p>
        </w:tc>
        <w:tc>
          <w:tcPr>
            <w:tcW w:w="128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(46,382)</w:t>
            </w:r>
          </w:p>
        </w:tc>
        <w:tc>
          <w:tcPr>
            <w:tcW w:w="11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(54,454)</w:t>
            </w:r>
          </w:p>
        </w:tc>
        <w:tc>
          <w:tcPr>
            <w:tcW w:w="12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(35,400)</w:t>
            </w:r>
          </w:p>
        </w:tc>
        <w:tc>
          <w:tcPr>
            <w:tcW w:w="11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-14.8%</w:t>
            </w:r>
          </w:p>
        </w:tc>
        <w:tc>
          <w:tcPr>
            <w:tcW w:w="380" w:type="dxa"/>
            <w:vAlign w:val="bottom"/>
            <w:shd w:val="clear" w:color="auto" w:fill="CCFFCC"/>
          </w:tcPr>
          <w:p>
            <w:pPr>
              <w:spacing w:after="0"/>
              <w:rPr>
                <w:sz w:val="20"/>
                <w:szCs w:val="20"/>
                <w:color w:val="auto"/>
              </w:rPr>
            </w:pPr>
          </w:p>
        </w:tc>
        <w:tc>
          <w:tcPr>
            <w:tcW w:w="7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31.0%</w:t>
            </w:r>
          </w:p>
        </w:tc>
        <w:tc>
          <w:tcPr>
            <w:tcW w:w="11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(138,582)</w:t>
            </w:r>
          </w:p>
        </w:tc>
        <w:tc>
          <w:tcPr>
            <w:tcW w:w="11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(14,422)</w:t>
            </w:r>
          </w:p>
        </w:tc>
        <w:tc>
          <w:tcPr>
            <w:tcW w:w="13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138,620</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134,221</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101,456</w:t>
            </w:r>
          </w:p>
        </w:tc>
        <w:tc>
          <w:tcPr>
            <w:tcW w:w="2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3.3%</w:t>
            </w:r>
          </w:p>
        </w:tc>
        <w:tc>
          <w:tcPr>
            <w:tcW w:w="3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36.6%</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374,750</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289,980</w:t>
            </w:r>
          </w:p>
        </w:tc>
        <w:tc>
          <w:tcPr>
            <w:tcW w:w="1340" w:type="dxa"/>
            <w:vAlign w:val="bottom"/>
            <w:gridSpan w:val="2"/>
          </w:tcPr>
          <w:p>
            <w:pPr>
              <w:jc w:val="right"/>
              <w:spacing w:after="0"/>
              <w:rPr>
                <w:sz w:val="20"/>
                <w:szCs w:val="20"/>
                <w:color w:val="auto"/>
              </w:rPr>
            </w:pPr>
            <w:r>
              <w:rPr>
                <w:rFonts w:ascii="Arial" w:cs="Arial" w:eastAsia="Arial" w:hAnsi="Arial"/>
                <w:sz w:val="18"/>
                <w:szCs w:val="18"/>
                <w:b w:val="1"/>
                <w:bCs w:val="1"/>
                <w:color w:val="auto"/>
              </w:rPr>
              <w:t>29.2%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4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40" w:type="dxa"/>
            <w:vAlign w:val="bottom"/>
            <w:shd w:val="clear" w:color="auto" w:fill="CCFFCC"/>
          </w:tcPr>
          <w:p>
            <w:pPr>
              <w:spacing w:after="0"/>
              <w:rPr>
                <w:sz w:val="20"/>
                <w:szCs w:val="20"/>
                <w:color w:val="auto"/>
              </w:rPr>
            </w:pPr>
            <w:r>
              <w:rPr>
                <w:rFonts w:ascii="Arial" w:cs="Arial" w:eastAsia="Arial" w:hAnsi="Arial"/>
                <w:sz w:val="18"/>
                <w:szCs w:val="18"/>
                <w:color w:val="auto"/>
                <w:w w:val="94"/>
              </w:rPr>
              <w:t>Net income / share (US$)</w:t>
            </w:r>
          </w:p>
        </w:tc>
        <w:tc>
          <w:tcPr>
            <w:tcW w:w="8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0.062</w:t>
            </w:r>
          </w:p>
        </w:tc>
        <w:tc>
          <w:tcPr>
            <w:tcW w:w="11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0.060</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0.046</w:t>
            </w:r>
          </w:p>
        </w:tc>
        <w:tc>
          <w:tcPr>
            <w:tcW w:w="28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3.3%</w:t>
            </w:r>
          </w:p>
        </w:tc>
        <w:tc>
          <w:tcPr>
            <w:tcW w:w="380" w:type="dxa"/>
            <w:vAlign w:val="bottom"/>
            <w:shd w:val="clear" w:color="auto" w:fill="CCFFCC"/>
          </w:tcPr>
          <w:p>
            <w:pPr>
              <w:spacing w:after="0"/>
              <w:rPr>
                <w:sz w:val="18"/>
                <w:szCs w:val="18"/>
                <w:color w:val="auto"/>
              </w:rPr>
            </w:pPr>
          </w:p>
        </w:tc>
        <w:tc>
          <w:tcPr>
            <w:tcW w:w="7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36.7%</w:t>
            </w:r>
          </w:p>
        </w:tc>
        <w:tc>
          <w:tcPr>
            <w:tcW w:w="9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900" w:type="dxa"/>
            <w:vAlign w:val="bottom"/>
            <w:shd w:val="clear" w:color="auto" w:fill="CCFFCC"/>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880" w:type="dxa"/>
            <w:vAlign w:val="bottom"/>
            <w:shd w:val="clear" w:color="auto" w:fill="CCFFCC"/>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60" w:type="dxa"/>
            <w:vAlign w:val="bottom"/>
            <w:shd w:val="clear" w:color="auto" w:fill="CCFFCC"/>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Total loans</w:t>
            </w:r>
          </w:p>
        </w:tc>
        <w:tc>
          <w:tcPr>
            <w:tcW w:w="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13,326,601</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12,611,066</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10,572,063</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5.7%</w:t>
            </w:r>
          </w:p>
        </w:tc>
        <w:tc>
          <w:tcPr>
            <w:tcW w:w="3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26.1%</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FFCC"/>
          </w:tcPr>
          <w:p>
            <w:pPr>
              <w:spacing w:after="0"/>
              <w:rPr>
                <w:sz w:val="20"/>
                <w:szCs w:val="20"/>
                <w:color w:val="auto"/>
              </w:rPr>
            </w:pPr>
            <w:r>
              <w:rPr>
                <w:rFonts w:ascii="Arial" w:cs="Arial" w:eastAsia="Arial" w:hAnsi="Arial"/>
                <w:sz w:val="18"/>
                <w:szCs w:val="18"/>
                <w:color w:val="auto"/>
                <w:w w:val="97"/>
              </w:rPr>
              <w:t>Deposits and obligations</w:t>
            </w:r>
          </w:p>
        </w:tc>
        <w:tc>
          <w:tcPr>
            <w:tcW w:w="1280" w:type="dxa"/>
            <w:vAlign w:val="bottom"/>
            <w:gridSpan w:val="3"/>
            <w:shd w:val="clear" w:color="auto" w:fill="CCFFCC"/>
          </w:tcPr>
          <w:p>
            <w:pPr>
              <w:jc w:val="right"/>
              <w:ind w:right="280"/>
              <w:spacing w:after="0"/>
              <w:rPr>
                <w:sz w:val="20"/>
                <w:szCs w:val="20"/>
                <w:color w:val="auto"/>
              </w:rPr>
            </w:pPr>
            <w:r>
              <w:rPr>
                <w:rFonts w:ascii="Arial" w:cs="Arial" w:eastAsia="Arial" w:hAnsi="Arial"/>
                <w:sz w:val="18"/>
                <w:szCs w:val="18"/>
                <w:color w:val="auto"/>
              </w:rPr>
              <w:t>15,642,366</w:t>
            </w:r>
          </w:p>
        </w:tc>
        <w:tc>
          <w:tcPr>
            <w:tcW w:w="11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w w:val="99"/>
              </w:rPr>
              <w:t>14,209,963</w:t>
            </w:r>
          </w:p>
        </w:tc>
        <w:tc>
          <w:tcPr>
            <w:tcW w:w="12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w w:val="99"/>
              </w:rPr>
              <w:t>13,946,714</w:t>
            </w:r>
          </w:p>
        </w:tc>
        <w:tc>
          <w:tcPr>
            <w:tcW w:w="11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10.1%</w:t>
            </w:r>
          </w:p>
        </w:tc>
        <w:tc>
          <w:tcPr>
            <w:tcW w:w="380" w:type="dxa"/>
            <w:vAlign w:val="bottom"/>
            <w:shd w:val="clear" w:color="auto" w:fill="CCFFCC"/>
          </w:tcPr>
          <w:p>
            <w:pPr>
              <w:spacing w:after="0"/>
              <w:rPr>
                <w:sz w:val="18"/>
                <w:szCs w:val="18"/>
                <w:color w:val="auto"/>
              </w:rPr>
            </w:pPr>
          </w:p>
        </w:tc>
        <w:tc>
          <w:tcPr>
            <w:tcW w:w="7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12.2%</w:t>
            </w:r>
          </w:p>
        </w:tc>
        <w:tc>
          <w:tcPr>
            <w:tcW w:w="9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w w:val="97"/>
              </w:rPr>
              <w:t>Net shareholders´ equity</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1,864,471</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1,679,754</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1,556,224</w:t>
            </w:r>
          </w:p>
        </w:tc>
        <w:tc>
          <w:tcPr>
            <w:tcW w:w="2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11.0%</w:t>
            </w:r>
          </w:p>
        </w:tc>
        <w:tc>
          <w:tcPr>
            <w:tcW w:w="3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19.8%</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4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40" w:type="dxa"/>
            <w:vAlign w:val="bottom"/>
            <w:shd w:val="clear" w:color="auto" w:fill="CCFFCC"/>
          </w:tcPr>
          <w:p>
            <w:pPr>
              <w:spacing w:after="0"/>
              <w:rPr>
                <w:sz w:val="20"/>
                <w:szCs w:val="20"/>
                <w:color w:val="auto"/>
              </w:rPr>
            </w:pPr>
            <w:r>
              <w:rPr>
                <w:rFonts w:ascii="Arial" w:cs="Arial" w:eastAsia="Arial" w:hAnsi="Arial"/>
                <w:sz w:val="18"/>
                <w:szCs w:val="18"/>
                <w:color w:val="auto"/>
              </w:rPr>
              <w:t>Net financial margin</w:t>
            </w:r>
          </w:p>
        </w:tc>
        <w:tc>
          <w:tcPr>
            <w:tcW w:w="8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4.81%</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4.91%</w:t>
            </w: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4.87%</w:t>
            </w:r>
          </w:p>
        </w:tc>
        <w:tc>
          <w:tcPr>
            <w:tcW w:w="8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Efficiency ratio</w:t>
            </w:r>
          </w:p>
        </w:tc>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46.3%</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48.0%</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48.8%</w:t>
            </w: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FFCC"/>
          </w:tcPr>
          <w:p>
            <w:pPr>
              <w:spacing w:after="0"/>
              <w:rPr>
                <w:sz w:val="20"/>
                <w:szCs w:val="20"/>
                <w:color w:val="auto"/>
              </w:rPr>
            </w:pPr>
            <w:r>
              <w:rPr>
                <w:rFonts w:ascii="Arial" w:cs="Arial" w:eastAsia="Arial" w:hAnsi="Arial"/>
                <w:sz w:val="18"/>
                <w:szCs w:val="18"/>
                <w:color w:val="auto"/>
                <w:w w:val="94"/>
              </w:rPr>
              <w:t>Return on average equity</w:t>
            </w:r>
          </w:p>
        </w:tc>
        <w:tc>
          <w:tcPr>
            <w:tcW w:w="128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31.3%</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33.0%</w:t>
            </w: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27.1%</w:t>
            </w:r>
          </w:p>
        </w:tc>
        <w:tc>
          <w:tcPr>
            <w:tcW w:w="8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PDL / Total loans</w:t>
            </w:r>
          </w:p>
        </w:tc>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1.59%</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1.71%</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1.56%</w:t>
            </w: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FFCC"/>
          </w:tcPr>
          <w:p>
            <w:pPr>
              <w:spacing w:after="0"/>
              <w:rPr>
                <w:sz w:val="20"/>
                <w:szCs w:val="20"/>
                <w:color w:val="auto"/>
              </w:rPr>
            </w:pPr>
            <w:r>
              <w:rPr>
                <w:rFonts w:ascii="Arial" w:cs="Arial" w:eastAsia="Arial" w:hAnsi="Arial"/>
                <w:sz w:val="18"/>
                <w:szCs w:val="18"/>
                <w:color w:val="auto"/>
              </w:rPr>
              <w:t>Coverage ratio of PDLs</w:t>
            </w:r>
          </w:p>
        </w:tc>
        <w:tc>
          <w:tcPr>
            <w:tcW w:w="128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193.3%</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179.5%</w:t>
            </w: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191.8%</w:t>
            </w:r>
          </w:p>
        </w:tc>
        <w:tc>
          <w:tcPr>
            <w:tcW w:w="8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BIS ratio</w:t>
            </w:r>
          </w:p>
        </w:tc>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13.9%</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13.6%</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14.5%</w:t>
            </w: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FFCC"/>
          </w:tcPr>
          <w:p>
            <w:pPr>
              <w:spacing w:after="0"/>
              <w:rPr>
                <w:sz w:val="20"/>
                <w:szCs w:val="20"/>
                <w:color w:val="auto"/>
              </w:rPr>
            </w:pPr>
            <w:r>
              <w:rPr>
                <w:rFonts w:ascii="Arial" w:cs="Arial" w:eastAsia="Arial" w:hAnsi="Arial"/>
                <w:sz w:val="18"/>
                <w:szCs w:val="18"/>
                <w:color w:val="auto"/>
              </w:rPr>
              <w:t>Branches</w:t>
            </w:r>
          </w:p>
        </w:tc>
        <w:tc>
          <w:tcPr>
            <w:tcW w:w="1280" w:type="dxa"/>
            <w:vAlign w:val="bottom"/>
            <w:gridSpan w:val="3"/>
            <w:shd w:val="clear" w:color="auto" w:fill="CCFFCC"/>
          </w:tcPr>
          <w:p>
            <w:pPr>
              <w:jc w:val="right"/>
              <w:ind w:right="280"/>
              <w:spacing w:after="0"/>
              <w:rPr>
                <w:sz w:val="20"/>
                <w:szCs w:val="20"/>
                <w:color w:val="auto"/>
              </w:rPr>
            </w:pPr>
            <w:r>
              <w:rPr>
                <w:rFonts w:ascii="Arial" w:cs="Arial" w:eastAsia="Arial" w:hAnsi="Arial"/>
                <w:sz w:val="18"/>
                <w:szCs w:val="18"/>
                <w:color w:val="auto"/>
              </w:rPr>
              <w:t>324</w:t>
            </w:r>
          </w:p>
        </w:tc>
        <w:tc>
          <w:tcPr>
            <w:tcW w:w="11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325</w:t>
            </w:r>
          </w:p>
        </w:tc>
        <w:tc>
          <w:tcPr>
            <w:tcW w:w="12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330</w:t>
            </w:r>
          </w:p>
        </w:tc>
        <w:tc>
          <w:tcPr>
            <w:tcW w:w="8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Agentes BCP</w:t>
            </w:r>
          </w:p>
        </w:tc>
        <w:tc>
          <w:tcPr>
            <w:tcW w:w="1280" w:type="dxa"/>
            <w:vAlign w:val="bottom"/>
            <w:gridSpan w:val="3"/>
          </w:tcPr>
          <w:p>
            <w:pPr>
              <w:jc w:val="right"/>
              <w:ind w:right="280"/>
              <w:spacing w:after="0"/>
              <w:rPr>
                <w:sz w:val="20"/>
                <w:szCs w:val="20"/>
                <w:color w:val="auto"/>
              </w:rPr>
            </w:pPr>
            <w:r>
              <w:rPr>
                <w:rFonts w:ascii="Arial" w:cs="Arial" w:eastAsia="Arial" w:hAnsi="Arial"/>
                <w:sz w:val="18"/>
                <w:szCs w:val="18"/>
                <w:color w:val="auto"/>
              </w:rPr>
              <w:t>3,354</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3,086</w:t>
            </w:r>
          </w:p>
        </w:tc>
        <w:tc>
          <w:tcPr>
            <w:tcW w:w="920" w:type="dxa"/>
            <w:vAlign w:val="bottom"/>
          </w:tcPr>
          <w:p>
            <w:pPr>
              <w:jc w:val="right"/>
              <w:spacing w:after="0"/>
              <w:rPr>
                <w:sz w:val="20"/>
                <w:szCs w:val="20"/>
                <w:color w:val="auto"/>
              </w:rPr>
            </w:pPr>
            <w:r>
              <w:rPr>
                <w:rFonts w:ascii="Arial" w:cs="Arial" w:eastAsia="Arial" w:hAnsi="Arial"/>
                <w:sz w:val="18"/>
                <w:szCs w:val="18"/>
                <w:color w:val="auto"/>
              </w:rPr>
              <w:t>2,435</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FFCC"/>
          </w:tcPr>
          <w:p>
            <w:pPr>
              <w:spacing w:after="0"/>
              <w:rPr>
                <w:sz w:val="20"/>
                <w:szCs w:val="20"/>
                <w:color w:val="auto"/>
              </w:rPr>
            </w:pPr>
            <w:r>
              <w:rPr>
                <w:rFonts w:ascii="Arial" w:cs="Arial" w:eastAsia="Arial" w:hAnsi="Arial"/>
                <w:sz w:val="18"/>
                <w:szCs w:val="18"/>
                <w:color w:val="auto"/>
              </w:rPr>
              <w:t>ATMs</w:t>
            </w:r>
          </w:p>
        </w:tc>
        <w:tc>
          <w:tcPr>
            <w:tcW w:w="1280" w:type="dxa"/>
            <w:vAlign w:val="bottom"/>
            <w:gridSpan w:val="3"/>
            <w:shd w:val="clear" w:color="auto" w:fill="CCFFCC"/>
          </w:tcPr>
          <w:p>
            <w:pPr>
              <w:jc w:val="right"/>
              <w:ind w:right="280"/>
              <w:spacing w:after="0"/>
              <w:rPr>
                <w:sz w:val="20"/>
                <w:szCs w:val="20"/>
                <w:color w:val="auto"/>
              </w:rPr>
            </w:pPr>
            <w:r>
              <w:rPr>
                <w:rFonts w:ascii="Arial" w:cs="Arial" w:eastAsia="Arial" w:hAnsi="Arial"/>
                <w:sz w:val="18"/>
                <w:szCs w:val="18"/>
                <w:color w:val="auto"/>
              </w:rPr>
              <w:t>1,109</w:t>
            </w:r>
          </w:p>
        </w:tc>
        <w:tc>
          <w:tcPr>
            <w:tcW w:w="11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1,062</w:t>
            </w:r>
          </w:p>
        </w:tc>
        <w:tc>
          <w:tcPr>
            <w:tcW w:w="12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951</w:t>
            </w:r>
          </w:p>
        </w:tc>
        <w:tc>
          <w:tcPr>
            <w:tcW w:w="8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Employees</w:t>
            </w:r>
          </w:p>
        </w:tc>
        <w:tc>
          <w:tcPr>
            <w:tcW w:w="1280" w:type="dxa"/>
            <w:vAlign w:val="bottom"/>
            <w:gridSpan w:val="3"/>
          </w:tcPr>
          <w:p>
            <w:pPr>
              <w:jc w:val="right"/>
              <w:ind w:right="280"/>
              <w:spacing w:after="0"/>
              <w:rPr>
                <w:sz w:val="20"/>
                <w:szCs w:val="20"/>
                <w:color w:val="auto"/>
              </w:rPr>
            </w:pPr>
            <w:r>
              <w:rPr>
                <w:rFonts w:ascii="Arial" w:cs="Arial" w:eastAsia="Arial" w:hAnsi="Arial"/>
                <w:sz w:val="18"/>
                <w:szCs w:val="18"/>
                <w:color w:val="auto"/>
              </w:rPr>
              <w:t>15,650</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15,775</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15,936</w:t>
            </w: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1299845</wp:posOffset>
            </wp:positionH>
            <wp:positionV relativeFrom="paragraph">
              <wp:posOffset>-8255</wp:posOffset>
            </wp:positionV>
            <wp:extent cx="209232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092325" cy="171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 It refers to a net gain on sales of securities (non financial income)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Excellent quarterly performance in 3Q10 as compared to 2Q10 was primarily due to:</w:t>
      </w:r>
    </w:p>
    <w:p>
      <w:pPr>
        <w:spacing w:after="0" w:line="252" w:lineRule="exact"/>
        <w:rPr>
          <w:sz w:val="20"/>
          <w:szCs w:val="20"/>
          <w:color w:val="auto"/>
        </w:rPr>
      </w:pPr>
    </w:p>
    <w:p>
      <w:pPr>
        <w:ind w:left="1180" w:hanging="281"/>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6.0% QoQ growth in net interest income (NII) due to higher interest income related to loan growth;</w:t>
      </w:r>
    </w:p>
    <w:p>
      <w:pPr>
        <w:spacing w:after="0" w:line="252" w:lineRule="exact"/>
        <w:rPr>
          <w:rFonts w:ascii="Arial" w:cs="Arial" w:eastAsia="Arial" w:hAnsi="Arial"/>
          <w:sz w:val="18"/>
          <w:szCs w:val="18"/>
          <w:color w:val="auto"/>
        </w:rPr>
      </w:pPr>
    </w:p>
    <w:p>
      <w:pPr>
        <w:ind w:left="1320" w:hanging="421"/>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Higher translation results as a result of appropriate asset &amp; liability management; and</w:t>
      </w:r>
    </w:p>
    <w:p>
      <w:pPr>
        <w:spacing w:after="0" w:line="252" w:lineRule="exact"/>
        <w:rPr>
          <w:rFonts w:ascii="Arial" w:cs="Arial" w:eastAsia="Arial" w:hAnsi="Arial"/>
          <w:sz w:val="18"/>
          <w:szCs w:val="18"/>
          <w:color w:val="auto"/>
        </w:rPr>
      </w:pPr>
    </w:p>
    <w:p>
      <w:pPr>
        <w:ind w:left="1340" w:hanging="441"/>
        <w:spacing w:after="0"/>
        <w:tabs>
          <w:tab w:leader="none" w:pos="1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Lower tax levels, which are primarily explained by the tax shelter obtained from investments in BCR CDs.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aforementioned helped offset the 68.7% QoQ increase in provisions for loans and lower non-recurrent financial income. The latter was explained by a drop in earnings from sales of securities, which was significant in the 2nd and less is volume in this 3rd quarter following the Government’s bond repurchase.</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comparison with 3Q09’s results shows growth of 36.6% in net income and 35.7% in operating income. In terms of the latter, the 22.8% increase in NII was particularly noteworthy along with 29.0% growth in non-financial income (primarily due to the 29.5% increase in fees for banking services) and higher translation results.</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Assets reported 12.5% growth QoQ due to an increase in net loans (+5.7% QoQ) and higher securities available for sale (+43.9% QoQ). The latter was associated with a successful treasury management strategy to invest in relatively low cost funding options such as Peruvian government instruments, which are attractive due to the rates offered and the tax shelter they generate.</w:t>
      </w:r>
    </w:p>
    <w:p>
      <w:pPr>
        <w:spacing w:after="0" w:line="3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6" w:right="239" w:bottom="100" w:gutter="0" w:footer="0" w:header="0"/>
        </w:sectPr>
      </w:pPr>
    </w:p>
    <w:bookmarkStart w:id="7" w:name="page8"/>
    <w:bookmarkEnd w:id="7"/>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175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Good results in the third quarter also include a declining past due ratio, which went from 1.71% at the end of 2Q10 to 1.59% at the end of 3Q10. As we will explain in greater detail later on, this contraction was due to loan growth and a reduction in the past due portfolio.</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BCP achieved improvement in operating efficiency for the third consecutive quarter this year. This was evident in an improvement in the efficiency ratio, which dropped from 48.0% in 2Q10 to 46.3% in 3Q10. This quarter’s level is even lower than the 48.8% registered in 3Q09.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Finally, ROAE and ROAA reached very satisfactory levels of 31.3% and 2.5%, respectively.</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80" w:type="dxa"/>
            <w:vAlign w:val="bottom"/>
            <w:gridSpan w:val="2"/>
          </w:tcPr>
          <w:p>
            <w:pPr>
              <w:spacing w:after="0"/>
              <w:rPr>
                <w:sz w:val="20"/>
                <w:szCs w:val="20"/>
                <w:color w:val="auto"/>
              </w:rPr>
            </w:pPr>
            <w:r>
              <w:rPr>
                <w:rFonts w:ascii="Arial" w:cs="Arial" w:eastAsia="Arial" w:hAnsi="Arial"/>
                <w:sz w:val="18"/>
                <w:szCs w:val="18"/>
                <w:i w:val="1"/>
                <w:iCs w:val="1"/>
                <w:color w:val="auto"/>
              </w:rPr>
              <w:t>Core Earnings</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80" w:type="dxa"/>
            <w:vAlign w:val="bottom"/>
            <w:gridSpan w:val="2"/>
          </w:tcPr>
          <w:p>
            <w:pPr>
              <w:spacing w:after="0"/>
              <w:rPr>
                <w:sz w:val="20"/>
                <w:szCs w:val="20"/>
                <w:color w:val="auto"/>
              </w:rPr>
            </w:pPr>
            <w:r>
              <w:rPr>
                <w:rFonts w:ascii="Arial" w:cs="Arial" w:eastAsia="Arial" w:hAnsi="Arial"/>
                <w:sz w:val="18"/>
                <w:szCs w:val="18"/>
                <w:b w:val="1"/>
                <w:bCs w:val="1"/>
                <w:color w:val="auto"/>
              </w:rPr>
              <w:t>Core earnings</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Quarter</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3"/>
          </w:tcPr>
          <w:p>
            <w:pPr>
              <w:ind w:left="620"/>
              <w:spacing w:after="0"/>
              <w:rPr>
                <w:sz w:val="20"/>
                <w:szCs w:val="20"/>
                <w:color w:val="auto"/>
              </w:rPr>
            </w:pPr>
            <w:r>
              <w:rPr>
                <w:rFonts w:ascii="Arial" w:cs="Arial" w:eastAsia="Arial" w:hAnsi="Arial"/>
                <w:sz w:val="18"/>
                <w:szCs w:val="18"/>
                <w:b w:val="1"/>
                <w:bCs w:val="1"/>
                <w:color w:val="auto"/>
                <w:w w:val="89"/>
              </w:rPr>
              <w:t>Change %</w:t>
            </w: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20" w:type="dxa"/>
            <w:vAlign w:val="bottom"/>
            <w:gridSpan w:val="4"/>
          </w:tcPr>
          <w:p>
            <w:pPr>
              <w:jc w:val="right"/>
              <w:ind w:right="760"/>
              <w:spacing w:after="0"/>
              <w:rPr>
                <w:sz w:val="20"/>
                <w:szCs w:val="20"/>
                <w:color w:val="auto"/>
              </w:rPr>
            </w:pPr>
            <w:r>
              <w:rPr>
                <w:rFonts w:ascii="Arial" w:cs="Arial" w:eastAsia="Arial" w:hAnsi="Arial"/>
                <w:sz w:val="18"/>
                <w:szCs w:val="18"/>
                <w:b w:val="1"/>
                <w:bCs w:val="1"/>
                <w:color w:val="auto"/>
              </w:rPr>
              <w:t>Year to date</w:t>
            </w:r>
          </w:p>
        </w:tc>
        <w:tc>
          <w:tcPr>
            <w:tcW w:w="1340" w:type="dxa"/>
            <w:vAlign w:val="bottom"/>
            <w:gridSpan w:val="2"/>
          </w:tcPr>
          <w:p>
            <w:pPr>
              <w:ind w:left="160"/>
              <w:spacing w:after="0"/>
              <w:rPr>
                <w:sz w:val="20"/>
                <w:szCs w:val="20"/>
                <w:color w:val="auto"/>
              </w:rPr>
            </w:pPr>
            <w:r>
              <w:rPr>
                <w:rFonts w:ascii="Arial" w:cs="Arial" w:eastAsia="Arial" w:hAnsi="Arial"/>
                <w:sz w:val="18"/>
                <w:szCs w:val="18"/>
                <w:b w:val="1"/>
                <w:bCs w:val="1"/>
                <w:color w:val="auto"/>
              </w:rPr>
              <w:t>Change %</w:t>
            </w:r>
          </w:p>
        </w:tc>
        <w:tc>
          <w:tcPr>
            <w:tcW w:w="0" w:type="dxa"/>
            <w:vAlign w:val="bottom"/>
          </w:tcPr>
          <w:p>
            <w:pPr>
              <w:spacing w:after="0"/>
              <w:rPr>
                <w:sz w:val="1"/>
                <w:szCs w:val="1"/>
                <w:color w:val="auto"/>
              </w:rPr>
            </w:pPr>
          </w:p>
        </w:tc>
      </w:tr>
      <w:tr>
        <w:trPr>
          <w:trHeight w:val="223"/>
        </w:trPr>
        <w:tc>
          <w:tcPr>
            <w:tcW w:w="20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US$ 000</w:t>
            </w:r>
          </w:p>
        </w:tc>
        <w:tc>
          <w:tcPr>
            <w:tcW w:w="120" w:type="dxa"/>
            <w:vAlign w:val="bottom"/>
          </w:tcPr>
          <w:p>
            <w:pPr>
              <w:spacing w:after="0"/>
              <w:rPr>
                <w:sz w:val="19"/>
                <w:szCs w:val="19"/>
                <w:color w:val="auto"/>
              </w:rPr>
            </w:pPr>
          </w:p>
        </w:tc>
        <w:tc>
          <w:tcPr>
            <w:tcW w:w="1100" w:type="dxa"/>
            <w:vAlign w:val="bottom"/>
            <w:tcBorders>
              <w:top w:val="single" w:sz="8" w:color="auto"/>
            </w:tcBorders>
            <w:gridSpan w:val="2"/>
          </w:tcPr>
          <w:p>
            <w:pPr>
              <w:jc w:val="right"/>
              <w:ind w:right="460"/>
              <w:spacing w:after="0"/>
              <w:rPr>
                <w:sz w:val="20"/>
                <w:szCs w:val="20"/>
                <w:color w:val="auto"/>
              </w:rPr>
            </w:pPr>
            <w:r>
              <w:rPr>
                <w:rFonts w:ascii="Arial" w:cs="Arial" w:eastAsia="Arial" w:hAnsi="Arial"/>
                <w:sz w:val="18"/>
                <w:szCs w:val="18"/>
                <w:b w:val="1"/>
                <w:bCs w:val="1"/>
                <w:color w:val="auto"/>
              </w:rPr>
              <w:t>3Q10</w:t>
            </w:r>
          </w:p>
        </w:tc>
        <w:tc>
          <w:tcPr>
            <w:tcW w:w="1120" w:type="dxa"/>
            <w:vAlign w:val="bottom"/>
            <w:tcBorders>
              <w:top w:val="single" w:sz="8" w:color="auto"/>
            </w:tcBorders>
            <w:gridSpan w:val="2"/>
          </w:tcPr>
          <w:p>
            <w:pPr>
              <w:jc w:val="center"/>
              <w:ind w:right="220"/>
              <w:spacing w:after="0"/>
              <w:rPr>
                <w:sz w:val="20"/>
                <w:szCs w:val="20"/>
                <w:color w:val="auto"/>
              </w:rPr>
            </w:pPr>
            <w:r>
              <w:rPr>
                <w:rFonts w:ascii="Arial" w:cs="Arial" w:eastAsia="Arial" w:hAnsi="Arial"/>
                <w:sz w:val="18"/>
                <w:szCs w:val="18"/>
                <w:b w:val="1"/>
                <w:bCs w:val="1"/>
                <w:color w:val="auto"/>
                <w:w w:val="95"/>
              </w:rPr>
              <w:t>2Q10</w:t>
            </w:r>
          </w:p>
        </w:tc>
        <w:tc>
          <w:tcPr>
            <w:tcW w:w="880" w:type="dxa"/>
            <w:vAlign w:val="bottom"/>
            <w:tcBorders>
              <w:top w:val="single" w:sz="8" w:color="auto"/>
            </w:tcBorders>
          </w:tcPr>
          <w:p>
            <w:pPr>
              <w:ind w:left="240"/>
              <w:spacing w:after="0"/>
              <w:rPr>
                <w:sz w:val="20"/>
                <w:szCs w:val="20"/>
                <w:color w:val="auto"/>
              </w:rPr>
            </w:pPr>
            <w:r>
              <w:rPr>
                <w:rFonts w:ascii="Arial" w:cs="Arial" w:eastAsia="Arial" w:hAnsi="Arial"/>
                <w:sz w:val="18"/>
                <w:szCs w:val="18"/>
                <w:b w:val="1"/>
                <w:bCs w:val="1"/>
                <w:color w:val="auto"/>
              </w:rPr>
              <w:t>3Q09</w:t>
            </w:r>
          </w:p>
        </w:tc>
        <w:tc>
          <w:tcPr>
            <w:tcW w:w="220" w:type="dxa"/>
            <w:vAlign w:val="bottom"/>
          </w:tcPr>
          <w:p>
            <w:pPr>
              <w:spacing w:after="0"/>
              <w:rPr>
                <w:sz w:val="19"/>
                <w:szCs w:val="19"/>
                <w:color w:val="auto"/>
              </w:rPr>
            </w:pPr>
          </w:p>
        </w:tc>
        <w:tc>
          <w:tcPr>
            <w:tcW w:w="1420" w:type="dxa"/>
            <w:vAlign w:val="bottom"/>
            <w:tcBorders>
              <w:top w:val="single" w:sz="8" w:color="auto"/>
            </w:tcBorders>
            <w:gridSpan w:val="3"/>
          </w:tcPr>
          <w:p>
            <w:pPr>
              <w:ind w:left="240"/>
              <w:spacing w:after="0"/>
              <w:rPr>
                <w:sz w:val="20"/>
                <w:szCs w:val="20"/>
                <w:color w:val="auto"/>
              </w:rPr>
            </w:pPr>
            <w:r>
              <w:rPr>
                <w:rFonts w:ascii="Arial" w:cs="Arial" w:eastAsia="Arial" w:hAnsi="Arial"/>
                <w:sz w:val="18"/>
                <w:szCs w:val="18"/>
                <w:b w:val="1"/>
                <w:bCs w:val="1"/>
                <w:color w:val="auto"/>
              </w:rPr>
              <w:t>QoQ</w:t>
            </w:r>
          </w:p>
        </w:tc>
        <w:tc>
          <w:tcPr>
            <w:tcW w:w="62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YoY</w:t>
            </w:r>
          </w:p>
        </w:tc>
        <w:tc>
          <w:tcPr>
            <w:tcW w:w="300" w:type="dxa"/>
            <w:vAlign w:val="bottom"/>
          </w:tcPr>
          <w:p>
            <w:pPr>
              <w:spacing w:after="0"/>
              <w:rPr>
                <w:sz w:val="19"/>
                <w:szCs w:val="19"/>
                <w:color w:val="auto"/>
              </w:rPr>
            </w:pPr>
          </w:p>
        </w:tc>
        <w:tc>
          <w:tcPr>
            <w:tcW w:w="1120" w:type="dxa"/>
            <w:vAlign w:val="bottom"/>
            <w:tcBorders>
              <w:top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Sep 10</w:t>
            </w:r>
          </w:p>
        </w:tc>
        <w:tc>
          <w:tcPr>
            <w:tcW w:w="8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Sep 09</w:t>
            </w:r>
          </w:p>
        </w:tc>
        <w:tc>
          <w:tcPr>
            <w:tcW w:w="220" w:type="dxa"/>
            <w:vAlign w:val="bottom"/>
          </w:tcPr>
          <w:p>
            <w:pPr>
              <w:spacing w:after="0"/>
              <w:rPr>
                <w:sz w:val="19"/>
                <w:szCs w:val="19"/>
                <w:color w:val="auto"/>
              </w:rPr>
            </w:pPr>
          </w:p>
        </w:tc>
        <w:tc>
          <w:tcPr>
            <w:tcW w:w="11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86"/>
              </w:rPr>
              <w:t>Sep 10 / Sep 09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60" w:type="dxa"/>
            <w:vAlign w:val="bottom"/>
            <w:tcBorders>
              <w:top w:val="single" w:sz="8" w:color="auto"/>
            </w:tcBorders>
            <w:shd w:val="clear" w:color="auto" w:fill="CCFFCC"/>
          </w:tcPr>
          <w:p>
            <w:pPr>
              <w:spacing w:after="0" w:line="201" w:lineRule="exact"/>
              <w:rPr>
                <w:sz w:val="20"/>
                <w:szCs w:val="20"/>
                <w:color w:val="auto"/>
              </w:rPr>
            </w:pPr>
            <w:r>
              <w:rPr>
                <w:rFonts w:ascii="Arial" w:cs="Arial" w:eastAsia="Arial" w:hAnsi="Arial"/>
                <w:sz w:val="18"/>
                <w:szCs w:val="18"/>
                <w:color w:val="auto"/>
              </w:rPr>
              <w:t>Net interest and dividend</w:t>
            </w:r>
          </w:p>
        </w:tc>
        <w:tc>
          <w:tcPr>
            <w:tcW w:w="120" w:type="dxa"/>
            <w:vAlign w:val="bottom"/>
            <w:shd w:val="clear" w:color="auto" w:fill="CCFFCC"/>
          </w:tcPr>
          <w:p>
            <w:pPr>
              <w:spacing w:after="0"/>
              <w:rPr>
                <w:sz w:val="17"/>
                <w:szCs w:val="17"/>
                <w:color w:val="auto"/>
              </w:rPr>
            </w:pPr>
          </w:p>
        </w:tc>
        <w:tc>
          <w:tcPr>
            <w:tcW w:w="880" w:type="dxa"/>
            <w:vAlign w:val="bottom"/>
            <w:tcBorders>
              <w:top w:val="single" w:sz="8" w:color="auto"/>
            </w:tcBorders>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900" w:type="dxa"/>
            <w:vAlign w:val="bottom"/>
            <w:tcBorders>
              <w:top w:val="single" w:sz="8" w:color="auto"/>
            </w:tcBorders>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880" w:type="dxa"/>
            <w:vAlign w:val="bottom"/>
            <w:tcBorders>
              <w:top w:val="single" w:sz="8" w:color="auto"/>
            </w:tcBorders>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860" w:type="dxa"/>
            <w:vAlign w:val="bottom"/>
            <w:tcBorders>
              <w:top w:val="single" w:sz="8" w:color="auto"/>
            </w:tcBorders>
            <w:shd w:val="clear" w:color="auto" w:fill="CCFFCC"/>
          </w:tcPr>
          <w:p>
            <w:pPr>
              <w:spacing w:after="0"/>
              <w:rPr>
                <w:sz w:val="17"/>
                <w:szCs w:val="17"/>
                <w:color w:val="auto"/>
              </w:rPr>
            </w:pPr>
          </w:p>
        </w:tc>
        <w:tc>
          <w:tcPr>
            <w:tcW w:w="300" w:type="dxa"/>
            <w:vAlign w:val="bottom"/>
            <w:shd w:val="clear" w:color="auto" w:fill="CCFFCC"/>
          </w:tcPr>
          <w:p>
            <w:pPr>
              <w:spacing w:after="0"/>
              <w:rPr>
                <w:sz w:val="17"/>
                <w:szCs w:val="17"/>
                <w:color w:val="auto"/>
              </w:rPr>
            </w:pPr>
          </w:p>
        </w:tc>
        <w:tc>
          <w:tcPr>
            <w:tcW w:w="260" w:type="dxa"/>
            <w:vAlign w:val="bottom"/>
            <w:tcBorders>
              <w:top w:val="single" w:sz="8" w:color="auto"/>
            </w:tcBorders>
            <w:shd w:val="clear" w:color="auto" w:fill="CCFFCC"/>
          </w:tcPr>
          <w:p>
            <w:pPr>
              <w:spacing w:after="0"/>
              <w:rPr>
                <w:sz w:val="17"/>
                <w:szCs w:val="17"/>
                <w:color w:val="auto"/>
              </w:rPr>
            </w:pPr>
          </w:p>
        </w:tc>
        <w:tc>
          <w:tcPr>
            <w:tcW w:w="620" w:type="dxa"/>
            <w:vAlign w:val="bottom"/>
            <w:tcBorders>
              <w:top w:val="single" w:sz="8" w:color="auto"/>
            </w:tcBorders>
            <w:shd w:val="clear" w:color="auto" w:fill="CCFFCC"/>
          </w:tcPr>
          <w:p>
            <w:pPr>
              <w:spacing w:after="0"/>
              <w:rPr>
                <w:sz w:val="17"/>
                <w:szCs w:val="17"/>
                <w:color w:val="auto"/>
              </w:rPr>
            </w:pPr>
          </w:p>
        </w:tc>
        <w:tc>
          <w:tcPr>
            <w:tcW w:w="300" w:type="dxa"/>
            <w:vAlign w:val="bottom"/>
            <w:shd w:val="clear" w:color="auto" w:fill="CCFFCC"/>
          </w:tcPr>
          <w:p>
            <w:pPr>
              <w:spacing w:after="0"/>
              <w:rPr>
                <w:sz w:val="17"/>
                <w:szCs w:val="17"/>
                <w:color w:val="auto"/>
              </w:rPr>
            </w:pPr>
          </w:p>
        </w:tc>
        <w:tc>
          <w:tcPr>
            <w:tcW w:w="900" w:type="dxa"/>
            <w:vAlign w:val="bottom"/>
            <w:tcBorders>
              <w:top w:val="single" w:sz="8" w:color="auto"/>
            </w:tcBorders>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880" w:type="dxa"/>
            <w:vAlign w:val="bottom"/>
            <w:tcBorders>
              <w:top w:val="single" w:sz="8" w:color="auto"/>
            </w:tcBorders>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160" w:type="dxa"/>
            <w:vAlign w:val="bottom"/>
            <w:tcBorders>
              <w:top w:val="single" w:sz="8" w:color="auto"/>
            </w:tcBorders>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60" w:type="dxa"/>
            <w:vAlign w:val="bottom"/>
            <w:shd w:val="clear" w:color="auto" w:fill="CCFFCC"/>
          </w:tcPr>
          <w:p>
            <w:pPr>
              <w:spacing w:after="0"/>
              <w:rPr>
                <w:sz w:val="20"/>
                <w:szCs w:val="20"/>
                <w:color w:val="auto"/>
              </w:rPr>
            </w:pPr>
            <w:r>
              <w:rPr>
                <w:rFonts w:ascii="Arial" w:cs="Arial" w:eastAsia="Arial" w:hAnsi="Arial"/>
                <w:sz w:val="18"/>
                <w:szCs w:val="18"/>
                <w:color w:val="auto"/>
              </w:rPr>
              <w:t>income</w:t>
            </w: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242,274</w:t>
            </w:r>
          </w:p>
        </w:tc>
        <w:tc>
          <w:tcPr>
            <w:tcW w:w="220" w:type="dxa"/>
            <w:vAlign w:val="bottom"/>
            <w:shd w:val="clear" w:color="auto" w:fill="CCFFCC"/>
          </w:tcPr>
          <w:p>
            <w:pPr>
              <w:spacing w:after="0"/>
              <w:rPr>
                <w:sz w:val="20"/>
                <w:szCs w:val="20"/>
                <w:color w:val="auto"/>
              </w:rPr>
            </w:pP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228,652</w:t>
            </w:r>
          </w:p>
        </w:tc>
        <w:tc>
          <w:tcPr>
            <w:tcW w:w="11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197,262</w:t>
            </w:r>
          </w:p>
        </w:tc>
        <w:tc>
          <w:tcPr>
            <w:tcW w:w="11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6.0%</w:t>
            </w:r>
          </w:p>
        </w:tc>
        <w:tc>
          <w:tcPr>
            <w:tcW w:w="260" w:type="dxa"/>
            <w:vAlign w:val="bottom"/>
            <w:shd w:val="clear" w:color="auto" w:fill="CCFFCC"/>
          </w:tcPr>
          <w:p>
            <w:pPr>
              <w:spacing w:after="0"/>
              <w:rPr>
                <w:sz w:val="20"/>
                <w:szCs w:val="20"/>
                <w:color w:val="auto"/>
              </w:rPr>
            </w:pPr>
          </w:p>
        </w:tc>
        <w:tc>
          <w:tcPr>
            <w:tcW w:w="9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22.8%</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690,101</w:t>
            </w:r>
          </w:p>
        </w:tc>
        <w:tc>
          <w:tcPr>
            <w:tcW w:w="220" w:type="dxa"/>
            <w:vAlign w:val="bottom"/>
            <w:shd w:val="clear" w:color="auto" w:fill="CCFFCC"/>
          </w:tcPr>
          <w:p>
            <w:pPr>
              <w:spacing w:after="0"/>
              <w:rPr>
                <w:sz w:val="20"/>
                <w:szCs w:val="20"/>
                <w:color w:val="auto"/>
              </w:rPr>
            </w:pPr>
          </w:p>
        </w:tc>
        <w:tc>
          <w:tcPr>
            <w:tcW w:w="11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592,883</w:t>
            </w:r>
          </w:p>
        </w:tc>
        <w:tc>
          <w:tcPr>
            <w:tcW w:w="1340" w:type="dxa"/>
            <w:vAlign w:val="bottom"/>
            <w:gridSpan w:val="2"/>
            <w:shd w:val="clear" w:color="auto" w:fill="CCFFCC"/>
          </w:tcPr>
          <w:p>
            <w:pPr>
              <w:ind w:left="840"/>
              <w:spacing w:after="0"/>
              <w:rPr>
                <w:sz w:val="20"/>
                <w:szCs w:val="20"/>
                <w:color w:val="auto"/>
              </w:rPr>
            </w:pPr>
            <w:r>
              <w:rPr>
                <w:rFonts w:ascii="Arial" w:cs="Arial" w:eastAsia="Arial" w:hAnsi="Arial"/>
                <w:sz w:val="18"/>
                <w:szCs w:val="18"/>
                <w:color w:val="auto"/>
                <w:w w:val="93"/>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Fee income, net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120,839</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113,577</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93,348</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6.4%</w:t>
            </w:r>
          </w:p>
        </w:tc>
        <w:tc>
          <w:tcPr>
            <w:tcW w:w="2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29.5%</w:t>
            </w:r>
          </w:p>
        </w:tc>
        <w:tc>
          <w:tcPr>
            <w:tcW w:w="900" w:type="dxa"/>
            <w:vAlign w:val="bottom"/>
          </w:tcPr>
          <w:p>
            <w:pPr>
              <w:jc w:val="right"/>
              <w:spacing w:after="0"/>
              <w:rPr>
                <w:sz w:val="20"/>
                <w:szCs w:val="20"/>
                <w:color w:val="auto"/>
              </w:rPr>
            </w:pPr>
            <w:r>
              <w:rPr>
                <w:rFonts w:ascii="Arial" w:cs="Arial" w:eastAsia="Arial" w:hAnsi="Arial"/>
                <w:sz w:val="18"/>
                <w:szCs w:val="18"/>
                <w:color w:val="auto"/>
              </w:rPr>
              <w:t>341,639</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258,521</w:t>
            </w:r>
          </w:p>
        </w:tc>
        <w:tc>
          <w:tcPr>
            <w:tcW w:w="1340" w:type="dxa"/>
            <w:vAlign w:val="bottom"/>
            <w:gridSpan w:val="2"/>
          </w:tcPr>
          <w:p>
            <w:pPr>
              <w:ind w:left="840"/>
              <w:spacing w:after="0"/>
              <w:rPr>
                <w:sz w:val="20"/>
                <w:szCs w:val="20"/>
                <w:color w:val="auto"/>
              </w:rPr>
            </w:pPr>
            <w:r>
              <w:rPr>
                <w:rFonts w:ascii="Arial" w:cs="Arial" w:eastAsia="Arial" w:hAnsi="Arial"/>
                <w:sz w:val="18"/>
                <w:szCs w:val="18"/>
                <w:color w:val="auto"/>
                <w:w w:val="93"/>
              </w:rPr>
              <w:t>32.2%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6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Net gain on foreign</w:t>
            </w:r>
          </w:p>
        </w:tc>
        <w:tc>
          <w:tcPr>
            <w:tcW w:w="120" w:type="dxa"/>
            <w:vAlign w:val="bottom"/>
            <w:shd w:val="clear" w:color="auto" w:fill="CCFFCC"/>
          </w:tcPr>
          <w:p>
            <w:pPr>
              <w:spacing w:after="0"/>
              <w:rPr>
                <w:sz w:val="17"/>
                <w:szCs w:val="17"/>
                <w:color w:val="auto"/>
              </w:rPr>
            </w:pPr>
          </w:p>
        </w:tc>
        <w:tc>
          <w:tcPr>
            <w:tcW w:w="88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88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30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620" w:type="dxa"/>
            <w:vAlign w:val="bottom"/>
            <w:shd w:val="clear" w:color="auto" w:fill="CCFFCC"/>
          </w:tcPr>
          <w:p>
            <w:pPr>
              <w:spacing w:after="0"/>
              <w:rPr>
                <w:sz w:val="17"/>
                <w:szCs w:val="17"/>
                <w:color w:val="auto"/>
              </w:rPr>
            </w:pPr>
          </w:p>
        </w:tc>
        <w:tc>
          <w:tcPr>
            <w:tcW w:w="30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88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16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60" w:type="dxa"/>
            <w:vAlign w:val="bottom"/>
            <w:shd w:val="clear" w:color="auto" w:fill="CCFFCC"/>
          </w:tcPr>
          <w:p>
            <w:pPr>
              <w:spacing w:after="0"/>
              <w:rPr>
                <w:sz w:val="20"/>
                <w:szCs w:val="20"/>
                <w:color w:val="auto"/>
              </w:rPr>
            </w:pPr>
            <w:r>
              <w:rPr>
                <w:rFonts w:ascii="Arial" w:cs="Arial" w:eastAsia="Arial" w:hAnsi="Arial"/>
                <w:sz w:val="18"/>
                <w:szCs w:val="18"/>
                <w:color w:val="auto"/>
              </w:rPr>
              <w:t>exchange transactions</w:t>
            </w:r>
          </w:p>
        </w:tc>
        <w:tc>
          <w:tcPr>
            <w:tcW w:w="120" w:type="dxa"/>
            <w:vAlign w:val="bottom"/>
            <w:shd w:val="clear" w:color="auto" w:fill="CCFFCC"/>
          </w:tcPr>
          <w:p>
            <w:pPr>
              <w:spacing w:after="0"/>
              <w:rPr>
                <w:sz w:val="20"/>
                <w:szCs w:val="20"/>
                <w:color w:val="auto"/>
              </w:rPr>
            </w:pPr>
          </w:p>
        </w:tc>
        <w:tc>
          <w:tcPr>
            <w:tcW w:w="11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26,354</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23,595</w:t>
            </w:r>
          </w:p>
        </w:tc>
        <w:tc>
          <w:tcPr>
            <w:tcW w:w="11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25,559</w:t>
            </w:r>
          </w:p>
        </w:tc>
        <w:tc>
          <w:tcPr>
            <w:tcW w:w="11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11.7%</w:t>
            </w:r>
          </w:p>
        </w:tc>
        <w:tc>
          <w:tcPr>
            <w:tcW w:w="260" w:type="dxa"/>
            <w:vAlign w:val="bottom"/>
            <w:shd w:val="clear" w:color="auto" w:fill="CCFFCC"/>
          </w:tcPr>
          <w:p>
            <w:pPr>
              <w:spacing w:after="0"/>
              <w:rPr>
                <w:sz w:val="20"/>
                <w:szCs w:val="20"/>
                <w:color w:val="auto"/>
              </w:rPr>
            </w:pPr>
          </w:p>
        </w:tc>
        <w:tc>
          <w:tcPr>
            <w:tcW w:w="9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3.1%</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75,452</w:t>
            </w:r>
          </w:p>
        </w:tc>
        <w:tc>
          <w:tcPr>
            <w:tcW w:w="11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65,587</w:t>
            </w:r>
          </w:p>
        </w:tc>
        <w:tc>
          <w:tcPr>
            <w:tcW w:w="1340" w:type="dxa"/>
            <w:vAlign w:val="bottom"/>
            <w:gridSpan w:val="2"/>
            <w:shd w:val="clear" w:color="auto" w:fill="CCFFCC"/>
          </w:tcPr>
          <w:p>
            <w:pPr>
              <w:ind w:left="840"/>
              <w:spacing w:after="0"/>
              <w:rPr>
                <w:sz w:val="20"/>
                <w:szCs w:val="20"/>
                <w:color w:val="auto"/>
              </w:rPr>
            </w:pPr>
            <w:r>
              <w:rPr>
                <w:rFonts w:ascii="Arial" w:cs="Arial" w:eastAsia="Arial" w:hAnsi="Arial"/>
                <w:sz w:val="18"/>
                <w:szCs w:val="18"/>
                <w:color w:val="auto"/>
                <w:w w:val="93"/>
              </w:rPr>
              <w:t>15.0%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6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b w:val="1"/>
                <w:bCs w:val="1"/>
                <w:color w:val="auto"/>
              </w:rPr>
              <w:t>Core earnings</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389,467</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365,824</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316,169</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6.5%</w:t>
            </w:r>
          </w:p>
        </w:tc>
        <w:tc>
          <w:tcPr>
            <w:tcW w:w="2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23.2%</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1,107,192</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916,991</w:t>
            </w:r>
          </w:p>
        </w:tc>
        <w:tc>
          <w:tcPr>
            <w:tcW w:w="1340" w:type="dxa"/>
            <w:vAlign w:val="bottom"/>
            <w:gridSpan w:val="2"/>
          </w:tcPr>
          <w:p>
            <w:pPr>
              <w:ind w:left="840"/>
              <w:spacing w:after="0"/>
              <w:rPr>
                <w:sz w:val="20"/>
                <w:szCs w:val="20"/>
                <w:color w:val="auto"/>
              </w:rPr>
            </w:pPr>
            <w:r>
              <w:rPr>
                <w:rFonts w:ascii="Arial" w:cs="Arial" w:eastAsia="Arial" w:hAnsi="Arial"/>
                <w:sz w:val="18"/>
                <w:szCs w:val="18"/>
                <w:b w:val="1"/>
                <w:bCs w:val="1"/>
                <w:color w:val="auto"/>
                <w:w w:val="93"/>
              </w:rPr>
              <w:t>20.7%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In 3Q10, BCP’s core earnings totaled US$ 389.5 million, which represented a 6.5% increase with regard to 2Q10’s figure and toped 3Q09’s level by 23.2%.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Favorable performance this quarter was due primarily to:</w:t>
      </w:r>
    </w:p>
    <w:p>
      <w:pPr>
        <w:spacing w:after="0" w:line="238" w:lineRule="exact"/>
        <w:rPr>
          <w:sz w:val="20"/>
          <w:szCs w:val="20"/>
          <w:color w:val="auto"/>
        </w:rPr>
      </w:pPr>
    </w:p>
    <w:p>
      <w:pPr>
        <w:ind w:left="1100" w:hanging="201"/>
        <w:spacing w:after="0"/>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6.0% increase in NII, which was primarily attributable to higher income from interest on loans;</w:t>
      </w:r>
    </w:p>
    <w:p>
      <w:pPr>
        <w:spacing w:after="0" w:line="252" w:lineRule="exact"/>
        <w:rPr>
          <w:rFonts w:ascii="Arial" w:cs="Arial" w:eastAsia="Arial" w:hAnsi="Arial"/>
          <w:sz w:val="18"/>
          <w:szCs w:val="18"/>
          <w:color w:val="auto"/>
        </w:rPr>
      </w:pPr>
    </w:p>
    <w:p>
      <w:pPr>
        <w:ind w:left="900" w:hanging="1"/>
        <w:spacing w:after="0" w:line="277" w:lineRule="auto"/>
        <w:tabs>
          <w:tab w:leader="none" w:pos="1465"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Growth of 6.4% in fee income, which stemmed primarily from higher income from savings accounts, credit cards and contingencies (foreign trade and guarantees); and</w:t>
      </w:r>
    </w:p>
    <w:p>
      <w:pPr>
        <w:spacing w:after="0" w:line="197" w:lineRule="exact"/>
        <w:rPr>
          <w:rFonts w:ascii="Arial" w:cs="Arial" w:eastAsia="Arial" w:hAnsi="Arial"/>
          <w:sz w:val="18"/>
          <w:szCs w:val="18"/>
          <w:color w:val="auto"/>
        </w:rPr>
      </w:pPr>
    </w:p>
    <w:p>
      <w:pPr>
        <w:ind w:left="900" w:hanging="1"/>
        <w:spacing w:after="0" w:line="277" w:lineRule="auto"/>
        <w:tabs>
          <w:tab w:leader="none" w:pos="1402" w:val="left"/>
        </w:tabs>
        <w:numPr>
          <w:ilvl w:val="0"/>
          <w:numId w:val="4"/>
        </w:numPr>
        <w:rPr>
          <w:rFonts w:ascii="Arial" w:cs="Arial" w:eastAsia="Arial" w:hAnsi="Arial"/>
          <w:sz w:val="18"/>
          <w:szCs w:val="18"/>
          <w:color w:val="auto"/>
        </w:rPr>
      </w:pPr>
      <w:r>
        <w:rPr>
          <w:rFonts w:ascii="Arial" w:cs="Arial" w:eastAsia="Arial" w:hAnsi="Arial"/>
          <w:sz w:val="18"/>
          <w:szCs w:val="18"/>
          <w:color w:val="auto"/>
        </w:rPr>
        <w:t>Higher earnings on FX transactions (+11.7%) due to an increase in the volume of transactions in a scenario of 1.4% appreciation in the Nuevo Sol.</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Accumulated results evolved very favorably, which is reflected in an increase of 23.2% with regard to the income obtained in the first three quarters of 2009.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is attributable to growth in all areas: 22.8% in net interest income, 29.5% of fee income and 3.1% of net earnings for FX transactions.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II.1 Interest Earning Assets</w:t>
      </w:r>
    </w:p>
    <w:p>
      <w:pPr>
        <w:spacing w:after="0" w:line="252" w:lineRule="exact"/>
        <w:rPr>
          <w:sz w:val="20"/>
          <w:szCs w:val="20"/>
          <w:color w:val="auto"/>
        </w:rPr>
      </w:pPr>
    </w:p>
    <w:p>
      <w:pPr>
        <w:spacing w:after="0" w:line="308" w:lineRule="auto"/>
        <w:rPr>
          <w:sz w:val="20"/>
          <w:szCs w:val="20"/>
          <w:color w:val="auto"/>
        </w:rPr>
      </w:pPr>
      <w:r>
        <w:rPr>
          <w:rFonts w:ascii="Arial" w:cs="Arial" w:eastAsia="Arial" w:hAnsi="Arial"/>
          <w:sz w:val="17"/>
          <w:szCs w:val="17"/>
          <w:i w:val="1"/>
          <w:iCs w:val="1"/>
          <w:color w:val="auto"/>
        </w:rPr>
        <w:t>Interest earning assets reported a significant 14.8% increase QoQ due to growth in available for sale securities (+43.9%), primarily BCR CDs, which are attractive investment alternatives; a 5.8% QoQ increase in current loans and a 16.1% increase in available funds attributable to higher legal reserves.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Interest earning assets</w:t>
            </w:r>
          </w:p>
        </w:tc>
        <w:tc>
          <w:tcPr>
            <w:tcW w:w="12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8"/>
                <w:szCs w:val="18"/>
                <w:b w:val="1"/>
                <w:bCs w:val="1"/>
                <w:color w:val="auto"/>
                <w:w w:val="95"/>
              </w:rPr>
              <w:t>Quarter</w:t>
            </w:r>
          </w:p>
        </w:tc>
        <w:tc>
          <w:tcPr>
            <w:tcW w:w="11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tcBorders>
              <w:bottom w:val="single" w:sz="8" w:color="auto"/>
            </w:tcBorders>
            <w:gridSpan w:val="3"/>
          </w:tcPr>
          <w:p>
            <w:pPr>
              <w:ind w:left="880"/>
              <w:spacing w:after="0"/>
              <w:rPr>
                <w:sz w:val="20"/>
                <w:szCs w:val="20"/>
                <w:color w:val="auto"/>
              </w:rPr>
            </w:pPr>
            <w:r>
              <w:rPr>
                <w:rFonts w:ascii="Arial" w:cs="Arial" w:eastAsia="Arial" w:hAnsi="Arial"/>
                <w:sz w:val="18"/>
                <w:szCs w:val="18"/>
                <w:b w:val="1"/>
                <w:bCs w:val="1"/>
                <w:color w:val="auto"/>
                <w:w w:val="98"/>
              </w:rPr>
              <w:t>Change %</w:t>
            </w:r>
          </w:p>
        </w:tc>
        <w:tc>
          <w:tcPr>
            <w:tcW w:w="8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US$ 000</w:t>
            </w:r>
          </w:p>
        </w:tc>
        <w:tc>
          <w:tcPr>
            <w:tcW w:w="120" w:type="dxa"/>
            <w:vAlign w:val="bottom"/>
          </w:tcPr>
          <w:p>
            <w:pPr>
              <w:spacing w:after="0"/>
              <w:rPr>
                <w:sz w:val="18"/>
                <w:szCs w:val="18"/>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3Q10</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2Q10</w:t>
            </w:r>
          </w:p>
        </w:tc>
        <w:tc>
          <w:tcPr>
            <w:tcW w:w="1120" w:type="dxa"/>
            <w:vAlign w:val="bottom"/>
          </w:tcPr>
          <w:p>
            <w:pPr>
              <w:jc w:val="right"/>
              <w:ind w:right="270"/>
              <w:spacing w:after="0"/>
              <w:rPr>
                <w:sz w:val="20"/>
                <w:szCs w:val="20"/>
                <w:color w:val="auto"/>
              </w:rPr>
            </w:pPr>
            <w:r>
              <w:rPr>
                <w:rFonts w:ascii="Arial" w:cs="Arial" w:eastAsia="Arial" w:hAnsi="Arial"/>
                <w:sz w:val="18"/>
                <w:szCs w:val="18"/>
                <w:b w:val="1"/>
                <w:bCs w:val="1"/>
                <w:color w:val="auto"/>
              </w:rPr>
              <w:t>3Q09</w:t>
            </w:r>
          </w:p>
        </w:tc>
        <w:tc>
          <w:tcPr>
            <w:tcW w:w="220" w:type="dxa"/>
            <w:vAlign w:val="bottom"/>
          </w:tcPr>
          <w:p>
            <w:pPr>
              <w:spacing w:after="0"/>
              <w:rPr>
                <w:sz w:val="18"/>
                <w:szCs w:val="18"/>
                <w:color w:val="auto"/>
              </w:rPr>
            </w:pPr>
          </w:p>
        </w:tc>
        <w:tc>
          <w:tcPr>
            <w:tcW w:w="1760" w:type="dxa"/>
            <w:vAlign w:val="bottom"/>
            <w:gridSpan w:val="3"/>
          </w:tcPr>
          <w:p>
            <w:pPr>
              <w:ind w:left="380"/>
              <w:spacing w:after="0"/>
              <w:rPr>
                <w:sz w:val="20"/>
                <w:szCs w:val="20"/>
                <w:color w:val="auto"/>
              </w:rPr>
            </w:pPr>
            <w:r>
              <w:rPr>
                <w:rFonts w:ascii="Arial" w:cs="Arial" w:eastAsia="Arial" w:hAnsi="Arial"/>
                <w:sz w:val="18"/>
                <w:szCs w:val="18"/>
                <w:b w:val="1"/>
                <w:bCs w:val="1"/>
                <w:color w:val="auto"/>
              </w:rPr>
              <w:t>QoQ</w:t>
            </w:r>
          </w:p>
        </w:tc>
        <w:tc>
          <w:tcPr>
            <w:tcW w:w="820" w:type="dxa"/>
            <w:vAlign w:val="bottom"/>
          </w:tcPr>
          <w:p>
            <w:pPr>
              <w:ind w:left="80"/>
              <w:spacing w:after="0"/>
              <w:rPr>
                <w:sz w:val="20"/>
                <w:szCs w:val="20"/>
                <w:color w:val="auto"/>
              </w:rPr>
            </w:pPr>
            <w:r>
              <w:rPr>
                <w:rFonts w:ascii="Arial" w:cs="Arial" w:eastAsia="Arial" w:hAnsi="Arial"/>
                <w:sz w:val="18"/>
                <w:szCs w:val="18"/>
                <w:b w:val="1"/>
                <w:bCs w:val="1"/>
                <w:color w:val="auto"/>
              </w:rPr>
              <w:t>YoY</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BCRP and other banks</w:t>
            </w:r>
          </w:p>
        </w:tc>
        <w:tc>
          <w:tcPr>
            <w:tcW w:w="12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3,012,573</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2,594,416</w:t>
            </w: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2,749,996</w:t>
            </w:r>
          </w:p>
        </w:tc>
        <w:tc>
          <w:tcPr>
            <w:tcW w:w="22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16.1%</w:t>
            </w:r>
          </w:p>
        </w:tc>
        <w:tc>
          <w:tcPr>
            <w:tcW w:w="3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Interbank funds</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68,132</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0.0%</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Trading securities</w:t>
            </w:r>
          </w:p>
        </w:tc>
        <w:tc>
          <w:tcPr>
            <w:tcW w:w="146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73,986</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60,037</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89,718</w:t>
            </w: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23.2%</w:t>
            </w:r>
          </w:p>
        </w:tc>
        <w:tc>
          <w:tcPr>
            <w:tcW w:w="3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Securities available for sale</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5,336,436</w:t>
            </w:r>
          </w:p>
        </w:tc>
        <w:tc>
          <w:tcPr>
            <w:tcW w:w="1140" w:type="dxa"/>
            <w:vAlign w:val="bottom"/>
          </w:tcPr>
          <w:p>
            <w:pPr>
              <w:jc w:val="right"/>
              <w:spacing w:after="0"/>
              <w:rPr>
                <w:sz w:val="20"/>
                <w:szCs w:val="20"/>
                <w:color w:val="auto"/>
              </w:rPr>
            </w:pPr>
            <w:r>
              <w:rPr>
                <w:rFonts w:ascii="Arial" w:cs="Arial" w:eastAsia="Arial" w:hAnsi="Arial"/>
                <w:sz w:val="18"/>
                <w:szCs w:val="18"/>
                <w:color w:val="auto"/>
              </w:rPr>
              <w:t>3,707,331</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2,793,015</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43.9%</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Current loans</w:t>
            </w:r>
          </w:p>
        </w:tc>
        <w:tc>
          <w:tcPr>
            <w:tcW w:w="12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13,114,103</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12,395,974</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10,406,954</w:t>
            </w: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5.8%</w:t>
            </w:r>
          </w:p>
        </w:tc>
        <w:tc>
          <w:tcPr>
            <w:tcW w:w="3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b w:val="1"/>
                <w:bCs w:val="1"/>
                <w:color w:val="auto"/>
              </w:rPr>
              <w:t>Total interest earning assets</w:t>
            </w:r>
          </w:p>
        </w:tc>
        <w:tc>
          <w:tcPr>
            <w:tcW w:w="1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21,537,098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18,757,758</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16,107,815</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14.8%</w:t>
            </w:r>
          </w:p>
        </w:tc>
        <w:tc>
          <w:tcPr>
            <w:tcW w:w="3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33.7%</w:t>
            </w: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4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60" w:right="239" w:bottom="1440" w:gutter="0" w:footer="0" w:header="0"/>
        </w:sectPr>
      </w:pPr>
    </w:p>
    <w:bookmarkStart w:id="8" w:name="page9"/>
    <w:bookmarkEnd w:id="8"/>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175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The evolution of interest earning assets was closely tied to excellent performance this quarter given that despite an increase in legal reserves, treasury management wisely sought to capture relatively low-cost funds to take advantage of good investment opportunities such as BCR CDs, which offer higher rates and provide a lower effective tax rate. Economic expansion was also reflected in the dynamism of loans, which increased 5.8% QoQ due to growth in the Wholesale and Retail portfolios.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Portfolio</w:t>
      </w:r>
    </w:p>
    <w:p>
      <w:pPr>
        <w:spacing w:after="0" w:line="25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At the end of 3Q10, current loans totaled US$ 13,114 million, which represents a 5.8% increase QoQ and 26.0% YoY. This is a clear indicator that the Peruvian economy is very dynamic right now. If we look at average daily balances, it is evident that the favorable impact is due to the results of both Wholesale Banking and Retail Banking, which reported significant QoQ increases of 5.0% and 5.6%,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graph shows the evolution of daily average balances and end-of-period balances during the third quarter of 2010 where two aspects stand out:</w:t>
      </w:r>
    </w:p>
    <w:p>
      <w:pPr>
        <w:spacing w:after="0" w:line="46" w:lineRule="exact"/>
        <w:rPr>
          <w:sz w:val="20"/>
          <w:szCs w:val="20"/>
          <w:color w:val="auto"/>
        </w:rPr>
      </w:pPr>
    </w:p>
    <w:p>
      <w:pPr>
        <w:jc w:val="both"/>
        <w:ind w:firstLine="8"/>
        <w:spacing w:after="0" w:line="255" w:lineRule="auto"/>
        <w:tabs>
          <w:tab w:leader="none" w:pos="218"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upward trend of loan growth throughout the period, and (ii) the portfolio reported QoQ growth of 5.5% in average daily balances, which is higher than the 3.5% posted in 3Q10. This upward trend is visible at a global level and within each of the banking segments, which indicates that we are experiencing a period of growth in the banking system and throughout all sectors of the economy.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147320</wp:posOffset>
            </wp:positionV>
            <wp:extent cx="2598420" cy="14236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98420" cy="1423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Further analysis of average daily balances indicates that overall expansion was 5.5% QoQ and 22.7% YoY. This expansion was due to total growth of both banking units and within them of all segments. First, Wholesale Banking achieved 5.0% growth QoQ, reaching more than US$ 7,000 million in average daily loan balances mainly due to important Middle-Market Banking’s short and long term transactions. Retail Banking increased 5.6% QoQ due to market dynamism and loans in SME and Mortgage Loans segments performed particularly well, growing 8.2% and 5.1% QoQ, respectively. It is also important to point out Edyficar’s growth of more than US$ 21 million, which represented 7.9% growth QoQ, topping last quarter’s figure of 5.5%.</w:t>
      </w:r>
    </w:p>
    <w:p>
      <w:pPr>
        <w:spacing w:after="0" w:line="348"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110490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0" w:right="239" w:bottom="1440" w:gutter="0" w:footer="0" w:header="0"/>
        </w:sectPr>
      </w:pPr>
    </w:p>
    <w:bookmarkStart w:id="9" w:name="page10"/>
    <w:bookmarkEnd w:id="9"/>
    <w:tbl>
      <w:tblPr>
        <w:tblLayout w:type="fixed"/>
        <w:tblInd w:w="820" w:type="dxa"/>
        <w:tblCellMar>
          <w:top w:w="0" w:type="dxa"/>
          <w:left w:w="0" w:type="dxa"/>
          <w:bottom w:w="0" w:type="dxa"/>
          <w:right w:w="0" w:type="dxa"/>
        </w:tblCellMar>
      </w:tblPr>
      <w:tr>
        <w:trPr>
          <w:trHeight w:val="220"/>
        </w:trPr>
        <w:tc>
          <w:tcPr>
            <w:tcW w:w="36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320" w:type="dxa"/>
            <w:vAlign w:val="bottom"/>
            <w:gridSpan w:val="5"/>
          </w:tcPr>
          <w:p>
            <w:pPr>
              <w:ind w:left="740"/>
              <w:spacing w:after="0"/>
              <w:rPr>
                <w:sz w:val="20"/>
                <w:szCs w:val="20"/>
                <w:color w:val="auto"/>
              </w:rPr>
            </w:pPr>
            <w:r>
              <w:rPr>
                <w:rFonts w:ascii="Arial" w:cs="Arial" w:eastAsia="Arial" w:hAnsi="Arial"/>
                <w:sz w:val="18"/>
                <w:szCs w:val="18"/>
                <w:b w:val="1"/>
                <w:bCs w:val="1"/>
                <w:color w:val="auto"/>
              </w:rPr>
              <w:t>TOTAL LOANS (1)</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7"/>
        </w:trPr>
        <w:tc>
          <w:tcPr>
            <w:tcW w:w="36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spacing w:after="0"/>
              <w:rPr>
                <w:sz w:val="20"/>
                <w:szCs w:val="20"/>
                <w:color w:val="auto"/>
              </w:rPr>
            </w:pPr>
            <w:r>
              <w:rPr>
                <w:rFonts w:ascii="Arial" w:cs="Arial" w:eastAsia="Arial" w:hAnsi="Arial"/>
                <w:sz w:val="18"/>
                <w:szCs w:val="18"/>
                <w:i w:val="1"/>
                <w:iCs w:val="1"/>
                <w:color w:val="auto"/>
              </w:rPr>
              <w:t>(US$ million)</w:t>
            </w:r>
          </w:p>
        </w:tc>
        <w:tc>
          <w:tcPr>
            <w:tcW w:w="4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23"/>
        </w:trPr>
        <w:tc>
          <w:tcPr>
            <w:tcW w:w="3600" w:type="dxa"/>
            <w:vAlign w:val="bottom"/>
          </w:tcPr>
          <w:p>
            <w:pPr>
              <w:spacing w:after="0"/>
              <w:rPr>
                <w:sz w:val="19"/>
                <w:szCs w:val="19"/>
                <w:color w:val="auto"/>
              </w:rPr>
            </w:pPr>
          </w:p>
        </w:tc>
        <w:tc>
          <w:tcPr>
            <w:tcW w:w="9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3Q10</w:t>
            </w:r>
          </w:p>
        </w:tc>
        <w:tc>
          <w:tcPr>
            <w:tcW w:w="160" w:type="dxa"/>
            <w:vAlign w:val="bottom"/>
          </w:tcPr>
          <w:p>
            <w:pPr>
              <w:spacing w:after="0"/>
              <w:rPr>
                <w:sz w:val="19"/>
                <w:szCs w:val="19"/>
                <w:color w:val="auto"/>
              </w:rPr>
            </w:pPr>
          </w:p>
        </w:tc>
        <w:tc>
          <w:tcPr>
            <w:tcW w:w="88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2Q10</w:t>
            </w:r>
          </w:p>
        </w:tc>
        <w:tc>
          <w:tcPr>
            <w:tcW w:w="180" w:type="dxa"/>
            <w:vAlign w:val="bottom"/>
          </w:tcPr>
          <w:p>
            <w:pPr>
              <w:spacing w:after="0"/>
              <w:rPr>
                <w:sz w:val="19"/>
                <w:szCs w:val="19"/>
                <w:color w:val="auto"/>
              </w:rPr>
            </w:pPr>
          </w:p>
        </w:tc>
        <w:tc>
          <w:tcPr>
            <w:tcW w:w="8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3Q09</w:t>
            </w: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w w:val="97"/>
              </w:rPr>
              <w:t>QoQ</w:t>
            </w:r>
          </w:p>
        </w:tc>
        <w:tc>
          <w:tcPr>
            <w:tcW w:w="2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YoY</w:t>
            </w:r>
          </w:p>
        </w:tc>
        <w:tc>
          <w:tcPr>
            <w:tcW w:w="180" w:type="dxa"/>
            <w:vAlign w:val="bottom"/>
          </w:tcPr>
          <w:p>
            <w:pPr>
              <w:spacing w:after="0"/>
              <w:rPr>
                <w:sz w:val="19"/>
                <w:szCs w:val="19"/>
                <w:color w:val="auto"/>
              </w:rPr>
            </w:pPr>
          </w:p>
        </w:tc>
      </w:tr>
      <w:tr>
        <w:trPr>
          <w:trHeight w:val="216"/>
        </w:trPr>
        <w:tc>
          <w:tcPr>
            <w:tcW w:w="36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Wholesale Banking</w:t>
            </w: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7,050.5</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6,712.2</w:t>
            </w:r>
          </w:p>
        </w:tc>
        <w:tc>
          <w:tcPr>
            <w:tcW w:w="18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5,816.5</w:t>
            </w:r>
          </w:p>
        </w:tc>
        <w:tc>
          <w:tcPr>
            <w:tcW w:w="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500" w:type="dxa"/>
            <w:vAlign w:val="bottom"/>
            <w:gridSpan w:val="2"/>
            <w:shd w:val="clear" w:color="auto" w:fill="CCFFCC"/>
          </w:tcPr>
          <w:p>
            <w:pPr>
              <w:ind w:left="20"/>
              <w:spacing w:after="0"/>
              <w:rPr>
                <w:sz w:val="20"/>
                <w:szCs w:val="20"/>
                <w:color w:val="auto"/>
              </w:rPr>
            </w:pPr>
            <w:r>
              <w:rPr>
                <w:rFonts w:ascii="Arial" w:cs="Arial" w:eastAsia="Arial" w:hAnsi="Arial"/>
                <w:sz w:val="18"/>
                <w:szCs w:val="18"/>
                <w:b w:val="1"/>
                <w:bCs w:val="1"/>
                <w:color w:val="auto"/>
              </w:rPr>
              <w:t>5.0%</w:t>
            </w: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21.2%</w:t>
            </w:r>
          </w:p>
        </w:tc>
      </w:tr>
      <w:tr>
        <w:trPr>
          <w:trHeight w:val="216"/>
        </w:trPr>
        <w:tc>
          <w:tcPr>
            <w:tcW w:w="3600" w:type="dxa"/>
            <w:vAlign w:val="bottom"/>
          </w:tcPr>
          <w:p>
            <w:pPr>
              <w:spacing w:after="0"/>
              <w:rPr>
                <w:sz w:val="20"/>
                <w:szCs w:val="20"/>
                <w:color w:val="auto"/>
              </w:rPr>
            </w:pPr>
            <w:r>
              <w:rPr>
                <w:rFonts w:ascii="Arial" w:cs="Arial" w:eastAsia="Arial" w:hAnsi="Arial"/>
                <w:sz w:val="18"/>
                <w:szCs w:val="18"/>
                <w:i w:val="1"/>
                <w:iCs w:val="1"/>
                <w:color w:val="auto"/>
              </w:rPr>
              <w:t>- Corporate</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4,542.3</w:t>
            </w:r>
          </w:p>
        </w:tc>
        <w:tc>
          <w:tcPr>
            <w:tcW w:w="880" w:type="dxa"/>
            <w:vAlign w:val="bottom"/>
          </w:tcPr>
          <w:p>
            <w:pPr>
              <w:jc w:val="right"/>
              <w:spacing w:after="0"/>
              <w:rPr>
                <w:sz w:val="20"/>
                <w:szCs w:val="20"/>
                <w:color w:val="auto"/>
              </w:rPr>
            </w:pPr>
            <w:r>
              <w:rPr>
                <w:rFonts w:ascii="Arial" w:cs="Arial" w:eastAsia="Arial" w:hAnsi="Arial"/>
                <w:sz w:val="18"/>
                <w:szCs w:val="18"/>
                <w:color w:val="auto"/>
              </w:rPr>
              <w:t>4,417.4</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3,939.8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gridSpan w:val="2"/>
          </w:tcPr>
          <w:p>
            <w:pPr>
              <w:ind w:left="20"/>
              <w:spacing w:after="0"/>
              <w:rPr>
                <w:sz w:val="20"/>
                <w:szCs w:val="20"/>
                <w:color w:val="auto"/>
              </w:rPr>
            </w:pPr>
            <w:r>
              <w:rPr>
                <w:rFonts w:ascii="Arial" w:cs="Arial" w:eastAsia="Arial" w:hAnsi="Arial"/>
                <w:sz w:val="18"/>
                <w:szCs w:val="18"/>
                <w:color w:val="auto"/>
              </w:rPr>
              <w:t>2.8%</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15.3%</w:t>
            </w:r>
          </w:p>
        </w:tc>
      </w:tr>
      <w:tr>
        <w:trPr>
          <w:trHeight w:val="216"/>
        </w:trPr>
        <w:tc>
          <w:tcPr>
            <w:tcW w:w="3600" w:type="dxa"/>
            <w:vAlign w:val="bottom"/>
            <w:shd w:val="clear" w:color="auto" w:fill="CCFFCC"/>
          </w:tcPr>
          <w:p>
            <w:pPr>
              <w:spacing w:after="0"/>
              <w:rPr>
                <w:sz w:val="20"/>
                <w:szCs w:val="20"/>
                <w:color w:val="auto"/>
              </w:rPr>
            </w:pPr>
            <w:r>
              <w:rPr>
                <w:rFonts w:ascii="Arial" w:cs="Arial" w:eastAsia="Arial" w:hAnsi="Arial"/>
                <w:sz w:val="18"/>
                <w:szCs w:val="18"/>
                <w:i w:val="1"/>
                <w:iCs w:val="1"/>
                <w:color w:val="auto"/>
              </w:rPr>
              <w:t>- Middle Market</w:t>
            </w: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2,508.2</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2,294.8</w:t>
            </w:r>
          </w:p>
        </w:tc>
        <w:tc>
          <w:tcPr>
            <w:tcW w:w="18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1,876.6</w:t>
            </w:r>
          </w:p>
        </w:tc>
        <w:tc>
          <w:tcPr>
            <w:tcW w:w="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50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9.3%</w:t>
            </w: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33.7%</w:t>
            </w:r>
          </w:p>
        </w:tc>
      </w:tr>
      <w:tr>
        <w:trPr>
          <w:trHeight w:val="216"/>
        </w:trPr>
        <w:tc>
          <w:tcPr>
            <w:tcW w:w="3600" w:type="dxa"/>
            <w:vAlign w:val="bottom"/>
          </w:tcPr>
          <w:p>
            <w:pPr>
              <w:spacing w:after="0"/>
              <w:rPr>
                <w:sz w:val="20"/>
                <w:szCs w:val="20"/>
                <w:color w:val="auto"/>
              </w:rPr>
            </w:pPr>
            <w:r>
              <w:rPr>
                <w:rFonts w:ascii="Arial" w:cs="Arial" w:eastAsia="Arial" w:hAnsi="Arial"/>
                <w:sz w:val="18"/>
                <w:szCs w:val="18"/>
                <w:b w:val="1"/>
                <w:bCs w:val="1"/>
                <w:color w:val="auto"/>
              </w:rPr>
              <w:t>Retail Banking</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4,796.9</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4,541.0</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4,058.7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gridSpan w:val="2"/>
          </w:tcPr>
          <w:p>
            <w:pPr>
              <w:ind w:left="20"/>
              <w:spacing w:after="0"/>
              <w:rPr>
                <w:sz w:val="20"/>
                <w:szCs w:val="20"/>
                <w:color w:val="auto"/>
              </w:rPr>
            </w:pPr>
            <w:r>
              <w:rPr>
                <w:rFonts w:ascii="Arial" w:cs="Arial" w:eastAsia="Arial" w:hAnsi="Arial"/>
                <w:sz w:val="18"/>
                <w:szCs w:val="18"/>
                <w:b w:val="1"/>
                <w:bCs w:val="1"/>
                <w:color w:val="auto"/>
              </w:rPr>
              <w:t>5.6%</w:t>
            </w: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18.2%</w:t>
            </w:r>
          </w:p>
        </w:tc>
      </w:tr>
      <w:tr>
        <w:trPr>
          <w:trHeight w:val="216"/>
        </w:trPr>
        <w:tc>
          <w:tcPr>
            <w:tcW w:w="3600" w:type="dxa"/>
            <w:vAlign w:val="bottom"/>
            <w:shd w:val="clear" w:color="auto" w:fill="CCFFCC"/>
          </w:tcPr>
          <w:p>
            <w:pPr>
              <w:spacing w:after="0"/>
              <w:rPr>
                <w:sz w:val="20"/>
                <w:szCs w:val="20"/>
                <w:color w:val="auto"/>
              </w:rPr>
            </w:pPr>
            <w:r>
              <w:rPr>
                <w:rFonts w:ascii="Arial" w:cs="Arial" w:eastAsia="Arial" w:hAnsi="Arial"/>
                <w:sz w:val="18"/>
                <w:szCs w:val="18"/>
                <w:i w:val="1"/>
                <w:iCs w:val="1"/>
                <w:color w:val="auto"/>
              </w:rPr>
              <w:t>- SME + Business</w:t>
            </w: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1,624.6</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1,501.9</w:t>
            </w:r>
          </w:p>
        </w:tc>
        <w:tc>
          <w:tcPr>
            <w:tcW w:w="18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1,322.9</w:t>
            </w:r>
          </w:p>
        </w:tc>
        <w:tc>
          <w:tcPr>
            <w:tcW w:w="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50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8.2%</w:t>
            </w: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22.8%</w:t>
            </w:r>
          </w:p>
        </w:tc>
      </w:tr>
      <w:tr>
        <w:trPr>
          <w:trHeight w:val="216"/>
        </w:trPr>
        <w:tc>
          <w:tcPr>
            <w:tcW w:w="3600" w:type="dxa"/>
            <w:vAlign w:val="bottom"/>
          </w:tcPr>
          <w:p>
            <w:pPr>
              <w:spacing w:after="0"/>
              <w:rPr>
                <w:sz w:val="20"/>
                <w:szCs w:val="20"/>
                <w:color w:val="auto"/>
              </w:rPr>
            </w:pPr>
            <w:r>
              <w:rPr>
                <w:rFonts w:ascii="Arial" w:cs="Arial" w:eastAsia="Arial" w:hAnsi="Arial"/>
                <w:sz w:val="18"/>
                <w:szCs w:val="18"/>
                <w:i w:val="1"/>
                <w:iCs w:val="1"/>
                <w:color w:val="auto"/>
              </w:rPr>
              <w:t>- Mortgages</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1,746.9</w:t>
            </w:r>
          </w:p>
        </w:tc>
        <w:tc>
          <w:tcPr>
            <w:tcW w:w="880" w:type="dxa"/>
            <w:vAlign w:val="bottom"/>
          </w:tcPr>
          <w:p>
            <w:pPr>
              <w:jc w:val="right"/>
              <w:spacing w:after="0"/>
              <w:rPr>
                <w:sz w:val="20"/>
                <w:szCs w:val="20"/>
                <w:color w:val="auto"/>
              </w:rPr>
            </w:pPr>
            <w:r>
              <w:rPr>
                <w:rFonts w:ascii="Arial" w:cs="Arial" w:eastAsia="Arial" w:hAnsi="Arial"/>
                <w:sz w:val="18"/>
                <w:szCs w:val="18"/>
                <w:color w:val="auto"/>
              </w:rPr>
              <w:t>1,661.7</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1,470.0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gridSpan w:val="2"/>
          </w:tcPr>
          <w:p>
            <w:pPr>
              <w:ind w:left="20"/>
              <w:spacing w:after="0"/>
              <w:rPr>
                <w:sz w:val="20"/>
                <w:szCs w:val="20"/>
                <w:color w:val="auto"/>
              </w:rPr>
            </w:pPr>
            <w:r>
              <w:rPr>
                <w:rFonts w:ascii="Arial" w:cs="Arial" w:eastAsia="Arial" w:hAnsi="Arial"/>
                <w:sz w:val="18"/>
                <w:szCs w:val="18"/>
                <w:color w:val="auto"/>
              </w:rPr>
              <w:t>5.1%</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18.8%</w:t>
            </w:r>
          </w:p>
        </w:tc>
      </w:tr>
      <w:tr>
        <w:trPr>
          <w:trHeight w:val="216"/>
        </w:trPr>
        <w:tc>
          <w:tcPr>
            <w:tcW w:w="3600" w:type="dxa"/>
            <w:vAlign w:val="bottom"/>
            <w:shd w:val="clear" w:color="auto" w:fill="CCFFCC"/>
          </w:tcPr>
          <w:p>
            <w:pPr>
              <w:spacing w:after="0"/>
              <w:rPr>
                <w:sz w:val="20"/>
                <w:szCs w:val="20"/>
                <w:color w:val="auto"/>
              </w:rPr>
            </w:pPr>
            <w:r>
              <w:rPr>
                <w:rFonts w:ascii="Arial" w:cs="Arial" w:eastAsia="Arial" w:hAnsi="Arial"/>
                <w:sz w:val="18"/>
                <w:szCs w:val="18"/>
                <w:i w:val="1"/>
                <w:iCs w:val="1"/>
                <w:color w:val="auto"/>
              </w:rPr>
              <w:t>- Consumer</w:t>
            </w: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892.8</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851.8</w:t>
            </w:r>
          </w:p>
        </w:tc>
        <w:tc>
          <w:tcPr>
            <w:tcW w:w="18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801.0</w:t>
            </w:r>
          </w:p>
        </w:tc>
        <w:tc>
          <w:tcPr>
            <w:tcW w:w="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50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4.8%</w:t>
            </w: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11.5%</w:t>
            </w:r>
          </w:p>
        </w:tc>
      </w:tr>
      <w:tr>
        <w:trPr>
          <w:trHeight w:val="216"/>
        </w:trPr>
        <w:tc>
          <w:tcPr>
            <w:tcW w:w="3600" w:type="dxa"/>
            <w:vAlign w:val="bottom"/>
          </w:tcPr>
          <w:p>
            <w:pPr>
              <w:spacing w:after="0"/>
              <w:rPr>
                <w:sz w:val="20"/>
                <w:szCs w:val="20"/>
                <w:color w:val="auto"/>
              </w:rPr>
            </w:pPr>
            <w:r>
              <w:rPr>
                <w:rFonts w:ascii="Arial" w:cs="Arial" w:eastAsia="Arial" w:hAnsi="Arial"/>
                <w:sz w:val="18"/>
                <w:szCs w:val="18"/>
                <w:i w:val="1"/>
                <w:iCs w:val="1"/>
                <w:color w:val="auto"/>
              </w:rPr>
              <w:t>- Credit Cards</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532.5</w:t>
            </w:r>
          </w:p>
        </w:tc>
        <w:tc>
          <w:tcPr>
            <w:tcW w:w="880" w:type="dxa"/>
            <w:vAlign w:val="bottom"/>
          </w:tcPr>
          <w:p>
            <w:pPr>
              <w:jc w:val="right"/>
              <w:spacing w:after="0"/>
              <w:rPr>
                <w:sz w:val="20"/>
                <w:szCs w:val="20"/>
                <w:color w:val="auto"/>
              </w:rPr>
            </w:pPr>
            <w:r>
              <w:rPr>
                <w:rFonts w:ascii="Arial" w:cs="Arial" w:eastAsia="Arial" w:hAnsi="Arial"/>
                <w:sz w:val="18"/>
                <w:szCs w:val="18"/>
                <w:color w:val="auto"/>
              </w:rPr>
              <w:t>525.6</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464.7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gridSpan w:val="2"/>
          </w:tcPr>
          <w:p>
            <w:pPr>
              <w:ind w:left="20"/>
              <w:spacing w:after="0"/>
              <w:rPr>
                <w:sz w:val="20"/>
                <w:szCs w:val="20"/>
                <w:color w:val="auto"/>
              </w:rPr>
            </w:pPr>
            <w:r>
              <w:rPr>
                <w:rFonts w:ascii="Arial" w:cs="Arial" w:eastAsia="Arial" w:hAnsi="Arial"/>
                <w:sz w:val="18"/>
                <w:szCs w:val="18"/>
                <w:color w:val="auto"/>
              </w:rPr>
              <w:t>1.3%</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14.6%</w:t>
            </w:r>
          </w:p>
        </w:tc>
      </w:tr>
      <w:tr>
        <w:trPr>
          <w:trHeight w:val="216"/>
        </w:trPr>
        <w:tc>
          <w:tcPr>
            <w:tcW w:w="36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Edyficar</w:t>
            </w: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299.7</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277.8</w:t>
            </w:r>
          </w:p>
        </w:tc>
        <w:tc>
          <w:tcPr>
            <w:tcW w:w="18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500" w:type="dxa"/>
            <w:vAlign w:val="bottom"/>
            <w:gridSpan w:val="2"/>
            <w:shd w:val="clear" w:color="auto" w:fill="CCFFCC"/>
          </w:tcPr>
          <w:p>
            <w:pPr>
              <w:ind w:left="20"/>
              <w:spacing w:after="0"/>
              <w:rPr>
                <w:sz w:val="20"/>
                <w:szCs w:val="20"/>
                <w:color w:val="auto"/>
              </w:rPr>
            </w:pPr>
            <w:r>
              <w:rPr>
                <w:rFonts w:ascii="Arial" w:cs="Arial" w:eastAsia="Arial" w:hAnsi="Arial"/>
                <w:sz w:val="18"/>
                <w:szCs w:val="18"/>
                <w:b w:val="1"/>
                <w:bCs w:val="1"/>
                <w:color w:val="auto"/>
              </w:rPr>
              <w:t>7.9%</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FFCC"/>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b w:val="1"/>
                <w:bCs w:val="1"/>
                <w:color w:val="auto"/>
              </w:rPr>
              <w:t>Others (2)</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739.4</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688.6</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626.6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gridSpan w:val="2"/>
          </w:tcPr>
          <w:p>
            <w:pPr>
              <w:ind w:left="20"/>
              <w:spacing w:after="0"/>
              <w:rPr>
                <w:sz w:val="20"/>
                <w:szCs w:val="20"/>
                <w:color w:val="auto"/>
              </w:rPr>
            </w:pPr>
            <w:r>
              <w:rPr>
                <w:rFonts w:ascii="Arial" w:cs="Arial" w:eastAsia="Arial" w:hAnsi="Arial"/>
                <w:sz w:val="18"/>
                <w:szCs w:val="18"/>
                <w:b w:val="1"/>
                <w:bCs w:val="1"/>
                <w:color w:val="auto"/>
              </w:rPr>
              <w:t>7.4%</w:t>
            </w: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18.0%</w:t>
            </w:r>
          </w:p>
        </w:tc>
      </w:tr>
      <w:tr>
        <w:trPr>
          <w:trHeight w:val="223"/>
        </w:trPr>
        <w:tc>
          <w:tcPr>
            <w:tcW w:w="3600" w:type="dxa"/>
            <w:vAlign w:val="bottom"/>
            <w:tcBorders>
              <w:bottom w:val="single" w:sz="8" w:color="CCFFCC"/>
            </w:tcBorders>
            <w:shd w:val="clear" w:color="auto" w:fill="CCFFCC"/>
          </w:tcPr>
          <w:p>
            <w:pPr>
              <w:spacing w:after="0"/>
              <w:rPr>
                <w:sz w:val="19"/>
                <w:szCs w:val="19"/>
                <w:color w:val="auto"/>
              </w:rPr>
            </w:pPr>
          </w:p>
        </w:tc>
        <w:tc>
          <w:tcPr>
            <w:tcW w:w="900" w:type="dxa"/>
            <w:vAlign w:val="bottom"/>
            <w:tcBorders>
              <w:bottom w:val="single" w:sz="8" w:color="auto"/>
            </w:tcBorders>
            <w:shd w:val="clear" w:color="auto" w:fill="CCFFCC"/>
          </w:tcPr>
          <w:p>
            <w:pPr>
              <w:spacing w:after="0"/>
              <w:rPr>
                <w:sz w:val="19"/>
                <w:szCs w:val="19"/>
                <w:color w:val="auto"/>
              </w:rPr>
            </w:pPr>
          </w:p>
        </w:tc>
        <w:tc>
          <w:tcPr>
            <w:tcW w:w="160" w:type="dxa"/>
            <w:vAlign w:val="bottom"/>
            <w:tcBorders>
              <w:bottom w:val="single" w:sz="8" w:color="CCFFCC"/>
            </w:tcBorders>
            <w:shd w:val="clear" w:color="auto" w:fill="CCFFCC"/>
          </w:tcPr>
          <w:p>
            <w:pPr>
              <w:spacing w:after="0"/>
              <w:rPr>
                <w:sz w:val="19"/>
                <w:szCs w:val="19"/>
                <w:color w:val="auto"/>
              </w:rPr>
            </w:pPr>
          </w:p>
        </w:tc>
        <w:tc>
          <w:tcPr>
            <w:tcW w:w="880" w:type="dxa"/>
            <w:vAlign w:val="bottom"/>
            <w:tcBorders>
              <w:bottom w:val="single" w:sz="8" w:color="auto"/>
            </w:tcBorders>
            <w:shd w:val="clear" w:color="auto" w:fill="CCFFCC"/>
          </w:tcPr>
          <w:p>
            <w:pPr>
              <w:spacing w:after="0"/>
              <w:rPr>
                <w:sz w:val="19"/>
                <w:szCs w:val="19"/>
                <w:color w:val="auto"/>
              </w:rPr>
            </w:pPr>
          </w:p>
        </w:tc>
        <w:tc>
          <w:tcPr>
            <w:tcW w:w="180" w:type="dxa"/>
            <w:vAlign w:val="bottom"/>
            <w:tcBorders>
              <w:bottom w:val="single" w:sz="8" w:color="CCFFCC"/>
            </w:tcBorders>
            <w:shd w:val="clear" w:color="auto" w:fill="CCFFCC"/>
          </w:tcPr>
          <w:p>
            <w:pPr>
              <w:spacing w:after="0"/>
              <w:rPr>
                <w:sz w:val="19"/>
                <w:szCs w:val="19"/>
                <w:color w:val="auto"/>
              </w:rPr>
            </w:pPr>
          </w:p>
        </w:tc>
        <w:tc>
          <w:tcPr>
            <w:tcW w:w="880" w:type="dxa"/>
            <w:vAlign w:val="bottom"/>
            <w:tcBorders>
              <w:bottom w:val="single" w:sz="8" w:color="auto"/>
            </w:tcBorders>
            <w:shd w:val="clear" w:color="auto" w:fill="CCFFCC"/>
          </w:tcPr>
          <w:p>
            <w:pPr>
              <w:spacing w:after="0"/>
              <w:rPr>
                <w:sz w:val="19"/>
                <w:szCs w:val="19"/>
                <w:color w:val="auto"/>
              </w:rPr>
            </w:pPr>
          </w:p>
        </w:tc>
        <w:tc>
          <w:tcPr>
            <w:tcW w:w="160" w:type="dxa"/>
            <w:vAlign w:val="bottom"/>
            <w:tcBorders>
              <w:bottom w:val="single" w:sz="8" w:color="CCFFCC"/>
            </w:tcBorders>
            <w:shd w:val="clear" w:color="auto" w:fill="CCFFCC"/>
          </w:tcPr>
          <w:p>
            <w:pPr>
              <w:spacing w:after="0"/>
              <w:rPr>
                <w:sz w:val="19"/>
                <w:szCs w:val="19"/>
                <w:color w:val="auto"/>
              </w:rPr>
            </w:pPr>
          </w:p>
        </w:tc>
        <w:tc>
          <w:tcPr>
            <w:tcW w:w="220" w:type="dxa"/>
            <w:vAlign w:val="bottom"/>
            <w:tcBorders>
              <w:bottom w:val="single" w:sz="8" w:color="auto"/>
            </w:tcBorders>
            <w:shd w:val="clear" w:color="auto" w:fill="CCFFCC"/>
          </w:tcPr>
          <w:p>
            <w:pPr>
              <w:spacing w:after="0"/>
              <w:rPr>
                <w:sz w:val="19"/>
                <w:szCs w:val="19"/>
                <w:color w:val="auto"/>
              </w:rPr>
            </w:pPr>
          </w:p>
        </w:tc>
        <w:tc>
          <w:tcPr>
            <w:tcW w:w="440" w:type="dxa"/>
            <w:vAlign w:val="bottom"/>
            <w:tcBorders>
              <w:bottom w:val="single" w:sz="8" w:color="auto"/>
            </w:tcBorders>
            <w:shd w:val="clear" w:color="auto" w:fill="CCFFCC"/>
          </w:tcPr>
          <w:p>
            <w:pPr>
              <w:spacing w:after="0"/>
              <w:rPr>
                <w:sz w:val="19"/>
                <w:szCs w:val="19"/>
                <w:color w:val="auto"/>
              </w:rPr>
            </w:pPr>
          </w:p>
        </w:tc>
        <w:tc>
          <w:tcPr>
            <w:tcW w:w="240" w:type="dxa"/>
            <w:vAlign w:val="bottom"/>
            <w:tcBorders>
              <w:bottom w:val="single" w:sz="8" w:color="auto"/>
            </w:tcBorders>
            <w:shd w:val="clear" w:color="auto" w:fill="CCFFCC"/>
          </w:tcPr>
          <w:p>
            <w:pPr>
              <w:spacing w:after="0"/>
              <w:rPr>
                <w:sz w:val="19"/>
                <w:szCs w:val="19"/>
                <w:color w:val="auto"/>
              </w:rPr>
            </w:pPr>
          </w:p>
        </w:tc>
        <w:tc>
          <w:tcPr>
            <w:tcW w:w="260" w:type="dxa"/>
            <w:vAlign w:val="bottom"/>
            <w:tcBorders>
              <w:bottom w:val="single" w:sz="8" w:color="CCFFCC"/>
            </w:tcBorders>
            <w:shd w:val="clear" w:color="auto" w:fill="CCFFCC"/>
          </w:tcPr>
          <w:p>
            <w:pPr>
              <w:spacing w:after="0"/>
              <w:rPr>
                <w:sz w:val="19"/>
                <w:szCs w:val="19"/>
                <w:color w:val="auto"/>
              </w:rPr>
            </w:pPr>
          </w:p>
        </w:tc>
        <w:tc>
          <w:tcPr>
            <w:tcW w:w="900" w:type="dxa"/>
            <w:vAlign w:val="bottom"/>
            <w:tcBorders>
              <w:bottom w:val="single" w:sz="8" w:color="auto"/>
            </w:tcBorders>
            <w:shd w:val="clear" w:color="auto" w:fill="CCFFCC"/>
          </w:tcPr>
          <w:p>
            <w:pPr>
              <w:spacing w:after="0"/>
              <w:rPr>
                <w:sz w:val="19"/>
                <w:szCs w:val="19"/>
                <w:color w:val="auto"/>
              </w:rPr>
            </w:pPr>
          </w:p>
        </w:tc>
        <w:tc>
          <w:tcPr>
            <w:tcW w:w="180" w:type="dxa"/>
            <w:vAlign w:val="bottom"/>
            <w:tcBorders>
              <w:bottom w:val="single" w:sz="8" w:color="CCFFCC"/>
            </w:tcBorders>
            <w:shd w:val="clear" w:color="auto" w:fill="CCFFCC"/>
          </w:tcPr>
          <w:p>
            <w:pPr>
              <w:spacing w:after="0"/>
              <w:rPr>
                <w:sz w:val="19"/>
                <w:szCs w:val="19"/>
                <w:color w:val="auto"/>
              </w:rPr>
            </w:pPr>
          </w:p>
        </w:tc>
      </w:tr>
      <w:tr>
        <w:trPr>
          <w:trHeight w:val="234"/>
        </w:trPr>
        <w:tc>
          <w:tcPr>
            <w:tcW w:w="3600" w:type="dxa"/>
            <w:vAlign w:val="bottom"/>
          </w:tcPr>
          <w:p>
            <w:pPr>
              <w:spacing w:after="0"/>
              <w:rPr>
                <w:sz w:val="20"/>
                <w:szCs w:val="20"/>
                <w:color w:val="auto"/>
              </w:rPr>
            </w:pPr>
            <w:r>
              <w:rPr>
                <w:rFonts w:ascii="Arial" w:cs="Arial" w:eastAsia="Arial" w:hAnsi="Arial"/>
                <w:sz w:val="18"/>
                <w:szCs w:val="18"/>
                <w:b w:val="1"/>
                <w:bCs w:val="1"/>
                <w:color w:val="auto"/>
              </w:rPr>
              <w:t>Consolidated total loans</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12,886.5</w:t>
            </w:r>
          </w:p>
        </w:tc>
        <w:tc>
          <w:tcPr>
            <w:tcW w:w="1060" w:type="dxa"/>
            <w:vAlign w:val="bottom"/>
            <w:gridSpan w:val="2"/>
          </w:tcPr>
          <w:p>
            <w:pPr>
              <w:ind w:left="260"/>
              <w:spacing w:after="0"/>
              <w:rPr>
                <w:sz w:val="20"/>
                <w:szCs w:val="20"/>
                <w:color w:val="auto"/>
              </w:rPr>
            </w:pPr>
            <w:r>
              <w:rPr>
                <w:rFonts w:ascii="Arial" w:cs="Arial" w:eastAsia="Arial" w:hAnsi="Arial"/>
                <w:sz w:val="18"/>
                <w:szCs w:val="18"/>
                <w:b w:val="1"/>
                <w:bCs w:val="1"/>
                <w:color w:val="auto"/>
              </w:rPr>
              <w:t>12,219.5</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10,501.7</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00" w:type="dxa"/>
            <w:vAlign w:val="bottom"/>
            <w:gridSpan w:val="2"/>
          </w:tcPr>
          <w:p>
            <w:pPr>
              <w:ind w:left="20"/>
              <w:spacing w:after="0"/>
              <w:rPr>
                <w:sz w:val="20"/>
                <w:szCs w:val="20"/>
                <w:color w:val="auto"/>
              </w:rPr>
            </w:pPr>
            <w:r>
              <w:rPr>
                <w:rFonts w:ascii="Arial" w:cs="Arial" w:eastAsia="Arial" w:hAnsi="Arial"/>
                <w:sz w:val="18"/>
                <w:szCs w:val="18"/>
                <w:b w:val="1"/>
                <w:bCs w:val="1"/>
                <w:color w:val="auto"/>
              </w:rPr>
              <w:t>5.5%</w:t>
            </w: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22.7%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175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drawing>
          <wp:anchor simplePos="0" relativeHeight="251657728" behindDoc="1" locked="0" layoutInCell="0" allowOverlap="1">
            <wp:simplePos x="0" y="0"/>
            <wp:positionH relativeFrom="column">
              <wp:posOffset>2809240</wp:posOffset>
            </wp:positionH>
            <wp:positionV relativeFrom="paragraph">
              <wp:posOffset>-10795</wp:posOffset>
            </wp:positionV>
            <wp:extent cx="331025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10255" cy="17145"/>
                    </a:xfrm>
                    <a:prstGeom prst="rect">
                      <a:avLst/>
                    </a:prstGeom>
                    <a:noFill/>
                  </pic:spPr>
                </pic:pic>
              </a:graphicData>
            </a:graphic>
          </wp:anchor>
        </w:drawing>
      </w:r>
    </w:p>
    <w:p>
      <w:pPr>
        <w:ind w:left="1080" w:hanging="262"/>
        <w:spacing w:after="0"/>
        <w:tabs>
          <w:tab w:leader="none" w:pos="108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Average daily balance</w:t>
      </w:r>
    </w:p>
    <w:p>
      <w:pPr>
        <w:spacing w:after="0" w:line="17" w:lineRule="exact"/>
        <w:rPr>
          <w:rFonts w:ascii="Arial" w:cs="Arial" w:eastAsia="Arial" w:hAnsi="Arial"/>
          <w:sz w:val="18"/>
          <w:szCs w:val="18"/>
          <w:i w:val="1"/>
          <w:iCs w:val="1"/>
          <w:color w:val="auto"/>
        </w:rPr>
      </w:pPr>
    </w:p>
    <w:p>
      <w:pPr>
        <w:ind w:left="1080" w:hanging="262"/>
        <w:spacing w:after="0"/>
        <w:tabs>
          <w:tab w:leader="none" w:pos="108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Includes Work Out Unit, other banking and BCPBolivia.</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If we analyze loan evolution by currency type, we see that both portfolios reported growth of 4.6% and 5.7% in the LC and FC portfolios, respectively.</w:t>
      </w:r>
    </w:p>
    <w:p>
      <w:pPr>
        <w:spacing w:after="0" w:line="35"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Average Daily Balances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60" w:type="dxa"/>
            <w:vAlign w:val="bottom"/>
            <w:gridSpan w:val="6"/>
          </w:tcPr>
          <w:p>
            <w:pPr>
              <w:jc w:val="right"/>
              <w:ind w:right="440"/>
              <w:spacing w:after="0"/>
              <w:rPr>
                <w:sz w:val="20"/>
                <w:szCs w:val="20"/>
                <w:color w:val="auto"/>
              </w:rPr>
            </w:pPr>
            <w:r>
              <w:rPr>
                <w:rFonts w:ascii="Arial" w:cs="Arial" w:eastAsia="Arial" w:hAnsi="Arial"/>
                <w:sz w:val="18"/>
                <w:szCs w:val="18"/>
                <w:b w:val="1"/>
                <w:bCs w:val="1"/>
                <w:color w:val="auto"/>
                <w:w w:val="95"/>
              </w:rPr>
              <w:t>Domestic Currency Loans (1)</w:t>
            </w: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740" w:type="dxa"/>
            <w:vAlign w:val="bottom"/>
            <w:gridSpan w:val="7"/>
          </w:tcPr>
          <w:p>
            <w:pPr>
              <w:jc w:val="center"/>
              <w:ind w:right="220"/>
              <w:spacing w:after="0"/>
              <w:rPr>
                <w:sz w:val="20"/>
                <w:szCs w:val="20"/>
                <w:color w:val="auto"/>
              </w:rPr>
            </w:pPr>
            <w:r>
              <w:rPr>
                <w:rFonts w:ascii="Arial" w:cs="Arial" w:eastAsia="Arial" w:hAnsi="Arial"/>
                <w:sz w:val="18"/>
                <w:szCs w:val="18"/>
                <w:b w:val="1"/>
                <w:bCs w:val="1"/>
                <w:color w:val="auto"/>
                <w:w w:val="91"/>
              </w:rPr>
              <w:t>Foreign Currency Loans (1)</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6"/>
          </w:tcPr>
          <w:p>
            <w:pPr>
              <w:jc w:val="right"/>
              <w:ind w:right="760"/>
              <w:spacing w:after="0"/>
              <w:rPr>
                <w:sz w:val="20"/>
                <w:szCs w:val="20"/>
                <w:color w:val="auto"/>
              </w:rPr>
            </w:pPr>
            <w:r>
              <w:rPr>
                <w:rFonts w:ascii="Arial" w:cs="Arial" w:eastAsia="Arial" w:hAnsi="Arial"/>
                <w:sz w:val="18"/>
                <w:szCs w:val="18"/>
                <w:i w:val="1"/>
                <w:iCs w:val="1"/>
                <w:color w:val="auto"/>
              </w:rPr>
              <w:t>(Nuevos Soles million)</w:t>
            </w:r>
          </w:p>
        </w:tc>
        <w:tc>
          <w:tcPr>
            <w:tcW w:w="66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i w:val="1"/>
                <w:iCs w:val="1"/>
                <w:color w:val="auto"/>
                <w:w w:val="95"/>
              </w:rPr>
              <w:t>(US$ million)</w:t>
            </w:r>
          </w:p>
        </w:tc>
        <w:tc>
          <w:tcPr>
            <w:tcW w:w="6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7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3Q10</w:t>
            </w:r>
          </w:p>
        </w:tc>
        <w:tc>
          <w:tcPr>
            <w:tcW w:w="200" w:type="dxa"/>
            <w:vAlign w:val="bottom"/>
          </w:tcPr>
          <w:p>
            <w:pPr>
              <w:spacing w:after="0"/>
              <w:rPr>
                <w:sz w:val="19"/>
                <w:szCs w:val="19"/>
                <w:color w:val="auto"/>
              </w:rPr>
            </w:pPr>
          </w:p>
        </w:tc>
        <w:tc>
          <w:tcPr>
            <w:tcW w:w="7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2Q10</w:t>
            </w:r>
          </w:p>
        </w:tc>
        <w:tc>
          <w:tcPr>
            <w:tcW w:w="200" w:type="dxa"/>
            <w:vAlign w:val="bottom"/>
          </w:tcPr>
          <w:p>
            <w:pPr>
              <w:spacing w:after="0"/>
              <w:rPr>
                <w:sz w:val="19"/>
                <w:szCs w:val="19"/>
                <w:color w:val="auto"/>
              </w:rPr>
            </w:pPr>
          </w:p>
        </w:tc>
        <w:tc>
          <w:tcPr>
            <w:tcW w:w="7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3Q09</w:t>
            </w:r>
          </w:p>
        </w:tc>
        <w:tc>
          <w:tcPr>
            <w:tcW w:w="220" w:type="dxa"/>
            <w:vAlign w:val="bottom"/>
          </w:tcPr>
          <w:p>
            <w:pPr>
              <w:spacing w:after="0"/>
              <w:rPr>
                <w:sz w:val="19"/>
                <w:szCs w:val="19"/>
                <w:color w:val="auto"/>
              </w:rPr>
            </w:pP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QoQ</w:t>
            </w:r>
          </w:p>
        </w:tc>
        <w:tc>
          <w:tcPr>
            <w:tcW w:w="300" w:type="dxa"/>
            <w:vAlign w:val="bottom"/>
          </w:tcPr>
          <w:p>
            <w:pPr>
              <w:spacing w:after="0"/>
              <w:rPr>
                <w:sz w:val="19"/>
                <w:szCs w:val="19"/>
                <w:color w:val="auto"/>
              </w:rPr>
            </w:pPr>
          </w:p>
        </w:tc>
        <w:tc>
          <w:tcPr>
            <w:tcW w:w="6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YoY</w:t>
            </w:r>
          </w:p>
        </w:tc>
        <w:tc>
          <w:tcPr>
            <w:tcW w:w="300" w:type="dxa"/>
            <w:vAlign w:val="bottom"/>
          </w:tcPr>
          <w:p>
            <w:pPr>
              <w:spacing w:after="0"/>
              <w:rPr>
                <w:sz w:val="19"/>
                <w:szCs w:val="19"/>
                <w:color w:val="auto"/>
              </w:rPr>
            </w:pPr>
          </w:p>
        </w:tc>
        <w:tc>
          <w:tcPr>
            <w:tcW w:w="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3Q10</w:t>
            </w:r>
          </w:p>
        </w:tc>
        <w:tc>
          <w:tcPr>
            <w:tcW w:w="200" w:type="dxa"/>
            <w:vAlign w:val="bottom"/>
          </w:tcPr>
          <w:p>
            <w:pPr>
              <w:spacing w:after="0"/>
              <w:rPr>
                <w:sz w:val="19"/>
                <w:szCs w:val="19"/>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2Q10</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3Q09</w:t>
            </w:r>
          </w:p>
        </w:tc>
        <w:tc>
          <w:tcPr>
            <w:tcW w:w="220" w:type="dxa"/>
            <w:vAlign w:val="bottom"/>
          </w:tcPr>
          <w:p>
            <w:pPr>
              <w:spacing w:after="0"/>
              <w:rPr>
                <w:sz w:val="19"/>
                <w:szCs w:val="19"/>
                <w:color w:val="auto"/>
              </w:rPr>
            </w:pPr>
          </w:p>
        </w:tc>
        <w:tc>
          <w:tcPr>
            <w:tcW w:w="6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QoQ</w:t>
            </w:r>
          </w:p>
        </w:tc>
        <w:tc>
          <w:tcPr>
            <w:tcW w:w="280" w:type="dxa"/>
            <w:vAlign w:val="bottom"/>
          </w:tcPr>
          <w:p>
            <w:pPr>
              <w:spacing w:after="0"/>
              <w:rPr>
                <w:sz w:val="19"/>
                <w:szCs w:val="19"/>
                <w:color w:val="auto"/>
              </w:rPr>
            </w:pPr>
          </w:p>
        </w:tc>
        <w:tc>
          <w:tcPr>
            <w:tcW w:w="6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YoY</w:t>
            </w:r>
          </w:p>
        </w:tc>
        <w:tc>
          <w:tcPr>
            <w:tcW w:w="1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Wholesale Banking</w:t>
            </w: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5,052.1</w:t>
            </w:r>
          </w:p>
        </w:tc>
        <w:tc>
          <w:tcPr>
            <w:tcW w:w="20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4,927.7</w:t>
            </w:r>
          </w:p>
        </w:tc>
        <w:tc>
          <w:tcPr>
            <w:tcW w:w="9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4,624.1</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2.5%</w:t>
            </w: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9.3%</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5,262.1</w:t>
            </w:r>
          </w:p>
        </w:tc>
        <w:tc>
          <w:tcPr>
            <w:tcW w:w="200" w:type="dxa"/>
            <w:vAlign w:val="bottom"/>
            <w:shd w:val="clear" w:color="auto" w:fill="CCFFCC"/>
          </w:tcPr>
          <w:p>
            <w:pPr>
              <w:spacing w:after="0"/>
              <w:rPr>
                <w:sz w:val="18"/>
                <w:szCs w:val="18"/>
                <w:color w:val="auto"/>
              </w:rPr>
            </w:pP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4,976.8</w:t>
            </w:r>
          </w:p>
        </w:tc>
        <w:tc>
          <w:tcPr>
            <w:tcW w:w="40" w:type="dxa"/>
            <w:vAlign w:val="bottom"/>
            <w:shd w:val="clear" w:color="auto" w:fill="CCFFCC"/>
          </w:tcPr>
          <w:p>
            <w:pPr>
              <w:spacing w:after="0"/>
              <w:rPr>
                <w:sz w:val="18"/>
                <w:szCs w:val="18"/>
                <w:color w:val="auto"/>
              </w:rPr>
            </w:pPr>
          </w:p>
        </w:tc>
        <w:tc>
          <w:tcPr>
            <w:tcW w:w="108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4,242.9</w:t>
            </w: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5.7%</w:t>
            </w:r>
          </w:p>
        </w:tc>
        <w:tc>
          <w:tcPr>
            <w:tcW w:w="86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24.0%</w:t>
            </w: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8"/>
                <w:szCs w:val="18"/>
                <w:i w:val="1"/>
                <w:iCs w:val="1"/>
                <w:color w:val="auto"/>
              </w:rPr>
              <w:t>- Corporate</w:t>
            </w:r>
          </w:p>
        </w:tc>
        <w:tc>
          <w:tcPr>
            <w:tcW w:w="760" w:type="dxa"/>
            <w:vAlign w:val="bottom"/>
          </w:tcPr>
          <w:p>
            <w:pPr>
              <w:jc w:val="right"/>
              <w:spacing w:after="0"/>
              <w:rPr>
                <w:sz w:val="20"/>
                <w:szCs w:val="20"/>
                <w:color w:val="auto"/>
              </w:rPr>
            </w:pPr>
            <w:r>
              <w:rPr>
                <w:rFonts w:ascii="Arial" w:cs="Arial" w:eastAsia="Arial" w:hAnsi="Arial"/>
                <w:sz w:val="18"/>
                <w:szCs w:val="18"/>
                <w:color w:val="auto"/>
              </w:rPr>
              <w:t>3,475.6</w:t>
            </w:r>
          </w:p>
        </w:tc>
        <w:tc>
          <w:tcPr>
            <w:tcW w:w="2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3,346.9</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3,516.5</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3.8%</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680" w:type="dxa"/>
            <w:vAlign w:val="bottom"/>
          </w:tcPr>
          <w:p>
            <w:pPr>
              <w:jc w:val="right"/>
              <w:spacing w:after="0"/>
              <w:rPr>
                <w:sz w:val="20"/>
                <w:szCs w:val="20"/>
                <w:color w:val="auto"/>
              </w:rPr>
            </w:pPr>
            <w:r>
              <w:rPr>
                <w:rFonts w:ascii="Arial" w:cs="Arial" w:eastAsia="Arial" w:hAnsi="Arial"/>
                <w:sz w:val="18"/>
                <w:szCs w:val="18"/>
                <w:color w:val="auto"/>
              </w:rPr>
              <w:t>3,312.0</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3,236.1</w:t>
            </w:r>
          </w:p>
        </w:tc>
        <w:tc>
          <w:tcPr>
            <w:tcW w:w="40" w:type="dxa"/>
            <w:vAlign w:val="bottom"/>
          </w:tcPr>
          <w:p>
            <w:pPr>
              <w:spacing w:after="0"/>
              <w:rPr>
                <w:sz w:val="18"/>
                <w:szCs w:val="18"/>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2,743.1</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2.3%</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20.7%</w:t>
            </w:r>
          </w:p>
        </w:tc>
      </w:tr>
      <w:tr>
        <w:trPr>
          <w:trHeight w:val="216"/>
        </w:trPr>
        <w:tc>
          <w:tcPr>
            <w:tcW w:w="20" w:type="dxa"/>
            <w:vAlign w:val="bottom"/>
          </w:tcPr>
          <w:p>
            <w:pPr>
              <w:spacing w:after="0"/>
              <w:rPr>
                <w:sz w:val="18"/>
                <w:szCs w:val="18"/>
                <w:color w:val="auto"/>
              </w:rPr>
            </w:pPr>
          </w:p>
        </w:tc>
        <w:tc>
          <w:tcPr>
            <w:tcW w:w="2140" w:type="dxa"/>
            <w:vAlign w:val="bottom"/>
            <w:shd w:val="clear" w:color="auto" w:fill="CCFFCC"/>
          </w:tcPr>
          <w:p>
            <w:pPr>
              <w:spacing w:after="0"/>
              <w:rPr>
                <w:sz w:val="20"/>
                <w:szCs w:val="20"/>
                <w:color w:val="auto"/>
              </w:rPr>
            </w:pPr>
            <w:r>
              <w:rPr>
                <w:rFonts w:ascii="Arial" w:cs="Arial" w:eastAsia="Arial" w:hAnsi="Arial"/>
                <w:sz w:val="18"/>
                <w:szCs w:val="18"/>
                <w:i w:val="1"/>
                <w:iCs w:val="1"/>
                <w:color w:val="auto"/>
              </w:rPr>
              <w:t>- Middle Market</w:t>
            </w: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1,576.6</w:t>
            </w:r>
          </w:p>
        </w:tc>
        <w:tc>
          <w:tcPr>
            <w:tcW w:w="20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1,580.8</w:t>
            </w:r>
          </w:p>
        </w:tc>
        <w:tc>
          <w:tcPr>
            <w:tcW w:w="9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1,107.5</w:t>
            </w:r>
          </w:p>
        </w:tc>
        <w:tc>
          <w:tcPr>
            <w:tcW w:w="9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-0.3%</w:t>
            </w:r>
          </w:p>
        </w:tc>
        <w:tc>
          <w:tcPr>
            <w:tcW w:w="9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42.3%</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1,950.1</w:t>
            </w:r>
          </w:p>
        </w:tc>
        <w:tc>
          <w:tcPr>
            <w:tcW w:w="200" w:type="dxa"/>
            <w:vAlign w:val="bottom"/>
            <w:shd w:val="clear" w:color="auto" w:fill="CCFFCC"/>
          </w:tcPr>
          <w:p>
            <w:pPr>
              <w:spacing w:after="0"/>
              <w:rPr>
                <w:sz w:val="18"/>
                <w:szCs w:val="18"/>
                <w:color w:val="auto"/>
              </w:rPr>
            </w:pP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1,740.6</w:t>
            </w:r>
          </w:p>
        </w:tc>
        <w:tc>
          <w:tcPr>
            <w:tcW w:w="40" w:type="dxa"/>
            <w:vAlign w:val="bottom"/>
            <w:shd w:val="clear" w:color="auto" w:fill="CCFFCC"/>
          </w:tcPr>
          <w:p>
            <w:pPr>
              <w:spacing w:after="0"/>
              <w:rPr>
                <w:sz w:val="18"/>
                <w:szCs w:val="18"/>
                <w:color w:val="auto"/>
              </w:rPr>
            </w:pPr>
          </w:p>
        </w:tc>
        <w:tc>
          <w:tcPr>
            <w:tcW w:w="108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1,499.7</w:t>
            </w:r>
          </w:p>
        </w:tc>
        <w:tc>
          <w:tcPr>
            <w:tcW w:w="9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12.0%</w:t>
            </w:r>
          </w:p>
        </w:tc>
        <w:tc>
          <w:tcPr>
            <w:tcW w:w="8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30.0%</w:t>
            </w: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8"/>
                <w:szCs w:val="18"/>
                <w:b w:val="1"/>
                <w:bCs w:val="1"/>
                <w:color w:val="auto"/>
              </w:rPr>
              <w:t>Retail Banking</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8,258.6</w:t>
            </w:r>
          </w:p>
        </w:tc>
        <w:tc>
          <w:tcPr>
            <w:tcW w:w="2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7,821.0</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6,686.1</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5.6%</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23.5%</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1,873.5</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1,786.3</w:t>
            </w:r>
          </w:p>
        </w:tc>
        <w:tc>
          <w:tcPr>
            <w:tcW w:w="40" w:type="dxa"/>
            <w:vAlign w:val="bottom"/>
          </w:tcPr>
          <w:p>
            <w:pPr>
              <w:spacing w:after="0"/>
              <w:rPr>
                <w:sz w:val="18"/>
                <w:szCs w:val="18"/>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1,782.5</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4.9%</w:t>
            </w: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5.1%</w:t>
            </w:r>
          </w:p>
        </w:tc>
      </w:tr>
      <w:tr>
        <w:trPr>
          <w:trHeight w:val="216"/>
        </w:trPr>
        <w:tc>
          <w:tcPr>
            <w:tcW w:w="20" w:type="dxa"/>
            <w:vAlign w:val="bottom"/>
          </w:tcPr>
          <w:p>
            <w:pPr>
              <w:spacing w:after="0"/>
              <w:rPr>
                <w:sz w:val="18"/>
                <w:szCs w:val="18"/>
                <w:color w:val="auto"/>
              </w:rPr>
            </w:pPr>
          </w:p>
        </w:tc>
        <w:tc>
          <w:tcPr>
            <w:tcW w:w="2140" w:type="dxa"/>
            <w:vAlign w:val="bottom"/>
            <w:shd w:val="clear" w:color="auto" w:fill="CCFFCC"/>
          </w:tcPr>
          <w:p>
            <w:pPr>
              <w:spacing w:after="0"/>
              <w:rPr>
                <w:sz w:val="20"/>
                <w:szCs w:val="20"/>
                <w:color w:val="auto"/>
              </w:rPr>
            </w:pPr>
            <w:r>
              <w:rPr>
                <w:rFonts w:ascii="Arial" w:cs="Arial" w:eastAsia="Arial" w:hAnsi="Arial"/>
                <w:sz w:val="18"/>
                <w:szCs w:val="18"/>
                <w:i w:val="1"/>
                <w:iCs w:val="1"/>
                <w:color w:val="auto"/>
              </w:rPr>
              <w:t>- SME + Business</w:t>
            </w: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2,876.7</w:t>
            </w:r>
          </w:p>
        </w:tc>
        <w:tc>
          <w:tcPr>
            <w:tcW w:w="20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2,678.8</w:t>
            </w:r>
          </w:p>
        </w:tc>
        <w:tc>
          <w:tcPr>
            <w:tcW w:w="9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2,269.4</w:t>
            </w:r>
          </w:p>
        </w:tc>
        <w:tc>
          <w:tcPr>
            <w:tcW w:w="9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7.4%</w:t>
            </w:r>
          </w:p>
        </w:tc>
        <w:tc>
          <w:tcPr>
            <w:tcW w:w="9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26.8%</w:t>
            </w:r>
          </w:p>
        </w:tc>
        <w:tc>
          <w:tcPr>
            <w:tcW w:w="8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606.3</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558.3</w:t>
            </w:r>
          </w:p>
        </w:tc>
        <w:tc>
          <w:tcPr>
            <w:tcW w:w="40" w:type="dxa"/>
            <w:vAlign w:val="bottom"/>
            <w:shd w:val="clear" w:color="auto" w:fill="CCFFCC"/>
          </w:tcPr>
          <w:p>
            <w:pPr>
              <w:spacing w:after="0"/>
              <w:rPr>
                <w:sz w:val="18"/>
                <w:szCs w:val="18"/>
                <w:color w:val="auto"/>
              </w:rPr>
            </w:pPr>
          </w:p>
        </w:tc>
        <w:tc>
          <w:tcPr>
            <w:tcW w:w="108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550.6</w:t>
            </w:r>
          </w:p>
        </w:tc>
        <w:tc>
          <w:tcPr>
            <w:tcW w:w="9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8.6%</w:t>
            </w:r>
          </w:p>
        </w:tc>
        <w:tc>
          <w:tcPr>
            <w:tcW w:w="8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10.1%</w:t>
            </w: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8"/>
                <w:szCs w:val="18"/>
                <w:i w:val="1"/>
                <w:iCs w:val="1"/>
                <w:color w:val="auto"/>
              </w:rPr>
              <w:t>- Mortgages</w:t>
            </w:r>
          </w:p>
        </w:tc>
        <w:tc>
          <w:tcPr>
            <w:tcW w:w="760" w:type="dxa"/>
            <w:vAlign w:val="bottom"/>
          </w:tcPr>
          <w:p>
            <w:pPr>
              <w:jc w:val="right"/>
              <w:spacing w:after="0"/>
              <w:rPr>
                <w:sz w:val="20"/>
                <w:szCs w:val="20"/>
                <w:color w:val="auto"/>
              </w:rPr>
            </w:pPr>
            <w:r>
              <w:rPr>
                <w:rFonts w:ascii="Arial" w:cs="Arial" w:eastAsia="Arial" w:hAnsi="Arial"/>
                <w:sz w:val="18"/>
                <w:szCs w:val="18"/>
                <w:color w:val="auto"/>
              </w:rPr>
              <w:t>2,240.8</w:t>
            </w:r>
          </w:p>
        </w:tc>
        <w:tc>
          <w:tcPr>
            <w:tcW w:w="2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2,111.3</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1,656.9</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6.1%</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35.2%</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953.7</w:t>
            </w:r>
          </w:p>
        </w:tc>
        <w:tc>
          <w:tcPr>
            <w:tcW w:w="680" w:type="dxa"/>
            <w:vAlign w:val="bottom"/>
          </w:tcPr>
          <w:p>
            <w:pPr>
              <w:jc w:val="right"/>
              <w:spacing w:after="0"/>
              <w:rPr>
                <w:sz w:val="20"/>
                <w:szCs w:val="20"/>
                <w:color w:val="auto"/>
              </w:rPr>
            </w:pPr>
            <w:r>
              <w:rPr>
                <w:rFonts w:ascii="Arial" w:cs="Arial" w:eastAsia="Arial" w:hAnsi="Arial"/>
                <w:sz w:val="18"/>
                <w:szCs w:val="18"/>
                <w:color w:val="auto"/>
              </w:rPr>
              <w:t>918.1</w:t>
            </w:r>
          </w:p>
        </w:tc>
        <w:tc>
          <w:tcPr>
            <w:tcW w:w="40" w:type="dxa"/>
            <w:vAlign w:val="bottom"/>
          </w:tcPr>
          <w:p>
            <w:pPr>
              <w:spacing w:after="0"/>
              <w:rPr>
                <w:sz w:val="18"/>
                <w:szCs w:val="18"/>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905.9</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3.9%</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r>
      <w:tr>
        <w:trPr>
          <w:trHeight w:val="216"/>
        </w:trPr>
        <w:tc>
          <w:tcPr>
            <w:tcW w:w="20" w:type="dxa"/>
            <w:vAlign w:val="bottom"/>
          </w:tcPr>
          <w:p>
            <w:pPr>
              <w:spacing w:after="0"/>
              <w:rPr>
                <w:sz w:val="18"/>
                <w:szCs w:val="18"/>
                <w:color w:val="auto"/>
              </w:rPr>
            </w:pPr>
          </w:p>
        </w:tc>
        <w:tc>
          <w:tcPr>
            <w:tcW w:w="2140" w:type="dxa"/>
            <w:vAlign w:val="bottom"/>
            <w:shd w:val="clear" w:color="auto" w:fill="CCFFCC"/>
          </w:tcPr>
          <w:p>
            <w:pPr>
              <w:spacing w:after="0"/>
              <w:rPr>
                <w:sz w:val="20"/>
                <w:szCs w:val="20"/>
                <w:color w:val="auto"/>
              </w:rPr>
            </w:pPr>
            <w:r>
              <w:rPr>
                <w:rFonts w:ascii="Arial" w:cs="Arial" w:eastAsia="Arial" w:hAnsi="Arial"/>
                <w:sz w:val="18"/>
                <w:szCs w:val="18"/>
                <w:i w:val="1"/>
                <w:iCs w:val="1"/>
                <w:color w:val="auto"/>
              </w:rPr>
              <w:t>- Consumer</w:t>
            </w: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1,830.5</w:t>
            </w:r>
          </w:p>
        </w:tc>
        <w:tc>
          <w:tcPr>
            <w:tcW w:w="20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1,729.6</w:t>
            </w:r>
          </w:p>
        </w:tc>
        <w:tc>
          <w:tcPr>
            <w:tcW w:w="9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1,586.7</w:t>
            </w:r>
          </w:p>
        </w:tc>
        <w:tc>
          <w:tcPr>
            <w:tcW w:w="9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5.8%</w:t>
            </w:r>
          </w:p>
        </w:tc>
        <w:tc>
          <w:tcPr>
            <w:tcW w:w="9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15.4%</w:t>
            </w:r>
          </w:p>
        </w:tc>
        <w:tc>
          <w:tcPr>
            <w:tcW w:w="8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244.9</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242.6</w:t>
            </w:r>
          </w:p>
        </w:tc>
        <w:tc>
          <w:tcPr>
            <w:tcW w:w="40" w:type="dxa"/>
            <w:vAlign w:val="bottom"/>
            <w:shd w:val="clear" w:color="auto" w:fill="CCFFCC"/>
          </w:tcPr>
          <w:p>
            <w:pPr>
              <w:spacing w:after="0"/>
              <w:rPr>
                <w:sz w:val="18"/>
                <w:szCs w:val="18"/>
                <w:color w:val="auto"/>
              </w:rPr>
            </w:pPr>
          </w:p>
        </w:tc>
        <w:tc>
          <w:tcPr>
            <w:tcW w:w="108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260.6</w:t>
            </w:r>
          </w:p>
        </w:tc>
        <w:tc>
          <w:tcPr>
            <w:tcW w:w="9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0.9%</w:t>
            </w:r>
          </w:p>
        </w:tc>
        <w:tc>
          <w:tcPr>
            <w:tcW w:w="8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-6.0%</w:t>
            </w: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8"/>
                <w:szCs w:val="18"/>
                <w:i w:val="1"/>
                <w:iCs w:val="1"/>
                <w:color w:val="auto"/>
              </w:rPr>
              <w:t>- Credit Cards</w:t>
            </w:r>
          </w:p>
        </w:tc>
        <w:tc>
          <w:tcPr>
            <w:tcW w:w="760" w:type="dxa"/>
            <w:vAlign w:val="bottom"/>
          </w:tcPr>
          <w:p>
            <w:pPr>
              <w:jc w:val="right"/>
              <w:spacing w:after="0"/>
              <w:rPr>
                <w:sz w:val="20"/>
                <w:szCs w:val="20"/>
                <w:color w:val="auto"/>
              </w:rPr>
            </w:pPr>
            <w:r>
              <w:rPr>
                <w:rFonts w:ascii="Arial" w:cs="Arial" w:eastAsia="Arial" w:hAnsi="Arial"/>
                <w:sz w:val="18"/>
                <w:szCs w:val="18"/>
                <w:color w:val="auto"/>
              </w:rPr>
              <w:t>1,310.6</w:t>
            </w:r>
          </w:p>
        </w:tc>
        <w:tc>
          <w:tcPr>
            <w:tcW w:w="2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1,301.2</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1,173.0</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0.7%</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11.7%</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68.6</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67.3</w:t>
            </w: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65.5</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r>
      <w:tr>
        <w:trPr>
          <w:trHeight w:val="216"/>
        </w:trPr>
        <w:tc>
          <w:tcPr>
            <w:tcW w:w="20" w:type="dxa"/>
            <w:vAlign w:val="bottom"/>
          </w:tcPr>
          <w:p>
            <w:pPr>
              <w:spacing w:after="0"/>
              <w:rPr>
                <w:sz w:val="18"/>
                <w:szCs w:val="18"/>
                <w:color w:val="auto"/>
              </w:rPr>
            </w:pPr>
          </w:p>
        </w:tc>
        <w:tc>
          <w:tcPr>
            <w:tcW w:w="21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Edyficar</w:t>
            </w:r>
          </w:p>
        </w:tc>
        <w:tc>
          <w:tcPr>
            <w:tcW w:w="9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810.8</w:t>
            </w:r>
          </w:p>
        </w:tc>
        <w:tc>
          <w:tcPr>
            <w:tcW w:w="9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751.1</w:t>
            </w:r>
          </w:p>
        </w:tc>
        <w:tc>
          <w:tcPr>
            <w:tcW w:w="9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8.0%</w:t>
            </w:r>
          </w:p>
        </w:tc>
        <w:tc>
          <w:tcPr>
            <w:tcW w:w="96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12.7</w:t>
            </w:r>
          </w:p>
        </w:tc>
        <w:tc>
          <w:tcPr>
            <w:tcW w:w="7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b w:val="1"/>
                <w:bCs w:val="1"/>
                <w:color w:val="auto"/>
              </w:rPr>
              <w:t>13.3</w:t>
            </w:r>
          </w:p>
        </w:tc>
        <w:tc>
          <w:tcPr>
            <w:tcW w:w="108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-4.0%</w:t>
            </w:r>
          </w:p>
        </w:tc>
        <w:tc>
          <w:tcPr>
            <w:tcW w:w="8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w:t>
            </w: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8"/>
                <w:szCs w:val="18"/>
                <w:b w:val="1"/>
                <w:bCs w:val="1"/>
                <w:color w:val="auto"/>
              </w:rPr>
              <w:t>Others (2)</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182.6</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174.9</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108.7</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4.4%</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68.0%</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674.7</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627.0</w:t>
            </w:r>
          </w:p>
        </w:tc>
        <w:tc>
          <w:tcPr>
            <w:tcW w:w="40" w:type="dxa"/>
            <w:vAlign w:val="bottom"/>
          </w:tcPr>
          <w:p>
            <w:pPr>
              <w:spacing w:after="0"/>
              <w:rPr>
                <w:sz w:val="18"/>
                <w:szCs w:val="18"/>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589.5</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7.6%</w:t>
            </w: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14.5%</w:t>
            </w:r>
          </w:p>
        </w:tc>
      </w:tr>
      <w:tr>
        <w:trPr>
          <w:trHeight w:val="223"/>
        </w:trPr>
        <w:tc>
          <w:tcPr>
            <w:tcW w:w="20" w:type="dxa"/>
            <w:vAlign w:val="bottom"/>
          </w:tcPr>
          <w:p>
            <w:pPr>
              <w:spacing w:after="0"/>
              <w:rPr>
                <w:sz w:val="19"/>
                <w:szCs w:val="19"/>
                <w:color w:val="auto"/>
              </w:rPr>
            </w:pPr>
          </w:p>
        </w:tc>
        <w:tc>
          <w:tcPr>
            <w:tcW w:w="2140" w:type="dxa"/>
            <w:vAlign w:val="bottom"/>
            <w:tcBorders>
              <w:bottom w:val="single" w:sz="8" w:color="CCFFCC"/>
            </w:tcBorders>
            <w:shd w:val="clear" w:color="auto" w:fill="CCFFCC"/>
          </w:tcPr>
          <w:p>
            <w:pPr>
              <w:spacing w:after="0"/>
              <w:rPr>
                <w:sz w:val="19"/>
                <w:szCs w:val="19"/>
                <w:color w:val="auto"/>
              </w:rPr>
            </w:pPr>
          </w:p>
        </w:tc>
        <w:tc>
          <w:tcPr>
            <w:tcW w:w="760" w:type="dxa"/>
            <w:vAlign w:val="bottom"/>
            <w:tcBorders>
              <w:bottom w:val="single" w:sz="8" w:color="auto"/>
            </w:tcBorders>
            <w:shd w:val="clear" w:color="auto" w:fill="CCFFCC"/>
          </w:tcPr>
          <w:p>
            <w:pPr>
              <w:spacing w:after="0"/>
              <w:rPr>
                <w:sz w:val="19"/>
                <w:szCs w:val="19"/>
                <w:color w:val="auto"/>
              </w:rPr>
            </w:pPr>
          </w:p>
        </w:tc>
        <w:tc>
          <w:tcPr>
            <w:tcW w:w="200" w:type="dxa"/>
            <w:vAlign w:val="bottom"/>
            <w:tcBorders>
              <w:bottom w:val="single" w:sz="8" w:color="CCFFCC"/>
            </w:tcBorders>
            <w:shd w:val="clear" w:color="auto" w:fill="CCFFCC"/>
          </w:tcPr>
          <w:p>
            <w:pPr>
              <w:spacing w:after="0"/>
              <w:rPr>
                <w:sz w:val="19"/>
                <w:szCs w:val="19"/>
                <w:color w:val="auto"/>
              </w:rPr>
            </w:pPr>
          </w:p>
        </w:tc>
        <w:tc>
          <w:tcPr>
            <w:tcW w:w="760" w:type="dxa"/>
            <w:vAlign w:val="bottom"/>
            <w:tcBorders>
              <w:bottom w:val="single" w:sz="8" w:color="auto"/>
            </w:tcBorders>
            <w:shd w:val="clear" w:color="auto" w:fill="CCFFCC"/>
          </w:tcPr>
          <w:p>
            <w:pPr>
              <w:spacing w:after="0"/>
              <w:rPr>
                <w:sz w:val="19"/>
                <w:szCs w:val="19"/>
                <w:color w:val="auto"/>
              </w:rPr>
            </w:pPr>
          </w:p>
        </w:tc>
        <w:tc>
          <w:tcPr>
            <w:tcW w:w="200" w:type="dxa"/>
            <w:vAlign w:val="bottom"/>
            <w:tcBorders>
              <w:bottom w:val="single" w:sz="8" w:color="CCFFCC"/>
            </w:tcBorders>
            <w:shd w:val="clear" w:color="auto" w:fill="CCFFCC"/>
          </w:tcPr>
          <w:p>
            <w:pPr>
              <w:spacing w:after="0"/>
              <w:rPr>
                <w:sz w:val="19"/>
                <w:szCs w:val="19"/>
                <w:color w:val="auto"/>
              </w:rPr>
            </w:pPr>
          </w:p>
        </w:tc>
        <w:tc>
          <w:tcPr>
            <w:tcW w:w="740" w:type="dxa"/>
            <w:vAlign w:val="bottom"/>
            <w:tcBorders>
              <w:bottom w:val="single" w:sz="8" w:color="auto"/>
            </w:tcBorders>
            <w:shd w:val="clear" w:color="auto" w:fill="CCFFCC"/>
          </w:tcPr>
          <w:p>
            <w:pPr>
              <w:spacing w:after="0"/>
              <w:rPr>
                <w:sz w:val="19"/>
                <w:szCs w:val="19"/>
                <w:color w:val="auto"/>
              </w:rPr>
            </w:pPr>
          </w:p>
        </w:tc>
        <w:tc>
          <w:tcPr>
            <w:tcW w:w="220" w:type="dxa"/>
            <w:vAlign w:val="bottom"/>
            <w:tcBorders>
              <w:bottom w:val="single" w:sz="8" w:color="CCFFCC"/>
            </w:tcBorders>
            <w:shd w:val="clear" w:color="auto" w:fill="CCFFCC"/>
          </w:tcPr>
          <w:p>
            <w:pPr>
              <w:spacing w:after="0"/>
              <w:rPr>
                <w:sz w:val="19"/>
                <w:szCs w:val="19"/>
                <w:color w:val="auto"/>
              </w:rPr>
            </w:pPr>
          </w:p>
        </w:tc>
        <w:tc>
          <w:tcPr>
            <w:tcW w:w="640" w:type="dxa"/>
            <w:vAlign w:val="bottom"/>
            <w:tcBorders>
              <w:bottom w:val="single" w:sz="8" w:color="auto"/>
            </w:tcBorders>
            <w:shd w:val="clear" w:color="auto" w:fill="CCFFCC"/>
          </w:tcPr>
          <w:p>
            <w:pPr>
              <w:spacing w:after="0"/>
              <w:rPr>
                <w:sz w:val="19"/>
                <w:szCs w:val="19"/>
                <w:color w:val="auto"/>
              </w:rPr>
            </w:pPr>
          </w:p>
        </w:tc>
        <w:tc>
          <w:tcPr>
            <w:tcW w:w="300" w:type="dxa"/>
            <w:vAlign w:val="bottom"/>
            <w:tcBorders>
              <w:bottom w:val="single" w:sz="8" w:color="CCFFCC"/>
            </w:tcBorders>
            <w:shd w:val="clear" w:color="auto" w:fill="CCFFCC"/>
          </w:tcPr>
          <w:p>
            <w:pPr>
              <w:spacing w:after="0"/>
              <w:rPr>
                <w:sz w:val="19"/>
                <w:szCs w:val="19"/>
                <w:color w:val="auto"/>
              </w:rPr>
            </w:pPr>
          </w:p>
        </w:tc>
        <w:tc>
          <w:tcPr>
            <w:tcW w:w="660" w:type="dxa"/>
            <w:vAlign w:val="bottom"/>
            <w:tcBorders>
              <w:bottom w:val="single" w:sz="8" w:color="auto"/>
            </w:tcBorders>
            <w:shd w:val="clear" w:color="auto" w:fill="CCFFCC"/>
          </w:tcPr>
          <w:p>
            <w:pPr>
              <w:spacing w:after="0"/>
              <w:rPr>
                <w:sz w:val="19"/>
                <w:szCs w:val="19"/>
                <w:color w:val="auto"/>
              </w:rPr>
            </w:pPr>
          </w:p>
        </w:tc>
        <w:tc>
          <w:tcPr>
            <w:tcW w:w="300" w:type="dxa"/>
            <w:vAlign w:val="bottom"/>
            <w:tcBorders>
              <w:bottom w:val="single" w:sz="8" w:color="CCFFCC"/>
            </w:tcBorders>
            <w:shd w:val="clear" w:color="auto" w:fill="CCFFCC"/>
          </w:tcPr>
          <w:p>
            <w:pPr>
              <w:spacing w:after="0"/>
              <w:rPr>
                <w:sz w:val="19"/>
                <w:szCs w:val="19"/>
                <w:color w:val="auto"/>
              </w:rPr>
            </w:pPr>
          </w:p>
        </w:tc>
        <w:tc>
          <w:tcPr>
            <w:tcW w:w="680" w:type="dxa"/>
            <w:vAlign w:val="bottom"/>
            <w:tcBorders>
              <w:bottom w:val="single" w:sz="8" w:color="auto"/>
            </w:tcBorders>
            <w:shd w:val="clear" w:color="auto" w:fill="CCFFCC"/>
          </w:tcPr>
          <w:p>
            <w:pPr>
              <w:spacing w:after="0"/>
              <w:rPr>
                <w:sz w:val="19"/>
                <w:szCs w:val="19"/>
                <w:color w:val="auto"/>
              </w:rPr>
            </w:pPr>
          </w:p>
        </w:tc>
        <w:tc>
          <w:tcPr>
            <w:tcW w:w="200" w:type="dxa"/>
            <w:vAlign w:val="bottom"/>
            <w:tcBorders>
              <w:bottom w:val="single" w:sz="8" w:color="CCFFCC"/>
            </w:tcBorders>
            <w:shd w:val="clear" w:color="auto" w:fill="CCFFCC"/>
          </w:tcPr>
          <w:p>
            <w:pPr>
              <w:spacing w:after="0"/>
              <w:rPr>
                <w:sz w:val="19"/>
                <w:szCs w:val="19"/>
                <w:color w:val="auto"/>
              </w:rPr>
            </w:pPr>
          </w:p>
        </w:tc>
        <w:tc>
          <w:tcPr>
            <w:tcW w:w="680" w:type="dxa"/>
            <w:vAlign w:val="bottom"/>
            <w:tcBorders>
              <w:bottom w:val="single" w:sz="8" w:color="auto"/>
            </w:tcBorders>
            <w:shd w:val="clear" w:color="auto" w:fill="CCFFCC"/>
          </w:tcPr>
          <w:p>
            <w:pPr>
              <w:spacing w:after="0"/>
              <w:rPr>
                <w:sz w:val="19"/>
                <w:szCs w:val="19"/>
                <w:color w:val="auto"/>
              </w:rPr>
            </w:pPr>
          </w:p>
        </w:tc>
        <w:tc>
          <w:tcPr>
            <w:tcW w:w="40" w:type="dxa"/>
            <w:vAlign w:val="bottom"/>
            <w:tcBorders>
              <w:bottom w:val="single" w:sz="8" w:color="CCFFCC"/>
            </w:tcBorders>
            <w:shd w:val="clear" w:color="auto" w:fill="CCFFCC"/>
          </w:tcPr>
          <w:p>
            <w:pPr>
              <w:spacing w:after="0"/>
              <w:rPr>
                <w:sz w:val="19"/>
                <w:szCs w:val="19"/>
                <w:color w:val="auto"/>
              </w:rPr>
            </w:pPr>
          </w:p>
        </w:tc>
        <w:tc>
          <w:tcPr>
            <w:tcW w:w="180" w:type="dxa"/>
            <w:vAlign w:val="bottom"/>
            <w:tcBorders>
              <w:bottom w:val="single" w:sz="8" w:color="CCFFCC"/>
            </w:tcBorders>
            <w:shd w:val="clear" w:color="auto" w:fill="CCFFCC"/>
          </w:tcPr>
          <w:p>
            <w:pPr>
              <w:spacing w:after="0"/>
              <w:rPr>
                <w:sz w:val="19"/>
                <w:szCs w:val="19"/>
                <w:color w:val="auto"/>
              </w:rPr>
            </w:pPr>
          </w:p>
        </w:tc>
        <w:tc>
          <w:tcPr>
            <w:tcW w:w="680" w:type="dxa"/>
            <w:vAlign w:val="bottom"/>
            <w:tcBorders>
              <w:bottom w:val="single" w:sz="8" w:color="auto"/>
            </w:tcBorders>
            <w:shd w:val="clear" w:color="auto" w:fill="CCFFCC"/>
          </w:tcPr>
          <w:p>
            <w:pPr>
              <w:spacing w:after="0"/>
              <w:rPr>
                <w:sz w:val="19"/>
                <w:szCs w:val="19"/>
                <w:color w:val="auto"/>
              </w:rPr>
            </w:pPr>
          </w:p>
        </w:tc>
        <w:tc>
          <w:tcPr>
            <w:tcW w:w="220" w:type="dxa"/>
            <w:vAlign w:val="bottom"/>
            <w:tcBorders>
              <w:bottom w:val="single" w:sz="8" w:color="CCFFCC"/>
            </w:tcBorders>
            <w:shd w:val="clear" w:color="auto" w:fill="CCFFCC"/>
          </w:tcPr>
          <w:p>
            <w:pPr>
              <w:spacing w:after="0"/>
              <w:rPr>
                <w:sz w:val="19"/>
                <w:szCs w:val="19"/>
                <w:color w:val="auto"/>
              </w:rPr>
            </w:pPr>
          </w:p>
        </w:tc>
        <w:tc>
          <w:tcPr>
            <w:tcW w:w="660" w:type="dxa"/>
            <w:vAlign w:val="bottom"/>
            <w:tcBorders>
              <w:bottom w:val="single" w:sz="8" w:color="auto"/>
            </w:tcBorders>
            <w:shd w:val="clear" w:color="auto" w:fill="CCFFCC"/>
          </w:tcPr>
          <w:p>
            <w:pPr>
              <w:spacing w:after="0"/>
              <w:rPr>
                <w:sz w:val="19"/>
                <w:szCs w:val="19"/>
                <w:color w:val="auto"/>
              </w:rPr>
            </w:pPr>
          </w:p>
        </w:tc>
        <w:tc>
          <w:tcPr>
            <w:tcW w:w="280" w:type="dxa"/>
            <w:vAlign w:val="bottom"/>
            <w:tcBorders>
              <w:bottom w:val="single" w:sz="8" w:color="CCFFCC"/>
            </w:tcBorders>
            <w:shd w:val="clear" w:color="auto" w:fill="CCFFCC"/>
          </w:tcPr>
          <w:p>
            <w:pPr>
              <w:spacing w:after="0"/>
              <w:rPr>
                <w:sz w:val="19"/>
                <w:szCs w:val="19"/>
                <w:color w:val="auto"/>
              </w:rPr>
            </w:pPr>
          </w:p>
        </w:tc>
        <w:tc>
          <w:tcPr>
            <w:tcW w:w="680" w:type="dxa"/>
            <w:vAlign w:val="bottom"/>
            <w:tcBorders>
              <w:bottom w:val="single" w:sz="8" w:color="auto"/>
            </w:tcBorders>
            <w:shd w:val="clear" w:color="auto" w:fill="CCFFCC"/>
          </w:tcPr>
          <w:p>
            <w:pPr>
              <w:spacing w:after="0"/>
              <w:rPr>
                <w:sz w:val="19"/>
                <w:szCs w:val="19"/>
                <w:color w:val="auto"/>
              </w:rPr>
            </w:pPr>
          </w:p>
        </w:tc>
        <w:tc>
          <w:tcPr>
            <w:tcW w:w="180" w:type="dxa"/>
            <w:vAlign w:val="bottom"/>
            <w:tcBorders>
              <w:bottom w:val="single" w:sz="8" w:color="CCFFCC"/>
            </w:tcBorders>
            <w:shd w:val="clear" w:color="auto" w:fill="CCFFCC"/>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2140" w:type="dxa"/>
            <w:vAlign w:val="bottom"/>
          </w:tcPr>
          <w:p>
            <w:pPr>
              <w:spacing w:after="0"/>
              <w:rPr>
                <w:sz w:val="20"/>
                <w:szCs w:val="20"/>
                <w:color w:val="auto"/>
              </w:rPr>
            </w:pPr>
            <w:r>
              <w:rPr>
                <w:rFonts w:ascii="Arial" w:cs="Arial" w:eastAsia="Arial" w:hAnsi="Arial"/>
                <w:sz w:val="18"/>
                <w:szCs w:val="18"/>
                <w:b w:val="1"/>
                <w:bCs w:val="1"/>
                <w:color w:val="auto"/>
              </w:rPr>
              <w:t>Consolidated total loans</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14,304.1</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13,674.7</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11,418.9</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4.6%</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25.3%</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7,823.1</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7,403.3</w:t>
            </w:r>
          </w:p>
        </w:tc>
        <w:tc>
          <w:tcPr>
            <w:tcW w:w="40" w:type="dxa"/>
            <w:vAlign w:val="bottom"/>
          </w:tcPr>
          <w:p>
            <w:pPr>
              <w:spacing w:after="0"/>
              <w:rPr>
                <w:sz w:val="20"/>
                <w:szCs w:val="20"/>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6,614.9</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5.7%</w:t>
            </w: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18.3%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1377315</wp:posOffset>
            </wp:positionH>
            <wp:positionV relativeFrom="paragraph">
              <wp:posOffset>-10795</wp:posOffset>
            </wp:positionV>
            <wp:extent cx="575437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ind w:left="260" w:hanging="252"/>
        <w:spacing w:after="0"/>
        <w:tabs>
          <w:tab w:leader="none" w:pos="2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Average daily balance</w:t>
      </w:r>
    </w:p>
    <w:p>
      <w:pPr>
        <w:spacing w:after="0" w:line="17" w:lineRule="exact"/>
        <w:rPr>
          <w:rFonts w:ascii="Arial" w:cs="Arial" w:eastAsia="Arial" w:hAnsi="Arial"/>
          <w:sz w:val="18"/>
          <w:szCs w:val="18"/>
          <w:i w:val="1"/>
          <w:iCs w:val="1"/>
          <w:color w:val="auto"/>
        </w:rPr>
      </w:pPr>
    </w:p>
    <w:p>
      <w:pPr>
        <w:ind w:left="260" w:hanging="252"/>
        <w:spacing w:after="0"/>
        <w:tabs>
          <w:tab w:leader="none" w:pos="2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Includes Work Out Unit, other banking and BCP Bolivia.</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It is evident that a significant portion of portfolio growth comes from expansion in the FC portfolio that is mainly attributable to an increase in Wholesale Banking loans, which in turn was driven by portfolio growth experimented in Middle-Market Banking. This segment captured important short-term transactions during the fishing season and to a lesser extent during the coffee campaign and obtained long-term loans thanks to real estate investment projects, which continue to grow.</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Growth in the FC portfolio is associated with a weak US dollar and the lower rates for the foreign currency portfolio. In this scenario, the wholesale sector is better prepared to manage FC exposure thanks to the natural cover provided by the nature of its business (in terms of assets and income in FC) and the fact that their technical expertise allows them to access to adequate market coverage.</w:t>
      </w:r>
    </w:p>
    <w:p>
      <w:pPr>
        <w:spacing w:after="0" w:line="20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Growth in the local currency portfolio is primarily attributable to Retail Banking’s expansion, particularly in the SME-Business and Mortgage segments, which grew 7.4% and 6.1% QoQ, respectively, due to more extensive financial inclusion and current economic development. As such, it is evident that retail clients are aware of the fact that it is best to avoid the exchange risk that is implicit in borrowing in a currency different from that of their income base. This growth was strengthened by the Wholesale Portfolio, which experienced a reactivation of LC loans and a corresponding increase of 2.5% QoQ thanks to mid-term transactions. This evolution is noteworthy because of the growth it implies and the fact that it offset last quarter’s negative result of -6.1%. In addition to the favorable results of both banking businesses, Edyficar reported significant growth of 8% QoQ in comparison to the QoQ 5.8% increase achieved in 2Q10.</w:t>
      </w:r>
    </w:p>
    <w:p>
      <w:pPr>
        <w:spacing w:after="0" w:line="340"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110490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6"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175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Market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1849120</wp:posOffset>
            </wp:positionH>
            <wp:positionV relativeFrom="paragraph">
              <wp:posOffset>169545</wp:posOffset>
            </wp:positionV>
            <wp:extent cx="3567430" cy="14319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567430" cy="1431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the end of September, BCP consolidated maintained its market leadership with a 30.6% share, which is 10 percentage points above the figure reported for its closest competitor. It is important to emphasize that we currently hold 34.3% of the market for mortgage loans.</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the end of August, the market shares of Corporate Banking and Middle-Market Banking proved that BCP is solidly positioned, reaching 44% and 32.9% respectively. These figures mirror those reported at the end of June 2010. Within Retail Banking, per product shares, which include the mortgage, consumer and credit card lines, showed little variation QoQ. During the last quarter, a number of changes were made in the classification of PYME and Business products. As such, we currently lack up-dated data to conduct a comparison with the previous classification system.</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Dollarization</w:t>
      </w:r>
    </w:p>
    <w:p>
      <w:pPr>
        <w:spacing w:after="0" w:line="25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foreign currency portfolio accounted for 60.7% of the total portfolio at the end of the third quarter. This represents a slight decline that was due to growth in the LC portfolio of Retail Banking and Wholesale Banking, the latter of which disbursed significant mid-term loans in LC during the third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1634490</wp:posOffset>
            </wp:positionH>
            <wp:positionV relativeFrom="paragraph">
              <wp:posOffset>104775</wp:posOffset>
            </wp:positionV>
            <wp:extent cx="3987800" cy="20923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987800" cy="2092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0"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175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II.2 Deposits and Mutual Funds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At the end of 3Q10, deposits reported 10.1% growth QoQ that was driven primarily by an increase in time deposits (+24.2%) and demand deposits (+29.8%) and to a lesser degree by savings accounts (+6.8%). Mutual funds reported a slight increase of 2.1% QoQ.</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Deposits and obligations</w:t>
            </w:r>
          </w:p>
        </w:tc>
        <w:tc>
          <w:tcPr>
            <w:tcW w:w="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rPr>
              <w:t>Quarter</w:t>
            </w:r>
          </w:p>
        </w:tc>
        <w:tc>
          <w:tcPr>
            <w:tcW w:w="10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b w:val="1"/>
                <w:bCs w:val="1"/>
                <w:color w:val="auto"/>
                <w:w w:val="96"/>
              </w:rPr>
              <w:t>Change %</w:t>
            </w:r>
          </w:p>
        </w:tc>
        <w:tc>
          <w:tcPr>
            <w:tcW w:w="7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US$ 000</w:t>
            </w:r>
          </w:p>
        </w:tc>
        <w:tc>
          <w:tcPr>
            <w:tcW w:w="8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3Q10</w:t>
            </w:r>
          </w:p>
        </w:tc>
        <w:tc>
          <w:tcPr>
            <w:tcW w:w="12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2Q10</w:t>
            </w:r>
          </w:p>
        </w:tc>
        <w:tc>
          <w:tcPr>
            <w:tcW w:w="1000" w:type="dxa"/>
            <w:vAlign w:val="bottom"/>
          </w:tcPr>
          <w:p>
            <w:pPr>
              <w:jc w:val="right"/>
              <w:ind w:right="210"/>
              <w:spacing w:after="0"/>
              <w:rPr>
                <w:sz w:val="20"/>
                <w:szCs w:val="20"/>
                <w:color w:val="auto"/>
              </w:rPr>
            </w:pPr>
            <w:r>
              <w:rPr>
                <w:rFonts w:ascii="Arial" w:cs="Arial" w:eastAsia="Arial" w:hAnsi="Arial"/>
                <w:sz w:val="18"/>
                <w:szCs w:val="18"/>
                <w:b w:val="1"/>
                <w:bCs w:val="1"/>
                <w:color w:val="auto"/>
              </w:rPr>
              <w:t>3Q09</w:t>
            </w:r>
          </w:p>
        </w:tc>
        <w:tc>
          <w:tcPr>
            <w:tcW w:w="200" w:type="dxa"/>
            <w:vAlign w:val="bottom"/>
          </w:tcPr>
          <w:p>
            <w:pPr>
              <w:spacing w:after="0"/>
              <w:rPr>
                <w:sz w:val="18"/>
                <w:szCs w:val="18"/>
                <w:color w:val="auto"/>
              </w:rPr>
            </w:pPr>
          </w:p>
        </w:tc>
        <w:tc>
          <w:tcPr>
            <w:tcW w:w="680" w:type="dxa"/>
            <w:vAlign w:val="bottom"/>
          </w:tcPr>
          <w:p>
            <w:pPr>
              <w:ind w:left="320"/>
              <w:spacing w:after="0"/>
              <w:rPr>
                <w:sz w:val="20"/>
                <w:szCs w:val="20"/>
                <w:color w:val="auto"/>
              </w:rPr>
            </w:pPr>
            <w:r>
              <w:rPr>
                <w:rFonts w:ascii="Arial" w:cs="Arial" w:eastAsia="Arial" w:hAnsi="Arial"/>
                <w:sz w:val="18"/>
                <w:szCs w:val="18"/>
                <w:b w:val="1"/>
                <w:bCs w:val="1"/>
                <w:color w:val="auto"/>
                <w:w w:val="87"/>
              </w:rPr>
              <w:t>QoQ</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ind w:left="40"/>
              <w:spacing w:after="0"/>
              <w:rPr>
                <w:sz w:val="20"/>
                <w:szCs w:val="20"/>
                <w:color w:val="auto"/>
              </w:rPr>
            </w:pPr>
            <w:r>
              <w:rPr>
                <w:rFonts w:ascii="Arial" w:cs="Arial" w:eastAsia="Arial" w:hAnsi="Arial"/>
                <w:sz w:val="18"/>
                <w:szCs w:val="18"/>
                <w:b w:val="1"/>
                <w:bCs w:val="1"/>
                <w:color w:val="auto"/>
              </w:rPr>
              <w:t>YoY</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FFCC"/>
          </w:tcPr>
          <w:p>
            <w:pPr>
              <w:spacing w:after="0"/>
              <w:rPr>
                <w:sz w:val="20"/>
                <w:szCs w:val="20"/>
                <w:color w:val="auto"/>
              </w:rPr>
            </w:pPr>
            <w:r>
              <w:rPr>
                <w:rFonts w:ascii="Arial" w:cs="Arial" w:eastAsia="Arial" w:hAnsi="Arial"/>
                <w:sz w:val="18"/>
                <w:szCs w:val="18"/>
                <w:color w:val="auto"/>
              </w:rPr>
              <w:t>Non-interest bearing deposits</w:t>
            </w:r>
          </w:p>
        </w:tc>
        <w:tc>
          <w:tcPr>
            <w:tcW w:w="8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3,918,653</w:t>
            </w:r>
          </w:p>
        </w:tc>
        <w:tc>
          <w:tcPr>
            <w:tcW w:w="18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4,027,803</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3,415,360</w:t>
            </w:r>
          </w:p>
        </w:tc>
        <w:tc>
          <w:tcPr>
            <w:tcW w:w="200" w:type="dxa"/>
            <w:vAlign w:val="bottom"/>
            <w:shd w:val="clear" w:color="auto" w:fill="CCFFCC"/>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6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w w:val="97"/>
              </w:rPr>
              <w:t>-2.7%</w:t>
            </w:r>
          </w:p>
        </w:tc>
        <w:tc>
          <w:tcPr>
            <w:tcW w:w="30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Demand deposits</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1,338,403</w:t>
            </w:r>
          </w:p>
        </w:tc>
        <w:tc>
          <w:tcPr>
            <w:tcW w:w="18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1,031,248</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883,553</w:t>
            </w:r>
          </w:p>
        </w:tc>
        <w:tc>
          <w:tcPr>
            <w:tcW w:w="68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29.8%</w:t>
            </w:r>
          </w:p>
        </w:tc>
        <w:tc>
          <w:tcPr>
            <w:tcW w:w="3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FFCC"/>
          </w:tcPr>
          <w:p>
            <w:pPr>
              <w:spacing w:after="0"/>
              <w:rPr>
                <w:sz w:val="20"/>
                <w:szCs w:val="20"/>
                <w:color w:val="auto"/>
              </w:rPr>
            </w:pPr>
            <w:r>
              <w:rPr>
                <w:rFonts w:ascii="Arial" w:cs="Arial" w:eastAsia="Arial" w:hAnsi="Arial"/>
                <w:sz w:val="18"/>
                <w:szCs w:val="18"/>
                <w:color w:val="auto"/>
              </w:rPr>
              <w:t>Saving deposits</w:t>
            </w:r>
          </w:p>
        </w:tc>
        <w:tc>
          <w:tcPr>
            <w:tcW w:w="11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3,953,997</w:t>
            </w:r>
          </w:p>
        </w:tc>
        <w:tc>
          <w:tcPr>
            <w:tcW w:w="18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3,702,869</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3,387,339</w:t>
            </w:r>
          </w:p>
        </w:tc>
        <w:tc>
          <w:tcPr>
            <w:tcW w:w="200" w:type="dxa"/>
            <w:vAlign w:val="bottom"/>
            <w:shd w:val="clear" w:color="auto" w:fill="CCFFCC"/>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6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6.8%</w:t>
            </w:r>
          </w:p>
        </w:tc>
        <w:tc>
          <w:tcPr>
            <w:tcW w:w="30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Time deposits</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5,267,355</w:t>
            </w:r>
          </w:p>
        </w:tc>
        <w:tc>
          <w:tcPr>
            <w:tcW w:w="18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4,242,721</w:t>
            </w:r>
          </w:p>
        </w:tc>
        <w:tc>
          <w:tcPr>
            <w:tcW w:w="1000" w:type="dxa"/>
            <w:vAlign w:val="bottom"/>
          </w:tcPr>
          <w:p>
            <w:pPr>
              <w:jc w:val="right"/>
              <w:spacing w:after="0"/>
              <w:rPr>
                <w:sz w:val="20"/>
                <w:szCs w:val="20"/>
                <w:color w:val="auto"/>
              </w:rPr>
            </w:pPr>
            <w:r>
              <w:rPr>
                <w:rFonts w:ascii="Arial" w:cs="Arial" w:eastAsia="Arial" w:hAnsi="Arial"/>
                <w:sz w:val="18"/>
                <w:szCs w:val="18"/>
                <w:color w:val="auto"/>
              </w:rPr>
              <w:t>5,179,047</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24.2%</w:t>
            </w:r>
          </w:p>
        </w:tc>
        <w:tc>
          <w:tcPr>
            <w:tcW w:w="3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FFCC"/>
          </w:tcPr>
          <w:p>
            <w:pPr>
              <w:spacing w:after="0"/>
              <w:rPr>
                <w:sz w:val="20"/>
                <w:szCs w:val="20"/>
                <w:color w:val="auto"/>
              </w:rPr>
            </w:pPr>
            <w:r>
              <w:rPr>
                <w:rFonts w:ascii="Arial" w:cs="Arial" w:eastAsia="Arial" w:hAnsi="Arial"/>
                <w:sz w:val="18"/>
                <w:szCs w:val="18"/>
                <w:color w:val="auto"/>
              </w:rPr>
              <w:t>Severance indemnity deposits (CTS)</w:t>
            </w:r>
          </w:p>
        </w:tc>
        <w:tc>
          <w:tcPr>
            <w:tcW w:w="11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1,127,933</w:t>
            </w:r>
          </w:p>
        </w:tc>
        <w:tc>
          <w:tcPr>
            <w:tcW w:w="18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1,176,925</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1,012,534</w:t>
            </w:r>
          </w:p>
        </w:tc>
        <w:tc>
          <w:tcPr>
            <w:tcW w:w="200" w:type="dxa"/>
            <w:vAlign w:val="bottom"/>
            <w:shd w:val="clear" w:color="auto" w:fill="CCFFCC"/>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6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w w:val="97"/>
              </w:rPr>
              <w:t>-4.2%</w:t>
            </w:r>
          </w:p>
        </w:tc>
        <w:tc>
          <w:tcPr>
            <w:tcW w:w="30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Interest payable</w:t>
            </w:r>
          </w:p>
        </w:tc>
        <w:tc>
          <w:tcPr>
            <w:tcW w:w="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36,026</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28,397</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68,881</w:t>
            </w:r>
          </w:p>
        </w:tc>
        <w:tc>
          <w:tcPr>
            <w:tcW w:w="68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26.9%</w:t>
            </w:r>
          </w:p>
        </w:tc>
        <w:tc>
          <w:tcPr>
            <w:tcW w:w="3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 customer deposits</w:t>
            </w:r>
          </w:p>
        </w:tc>
        <w:tc>
          <w:tcPr>
            <w:tcW w:w="8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15,642,367</w:t>
            </w:r>
          </w:p>
        </w:tc>
        <w:tc>
          <w:tcPr>
            <w:tcW w:w="18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14,209,963</w:t>
            </w:r>
          </w:p>
        </w:tc>
        <w:tc>
          <w:tcPr>
            <w:tcW w:w="12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13,946,714</w:t>
            </w:r>
          </w:p>
        </w:tc>
        <w:tc>
          <w:tcPr>
            <w:tcW w:w="680" w:type="dxa"/>
            <w:vAlign w:val="bottom"/>
            <w:shd w:val="clear" w:color="auto" w:fill="CCFFCC"/>
          </w:tcPr>
          <w:p>
            <w:pPr>
              <w:spacing w:after="0"/>
              <w:rPr>
                <w:sz w:val="18"/>
                <w:szCs w:val="18"/>
                <w:color w:val="auto"/>
              </w:rPr>
            </w:pPr>
          </w:p>
        </w:tc>
        <w:tc>
          <w:tcPr>
            <w:tcW w:w="6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w w:val="93"/>
              </w:rPr>
              <w:t>10.1%</w:t>
            </w:r>
          </w:p>
        </w:tc>
        <w:tc>
          <w:tcPr>
            <w:tcW w:w="30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12.2%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6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Mutual funds in Perú</w:t>
            </w: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2,164,067</w:t>
            </w:r>
          </w:p>
        </w:tc>
        <w:tc>
          <w:tcPr>
            <w:tcW w:w="18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2,117,306</w:t>
            </w:r>
          </w:p>
        </w:tc>
        <w:tc>
          <w:tcPr>
            <w:tcW w:w="1000" w:type="dxa"/>
            <w:vAlign w:val="bottom"/>
          </w:tcPr>
          <w:p>
            <w:pPr>
              <w:jc w:val="right"/>
              <w:spacing w:after="0"/>
              <w:rPr>
                <w:sz w:val="20"/>
                <w:szCs w:val="20"/>
                <w:color w:val="auto"/>
              </w:rPr>
            </w:pPr>
            <w:r>
              <w:rPr>
                <w:rFonts w:ascii="Arial" w:cs="Arial" w:eastAsia="Arial" w:hAnsi="Arial"/>
                <w:sz w:val="18"/>
                <w:szCs w:val="18"/>
                <w:color w:val="auto"/>
              </w:rPr>
              <w:t>1,779,085</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FFCC"/>
          </w:tcPr>
          <w:p>
            <w:pPr>
              <w:spacing w:after="0"/>
              <w:rPr>
                <w:sz w:val="20"/>
                <w:szCs w:val="20"/>
                <w:color w:val="auto"/>
              </w:rPr>
            </w:pPr>
            <w:r>
              <w:rPr>
                <w:rFonts w:ascii="Arial" w:cs="Arial" w:eastAsia="Arial" w:hAnsi="Arial"/>
                <w:sz w:val="18"/>
                <w:szCs w:val="18"/>
                <w:color w:val="auto"/>
              </w:rPr>
              <w:t>Mutual funds in Bolivia</w:t>
            </w:r>
          </w:p>
        </w:tc>
        <w:tc>
          <w:tcPr>
            <w:tcW w:w="8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123,312</w:t>
            </w:r>
          </w:p>
        </w:tc>
        <w:tc>
          <w:tcPr>
            <w:tcW w:w="18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123,084</w:t>
            </w:r>
          </w:p>
        </w:tc>
        <w:tc>
          <w:tcPr>
            <w:tcW w:w="12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156,339</w:t>
            </w:r>
          </w:p>
        </w:tc>
        <w:tc>
          <w:tcPr>
            <w:tcW w:w="680" w:type="dxa"/>
            <w:vAlign w:val="bottom"/>
            <w:shd w:val="clear" w:color="auto" w:fill="CCFFCC"/>
          </w:tcPr>
          <w:p>
            <w:pPr>
              <w:spacing w:after="0"/>
              <w:rPr>
                <w:sz w:val="18"/>
                <w:szCs w:val="18"/>
                <w:color w:val="auto"/>
              </w:rPr>
            </w:pPr>
          </w:p>
        </w:tc>
        <w:tc>
          <w:tcPr>
            <w:tcW w:w="6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0.2%</w:t>
            </w:r>
          </w:p>
        </w:tc>
        <w:tc>
          <w:tcPr>
            <w:tcW w:w="30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6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Total customer funds</w:t>
            </w: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17,929,746</w:t>
            </w:r>
          </w:p>
        </w:tc>
        <w:tc>
          <w:tcPr>
            <w:tcW w:w="18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16,450,353</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15,882,138</w:t>
            </w:r>
          </w:p>
        </w:tc>
        <w:tc>
          <w:tcPr>
            <w:tcW w:w="6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9.0%</w:t>
            </w:r>
          </w:p>
        </w:tc>
        <w:tc>
          <w:tcPr>
            <w:tcW w:w="3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increase reported in deposits was due mainly to growth in time deposits given that Wholesale Banking’s clients maintained higher balances this quarter.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increase in time deposits is in line with the CDs investment strategy. Demand deposits and savings accounts reported growth of 29.8% QoQ and 6.8%</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QoQ due to an increase in deposits in Wholesale Banking and Retail Banking respectively.</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evolution in funding sources is proof of BCP’s ability to capture the funds that will allow it to back future economic growth in the country. The aforementioned implied an increase in the cost of funding, which went from 1.82% in 2Q10 to 2.111% in 3Q10. This increase is mainly explained by two factors: i) the higher reference rate in Nuevos Soles (from 1.75% in June to 3% in September); and ii) the effect of reserve requirement measures that generated the reduction of US dollar liquidity, which increased the cost of fund for such currency.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BCP’s mutual funds grew 2.1% QoQ due to favorable market value and the campaigns that this segment conducted in 3Q10.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2303145</wp:posOffset>
            </wp:positionH>
            <wp:positionV relativeFrom="paragraph">
              <wp:posOffset>169545</wp:posOffset>
            </wp:positionV>
            <wp:extent cx="2649855" cy="1783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649855" cy="1783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0"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175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Market Share in Deposits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the end of September, BCP led the deposits market with a 34.1% market share. This figure was higher than that obtained in 2Q10 (33.1%) and 14 percentage points above its closest competitor. If we analyze market share by deposit and currency type, BCP maintains a solid lead and has performed particularly well in terms of CTS deposits in FC and savings in LC where its market share tops 40%.</w:t>
      </w:r>
    </w:p>
    <w:p>
      <w:pPr>
        <w:spacing w:after="0" w:line="204"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Market share by type of deposit and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17145</wp:posOffset>
            </wp:positionV>
            <wp:extent cx="424497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244975" cy="17145"/>
                    </a:xfrm>
                    <a:prstGeom prst="rect">
                      <a:avLst/>
                    </a:prstGeom>
                    <a:noFill/>
                  </pic:spPr>
                </pic:pic>
              </a:graphicData>
            </a:graphic>
          </wp:anchor>
        </w:drawing>
      </w:r>
    </w:p>
    <w:p>
      <w:pPr>
        <w:spacing w:after="0" w:line="20" w:lineRule="exact"/>
        <w:rPr>
          <w:sz w:val="20"/>
          <w:szCs w:val="20"/>
          <w:color w:val="auto"/>
        </w:rPr>
      </w:pPr>
    </w:p>
    <w:p>
      <w:pPr>
        <w:ind w:left="5600"/>
        <w:spacing w:after="0"/>
        <w:tabs>
          <w:tab w:leader="none" w:pos="6520" w:val="left"/>
          <w:tab w:leader="none" w:pos="7480" w:val="left"/>
          <w:tab w:leader="none" w:pos="8220" w:val="left"/>
        </w:tabs>
        <w:rPr>
          <w:sz w:val="20"/>
          <w:szCs w:val="20"/>
          <w:color w:val="auto"/>
        </w:rPr>
      </w:pPr>
      <w:r>
        <w:rPr>
          <w:rFonts w:ascii="Arial" w:cs="Arial" w:eastAsia="Arial" w:hAnsi="Arial"/>
          <w:sz w:val="18"/>
          <w:szCs w:val="18"/>
          <w:color w:val="auto"/>
        </w:rPr>
        <w:t>Demand</w:t>
      </w:r>
      <w:r>
        <w:rPr>
          <w:sz w:val="20"/>
          <w:szCs w:val="20"/>
          <w:color w:val="auto"/>
        </w:rPr>
        <w:tab/>
      </w:r>
      <w:r>
        <w:rPr>
          <w:rFonts w:ascii="Arial" w:cs="Arial" w:eastAsia="Arial" w:hAnsi="Arial"/>
          <w:sz w:val="18"/>
          <w:szCs w:val="18"/>
          <w:color w:val="auto"/>
        </w:rPr>
        <w:t>Saving</w:t>
      </w:r>
      <w:r>
        <w:rPr>
          <w:sz w:val="20"/>
          <w:szCs w:val="20"/>
          <w:color w:val="auto"/>
        </w:rPr>
        <w:tab/>
      </w:r>
      <w:r>
        <w:rPr>
          <w:rFonts w:ascii="Arial" w:cs="Arial" w:eastAsia="Arial" w:hAnsi="Arial"/>
          <w:sz w:val="18"/>
          <w:szCs w:val="18"/>
          <w:color w:val="auto"/>
        </w:rPr>
        <w:t>Time</w:t>
      </w:r>
      <w:r>
        <w:rPr>
          <w:sz w:val="20"/>
          <w:szCs w:val="20"/>
          <w:color w:val="auto"/>
        </w:rPr>
        <w:tab/>
      </w:r>
      <w:r>
        <w:rPr>
          <w:rFonts w:ascii="Arial" w:cs="Arial" w:eastAsia="Arial" w:hAnsi="Arial"/>
          <w:sz w:val="15"/>
          <w:szCs w:val="15"/>
          <w:color w:val="auto"/>
        </w:rPr>
        <w:t>Severance</w:t>
      </w:r>
    </w:p>
    <w:p>
      <w:pPr>
        <w:spacing w:after="0" w:line="23" w:lineRule="exact"/>
        <w:rPr>
          <w:sz w:val="20"/>
          <w:szCs w:val="20"/>
          <w:color w:val="auto"/>
        </w:rPr>
      </w:pPr>
    </w:p>
    <w:p>
      <w:pPr>
        <w:ind w:left="5600"/>
        <w:spacing w:after="0"/>
        <w:tabs>
          <w:tab w:leader="none" w:pos="6480" w:val="left"/>
          <w:tab w:leader="none" w:pos="7380" w:val="left"/>
          <w:tab w:leader="none" w:pos="8220" w:val="left"/>
        </w:tabs>
        <w:rPr>
          <w:sz w:val="20"/>
          <w:szCs w:val="20"/>
          <w:color w:val="auto"/>
        </w:rPr>
      </w:pPr>
      <w:r>
        <w:rPr>
          <w:rFonts w:ascii="Arial" w:cs="Arial" w:eastAsia="Arial" w:hAnsi="Arial"/>
          <w:sz w:val="18"/>
          <w:szCs w:val="18"/>
          <w:color w:val="auto"/>
        </w:rPr>
        <w:t>deposits</w:t>
      </w:r>
      <w:r>
        <w:rPr>
          <w:sz w:val="20"/>
          <w:szCs w:val="20"/>
          <w:color w:val="auto"/>
        </w:rPr>
        <w:tab/>
      </w:r>
      <w:r>
        <w:rPr>
          <w:rFonts w:ascii="Arial" w:cs="Arial" w:eastAsia="Arial" w:hAnsi="Arial"/>
          <w:sz w:val="18"/>
          <w:szCs w:val="18"/>
          <w:color w:val="auto"/>
        </w:rPr>
        <w:t>deposits</w:t>
      </w:r>
      <w:r>
        <w:rPr>
          <w:sz w:val="20"/>
          <w:szCs w:val="20"/>
          <w:color w:val="auto"/>
        </w:rPr>
        <w:tab/>
      </w:r>
      <w:r>
        <w:rPr>
          <w:rFonts w:ascii="Arial" w:cs="Arial" w:eastAsia="Arial" w:hAnsi="Arial"/>
          <w:sz w:val="18"/>
          <w:szCs w:val="18"/>
          <w:color w:val="auto"/>
        </w:rPr>
        <w:t>deposits</w:t>
      </w:r>
      <w:r>
        <w:rPr>
          <w:sz w:val="20"/>
          <w:szCs w:val="20"/>
          <w:color w:val="auto"/>
        </w:rPr>
        <w:tab/>
      </w:r>
      <w:r>
        <w:rPr>
          <w:rFonts w:ascii="Arial" w:cs="Arial" w:eastAsia="Arial" w:hAnsi="Arial"/>
          <w:sz w:val="17"/>
          <w:szCs w:val="17"/>
          <w:color w:val="auto"/>
        </w:rPr>
        <w:t>indemnity</w:t>
      </w:r>
    </w:p>
    <w:p>
      <w:pPr>
        <w:spacing w:after="0" w:line="29" w:lineRule="exact"/>
        <w:rPr>
          <w:sz w:val="20"/>
          <w:szCs w:val="20"/>
          <w:color w:val="auto"/>
        </w:rPr>
      </w:pPr>
    </w:p>
    <w:tbl>
      <w:tblPr>
        <w:tblLayout w:type="fixed"/>
        <w:tblInd w:w="2300" w:type="dxa"/>
        <w:tblCellMar>
          <w:top w:w="0" w:type="dxa"/>
          <w:left w:w="0" w:type="dxa"/>
          <w:bottom w:w="0" w:type="dxa"/>
          <w:right w:w="0" w:type="dxa"/>
        </w:tblCellMar>
      </w:tblPr>
      <w:tr>
        <w:trPr>
          <w:trHeight w:val="20"/>
        </w:trPr>
        <w:tc>
          <w:tcPr>
            <w:tcW w:w="3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3260" w:type="dxa"/>
            <w:vAlign w:val="bottom"/>
            <w:shd w:val="clear" w:color="auto" w:fill="CCFFCC"/>
          </w:tcPr>
          <w:p>
            <w:pPr>
              <w:ind w:left="1460"/>
              <w:spacing w:after="0" w:line="203" w:lineRule="exact"/>
              <w:rPr>
                <w:sz w:val="20"/>
                <w:szCs w:val="20"/>
                <w:color w:val="auto"/>
              </w:rPr>
            </w:pPr>
            <w:r>
              <w:rPr>
                <w:rFonts w:ascii="Arial" w:cs="Arial" w:eastAsia="Arial" w:hAnsi="Arial"/>
                <w:sz w:val="18"/>
                <w:szCs w:val="18"/>
                <w:b w:val="1"/>
                <w:bCs w:val="1"/>
                <w:color w:val="auto"/>
              </w:rPr>
              <w:t>LC</w:t>
            </w:r>
          </w:p>
        </w:tc>
        <w:tc>
          <w:tcPr>
            <w:tcW w:w="900" w:type="dxa"/>
            <w:vAlign w:val="bottom"/>
            <w:gridSpan w:val="2"/>
            <w:shd w:val="clear" w:color="auto" w:fill="CCFFCC"/>
          </w:tcPr>
          <w:p>
            <w:pPr>
              <w:jc w:val="right"/>
              <w:ind w:right="80"/>
              <w:spacing w:after="0" w:line="203" w:lineRule="exact"/>
              <w:rPr>
                <w:sz w:val="20"/>
                <w:szCs w:val="20"/>
                <w:color w:val="auto"/>
              </w:rPr>
            </w:pPr>
            <w:r>
              <w:rPr>
                <w:rFonts w:ascii="Arial" w:cs="Arial" w:eastAsia="Arial" w:hAnsi="Arial"/>
                <w:sz w:val="18"/>
                <w:szCs w:val="18"/>
                <w:color w:val="auto"/>
              </w:rPr>
              <w:t>38.1%</w:t>
            </w:r>
          </w:p>
        </w:tc>
        <w:tc>
          <w:tcPr>
            <w:tcW w:w="900" w:type="dxa"/>
            <w:vAlign w:val="bottom"/>
            <w:gridSpan w:val="2"/>
            <w:shd w:val="clear" w:color="auto" w:fill="CCFFCC"/>
          </w:tcPr>
          <w:p>
            <w:pPr>
              <w:jc w:val="right"/>
              <w:ind w:right="80"/>
              <w:spacing w:after="0" w:line="203" w:lineRule="exact"/>
              <w:rPr>
                <w:sz w:val="20"/>
                <w:szCs w:val="20"/>
                <w:color w:val="auto"/>
              </w:rPr>
            </w:pPr>
            <w:r>
              <w:rPr>
                <w:rFonts w:ascii="Arial" w:cs="Arial" w:eastAsia="Arial" w:hAnsi="Arial"/>
                <w:sz w:val="18"/>
                <w:szCs w:val="18"/>
                <w:color w:val="auto"/>
              </w:rPr>
              <w:t>36.6%</w:t>
            </w:r>
          </w:p>
        </w:tc>
        <w:tc>
          <w:tcPr>
            <w:tcW w:w="880" w:type="dxa"/>
            <w:vAlign w:val="bottom"/>
            <w:gridSpan w:val="2"/>
            <w:shd w:val="clear" w:color="auto" w:fill="CCFFCC"/>
          </w:tcPr>
          <w:p>
            <w:pPr>
              <w:jc w:val="right"/>
              <w:ind w:right="80"/>
              <w:spacing w:after="0" w:line="203" w:lineRule="exact"/>
              <w:rPr>
                <w:sz w:val="20"/>
                <w:szCs w:val="20"/>
                <w:color w:val="auto"/>
              </w:rPr>
            </w:pPr>
            <w:r>
              <w:rPr>
                <w:rFonts w:ascii="Arial" w:cs="Arial" w:eastAsia="Arial" w:hAnsi="Arial"/>
                <w:sz w:val="18"/>
                <w:szCs w:val="18"/>
                <w:color w:val="auto"/>
              </w:rPr>
              <w:t>29.0%</w:t>
            </w:r>
          </w:p>
        </w:tc>
        <w:tc>
          <w:tcPr>
            <w:tcW w:w="900" w:type="dxa"/>
            <w:vAlign w:val="bottom"/>
            <w:gridSpan w:val="2"/>
            <w:shd w:val="clear" w:color="auto" w:fill="CCFFCC"/>
          </w:tcPr>
          <w:p>
            <w:pPr>
              <w:jc w:val="right"/>
              <w:ind w:right="20"/>
              <w:spacing w:after="0" w:line="203" w:lineRule="exact"/>
              <w:rPr>
                <w:sz w:val="20"/>
                <w:szCs w:val="20"/>
                <w:color w:val="auto"/>
              </w:rPr>
            </w:pPr>
            <w:r>
              <w:rPr>
                <w:rFonts w:ascii="Arial" w:cs="Arial" w:eastAsia="Arial" w:hAnsi="Arial"/>
                <w:sz w:val="18"/>
                <w:szCs w:val="18"/>
                <w:color w:val="auto"/>
              </w:rPr>
              <w:t>37.9%</w:t>
            </w:r>
          </w:p>
        </w:tc>
      </w:tr>
      <w:tr>
        <w:trPr>
          <w:trHeight w:val="218"/>
        </w:trPr>
        <w:tc>
          <w:tcPr>
            <w:tcW w:w="3260" w:type="dxa"/>
            <w:vAlign w:val="bottom"/>
          </w:tcPr>
          <w:p>
            <w:pPr>
              <w:ind w:left="1480"/>
              <w:spacing w:after="0"/>
              <w:rPr>
                <w:sz w:val="20"/>
                <w:szCs w:val="20"/>
                <w:color w:val="auto"/>
              </w:rPr>
            </w:pPr>
            <w:r>
              <w:rPr>
                <w:rFonts w:ascii="Arial" w:cs="Arial" w:eastAsia="Arial" w:hAnsi="Arial"/>
                <w:sz w:val="18"/>
                <w:szCs w:val="18"/>
                <w:b w:val="1"/>
                <w:bCs w:val="1"/>
                <w:color w:val="auto"/>
              </w:rPr>
              <w:t>FC</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43.4%</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41.0%</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28.5%</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55.6%</w:t>
            </w:r>
          </w:p>
        </w:tc>
      </w:tr>
    </w:tbl>
    <w:p>
      <w:pPr>
        <w:ind w:left="1800"/>
        <w:spacing w:after="0"/>
        <w:rPr>
          <w:sz w:val="20"/>
          <w:szCs w:val="20"/>
          <w:color w:val="auto"/>
        </w:rPr>
      </w:pPr>
      <w:r>
        <w:rPr>
          <w:rFonts w:ascii="Arial" w:cs="Arial" w:eastAsia="Arial" w:hAnsi="Arial"/>
          <w:sz w:val="18"/>
          <w:szCs w:val="18"/>
          <w:i w:val="1"/>
          <w:iCs w:val="1"/>
          <w:color w:val="auto"/>
        </w:rPr>
        <w:t>LC: Local Currency</w:t>
      </w:r>
    </w:p>
    <w:p>
      <w:pPr>
        <w:spacing w:after="0" w:line="7" w:lineRule="exact"/>
        <w:rPr>
          <w:sz w:val="20"/>
          <w:szCs w:val="20"/>
          <w:color w:val="auto"/>
        </w:rPr>
      </w:pPr>
    </w:p>
    <w:p>
      <w:pPr>
        <w:ind w:left="1800"/>
        <w:spacing w:after="0"/>
        <w:rPr>
          <w:sz w:val="20"/>
          <w:szCs w:val="20"/>
          <w:color w:val="auto"/>
        </w:rPr>
      </w:pPr>
      <w:r>
        <w:rPr>
          <w:rFonts w:ascii="Arial" w:cs="Arial" w:eastAsia="Arial" w:hAnsi="Arial"/>
          <w:sz w:val="18"/>
          <w:szCs w:val="18"/>
          <w:i w:val="1"/>
          <w:iCs w:val="1"/>
          <w:color w:val="auto"/>
        </w:rPr>
        <w:t>FC: Foreign Currency</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It is important to mention that the increase in market participation in time deposits in LC, which rose from 21.1% in 2Q10 to 29% in 3Q10 due to successful efforts to capture excess liquidity, particularly from institutional clients.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Dollarization</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 the end of 3Q10, de-dollarization was evident in deposits (55.7% in 2Q10 and 51.7% in 3Q10) due to the significant 20.1% increase QoQ in LC deposits. This stemmed primarily from higher time deposits by institutional clients in Wholesale Banking. This evolution of deposits was attributable to increased confidence in the local currency, which reported a 1.4% appreciation against the US dollar during the third quarter of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2011680</wp:posOffset>
            </wp:positionH>
            <wp:positionV relativeFrom="paragraph">
              <wp:posOffset>131445</wp:posOffset>
            </wp:positionV>
            <wp:extent cx="3232785" cy="14662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32785" cy="1466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II.3 Net Interest Income</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NII grew 6.0% QoQ due primarily to a 5.3% increase in interest income, which was attributable to significant loan growth this quarter and helped offset higher interest expenses (+25.1%). In this scenario, NIM performed well at 4.8%.</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40" w:type="dxa"/>
            <w:vAlign w:val="bottom"/>
            <w:gridSpan w:val="2"/>
          </w:tcPr>
          <w:p>
            <w:pPr>
              <w:spacing w:after="0"/>
              <w:rPr>
                <w:sz w:val="20"/>
                <w:szCs w:val="20"/>
                <w:color w:val="auto"/>
              </w:rPr>
            </w:pPr>
            <w:r>
              <w:rPr>
                <w:rFonts w:ascii="Arial" w:cs="Arial" w:eastAsia="Arial" w:hAnsi="Arial"/>
                <w:sz w:val="14"/>
                <w:szCs w:val="14"/>
                <w:b w:val="1"/>
                <w:bCs w:val="1"/>
                <w:color w:val="auto"/>
              </w:rPr>
              <w:t>Net interest income</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Quarter</w:t>
            </w: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gridSpan w:val="3"/>
          </w:tcPr>
          <w:p>
            <w:pPr>
              <w:ind w:left="660"/>
              <w:spacing w:after="0"/>
              <w:rPr>
                <w:sz w:val="20"/>
                <w:szCs w:val="20"/>
                <w:color w:val="auto"/>
              </w:rPr>
            </w:pPr>
            <w:r>
              <w:rPr>
                <w:rFonts w:ascii="Arial" w:cs="Arial" w:eastAsia="Arial" w:hAnsi="Arial"/>
                <w:sz w:val="14"/>
                <w:szCs w:val="14"/>
                <w:b w:val="1"/>
                <w:bCs w:val="1"/>
                <w:color w:val="auto"/>
              </w:rPr>
              <w:t>Change %</w:t>
            </w: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60" w:type="dxa"/>
            <w:vAlign w:val="bottom"/>
            <w:gridSpan w:val="4"/>
          </w:tcPr>
          <w:p>
            <w:pPr>
              <w:jc w:val="right"/>
              <w:ind w:right="880"/>
              <w:spacing w:after="0"/>
              <w:rPr>
                <w:sz w:val="20"/>
                <w:szCs w:val="20"/>
                <w:color w:val="auto"/>
              </w:rPr>
            </w:pPr>
            <w:r>
              <w:rPr>
                <w:rFonts w:ascii="Arial" w:cs="Arial" w:eastAsia="Arial" w:hAnsi="Arial"/>
                <w:sz w:val="14"/>
                <w:szCs w:val="14"/>
                <w:b w:val="1"/>
                <w:bCs w:val="1"/>
                <w:color w:val="auto"/>
              </w:rPr>
              <w:t>Year to date</w:t>
            </w: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Change %</w:t>
            </w:r>
          </w:p>
        </w:tc>
        <w:tc>
          <w:tcPr>
            <w:tcW w:w="0" w:type="dxa"/>
            <w:vAlign w:val="bottom"/>
          </w:tcPr>
          <w:p>
            <w:pPr>
              <w:spacing w:after="0"/>
              <w:rPr>
                <w:sz w:val="1"/>
                <w:szCs w:val="1"/>
                <w:color w:val="auto"/>
              </w:rPr>
            </w:pPr>
          </w:p>
        </w:tc>
      </w:tr>
      <w:tr>
        <w:trPr>
          <w:trHeight w:val="149"/>
        </w:trPr>
        <w:tc>
          <w:tcPr>
            <w:tcW w:w="2040" w:type="dxa"/>
            <w:vAlign w:val="bottom"/>
            <w:tcBorders>
              <w:top w:val="single" w:sz="8" w:color="auto"/>
            </w:tcBorders>
            <w:gridSpan w:val="2"/>
          </w:tcPr>
          <w:p>
            <w:pPr>
              <w:spacing w:after="0" w:line="149" w:lineRule="exact"/>
              <w:rPr>
                <w:sz w:val="20"/>
                <w:szCs w:val="20"/>
                <w:color w:val="auto"/>
              </w:rPr>
            </w:pPr>
            <w:r>
              <w:rPr>
                <w:rFonts w:ascii="Arial" w:cs="Arial" w:eastAsia="Arial" w:hAnsi="Arial"/>
                <w:sz w:val="14"/>
                <w:szCs w:val="14"/>
                <w:color w:val="auto"/>
              </w:rPr>
              <w:t>US$ 000</w:t>
            </w:r>
          </w:p>
        </w:tc>
        <w:tc>
          <w:tcPr>
            <w:tcW w:w="100" w:type="dxa"/>
            <w:vAlign w:val="bottom"/>
          </w:tcPr>
          <w:p>
            <w:pPr>
              <w:spacing w:after="0"/>
              <w:rPr>
                <w:sz w:val="12"/>
                <w:szCs w:val="12"/>
                <w:color w:val="auto"/>
              </w:rPr>
            </w:pPr>
          </w:p>
        </w:tc>
        <w:tc>
          <w:tcPr>
            <w:tcW w:w="1120" w:type="dxa"/>
            <w:vAlign w:val="bottom"/>
            <w:tcBorders>
              <w:top w:val="single" w:sz="8" w:color="auto"/>
            </w:tcBorders>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3Q10</w:t>
            </w:r>
          </w:p>
        </w:tc>
        <w:tc>
          <w:tcPr>
            <w:tcW w:w="1120" w:type="dxa"/>
            <w:vAlign w:val="bottom"/>
            <w:tcBorders>
              <w:top w:val="single" w:sz="8" w:color="auto"/>
            </w:tcBorders>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2Q10</w:t>
            </w:r>
          </w:p>
        </w:tc>
        <w:tc>
          <w:tcPr>
            <w:tcW w:w="880" w:type="dxa"/>
            <w:vAlign w:val="bottom"/>
            <w:tcBorders>
              <w:top w:val="single" w:sz="8" w:color="auto"/>
            </w:tcBorders>
          </w:tcPr>
          <w:p>
            <w:pPr>
              <w:ind w:left="280"/>
              <w:spacing w:after="0" w:line="149" w:lineRule="exact"/>
              <w:rPr>
                <w:sz w:val="20"/>
                <w:szCs w:val="20"/>
                <w:color w:val="auto"/>
              </w:rPr>
            </w:pPr>
            <w:r>
              <w:rPr>
                <w:rFonts w:ascii="Arial" w:cs="Arial" w:eastAsia="Arial" w:hAnsi="Arial"/>
                <w:sz w:val="14"/>
                <w:szCs w:val="14"/>
                <w:b w:val="1"/>
                <w:bCs w:val="1"/>
                <w:color w:val="auto"/>
              </w:rPr>
              <w:t>3Q09</w:t>
            </w:r>
          </w:p>
        </w:tc>
        <w:tc>
          <w:tcPr>
            <w:tcW w:w="260" w:type="dxa"/>
            <w:vAlign w:val="bottom"/>
          </w:tcPr>
          <w:p>
            <w:pPr>
              <w:spacing w:after="0"/>
              <w:rPr>
                <w:sz w:val="12"/>
                <w:szCs w:val="12"/>
                <w:color w:val="auto"/>
              </w:rPr>
            </w:pPr>
          </w:p>
        </w:tc>
        <w:tc>
          <w:tcPr>
            <w:tcW w:w="1360" w:type="dxa"/>
            <w:vAlign w:val="bottom"/>
            <w:tcBorders>
              <w:top w:val="single" w:sz="8" w:color="auto"/>
            </w:tcBorders>
            <w:gridSpan w:val="3"/>
          </w:tcPr>
          <w:p>
            <w:pPr>
              <w:ind w:left="280"/>
              <w:spacing w:after="0" w:line="149" w:lineRule="exact"/>
              <w:rPr>
                <w:sz w:val="20"/>
                <w:szCs w:val="20"/>
                <w:color w:val="auto"/>
              </w:rPr>
            </w:pPr>
            <w:r>
              <w:rPr>
                <w:rFonts w:ascii="Arial" w:cs="Arial" w:eastAsia="Arial" w:hAnsi="Arial"/>
                <w:sz w:val="14"/>
                <w:szCs w:val="14"/>
                <w:b w:val="1"/>
                <w:bCs w:val="1"/>
                <w:color w:val="auto"/>
              </w:rPr>
              <w:t>QoQ</w:t>
            </w:r>
          </w:p>
        </w:tc>
        <w:tc>
          <w:tcPr>
            <w:tcW w:w="600" w:type="dxa"/>
            <w:vAlign w:val="bottom"/>
            <w:tcBorders>
              <w:top w:val="single" w:sz="8" w:color="auto"/>
            </w:tcBorders>
          </w:tcPr>
          <w:p>
            <w:pPr>
              <w:ind w:left="40"/>
              <w:spacing w:after="0" w:line="149" w:lineRule="exact"/>
              <w:rPr>
                <w:sz w:val="20"/>
                <w:szCs w:val="20"/>
                <w:color w:val="auto"/>
              </w:rPr>
            </w:pPr>
            <w:r>
              <w:rPr>
                <w:rFonts w:ascii="Arial" w:cs="Arial" w:eastAsia="Arial" w:hAnsi="Arial"/>
                <w:sz w:val="14"/>
                <w:szCs w:val="14"/>
                <w:b w:val="1"/>
                <w:bCs w:val="1"/>
                <w:color w:val="auto"/>
              </w:rPr>
              <w:t>YoY</w:t>
            </w:r>
          </w:p>
        </w:tc>
        <w:tc>
          <w:tcPr>
            <w:tcW w:w="260" w:type="dxa"/>
            <w:vAlign w:val="bottom"/>
          </w:tcPr>
          <w:p>
            <w:pPr>
              <w:spacing w:after="0"/>
              <w:rPr>
                <w:sz w:val="12"/>
                <w:szCs w:val="12"/>
                <w:color w:val="auto"/>
              </w:rPr>
            </w:pPr>
          </w:p>
        </w:tc>
        <w:tc>
          <w:tcPr>
            <w:tcW w:w="1120" w:type="dxa"/>
            <w:vAlign w:val="bottom"/>
            <w:tcBorders>
              <w:top w:val="single" w:sz="8" w:color="auto"/>
            </w:tcBorders>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Sep 10</w:t>
            </w:r>
          </w:p>
        </w:tc>
        <w:tc>
          <w:tcPr>
            <w:tcW w:w="880" w:type="dxa"/>
            <w:vAlign w:val="bottom"/>
            <w:tcBorders>
              <w:top w:val="single" w:sz="8" w:color="auto"/>
            </w:tcBorders>
          </w:tcPr>
          <w:p>
            <w:pPr>
              <w:jc w:val="right"/>
              <w:ind w:right="168"/>
              <w:spacing w:after="0" w:line="149" w:lineRule="exact"/>
              <w:rPr>
                <w:sz w:val="20"/>
                <w:szCs w:val="20"/>
                <w:color w:val="auto"/>
              </w:rPr>
            </w:pPr>
            <w:r>
              <w:rPr>
                <w:rFonts w:ascii="Arial" w:cs="Arial" w:eastAsia="Arial" w:hAnsi="Arial"/>
                <w:sz w:val="14"/>
                <w:szCs w:val="14"/>
                <w:b w:val="1"/>
                <w:bCs w:val="1"/>
                <w:color w:val="auto"/>
              </w:rPr>
              <w:t>Sep 09</w:t>
            </w:r>
          </w:p>
        </w:tc>
        <w:tc>
          <w:tcPr>
            <w:tcW w:w="260" w:type="dxa"/>
            <w:vAlign w:val="bottom"/>
          </w:tcPr>
          <w:p>
            <w:pPr>
              <w:spacing w:after="0"/>
              <w:rPr>
                <w:sz w:val="12"/>
                <w:szCs w:val="12"/>
                <w:color w:val="auto"/>
              </w:rPr>
            </w:pPr>
          </w:p>
        </w:tc>
        <w:tc>
          <w:tcPr>
            <w:tcW w:w="92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0"/>
              </w:rPr>
              <w:t>Sep 10 / Sep 09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02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Interest income</w:t>
            </w:r>
          </w:p>
        </w:tc>
        <w:tc>
          <w:tcPr>
            <w:tcW w:w="10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345,937</w:t>
            </w:r>
          </w:p>
        </w:tc>
        <w:tc>
          <w:tcPr>
            <w:tcW w:w="112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311,548</w:t>
            </w:r>
          </w:p>
        </w:tc>
        <w:tc>
          <w:tcPr>
            <w:tcW w:w="11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292,292</w:t>
            </w:r>
          </w:p>
        </w:tc>
        <w:tc>
          <w:tcPr>
            <w:tcW w:w="11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11.0%</w:t>
            </w:r>
          </w:p>
        </w:tc>
        <w:tc>
          <w:tcPr>
            <w:tcW w:w="26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18.4%</w:t>
            </w:r>
          </w:p>
        </w:tc>
        <w:tc>
          <w:tcPr>
            <w:tcW w:w="11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963,407</w:t>
            </w:r>
          </w:p>
        </w:tc>
        <w:tc>
          <w:tcPr>
            <w:tcW w:w="11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909,494</w:t>
            </w:r>
          </w:p>
        </w:tc>
        <w:tc>
          <w:tcPr>
            <w:tcW w:w="10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20" w:type="dxa"/>
            <w:vAlign w:val="bottom"/>
          </w:tcPr>
          <w:p>
            <w:pPr>
              <w:ind w:left="160"/>
              <w:spacing w:after="0" w:line="149" w:lineRule="exact"/>
              <w:rPr>
                <w:sz w:val="20"/>
                <w:szCs w:val="20"/>
                <w:color w:val="auto"/>
              </w:rPr>
            </w:pPr>
            <w:r>
              <w:rPr>
                <w:rFonts w:ascii="Arial" w:cs="Arial" w:eastAsia="Arial" w:hAnsi="Arial"/>
                <w:sz w:val="14"/>
                <w:szCs w:val="14"/>
                <w:color w:val="auto"/>
              </w:rPr>
              <w:t>Interest on loans</w:t>
            </w:r>
          </w:p>
        </w:tc>
        <w:tc>
          <w:tcPr>
            <w:tcW w:w="122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309,818</w:t>
            </w:r>
          </w:p>
        </w:tc>
        <w:tc>
          <w:tcPr>
            <w:tcW w:w="11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294,303</w:t>
            </w:r>
          </w:p>
        </w:tc>
        <w:tc>
          <w:tcPr>
            <w:tcW w:w="11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260,705</w:t>
            </w:r>
          </w:p>
        </w:tc>
        <w:tc>
          <w:tcPr>
            <w:tcW w:w="11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5.3%</w:t>
            </w:r>
          </w:p>
        </w:tc>
        <w:tc>
          <w:tcPr>
            <w:tcW w:w="26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18.8%</w:t>
            </w:r>
          </w:p>
        </w:tc>
        <w:tc>
          <w:tcPr>
            <w:tcW w:w="11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884,286</w:t>
            </w:r>
          </w:p>
        </w:tc>
        <w:tc>
          <w:tcPr>
            <w:tcW w:w="11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783,044</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shd w:val="clear" w:color="auto" w:fill="CCFFCC"/>
          </w:tcPr>
          <w:p>
            <w:pPr>
              <w:ind w:left="160"/>
              <w:spacing w:after="0" w:line="130" w:lineRule="exact"/>
              <w:rPr>
                <w:sz w:val="20"/>
                <w:szCs w:val="20"/>
                <w:color w:val="auto"/>
              </w:rPr>
            </w:pPr>
            <w:r>
              <w:rPr>
                <w:rFonts w:ascii="Arial" w:cs="Arial" w:eastAsia="Arial" w:hAnsi="Arial"/>
                <w:sz w:val="14"/>
                <w:szCs w:val="14"/>
                <w:color w:val="auto"/>
              </w:rPr>
              <w:t>Interest and dividends on</w:t>
            </w:r>
          </w:p>
        </w:tc>
        <w:tc>
          <w:tcPr>
            <w:tcW w:w="100" w:type="dxa"/>
            <w:vAlign w:val="bottom"/>
            <w:shd w:val="clear" w:color="auto" w:fill="CCFFCC"/>
          </w:tcPr>
          <w:p>
            <w:pPr>
              <w:spacing w:after="0"/>
              <w:rPr>
                <w:sz w:val="11"/>
                <w:szCs w:val="11"/>
                <w:color w:val="auto"/>
              </w:rPr>
            </w:pPr>
          </w:p>
        </w:tc>
        <w:tc>
          <w:tcPr>
            <w:tcW w:w="86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86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88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84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6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8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88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20" w:type="dxa"/>
            <w:vAlign w:val="bottom"/>
            <w:shd w:val="clear" w:color="auto" w:fill="CCFFCC"/>
          </w:tcPr>
          <w:p>
            <w:pPr>
              <w:ind w:left="160"/>
              <w:spacing w:after="0"/>
              <w:rPr>
                <w:sz w:val="20"/>
                <w:szCs w:val="20"/>
                <w:color w:val="auto"/>
              </w:rPr>
            </w:pPr>
            <w:r>
              <w:rPr>
                <w:rFonts w:ascii="Arial" w:cs="Arial" w:eastAsia="Arial" w:hAnsi="Arial"/>
                <w:sz w:val="14"/>
                <w:szCs w:val="14"/>
                <w:color w:val="auto"/>
              </w:rPr>
              <w:t>investments</w:t>
            </w:r>
          </w:p>
        </w:tc>
        <w:tc>
          <w:tcPr>
            <w:tcW w:w="96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33</w:t>
            </w:r>
          </w:p>
        </w:tc>
        <w:tc>
          <w:tcPr>
            <w:tcW w:w="260" w:type="dxa"/>
            <w:vAlign w:val="bottom"/>
            <w:shd w:val="clear" w:color="auto" w:fill="CCFFCC"/>
          </w:tcPr>
          <w:p>
            <w:pPr>
              <w:spacing w:after="0"/>
              <w:rPr>
                <w:sz w:val="14"/>
                <w:szCs w:val="14"/>
                <w:color w:val="auto"/>
              </w:rPr>
            </w:pPr>
          </w:p>
        </w:tc>
        <w:tc>
          <w:tcPr>
            <w:tcW w:w="1120" w:type="dxa"/>
            <w:vAlign w:val="bottom"/>
            <w:gridSpan w:val="2"/>
            <w:shd w:val="clear" w:color="auto" w:fill="CCFFCC"/>
          </w:tcPr>
          <w:p>
            <w:pPr>
              <w:jc w:val="right"/>
              <w:ind w:right="260"/>
              <w:spacing w:after="0"/>
              <w:rPr>
                <w:sz w:val="20"/>
                <w:szCs w:val="20"/>
                <w:color w:val="auto"/>
              </w:rPr>
            </w:pPr>
            <w:r>
              <w:rPr>
                <w:rFonts w:ascii="Arial" w:cs="Arial" w:eastAsia="Arial" w:hAnsi="Arial"/>
                <w:sz w:val="14"/>
                <w:szCs w:val="14"/>
                <w:color w:val="auto"/>
              </w:rPr>
              <w:t>42</w:t>
            </w:r>
          </w:p>
        </w:tc>
        <w:tc>
          <w:tcPr>
            <w:tcW w:w="1140" w:type="dxa"/>
            <w:vAlign w:val="bottom"/>
            <w:gridSpan w:val="2"/>
            <w:shd w:val="clear" w:color="auto" w:fill="CCFFCC"/>
          </w:tcPr>
          <w:p>
            <w:pPr>
              <w:jc w:val="right"/>
              <w:ind w:right="260"/>
              <w:spacing w:after="0"/>
              <w:rPr>
                <w:sz w:val="20"/>
                <w:szCs w:val="20"/>
                <w:color w:val="auto"/>
              </w:rPr>
            </w:pPr>
            <w:r>
              <w:rPr>
                <w:rFonts w:ascii="Arial" w:cs="Arial" w:eastAsia="Arial" w:hAnsi="Arial"/>
                <w:sz w:val="14"/>
                <w:szCs w:val="14"/>
                <w:color w:val="auto"/>
              </w:rPr>
              <w:t>384</w:t>
            </w:r>
          </w:p>
        </w:tc>
        <w:tc>
          <w:tcPr>
            <w:tcW w:w="110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-21.4%</w:t>
            </w:r>
          </w:p>
        </w:tc>
        <w:tc>
          <w:tcPr>
            <w:tcW w:w="260" w:type="dxa"/>
            <w:vAlign w:val="bottom"/>
            <w:shd w:val="clear" w:color="auto" w:fill="CCFFCC"/>
          </w:tcPr>
          <w:p>
            <w:pPr>
              <w:spacing w:after="0"/>
              <w:rPr>
                <w:sz w:val="14"/>
                <w:szCs w:val="14"/>
                <w:color w:val="auto"/>
              </w:rPr>
            </w:pPr>
          </w:p>
        </w:tc>
        <w:tc>
          <w:tcPr>
            <w:tcW w:w="86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-91%</w:t>
            </w:r>
          </w:p>
        </w:tc>
        <w:tc>
          <w:tcPr>
            <w:tcW w:w="112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3,532</w:t>
            </w:r>
          </w:p>
        </w:tc>
        <w:tc>
          <w:tcPr>
            <w:tcW w:w="1140" w:type="dxa"/>
            <w:vAlign w:val="bottom"/>
            <w:gridSpan w:val="2"/>
            <w:shd w:val="clear" w:color="auto" w:fill="CCFFCC"/>
          </w:tcPr>
          <w:p>
            <w:pPr>
              <w:jc w:val="right"/>
              <w:ind w:right="260"/>
              <w:spacing w:after="0"/>
              <w:rPr>
                <w:sz w:val="20"/>
                <w:szCs w:val="20"/>
                <w:color w:val="auto"/>
              </w:rPr>
            </w:pPr>
            <w:r>
              <w:rPr>
                <w:rFonts w:ascii="Arial" w:cs="Arial" w:eastAsia="Arial" w:hAnsi="Arial"/>
                <w:sz w:val="14"/>
                <w:szCs w:val="14"/>
                <w:color w:val="auto"/>
              </w:rPr>
              <w:t>3,088</w:t>
            </w: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20" w:type="dxa"/>
            <w:vAlign w:val="bottom"/>
          </w:tcPr>
          <w:p>
            <w:pPr>
              <w:ind w:left="160"/>
              <w:spacing w:after="0" w:line="149" w:lineRule="exact"/>
              <w:rPr>
                <w:sz w:val="20"/>
                <w:szCs w:val="20"/>
                <w:color w:val="auto"/>
              </w:rPr>
            </w:pPr>
            <w:r>
              <w:rPr>
                <w:rFonts w:ascii="Arial" w:cs="Arial" w:eastAsia="Arial" w:hAnsi="Arial"/>
                <w:sz w:val="14"/>
                <w:szCs w:val="14"/>
                <w:color w:val="auto"/>
                <w:w w:val="95"/>
              </w:rPr>
              <w:t>Interest on deposits with banks</w:t>
            </w:r>
          </w:p>
        </w:tc>
        <w:tc>
          <w:tcPr>
            <w:tcW w:w="122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1,643</w:t>
            </w:r>
          </w:p>
        </w:tc>
        <w:tc>
          <w:tcPr>
            <w:tcW w:w="11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1,627</w:t>
            </w:r>
          </w:p>
        </w:tc>
        <w:tc>
          <w:tcPr>
            <w:tcW w:w="11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2,351</w:t>
            </w:r>
          </w:p>
        </w:tc>
        <w:tc>
          <w:tcPr>
            <w:tcW w:w="11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w:t>
            </w:r>
          </w:p>
        </w:tc>
        <w:tc>
          <w:tcPr>
            <w:tcW w:w="26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-30.1%</w:t>
            </w:r>
          </w:p>
        </w:tc>
        <w:tc>
          <w:tcPr>
            <w:tcW w:w="11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5,058</w:t>
            </w:r>
          </w:p>
        </w:tc>
        <w:tc>
          <w:tcPr>
            <w:tcW w:w="11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16,163</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2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Interest on trading securities</w:t>
            </w:r>
          </w:p>
        </w:tc>
        <w:tc>
          <w:tcPr>
            <w:tcW w:w="1220" w:type="dxa"/>
            <w:vAlign w:val="bottom"/>
            <w:gridSpan w:val="3"/>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21,035</w:t>
            </w:r>
          </w:p>
        </w:tc>
        <w:tc>
          <w:tcPr>
            <w:tcW w:w="112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19,511</w:t>
            </w:r>
          </w:p>
        </w:tc>
        <w:tc>
          <w:tcPr>
            <w:tcW w:w="11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27,730</w:t>
            </w:r>
          </w:p>
        </w:tc>
        <w:tc>
          <w:tcPr>
            <w:tcW w:w="11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7.8%</w:t>
            </w:r>
          </w:p>
        </w:tc>
        <w:tc>
          <w:tcPr>
            <w:tcW w:w="26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-24.1%</w:t>
            </w:r>
          </w:p>
        </w:tc>
        <w:tc>
          <w:tcPr>
            <w:tcW w:w="11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60,384</w:t>
            </w:r>
          </w:p>
        </w:tc>
        <w:tc>
          <w:tcPr>
            <w:tcW w:w="11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83,000</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20" w:type="dxa"/>
            <w:vAlign w:val="bottom"/>
          </w:tcPr>
          <w:p>
            <w:pPr>
              <w:ind w:left="160"/>
              <w:spacing w:after="0" w:line="149" w:lineRule="exact"/>
              <w:rPr>
                <w:sz w:val="20"/>
                <w:szCs w:val="20"/>
                <w:color w:val="auto"/>
              </w:rPr>
            </w:pPr>
            <w:r>
              <w:rPr>
                <w:rFonts w:ascii="Arial" w:cs="Arial" w:eastAsia="Arial" w:hAnsi="Arial"/>
                <w:sz w:val="14"/>
                <w:szCs w:val="14"/>
                <w:color w:val="auto"/>
              </w:rPr>
              <w:t>Other interest income</w:t>
            </w:r>
          </w:p>
        </w:tc>
        <w:tc>
          <w:tcPr>
            <w:tcW w:w="122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13,408</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(3,935)</w:t>
            </w:r>
          </w:p>
        </w:tc>
        <w:tc>
          <w:tcPr>
            <w:tcW w:w="11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1,122</w:t>
            </w:r>
          </w:p>
        </w:tc>
        <w:tc>
          <w:tcPr>
            <w:tcW w:w="11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440.7%</w:t>
            </w:r>
          </w:p>
        </w:tc>
        <w:tc>
          <w:tcPr>
            <w:tcW w:w="26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1095.0%</w:t>
            </w:r>
          </w:p>
        </w:tc>
        <w:tc>
          <w:tcPr>
            <w:tcW w:w="11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10,147</w:t>
            </w:r>
          </w:p>
        </w:tc>
        <w:tc>
          <w:tcPr>
            <w:tcW w:w="11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24,199</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2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Interest expense</w:t>
            </w:r>
          </w:p>
        </w:tc>
        <w:tc>
          <w:tcPr>
            <w:tcW w:w="1220" w:type="dxa"/>
            <w:vAlign w:val="bottom"/>
            <w:gridSpan w:val="3"/>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103,663</w:t>
            </w:r>
          </w:p>
        </w:tc>
        <w:tc>
          <w:tcPr>
            <w:tcW w:w="112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82,896</w:t>
            </w:r>
          </w:p>
        </w:tc>
        <w:tc>
          <w:tcPr>
            <w:tcW w:w="11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95,030</w:t>
            </w:r>
          </w:p>
        </w:tc>
        <w:tc>
          <w:tcPr>
            <w:tcW w:w="11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25.1%</w:t>
            </w:r>
          </w:p>
        </w:tc>
        <w:tc>
          <w:tcPr>
            <w:tcW w:w="26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9.1%</w:t>
            </w:r>
          </w:p>
        </w:tc>
        <w:tc>
          <w:tcPr>
            <w:tcW w:w="11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273,306</w:t>
            </w:r>
          </w:p>
        </w:tc>
        <w:tc>
          <w:tcPr>
            <w:tcW w:w="11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316,611</w:t>
            </w:r>
          </w:p>
        </w:tc>
        <w:tc>
          <w:tcPr>
            <w:tcW w:w="10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20" w:type="dxa"/>
            <w:vAlign w:val="bottom"/>
          </w:tcPr>
          <w:p>
            <w:pPr>
              <w:ind w:left="160"/>
              <w:spacing w:after="0" w:line="149" w:lineRule="exact"/>
              <w:rPr>
                <w:sz w:val="20"/>
                <w:szCs w:val="20"/>
                <w:color w:val="auto"/>
              </w:rPr>
            </w:pPr>
            <w:r>
              <w:rPr>
                <w:rFonts w:ascii="Arial" w:cs="Arial" w:eastAsia="Arial" w:hAnsi="Arial"/>
                <w:sz w:val="14"/>
                <w:szCs w:val="14"/>
                <w:color w:val="auto"/>
              </w:rPr>
              <w:t>Interest on deposits</w:t>
            </w:r>
          </w:p>
        </w:tc>
        <w:tc>
          <w:tcPr>
            <w:tcW w:w="122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35,477</w:t>
            </w:r>
          </w:p>
        </w:tc>
        <w:tc>
          <w:tcPr>
            <w:tcW w:w="11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22,558</w:t>
            </w:r>
          </w:p>
        </w:tc>
        <w:tc>
          <w:tcPr>
            <w:tcW w:w="11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61,505</w:t>
            </w:r>
          </w:p>
        </w:tc>
        <w:tc>
          <w:tcPr>
            <w:tcW w:w="11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57.3%</w:t>
            </w:r>
          </w:p>
        </w:tc>
        <w:tc>
          <w:tcPr>
            <w:tcW w:w="26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-42.3%</w:t>
            </w:r>
          </w:p>
        </w:tc>
        <w:tc>
          <w:tcPr>
            <w:tcW w:w="11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79,590</w:t>
            </w:r>
          </w:p>
        </w:tc>
        <w:tc>
          <w:tcPr>
            <w:tcW w:w="11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220,103</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2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Interest on borrowed funds</w:t>
            </w:r>
          </w:p>
        </w:tc>
        <w:tc>
          <w:tcPr>
            <w:tcW w:w="1220" w:type="dxa"/>
            <w:vAlign w:val="bottom"/>
            <w:gridSpan w:val="3"/>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41,879</w:t>
            </w:r>
          </w:p>
        </w:tc>
        <w:tc>
          <w:tcPr>
            <w:tcW w:w="112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29,272</w:t>
            </w:r>
          </w:p>
        </w:tc>
        <w:tc>
          <w:tcPr>
            <w:tcW w:w="11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4,746</w:t>
            </w:r>
          </w:p>
        </w:tc>
        <w:tc>
          <w:tcPr>
            <w:tcW w:w="11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43.1%</w:t>
            </w:r>
          </w:p>
        </w:tc>
        <w:tc>
          <w:tcPr>
            <w:tcW w:w="26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782.4%</w:t>
            </w:r>
          </w:p>
        </w:tc>
        <w:tc>
          <w:tcPr>
            <w:tcW w:w="11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99,941</w:t>
            </w:r>
          </w:p>
        </w:tc>
        <w:tc>
          <w:tcPr>
            <w:tcW w:w="11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21,244</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370.4%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tcPr>
          <w:p>
            <w:pPr>
              <w:ind w:left="160"/>
              <w:spacing w:after="0" w:line="130" w:lineRule="exact"/>
              <w:rPr>
                <w:sz w:val="20"/>
                <w:szCs w:val="20"/>
                <w:color w:val="auto"/>
              </w:rPr>
            </w:pPr>
            <w:r>
              <w:rPr>
                <w:rFonts w:ascii="Arial" w:cs="Arial" w:eastAsia="Arial" w:hAnsi="Arial"/>
                <w:sz w:val="14"/>
                <w:szCs w:val="14"/>
                <w:color w:val="auto"/>
              </w:rPr>
              <w:t>Interest on bonds and</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20" w:type="dxa"/>
            <w:vAlign w:val="bottom"/>
          </w:tcPr>
          <w:p>
            <w:pPr>
              <w:ind w:left="160"/>
              <w:spacing w:after="0"/>
              <w:rPr>
                <w:sz w:val="20"/>
                <w:szCs w:val="20"/>
                <w:color w:val="auto"/>
              </w:rPr>
            </w:pPr>
            <w:r>
              <w:rPr>
                <w:rFonts w:ascii="Arial" w:cs="Arial" w:eastAsia="Arial" w:hAnsi="Arial"/>
                <w:sz w:val="14"/>
                <w:szCs w:val="14"/>
                <w:color w:val="auto"/>
              </w:rPr>
              <w:t>subordinated note</w:t>
            </w:r>
          </w:p>
        </w:tc>
        <w:tc>
          <w:tcPr>
            <w:tcW w:w="1220" w:type="dxa"/>
            <w:vAlign w:val="bottom"/>
            <w:gridSpan w:val="3"/>
          </w:tcPr>
          <w:p>
            <w:pPr>
              <w:jc w:val="right"/>
              <w:ind w:right="260"/>
              <w:spacing w:after="0"/>
              <w:rPr>
                <w:sz w:val="20"/>
                <w:szCs w:val="20"/>
                <w:color w:val="auto"/>
              </w:rPr>
            </w:pPr>
            <w:r>
              <w:rPr>
                <w:rFonts w:ascii="Arial" w:cs="Arial" w:eastAsia="Arial" w:hAnsi="Arial"/>
                <w:sz w:val="14"/>
                <w:szCs w:val="14"/>
                <w:color w:val="auto"/>
              </w:rPr>
              <w:t>23,783</w:t>
            </w: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23,063</w:t>
            </w: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16,501</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3.1%</w:t>
            </w:r>
          </w:p>
        </w:tc>
        <w:tc>
          <w:tcPr>
            <w:tcW w:w="26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44.1%</w:t>
            </w: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72,474</w:t>
            </w: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47,013</w:t>
            </w: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54.2%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2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Other interest expense</w:t>
            </w:r>
          </w:p>
        </w:tc>
        <w:tc>
          <w:tcPr>
            <w:tcW w:w="10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2,524</w:t>
            </w:r>
          </w:p>
        </w:tc>
        <w:tc>
          <w:tcPr>
            <w:tcW w:w="112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8,003</w:t>
            </w:r>
          </w:p>
        </w:tc>
        <w:tc>
          <w:tcPr>
            <w:tcW w:w="11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12,278</w:t>
            </w:r>
          </w:p>
        </w:tc>
        <w:tc>
          <w:tcPr>
            <w:tcW w:w="11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-68.5%</w:t>
            </w:r>
          </w:p>
        </w:tc>
        <w:tc>
          <w:tcPr>
            <w:tcW w:w="26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-79.4%</w:t>
            </w:r>
          </w:p>
        </w:tc>
        <w:tc>
          <w:tcPr>
            <w:tcW w:w="11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21,301</w:t>
            </w:r>
          </w:p>
        </w:tc>
        <w:tc>
          <w:tcPr>
            <w:tcW w:w="11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28,251</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2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020" w:type="dxa"/>
            <w:vAlign w:val="bottom"/>
          </w:tcPr>
          <w:p>
            <w:pPr>
              <w:spacing w:after="0" w:line="149" w:lineRule="exact"/>
              <w:rPr>
                <w:sz w:val="20"/>
                <w:szCs w:val="20"/>
                <w:color w:val="auto"/>
              </w:rPr>
            </w:pPr>
            <w:r>
              <w:rPr>
                <w:rFonts w:ascii="Arial" w:cs="Arial" w:eastAsia="Arial" w:hAnsi="Arial"/>
                <w:sz w:val="14"/>
                <w:szCs w:val="14"/>
                <w:b w:val="1"/>
                <w:bCs w:val="1"/>
                <w:color w:val="auto"/>
              </w:rPr>
              <w:t>Net interest income</w:t>
            </w:r>
          </w:p>
        </w:tc>
        <w:tc>
          <w:tcPr>
            <w:tcW w:w="100" w:type="dxa"/>
            <w:vAlign w:val="bottom"/>
          </w:tcPr>
          <w:p>
            <w:pPr>
              <w:spacing w:after="0"/>
              <w:rPr>
                <w:sz w:val="12"/>
                <w:szCs w:val="12"/>
                <w:color w:val="auto"/>
              </w:rPr>
            </w:pPr>
          </w:p>
        </w:tc>
        <w:tc>
          <w:tcPr>
            <w:tcW w:w="112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242,274</w:t>
            </w:r>
          </w:p>
        </w:tc>
        <w:tc>
          <w:tcPr>
            <w:tcW w:w="112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228,652</w:t>
            </w:r>
          </w:p>
        </w:tc>
        <w:tc>
          <w:tcPr>
            <w:tcW w:w="114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197,262</w:t>
            </w:r>
          </w:p>
        </w:tc>
        <w:tc>
          <w:tcPr>
            <w:tcW w:w="11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6.0%</w:t>
            </w:r>
          </w:p>
        </w:tc>
        <w:tc>
          <w:tcPr>
            <w:tcW w:w="26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22.8%</w:t>
            </w:r>
          </w:p>
        </w:tc>
        <w:tc>
          <w:tcPr>
            <w:tcW w:w="11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690,101</w:t>
            </w:r>
          </w:p>
        </w:tc>
        <w:tc>
          <w:tcPr>
            <w:tcW w:w="114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592,883</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0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Average interest earning assets</w:t>
            </w:r>
          </w:p>
        </w:tc>
        <w:tc>
          <w:tcPr>
            <w:tcW w:w="100" w:type="dxa"/>
            <w:vAlign w:val="bottom"/>
            <w:shd w:val="clear" w:color="auto" w:fill="CCFFCC"/>
          </w:tcPr>
          <w:p>
            <w:pPr>
              <w:spacing w:after="0"/>
              <w:rPr>
                <w:sz w:val="12"/>
                <w:szCs w:val="12"/>
                <w:color w:val="auto"/>
              </w:rPr>
            </w:pPr>
          </w:p>
        </w:tc>
        <w:tc>
          <w:tcPr>
            <w:tcW w:w="8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20,147,428</w:t>
            </w:r>
          </w:p>
        </w:tc>
        <w:tc>
          <w:tcPr>
            <w:tcW w:w="26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18,643,574</w:t>
            </w:r>
          </w:p>
        </w:tc>
        <w:tc>
          <w:tcPr>
            <w:tcW w:w="11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16,203,524</w:t>
            </w:r>
          </w:p>
        </w:tc>
        <w:tc>
          <w:tcPr>
            <w:tcW w:w="11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8.1%</w:t>
            </w:r>
          </w:p>
        </w:tc>
        <w:tc>
          <w:tcPr>
            <w:tcW w:w="26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24.3%</w:t>
            </w:r>
          </w:p>
        </w:tc>
        <w:tc>
          <w:tcPr>
            <w:tcW w:w="8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18,942,898</w:t>
            </w:r>
          </w:p>
        </w:tc>
        <w:tc>
          <w:tcPr>
            <w:tcW w:w="24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16,497,211</w:t>
            </w:r>
          </w:p>
        </w:tc>
        <w:tc>
          <w:tcPr>
            <w:tcW w:w="10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2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2020" w:type="dxa"/>
            <w:vAlign w:val="bottom"/>
          </w:tcPr>
          <w:p>
            <w:pPr>
              <w:spacing w:after="0" w:line="149" w:lineRule="exact"/>
              <w:rPr>
                <w:sz w:val="20"/>
                <w:szCs w:val="20"/>
                <w:color w:val="auto"/>
              </w:rPr>
            </w:pPr>
            <w:r>
              <w:rPr>
                <w:rFonts w:ascii="Arial" w:cs="Arial" w:eastAsia="Arial" w:hAnsi="Arial"/>
                <w:sz w:val="14"/>
                <w:szCs w:val="14"/>
                <w:b w:val="1"/>
                <w:bCs w:val="1"/>
                <w:color w:val="auto"/>
              </w:rPr>
              <w:t>Net interest margin*</w:t>
            </w:r>
          </w:p>
        </w:tc>
        <w:tc>
          <w:tcPr>
            <w:tcW w:w="100" w:type="dxa"/>
            <w:vAlign w:val="bottom"/>
          </w:tcPr>
          <w:p>
            <w:pPr>
              <w:spacing w:after="0"/>
              <w:rPr>
                <w:sz w:val="13"/>
                <w:szCs w:val="13"/>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4.81%</w:t>
            </w: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4.91%</w:t>
            </w: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4.87%</w:t>
            </w: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4.86%</w:t>
            </w: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4.79%</w:t>
            </w: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40" w:type="dxa"/>
            <w:vAlign w:val="bottom"/>
            <w:gridSpan w:val="2"/>
          </w:tcPr>
          <w:p>
            <w:pPr>
              <w:spacing w:after="0"/>
              <w:rPr>
                <w:sz w:val="20"/>
                <w:szCs w:val="20"/>
                <w:color w:val="auto"/>
              </w:rPr>
            </w:pPr>
            <w:r>
              <w:rPr>
                <w:rFonts w:ascii="Arial" w:cs="Arial" w:eastAsia="Arial" w:hAnsi="Arial"/>
                <w:sz w:val="14"/>
                <w:szCs w:val="14"/>
                <w:i w:val="1"/>
                <w:iCs w:val="1"/>
                <w:color w:val="auto"/>
              </w:rPr>
              <w:t>*Annualized</w:t>
            </w:r>
          </w:p>
        </w:tc>
        <w:tc>
          <w:tcPr>
            <w:tcW w:w="10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3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0"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175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NII’s quarterly evolution shows 6.0% growth, which was attributable to:</w:t>
      </w:r>
    </w:p>
    <w:p>
      <w:pPr>
        <w:spacing w:after="0" w:line="252"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i)The 5.3% increase in interest on loans due to significant loan growth (+5.7% in the quarter’s gross closing balances and +5.5% in average daily balances) due to higher growth in the Wholesale Banking and Retail Banking portfolios; and</w:t>
      </w:r>
    </w:p>
    <w:p>
      <w:pPr>
        <w:spacing w:after="0" w:line="197" w:lineRule="exact"/>
        <w:rPr>
          <w:sz w:val="20"/>
          <w:szCs w:val="20"/>
          <w:color w:val="auto"/>
        </w:rPr>
      </w:pPr>
    </w:p>
    <w:p>
      <w:pPr>
        <w:ind w:left="940" w:hanging="608"/>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increase in other interest income from earnings on derivatives.</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aforementioned helped offset higher interest expenses associated with the increase of interest on deposits and the interest on borrowed funds. The former was attributable to 10.1% growth in volume of deposits and the higher interest rates for US-dollar denominated deposits due to shortage of US dollar as a result of aggressive BCR’s changes in reserve requirements. On the other hand, the higher interests on borrowed funds are related to some accounting reclassifications (mainly expenses for derivatives linked to borrowed funds that were previously reported within other expenses or as negative other income) and to a lesser extend higher average interest rate for due to banks, which is related to the shortage aforementioned.</w:t>
      </w:r>
    </w:p>
    <w:p>
      <w:pPr>
        <w:spacing w:after="0" w:line="2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It is also necessary to point out that the evolution of NII was highly satisfactory given that this item does not include the tax benefit generated by investments in BCR CDs (which are reported in the provisions account for income taxes). Margins for Wholesale Banking continued to drop; nevertheless, growth in volumes, particularly in Middle-market Banking, offset the aforementioned effect. There is no doubt, significant growth in the Retail Banking and Edyficar portfolios helped mitigate this effect.</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aforementioned explains both the slight decline in NIM, which went from 4.9% to 4.8%, and the drop in NIM on loans, which was situated at 7.7% at the end of 3Q10 and was below the 8.0% posted last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134620</wp:posOffset>
            </wp:positionV>
            <wp:extent cx="2752725" cy="16554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752725" cy="1655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 Deposit Ratio</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Another aspect that needs to be considered in NIM evolution is our conservative asset and liability matching policy in currency and tenor, which implies an “opportunity cost.” In this sense, a significant increase in local currency (LC) deposits was evident while the increase in foreign currency (FC) deposits was minimal, which is reflected in the loan to deposit ratio that is currently 68.9% in LC and 100.5% in FC. In this scenario, FC funds are needed to finance portfolio growth while maintaining adequate matching, which in turn generates a need for issuances and results in higher payments of interest on loans (due to banks) that imply higher funding costs than deposits. In this context, there is an excess of LC deposits, which is invested in Central Bank´s instruments. This creates an additional downward pressure on NIM given that the interest income generated by this investment is low and the tax benefit that increases it´s profitability and makes it a very attractive investment is not captured by the NIM.</w:t>
      </w:r>
    </w:p>
    <w:p>
      <w:pPr>
        <w:spacing w:after="0" w:line="353"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0"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175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II.4 Past Due Portfolio and Provisions for Loan Losses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The past due ratio fell significantly, going from 1.71% in 2Q10 to 1.59% in 3Q10. The coverage ratio for the past due loan portfolio rose from 179.5% to 193.3% due to higher net provisions.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48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Provision for loan losses</w:t>
            </w:r>
          </w:p>
        </w:tc>
        <w:tc>
          <w:tcPr>
            <w:tcW w:w="10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6"/>
                <w:szCs w:val="16"/>
                <w:b w:val="1"/>
                <w:bCs w:val="1"/>
                <w:color w:val="auto"/>
              </w:rPr>
              <w:t>Quarter</w:t>
            </w:r>
          </w:p>
        </w:tc>
        <w:tc>
          <w:tcPr>
            <w:tcW w:w="11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Borders>
              <w:bottom w:val="single" w:sz="8" w:color="auto"/>
            </w:tcBorders>
            <w:gridSpan w:val="3"/>
          </w:tcPr>
          <w:p>
            <w:pPr>
              <w:ind w:left="900"/>
              <w:spacing w:after="0"/>
              <w:rPr>
                <w:sz w:val="20"/>
                <w:szCs w:val="20"/>
                <w:color w:val="auto"/>
              </w:rPr>
            </w:pPr>
            <w:r>
              <w:rPr>
                <w:rFonts w:ascii="Arial" w:cs="Arial" w:eastAsia="Arial" w:hAnsi="Arial"/>
                <w:sz w:val="16"/>
                <w:szCs w:val="16"/>
                <w:b w:val="1"/>
                <w:bCs w:val="1"/>
                <w:color w:val="auto"/>
              </w:rPr>
              <w:t>Change %</w:t>
            </w:r>
          </w:p>
        </w:tc>
        <w:tc>
          <w:tcPr>
            <w:tcW w:w="8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480" w:type="dxa"/>
            <w:vAlign w:val="bottom"/>
            <w:gridSpan w:val="2"/>
          </w:tcPr>
          <w:p>
            <w:pPr>
              <w:spacing w:after="0"/>
              <w:rPr>
                <w:sz w:val="20"/>
                <w:szCs w:val="20"/>
                <w:color w:val="auto"/>
              </w:rPr>
            </w:pPr>
            <w:r>
              <w:rPr>
                <w:rFonts w:ascii="Arial" w:cs="Arial" w:eastAsia="Arial" w:hAnsi="Arial"/>
                <w:sz w:val="16"/>
                <w:szCs w:val="16"/>
                <w:color w:val="auto"/>
              </w:rPr>
              <w:t>US$ 000</w:t>
            </w:r>
          </w:p>
        </w:tc>
        <w:tc>
          <w:tcPr>
            <w:tcW w:w="100" w:type="dxa"/>
            <w:vAlign w:val="bottom"/>
          </w:tcPr>
          <w:p>
            <w:pPr>
              <w:spacing w:after="0"/>
              <w:rPr>
                <w:sz w:val="17"/>
                <w:szCs w:val="17"/>
                <w:color w:val="auto"/>
              </w:rPr>
            </w:pPr>
          </w:p>
        </w:tc>
        <w:tc>
          <w:tcPr>
            <w:tcW w:w="1380" w:type="dxa"/>
            <w:vAlign w:val="bottom"/>
            <w:gridSpan w:val="2"/>
          </w:tcPr>
          <w:p>
            <w:pPr>
              <w:jc w:val="right"/>
              <w:ind w:right="620"/>
              <w:spacing w:after="0"/>
              <w:rPr>
                <w:sz w:val="20"/>
                <w:szCs w:val="20"/>
                <w:color w:val="auto"/>
              </w:rPr>
            </w:pPr>
            <w:r>
              <w:rPr>
                <w:rFonts w:ascii="Arial" w:cs="Arial" w:eastAsia="Arial" w:hAnsi="Arial"/>
                <w:sz w:val="16"/>
                <w:szCs w:val="16"/>
                <w:b w:val="1"/>
                <w:bCs w:val="1"/>
                <w:color w:val="auto"/>
              </w:rPr>
              <w:t>3Q10</w:t>
            </w:r>
          </w:p>
        </w:tc>
        <w:tc>
          <w:tcPr>
            <w:tcW w:w="1380" w:type="dxa"/>
            <w:vAlign w:val="bottom"/>
            <w:gridSpan w:val="2"/>
          </w:tcPr>
          <w:p>
            <w:pPr>
              <w:jc w:val="right"/>
              <w:ind w:right="620"/>
              <w:spacing w:after="0"/>
              <w:rPr>
                <w:sz w:val="20"/>
                <w:szCs w:val="20"/>
                <w:color w:val="auto"/>
              </w:rPr>
            </w:pPr>
            <w:r>
              <w:rPr>
                <w:rFonts w:ascii="Arial" w:cs="Arial" w:eastAsia="Arial" w:hAnsi="Arial"/>
                <w:sz w:val="16"/>
                <w:szCs w:val="16"/>
                <w:b w:val="1"/>
                <w:bCs w:val="1"/>
                <w:color w:val="auto"/>
              </w:rPr>
              <w:t>2Q10</w:t>
            </w:r>
          </w:p>
        </w:tc>
        <w:tc>
          <w:tcPr>
            <w:tcW w:w="1140" w:type="dxa"/>
            <w:vAlign w:val="bottom"/>
          </w:tcPr>
          <w:p>
            <w:pPr>
              <w:jc w:val="right"/>
              <w:ind w:right="299"/>
              <w:spacing w:after="0"/>
              <w:rPr>
                <w:sz w:val="20"/>
                <w:szCs w:val="20"/>
                <w:color w:val="auto"/>
              </w:rPr>
            </w:pPr>
            <w:r>
              <w:rPr>
                <w:rFonts w:ascii="Arial" w:cs="Arial" w:eastAsia="Arial" w:hAnsi="Arial"/>
                <w:sz w:val="16"/>
                <w:szCs w:val="16"/>
                <w:b w:val="1"/>
                <w:bCs w:val="1"/>
                <w:color w:val="auto"/>
              </w:rPr>
              <w:t>3Q09</w:t>
            </w:r>
          </w:p>
        </w:tc>
        <w:tc>
          <w:tcPr>
            <w:tcW w:w="240" w:type="dxa"/>
            <w:vAlign w:val="bottom"/>
          </w:tcPr>
          <w:p>
            <w:pPr>
              <w:spacing w:after="0"/>
              <w:rPr>
                <w:sz w:val="17"/>
                <w:szCs w:val="17"/>
                <w:color w:val="auto"/>
              </w:rPr>
            </w:pPr>
          </w:p>
        </w:tc>
        <w:tc>
          <w:tcPr>
            <w:tcW w:w="1720" w:type="dxa"/>
            <w:vAlign w:val="bottom"/>
            <w:gridSpan w:val="3"/>
          </w:tcPr>
          <w:p>
            <w:pPr>
              <w:ind w:left="400"/>
              <w:spacing w:after="0"/>
              <w:rPr>
                <w:sz w:val="20"/>
                <w:szCs w:val="20"/>
                <w:color w:val="auto"/>
              </w:rPr>
            </w:pPr>
            <w:r>
              <w:rPr>
                <w:rFonts w:ascii="Arial" w:cs="Arial" w:eastAsia="Arial" w:hAnsi="Arial"/>
                <w:sz w:val="16"/>
                <w:szCs w:val="16"/>
                <w:b w:val="1"/>
                <w:bCs w:val="1"/>
                <w:color w:val="auto"/>
              </w:rPr>
              <w:t>QoQ</w:t>
            </w:r>
          </w:p>
        </w:tc>
        <w:tc>
          <w:tcPr>
            <w:tcW w:w="820" w:type="dxa"/>
            <w:vAlign w:val="bottom"/>
          </w:tcPr>
          <w:p>
            <w:pPr>
              <w:ind w:left="100"/>
              <w:spacing w:after="0"/>
              <w:rPr>
                <w:sz w:val="20"/>
                <w:szCs w:val="20"/>
                <w:color w:val="auto"/>
              </w:rPr>
            </w:pPr>
            <w:r>
              <w:rPr>
                <w:rFonts w:ascii="Arial" w:cs="Arial" w:eastAsia="Arial" w:hAnsi="Arial"/>
                <w:sz w:val="16"/>
                <w:szCs w:val="16"/>
                <w:b w:val="1"/>
                <w:bCs w:val="1"/>
                <w:color w:val="auto"/>
              </w:rPr>
              <w:t>YoY</w:t>
            </w:r>
          </w:p>
        </w:tc>
        <w:tc>
          <w:tcPr>
            <w:tcW w:w="1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460" w:type="dxa"/>
            <w:vAlign w:val="bottom"/>
            <w:shd w:val="clear" w:color="auto" w:fill="CCFFCC"/>
          </w:tcPr>
          <w:p>
            <w:pPr>
              <w:spacing w:after="0"/>
              <w:rPr>
                <w:sz w:val="20"/>
                <w:szCs w:val="20"/>
                <w:color w:val="auto"/>
              </w:rPr>
            </w:pPr>
            <w:r>
              <w:rPr>
                <w:rFonts w:ascii="Arial" w:cs="Arial" w:eastAsia="Arial" w:hAnsi="Arial"/>
                <w:sz w:val="16"/>
                <w:szCs w:val="16"/>
                <w:color w:val="auto"/>
              </w:rPr>
              <w:t>Provisions</w:t>
            </w:r>
          </w:p>
        </w:tc>
        <w:tc>
          <w:tcPr>
            <w:tcW w:w="100" w:type="dxa"/>
            <w:vAlign w:val="bottom"/>
            <w:shd w:val="clear" w:color="auto" w:fill="CCFFCC"/>
          </w:tcPr>
          <w:p>
            <w:pPr>
              <w:spacing w:after="0"/>
              <w:rPr>
                <w:sz w:val="17"/>
                <w:szCs w:val="17"/>
                <w:color w:val="auto"/>
              </w:rPr>
            </w:pPr>
          </w:p>
        </w:tc>
        <w:tc>
          <w:tcPr>
            <w:tcW w:w="1380" w:type="dxa"/>
            <w:vAlign w:val="bottom"/>
            <w:gridSpan w:val="2"/>
            <w:shd w:val="clear" w:color="auto" w:fill="CCFFCC"/>
          </w:tcPr>
          <w:p>
            <w:pPr>
              <w:jc w:val="right"/>
              <w:ind w:right="180"/>
              <w:spacing w:after="0"/>
              <w:rPr>
                <w:sz w:val="20"/>
                <w:szCs w:val="20"/>
                <w:color w:val="auto"/>
              </w:rPr>
            </w:pPr>
            <w:r>
              <w:rPr>
                <w:rFonts w:ascii="Arial" w:cs="Arial" w:eastAsia="Arial" w:hAnsi="Arial"/>
                <w:sz w:val="16"/>
                <w:szCs w:val="16"/>
                <w:color w:val="auto"/>
              </w:rPr>
              <w:t>(59,018)</w:t>
            </w:r>
          </w:p>
        </w:tc>
        <w:tc>
          <w:tcPr>
            <w:tcW w:w="1380" w:type="dxa"/>
            <w:vAlign w:val="bottom"/>
            <w:gridSpan w:val="2"/>
            <w:shd w:val="clear" w:color="auto" w:fill="CCFFCC"/>
          </w:tcPr>
          <w:p>
            <w:pPr>
              <w:jc w:val="right"/>
              <w:ind w:right="180"/>
              <w:spacing w:after="0"/>
              <w:rPr>
                <w:sz w:val="20"/>
                <w:szCs w:val="20"/>
                <w:color w:val="auto"/>
              </w:rPr>
            </w:pPr>
            <w:r>
              <w:rPr>
                <w:rFonts w:ascii="Arial" w:cs="Arial" w:eastAsia="Arial" w:hAnsi="Arial"/>
                <w:sz w:val="16"/>
                <w:szCs w:val="16"/>
                <w:color w:val="auto"/>
              </w:rPr>
              <w:t>(43,592)</w:t>
            </w:r>
          </w:p>
        </w:tc>
        <w:tc>
          <w:tcPr>
            <w:tcW w:w="138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(44,080)</w:t>
            </w:r>
          </w:p>
        </w:tc>
        <w:tc>
          <w:tcPr>
            <w:tcW w:w="1400" w:type="dxa"/>
            <w:vAlign w:val="bottom"/>
            <w:gridSpan w:val="2"/>
            <w:shd w:val="clear" w:color="auto" w:fill="CCFFCC"/>
          </w:tcPr>
          <w:p>
            <w:pPr>
              <w:jc w:val="right"/>
              <w:ind w:right="140"/>
              <w:spacing w:after="0"/>
              <w:rPr>
                <w:sz w:val="20"/>
                <w:szCs w:val="20"/>
                <w:color w:val="auto"/>
              </w:rPr>
            </w:pPr>
            <w:r>
              <w:rPr>
                <w:rFonts w:ascii="Arial" w:cs="Arial" w:eastAsia="Arial" w:hAnsi="Arial"/>
                <w:sz w:val="16"/>
                <w:szCs w:val="16"/>
                <w:color w:val="auto"/>
              </w:rPr>
              <w:t>35.4%</w:t>
            </w:r>
          </w:p>
        </w:tc>
        <w:tc>
          <w:tcPr>
            <w:tcW w:w="320" w:type="dxa"/>
            <w:vAlign w:val="bottom"/>
            <w:shd w:val="clear" w:color="auto" w:fill="CCFFCC"/>
          </w:tcPr>
          <w:p>
            <w:pPr>
              <w:spacing w:after="0"/>
              <w:rPr>
                <w:sz w:val="17"/>
                <w:szCs w:val="17"/>
                <w:color w:val="auto"/>
              </w:rPr>
            </w:pPr>
          </w:p>
        </w:tc>
        <w:tc>
          <w:tcPr>
            <w:tcW w:w="980" w:type="dxa"/>
            <w:vAlign w:val="bottom"/>
            <w:gridSpan w:val="2"/>
            <w:shd w:val="clear" w:color="auto" w:fill="CCFFCC"/>
          </w:tcPr>
          <w:p>
            <w:pPr>
              <w:ind w:left="540"/>
              <w:spacing w:after="0"/>
              <w:rPr>
                <w:sz w:val="20"/>
                <w:szCs w:val="20"/>
                <w:color w:val="auto"/>
              </w:rPr>
            </w:pPr>
            <w:r>
              <w:rPr>
                <w:rFonts w:ascii="Arial" w:cs="Arial" w:eastAsia="Arial" w:hAnsi="Arial"/>
                <w:sz w:val="16"/>
                <w:szCs w:val="16"/>
                <w:color w:val="auto"/>
                <w:w w:val="92"/>
              </w:rPr>
              <w:t>33.9%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tcPr>
          <w:p>
            <w:pPr>
              <w:spacing w:after="0"/>
              <w:rPr>
                <w:sz w:val="20"/>
                <w:szCs w:val="20"/>
                <w:color w:val="auto"/>
              </w:rPr>
            </w:pPr>
            <w:r>
              <w:rPr>
                <w:rFonts w:ascii="Arial" w:cs="Arial" w:eastAsia="Arial" w:hAnsi="Arial"/>
                <w:sz w:val="16"/>
                <w:szCs w:val="16"/>
                <w:color w:val="auto"/>
              </w:rPr>
              <w:t>Loan loss recoveries</w:t>
            </w:r>
          </w:p>
        </w:tc>
        <w:tc>
          <w:tcPr>
            <w:tcW w:w="100" w:type="dxa"/>
            <w:vAlign w:val="bottom"/>
          </w:tcPr>
          <w:p>
            <w:pPr>
              <w:spacing w:after="0"/>
              <w:rPr>
                <w:sz w:val="17"/>
                <w:szCs w:val="17"/>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6,404</w:t>
            </w:r>
          </w:p>
        </w:tc>
        <w:tc>
          <w:tcPr>
            <w:tcW w:w="1140" w:type="dxa"/>
            <w:vAlign w:val="bottom"/>
          </w:tcPr>
          <w:p>
            <w:pPr>
              <w:jc w:val="right"/>
              <w:spacing w:after="0"/>
              <w:rPr>
                <w:sz w:val="20"/>
                <w:szCs w:val="20"/>
                <w:color w:val="auto"/>
              </w:rPr>
            </w:pPr>
            <w:r>
              <w:rPr>
                <w:rFonts w:ascii="Arial" w:cs="Arial" w:eastAsia="Arial" w:hAnsi="Arial"/>
                <w:sz w:val="16"/>
                <w:szCs w:val="16"/>
                <w:color w:val="auto"/>
              </w:rPr>
              <w:t>12,408</w:t>
            </w: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5,163</w:t>
            </w:r>
          </w:p>
        </w:tc>
        <w:tc>
          <w:tcPr>
            <w:tcW w:w="240" w:type="dxa"/>
            <w:vAlign w:val="bottom"/>
          </w:tcPr>
          <w:p>
            <w:pPr>
              <w:spacing w:after="0"/>
              <w:rPr>
                <w:sz w:val="17"/>
                <w:szCs w:val="17"/>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6"/>
                <w:szCs w:val="16"/>
                <w:color w:val="auto"/>
              </w:rPr>
              <w:t>-48.4%</w:t>
            </w:r>
          </w:p>
        </w:tc>
        <w:tc>
          <w:tcPr>
            <w:tcW w:w="320" w:type="dxa"/>
            <w:vAlign w:val="bottom"/>
          </w:tcPr>
          <w:p>
            <w:pPr>
              <w:spacing w:after="0"/>
              <w:rPr>
                <w:sz w:val="17"/>
                <w:szCs w:val="17"/>
                <w:color w:val="auto"/>
              </w:rPr>
            </w:pPr>
          </w:p>
        </w:tc>
        <w:tc>
          <w:tcPr>
            <w:tcW w:w="980" w:type="dxa"/>
            <w:vAlign w:val="bottom"/>
            <w:gridSpan w:val="2"/>
          </w:tcPr>
          <w:p>
            <w:pPr>
              <w:ind w:left="540"/>
              <w:spacing w:after="0"/>
              <w:rPr>
                <w:sz w:val="20"/>
                <w:szCs w:val="20"/>
                <w:color w:val="auto"/>
              </w:rPr>
            </w:pPr>
            <w:r>
              <w:rPr>
                <w:rFonts w:ascii="Arial" w:cs="Arial" w:eastAsia="Arial" w:hAnsi="Arial"/>
                <w:sz w:val="16"/>
                <w:szCs w:val="16"/>
                <w:color w:val="auto"/>
                <w:w w:val="92"/>
              </w:rPr>
              <w:t>24.0%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460" w:type="dxa"/>
            <w:vAlign w:val="bottom"/>
            <w:shd w:val="clear" w:color="auto" w:fill="CCFFCC"/>
          </w:tcPr>
          <w:p>
            <w:pPr>
              <w:spacing w:after="0"/>
              <w:rPr>
                <w:sz w:val="20"/>
                <w:szCs w:val="20"/>
                <w:color w:val="auto"/>
              </w:rPr>
            </w:pPr>
            <w:r>
              <w:rPr>
                <w:rFonts w:ascii="Arial" w:cs="Arial" w:eastAsia="Arial" w:hAnsi="Arial"/>
                <w:sz w:val="16"/>
                <w:szCs w:val="16"/>
                <w:b w:val="1"/>
                <w:bCs w:val="1"/>
                <w:color w:val="auto"/>
              </w:rPr>
              <w:t>Net provisions, for loan losses</w:t>
            </w:r>
          </w:p>
        </w:tc>
        <w:tc>
          <w:tcPr>
            <w:tcW w:w="100" w:type="dxa"/>
            <w:vAlign w:val="bottom"/>
            <w:shd w:val="clear" w:color="auto" w:fill="CCFFCC"/>
          </w:tcPr>
          <w:p>
            <w:pPr>
              <w:spacing w:after="0"/>
              <w:rPr>
                <w:sz w:val="17"/>
                <w:szCs w:val="17"/>
                <w:color w:val="auto"/>
              </w:rPr>
            </w:pPr>
          </w:p>
        </w:tc>
        <w:tc>
          <w:tcPr>
            <w:tcW w:w="1380" w:type="dxa"/>
            <w:vAlign w:val="bottom"/>
            <w:gridSpan w:val="2"/>
            <w:shd w:val="clear" w:color="auto" w:fill="CCFFCC"/>
          </w:tcPr>
          <w:p>
            <w:pPr>
              <w:jc w:val="right"/>
              <w:ind w:right="180"/>
              <w:spacing w:after="0"/>
              <w:rPr>
                <w:sz w:val="20"/>
                <w:szCs w:val="20"/>
                <w:color w:val="auto"/>
              </w:rPr>
            </w:pPr>
            <w:r>
              <w:rPr>
                <w:rFonts w:ascii="Arial" w:cs="Arial" w:eastAsia="Arial" w:hAnsi="Arial"/>
                <w:sz w:val="16"/>
                <w:szCs w:val="16"/>
                <w:b w:val="1"/>
                <w:bCs w:val="1"/>
                <w:color w:val="auto"/>
              </w:rPr>
              <w:t>(52,614)</w:t>
            </w:r>
          </w:p>
        </w:tc>
        <w:tc>
          <w:tcPr>
            <w:tcW w:w="1380" w:type="dxa"/>
            <w:vAlign w:val="bottom"/>
            <w:gridSpan w:val="2"/>
            <w:shd w:val="clear" w:color="auto" w:fill="CCFFCC"/>
          </w:tcPr>
          <w:p>
            <w:pPr>
              <w:jc w:val="right"/>
              <w:ind w:right="180"/>
              <w:spacing w:after="0"/>
              <w:rPr>
                <w:sz w:val="20"/>
                <w:szCs w:val="20"/>
                <w:color w:val="auto"/>
              </w:rPr>
            </w:pPr>
            <w:r>
              <w:rPr>
                <w:rFonts w:ascii="Arial" w:cs="Arial" w:eastAsia="Arial" w:hAnsi="Arial"/>
                <w:sz w:val="16"/>
                <w:szCs w:val="16"/>
                <w:b w:val="1"/>
                <w:bCs w:val="1"/>
                <w:color w:val="auto"/>
              </w:rPr>
              <w:t>(31,183)</w:t>
            </w:r>
          </w:p>
        </w:tc>
        <w:tc>
          <w:tcPr>
            <w:tcW w:w="138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b w:val="1"/>
                <w:bCs w:val="1"/>
                <w:color w:val="auto"/>
              </w:rPr>
              <w:t>(38,917)</w:t>
            </w: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b w:val="1"/>
                <w:bCs w:val="1"/>
                <w:color w:val="auto"/>
              </w:rPr>
              <w:t>68.7%</w:t>
            </w:r>
          </w:p>
        </w:tc>
        <w:tc>
          <w:tcPr>
            <w:tcW w:w="320" w:type="dxa"/>
            <w:vAlign w:val="bottom"/>
            <w:shd w:val="clear" w:color="auto" w:fill="CCFFCC"/>
          </w:tcPr>
          <w:p>
            <w:pPr>
              <w:spacing w:after="0"/>
              <w:rPr>
                <w:sz w:val="17"/>
                <w:szCs w:val="17"/>
                <w:color w:val="auto"/>
              </w:rPr>
            </w:pPr>
          </w:p>
        </w:tc>
        <w:tc>
          <w:tcPr>
            <w:tcW w:w="980" w:type="dxa"/>
            <w:vAlign w:val="bottom"/>
            <w:gridSpan w:val="2"/>
            <w:shd w:val="clear" w:color="auto" w:fill="CCFFCC"/>
          </w:tcPr>
          <w:p>
            <w:pPr>
              <w:ind w:left="540"/>
              <w:spacing w:after="0"/>
              <w:rPr>
                <w:sz w:val="20"/>
                <w:szCs w:val="20"/>
                <w:color w:val="auto"/>
              </w:rPr>
            </w:pPr>
            <w:r>
              <w:rPr>
                <w:rFonts w:ascii="Arial" w:cs="Arial" w:eastAsia="Arial" w:hAnsi="Arial"/>
                <w:sz w:val="16"/>
                <w:szCs w:val="16"/>
                <w:b w:val="1"/>
                <w:bCs w:val="1"/>
                <w:color w:val="auto"/>
                <w:w w:val="92"/>
              </w:rPr>
              <w:t>35.2%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6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shd w:val="clear" w:color="auto" w:fill="CCFFCC"/>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460" w:type="dxa"/>
            <w:vAlign w:val="bottom"/>
          </w:tcPr>
          <w:p>
            <w:pPr>
              <w:spacing w:after="0"/>
              <w:rPr>
                <w:sz w:val="20"/>
                <w:szCs w:val="20"/>
                <w:color w:val="auto"/>
              </w:rPr>
            </w:pPr>
            <w:r>
              <w:rPr>
                <w:rFonts w:ascii="Arial" w:cs="Arial" w:eastAsia="Arial" w:hAnsi="Arial"/>
                <w:sz w:val="16"/>
                <w:szCs w:val="16"/>
                <w:b w:val="1"/>
                <w:bCs w:val="1"/>
                <w:color w:val="auto"/>
              </w:rPr>
              <w:t>Total loans</w:t>
            </w:r>
          </w:p>
        </w:tc>
        <w:tc>
          <w:tcPr>
            <w:tcW w:w="100" w:type="dxa"/>
            <w:vAlign w:val="bottom"/>
          </w:tcPr>
          <w:p>
            <w:pPr>
              <w:spacing w:after="0"/>
              <w:rPr>
                <w:sz w:val="17"/>
                <w:szCs w:val="17"/>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13,326,601</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12,611,066</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10,572,063</w:t>
            </w:r>
          </w:p>
        </w:tc>
        <w:tc>
          <w:tcPr>
            <w:tcW w:w="240" w:type="dxa"/>
            <w:vAlign w:val="bottom"/>
          </w:tcPr>
          <w:p>
            <w:pPr>
              <w:spacing w:after="0"/>
              <w:rPr>
                <w:sz w:val="17"/>
                <w:szCs w:val="17"/>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5.7%</w:t>
            </w:r>
          </w:p>
        </w:tc>
        <w:tc>
          <w:tcPr>
            <w:tcW w:w="320" w:type="dxa"/>
            <w:vAlign w:val="bottom"/>
          </w:tcPr>
          <w:p>
            <w:pPr>
              <w:spacing w:after="0"/>
              <w:rPr>
                <w:sz w:val="17"/>
                <w:szCs w:val="17"/>
                <w:color w:val="auto"/>
              </w:rPr>
            </w:pPr>
          </w:p>
        </w:tc>
        <w:tc>
          <w:tcPr>
            <w:tcW w:w="980" w:type="dxa"/>
            <w:vAlign w:val="bottom"/>
            <w:gridSpan w:val="2"/>
          </w:tcPr>
          <w:p>
            <w:pPr>
              <w:ind w:left="540"/>
              <w:spacing w:after="0"/>
              <w:rPr>
                <w:sz w:val="20"/>
                <w:szCs w:val="20"/>
                <w:color w:val="auto"/>
              </w:rPr>
            </w:pPr>
            <w:r>
              <w:rPr>
                <w:rFonts w:ascii="Arial" w:cs="Arial" w:eastAsia="Arial" w:hAnsi="Arial"/>
                <w:sz w:val="16"/>
                <w:szCs w:val="16"/>
                <w:b w:val="1"/>
                <w:bCs w:val="1"/>
                <w:color w:val="auto"/>
                <w:w w:val="92"/>
              </w:rPr>
              <w:t>26.1%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460" w:type="dxa"/>
            <w:vAlign w:val="bottom"/>
            <w:shd w:val="clear" w:color="auto" w:fill="CCFFCC"/>
          </w:tcPr>
          <w:p>
            <w:pPr>
              <w:spacing w:after="0"/>
              <w:rPr>
                <w:sz w:val="20"/>
                <w:szCs w:val="20"/>
                <w:color w:val="auto"/>
              </w:rPr>
            </w:pPr>
            <w:r>
              <w:rPr>
                <w:rFonts w:ascii="Arial" w:cs="Arial" w:eastAsia="Arial" w:hAnsi="Arial"/>
                <w:sz w:val="16"/>
                <w:szCs w:val="16"/>
                <w:b w:val="1"/>
                <w:bCs w:val="1"/>
                <w:color w:val="auto"/>
              </w:rPr>
              <w:t>Reserve for loan losses (RLL)</w:t>
            </w:r>
          </w:p>
        </w:tc>
        <w:tc>
          <w:tcPr>
            <w:tcW w:w="100" w:type="dxa"/>
            <w:vAlign w:val="bottom"/>
            <w:shd w:val="clear" w:color="auto" w:fill="CCFFCC"/>
          </w:tcPr>
          <w:p>
            <w:pPr>
              <w:spacing w:after="0"/>
              <w:rPr>
                <w:sz w:val="17"/>
                <w:szCs w:val="17"/>
                <w:color w:val="auto"/>
              </w:rPr>
            </w:pPr>
          </w:p>
        </w:tc>
        <w:tc>
          <w:tcPr>
            <w:tcW w:w="1380" w:type="dxa"/>
            <w:vAlign w:val="bottom"/>
            <w:gridSpan w:val="2"/>
            <w:shd w:val="clear" w:color="auto" w:fill="CCFFCC"/>
          </w:tcPr>
          <w:p>
            <w:pPr>
              <w:jc w:val="right"/>
              <w:ind w:right="240"/>
              <w:spacing w:after="0"/>
              <w:rPr>
                <w:sz w:val="20"/>
                <w:szCs w:val="20"/>
                <w:color w:val="auto"/>
              </w:rPr>
            </w:pPr>
            <w:r>
              <w:rPr>
                <w:rFonts w:ascii="Arial" w:cs="Arial" w:eastAsia="Arial" w:hAnsi="Arial"/>
                <w:sz w:val="16"/>
                <w:szCs w:val="16"/>
                <w:b w:val="1"/>
                <w:bCs w:val="1"/>
                <w:color w:val="auto"/>
              </w:rPr>
              <w:t>410,814</w:t>
            </w:r>
          </w:p>
        </w:tc>
        <w:tc>
          <w:tcPr>
            <w:tcW w:w="1140" w:type="dxa"/>
            <w:vAlign w:val="bottom"/>
            <w:shd w:val="clear" w:color="auto" w:fill="CCFFCC"/>
          </w:tcPr>
          <w:p>
            <w:pPr>
              <w:jc w:val="right"/>
              <w:spacing w:after="0"/>
              <w:rPr>
                <w:sz w:val="20"/>
                <w:szCs w:val="20"/>
                <w:color w:val="auto"/>
              </w:rPr>
            </w:pPr>
            <w:r>
              <w:rPr>
                <w:rFonts w:ascii="Arial" w:cs="Arial" w:eastAsia="Arial" w:hAnsi="Arial"/>
                <w:sz w:val="16"/>
                <w:szCs w:val="16"/>
                <w:b w:val="1"/>
                <w:bCs w:val="1"/>
                <w:color w:val="auto"/>
              </w:rPr>
              <w:t>386,148</w:t>
            </w:r>
          </w:p>
        </w:tc>
        <w:tc>
          <w:tcPr>
            <w:tcW w:w="240" w:type="dxa"/>
            <w:vAlign w:val="bottom"/>
            <w:shd w:val="clear" w:color="auto" w:fill="CCFFCC"/>
          </w:tcPr>
          <w:p>
            <w:pPr>
              <w:spacing w:after="0"/>
              <w:rPr>
                <w:sz w:val="17"/>
                <w:szCs w:val="17"/>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6"/>
                <w:szCs w:val="16"/>
                <w:b w:val="1"/>
                <w:bCs w:val="1"/>
                <w:color w:val="auto"/>
              </w:rPr>
              <w:t>316,718</w:t>
            </w:r>
          </w:p>
        </w:tc>
        <w:tc>
          <w:tcPr>
            <w:tcW w:w="240" w:type="dxa"/>
            <w:vAlign w:val="bottom"/>
            <w:shd w:val="clear" w:color="auto" w:fill="CCFFCC"/>
          </w:tcPr>
          <w:p>
            <w:pPr>
              <w:spacing w:after="0"/>
              <w:rPr>
                <w:sz w:val="17"/>
                <w:szCs w:val="17"/>
                <w:color w:val="auto"/>
              </w:rPr>
            </w:pP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b w:val="1"/>
                <w:bCs w:val="1"/>
                <w:color w:val="auto"/>
              </w:rPr>
              <w:t>6.4%</w:t>
            </w:r>
          </w:p>
        </w:tc>
        <w:tc>
          <w:tcPr>
            <w:tcW w:w="320" w:type="dxa"/>
            <w:vAlign w:val="bottom"/>
            <w:shd w:val="clear" w:color="auto" w:fill="CCFFCC"/>
          </w:tcPr>
          <w:p>
            <w:pPr>
              <w:spacing w:after="0"/>
              <w:rPr>
                <w:sz w:val="17"/>
                <w:szCs w:val="17"/>
                <w:color w:val="auto"/>
              </w:rPr>
            </w:pPr>
          </w:p>
        </w:tc>
        <w:tc>
          <w:tcPr>
            <w:tcW w:w="980" w:type="dxa"/>
            <w:vAlign w:val="bottom"/>
            <w:gridSpan w:val="2"/>
            <w:shd w:val="clear" w:color="auto" w:fill="CCFFCC"/>
          </w:tcPr>
          <w:p>
            <w:pPr>
              <w:ind w:left="540"/>
              <w:spacing w:after="0"/>
              <w:rPr>
                <w:sz w:val="20"/>
                <w:szCs w:val="20"/>
                <w:color w:val="auto"/>
              </w:rPr>
            </w:pPr>
            <w:r>
              <w:rPr>
                <w:rFonts w:ascii="Arial" w:cs="Arial" w:eastAsia="Arial" w:hAnsi="Arial"/>
                <w:sz w:val="16"/>
                <w:szCs w:val="16"/>
                <w:b w:val="1"/>
                <w:bCs w:val="1"/>
                <w:color w:val="auto"/>
                <w:w w:val="92"/>
              </w:rPr>
              <w:t>29.7%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6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shd w:val="clear" w:color="auto" w:fill="CCFFCC"/>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460" w:type="dxa"/>
            <w:vAlign w:val="bottom"/>
          </w:tcPr>
          <w:p>
            <w:pPr>
              <w:spacing w:after="0"/>
              <w:rPr>
                <w:sz w:val="20"/>
                <w:szCs w:val="20"/>
                <w:color w:val="auto"/>
              </w:rPr>
            </w:pPr>
            <w:r>
              <w:rPr>
                <w:rFonts w:ascii="Arial" w:cs="Arial" w:eastAsia="Arial" w:hAnsi="Arial"/>
                <w:sz w:val="16"/>
                <w:szCs w:val="16"/>
                <w:b w:val="1"/>
                <w:bCs w:val="1"/>
                <w:color w:val="auto"/>
              </w:rPr>
              <w:t>Charge-Off amount</w:t>
            </w:r>
          </w:p>
        </w:tc>
        <w:tc>
          <w:tcPr>
            <w:tcW w:w="100" w:type="dxa"/>
            <w:vAlign w:val="bottom"/>
          </w:tcPr>
          <w:p>
            <w:pPr>
              <w:spacing w:after="0"/>
              <w:rPr>
                <w:sz w:val="17"/>
                <w:szCs w:val="17"/>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35,801</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35,296</w:t>
            </w: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20,709</w:t>
            </w:r>
          </w:p>
        </w:tc>
        <w:tc>
          <w:tcPr>
            <w:tcW w:w="240" w:type="dxa"/>
            <w:vAlign w:val="bottom"/>
          </w:tcPr>
          <w:p>
            <w:pPr>
              <w:spacing w:after="0"/>
              <w:rPr>
                <w:sz w:val="17"/>
                <w:szCs w:val="17"/>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1.4%</w:t>
            </w:r>
          </w:p>
        </w:tc>
        <w:tc>
          <w:tcPr>
            <w:tcW w:w="320" w:type="dxa"/>
            <w:vAlign w:val="bottom"/>
          </w:tcPr>
          <w:p>
            <w:pPr>
              <w:spacing w:after="0"/>
              <w:rPr>
                <w:sz w:val="17"/>
                <w:szCs w:val="17"/>
                <w:color w:val="auto"/>
              </w:rPr>
            </w:pPr>
          </w:p>
        </w:tc>
        <w:tc>
          <w:tcPr>
            <w:tcW w:w="980" w:type="dxa"/>
            <w:vAlign w:val="bottom"/>
            <w:gridSpan w:val="2"/>
          </w:tcPr>
          <w:p>
            <w:pPr>
              <w:ind w:left="540"/>
              <w:spacing w:after="0"/>
              <w:rPr>
                <w:sz w:val="20"/>
                <w:szCs w:val="20"/>
                <w:color w:val="auto"/>
              </w:rPr>
            </w:pPr>
            <w:r>
              <w:rPr>
                <w:rFonts w:ascii="Arial" w:cs="Arial" w:eastAsia="Arial" w:hAnsi="Arial"/>
                <w:sz w:val="16"/>
                <w:szCs w:val="16"/>
                <w:b w:val="1"/>
                <w:bCs w:val="1"/>
                <w:color w:val="auto"/>
                <w:w w:val="92"/>
              </w:rPr>
              <w:t>72.9%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460" w:type="dxa"/>
            <w:vAlign w:val="bottom"/>
            <w:shd w:val="clear" w:color="auto" w:fill="CCFFCC"/>
          </w:tcPr>
          <w:p>
            <w:pPr>
              <w:spacing w:after="0"/>
              <w:rPr>
                <w:sz w:val="20"/>
                <w:szCs w:val="20"/>
                <w:color w:val="auto"/>
              </w:rPr>
            </w:pPr>
            <w:r>
              <w:rPr>
                <w:rFonts w:ascii="Arial" w:cs="Arial" w:eastAsia="Arial" w:hAnsi="Arial"/>
                <w:sz w:val="16"/>
                <w:szCs w:val="16"/>
                <w:b w:val="1"/>
                <w:bCs w:val="1"/>
                <w:color w:val="auto"/>
              </w:rPr>
              <w:t>Past due loans (PDL)</w:t>
            </w:r>
          </w:p>
        </w:tc>
        <w:tc>
          <w:tcPr>
            <w:tcW w:w="100" w:type="dxa"/>
            <w:vAlign w:val="bottom"/>
            <w:shd w:val="clear" w:color="auto" w:fill="CCFFCC"/>
          </w:tcPr>
          <w:p>
            <w:pPr>
              <w:spacing w:after="0"/>
              <w:rPr>
                <w:sz w:val="17"/>
                <w:szCs w:val="17"/>
                <w:color w:val="auto"/>
              </w:rPr>
            </w:pPr>
          </w:p>
        </w:tc>
        <w:tc>
          <w:tcPr>
            <w:tcW w:w="1380" w:type="dxa"/>
            <w:vAlign w:val="bottom"/>
            <w:gridSpan w:val="2"/>
            <w:shd w:val="clear" w:color="auto" w:fill="CCFFCC"/>
          </w:tcPr>
          <w:p>
            <w:pPr>
              <w:jc w:val="right"/>
              <w:ind w:right="240"/>
              <w:spacing w:after="0"/>
              <w:rPr>
                <w:sz w:val="20"/>
                <w:szCs w:val="20"/>
                <w:color w:val="auto"/>
              </w:rPr>
            </w:pPr>
            <w:r>
              <w:rPr>
                <w:rFonts w:ascii="Arial" w:cs="Arial" w:eastAsia="Arial" w:hAnsi="Arial"/>
                <w:sz w:val="16"/>
                <w:szCs w:val="16"/>
                <w:b w:val="1"/>
                <w:bCs w:val="1"/>
                <w:color w:val="auto"/>
              </w:rPr>
              <w:t>212,498</w:t>
            </w:r>
          </w:p>
        </w:tc>
        <w:tc>
          <w:tcPr>
            <w:tcW w:w="1140" w:type="dxa"/>
            <w:vAlign w:val="bottom"/>
            <w:shd w:val="clear" w:color="auto" w:fill="CCFFCC"/>
          </w:tcPr>
          <w:p>
            <w:pPr>
              <w:jc w:val="right"/>
              <w:spacing w:after="0"/>
              <w:rPr>
                <w:sz w:val="20"/>
                <w:szCs w:val="20"/>
                <w:color w:val="auto"/>
              </w:rPr>
            </w:pPr>
            <w:r>
              <w:rPr>
                <w:rFonts w:ascii="Arial" w:cs="Arial" w:eastAsia="Arial" w:hAnsi="Arial"/>
                <w:sz w:val="16"/>
                <w:szCs w:val="16"/>
                <w:b w:val="1"/>
                <w:bCs w:val="1"/>
                <w:color w:val="auto"/>
              </w:rPr>
              <w:t>215,092</w:t>
            </w:r>
          </w:p>
        </w:tc>
        <w:tc>
          <w:tcPr>
            <w:tcW w:w="240" w:type="dxa"/>
            <w:vAlign w:val="bottom"/>
            <w:shd w:val="clear" w:color="auto" w:fill="CCFFCC"/>
          </w:tcPr>
          <w:p>
            <w:pPr>
              <w:spacing w:after="0"/>
              <w:rPr>
                <w:sz w:val="17"/>
                <w:szCs w:val="17"/>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6"/>
                <w:szCs w:val="16"/>
                <w:b w:val="1"/>
                <w:bCs w:val="1"/>
                <w:color w:val="auto"/>
              </w:rPr>
              <w:t>165,109</w:t>
            </w:r>
          </w:p>
        </w:tc>
        <w:tc>
          <w:tcPr>
            <w:tcW w:w="240" w:type="dxa"/>
            <w:vAlign w:val="bottom"/>
            <w:shd w:val="clear" w:color="auto" w:fill="CCFFCC"/>
          </w:tcPr>
          <w:p>
            <w:pPr>
              <w:spacing w:after="0"/>
              <w:rPr>
                <w:sz w:val="17"/>
                <w:szCs w:val="17"/>
                <w:color w:val="auto"/>
              </w:rPr>
            </w:pP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b w:val="1"/>
                <w:bCs w:val="1"/>
                <w:color w:val="auto"/>
              </w:rPr>
              <w:t>-1.2%</w:t>
            </w:r>
          </w:p>
        </w:tc>
        <w:tc>
          <w:tcPr>
            <w:tcW w:w="320" w:type="dxa"/>
            <w:vAlign w:val="bottom"/>
            <w:shd w:val="clear" w:color="auto" w:fill="CCFFCC"/>
          </w:tcPr>
          <w:p>
            <w:pPr>
              <w:spacing w:after="0"/>
              <w:rPr>
                <w:sz w:val="17"/>
                <w:szCs w:val="17"/>
                <w:color w:val="auto"/>
              </w:rPr>
            </w:pPr>
          </w:p>
        </w:tc>
        <w:tc>
          <w:tcPr>
            <w:tcW w:w="980" w:type="dxa"/>
            <w:vAlign w:val="bottom"/>
            <w:gridSpan w:val="2"/>
            <w:shd w:val="clear" w:color="auto" w:fill="CCFFCC"/>
          </w:tcPr>
          <w:p>
            <w:pPr>
              <w:ind w:left="540"/>
              <w:spacing w:after="0"/>
              <w:rPr>
                <w:sz w:val="20"/>
                <w:szCs w:val="20"/>
                <w:color w:val="auto"/>
              </w:rPr>
            </w:pPr>
            <w:r>
              <w:rPr>
                <w:rFonts w:ascii="Arial" w:cs="Arial" w:eastAsia="Arial" w:hAnsi="Arial"/>
                <w:sz w:val="16"/>
                <w:szCs w:val="16"/>
                <w:b w:val="1"/>
                <w:bCs w:val="1"/>
                <w:color w:val="auto"/>
                <w:w w:val="92"/>
              </w:rPr>
              <w:t>28.7%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6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shd w:val="clear" w:color="auto" w:fill="CCFFCC"/>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460" w:type="dxa"/>
            <w:vAlign w:val="bottom"/>
          </w:tcPr>
          <w:p>
            <w:pPr>
              <w:spacing w:after="0"/>
              <w:rPr>
                <w:sz w:val="20"/>
                <w:szCs w:val="20"/>
                <w:color w:val="auto"/>
              </w:rPr>
            </w:pPr>
            <w:r>
              <w:rPr>
                <w:rFonts w:ascii="Arial" w:cs="Arial" w:eastAsia="Arial" w:hAnsi="Arial"/>
                <w:sz w:val="16"/>
                <w:szCs w:val="16"/>
                <w:color w:val="auto"/>
              </w:rPr>
              <w:t>PDL/Total loans</w:t>
            </w:r>
          </w:p>
        </w:tc>
        <w:tc>
          <w:tcPr>
            <w:tcW w:w="10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1.59%</w:t>
            </w: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1.71%</w:t>
            </w: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1.56%</w:t>
            </w: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shd w:val="clear" w:color="auto" w:fill="CCFFCC"/>
          </w:tcPr>
          <w:p>
            <w:pPr>
              <w:spacing w:after="0"/>
              <w:rPr>
                <w:sz w:val="20"/>
                <w:szCs w:val="20"/>
                <w:color w:val="auto"/>
              </w:rPr>
            </w:pPr>
            <w:r>
              <w:rPr>
                <w:rFonts w:ascii="Arial" w:cs="Arial" w:eastAsia="Arial" w:hAnsi="Arial"/>
                <w:sz w:val="16"/>
                <w:szCs w:val="16"/>
                <w:color w:val="auto"/>
              </w:rPr>
              <w:t>Coverage</w:t>
            </w:r>
          </w:p>
        </w:tc>
        <w:tc>
          <w:tcPr>
            <w:tcW w:w="100" w:type="dxa"/>
            <w:vAlign w:val="bottom"/>
            <w:shd w:val="clear" w:color="auto" w:fill="CCFFCC"/>
          </w:tcPr>
          <w:p>
            <w:pPr>
              <w:spacing w:after="0"/>
              <w:rPr>
                <w:sz w:val="17"/>
                <w:szCs w:val="17"/>
                <w:color w:val="auto"/>
              </w:rPr>
            </w:pPr>
          </w:p>
        </w:tc>
        <w:tc>
          <w:tcPr>
            <w:tcW w:w="138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193.3%</w:t>
            </w:r>
          </w:p>
        </w:tc>
        <w:tc>
          <w:tcPr>
            <w:tcW w:w="138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179.5%</w:t>
            </w:r>
          </w:p>
        </w:tc>
        <w:tc>
          <w:tcPr>
            <w:tcW w:w="138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191.8%</w:t>
            </w:r>
          </w:p>
        </w:tc>
        <w:tc>
          <w:tcPr>
            <w:tcW w:w="114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32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6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1140" w:type="dxa"/>
            <w:vAlign w:val="bottom"/>
            <w:shd w:val="clear" w:color="auto" w:fill="CCFFCC"/>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320" w:type="dxa"/>
            <w:vAlign w:val="bottom"/>
            <w:shd w:val="clear" w:color="auto" w:fill="CCFFCC"/>
          </w:tcPr>
          <w:p>
            <w:pPr>
              <w:spacing w:after="0"/>
              <w:rPr>
                <w:sz w:val="2"/>
                <w:szCs w:val="2"/>
                <w:color w:val="auto"/>
              </w:rPr>
            </w:pPr>
          </w:p>
        </w:tc>
        <w:tc>
          <w:tcPr>
            <w:tcW w:w="820" w:type="dxa"/>
            <w:vAlign w:val="bottom"/>
            <w:shd w:val="clear" w:color="auto" w:fill="CCFFCC"/>
          </w:tcPr>
          <w:p>
            <w:pPr>
              <w:spacing w:after="0"/>
              <w:rPr>
                <w:sz w:val="2"/>
                <w:szCs w:val="2"/>
                <w:color w:val="auto"/>
              </w:rPr>
            </w:pPr>
          </w:p>
        </w:tc>
        <w:tc>
          <w:tcPr>
            <w:tcW w:w="160" w:type="dxa"/>
            <w:vAlign w:val="bottom"/>
            <w:shd w:val="clear" w:color="auto" w:fill="CCFFCC"/>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in gross provisions in 3Q10 (+35.4% QoQ) was partially attributable to growth in total loans (+5.7% QoQ) but mainly due to regulatory changes and the internal policy relative to:</w:t>
      </w:r>
    </w:p>
    <w:p>
      <w:pPr>
        <w:spacing w:after="0" w:line="197"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new loan segmentation, which implied, in the case of some products, higher loan provisions (such as Business segment);</w:t>
      </w:r>
    </w:p>
    <w:p>
      <w:pPr>
        <w:spacing w:after="0" w:line="252" w:lineRule="exact"/>
        <w:rPr>
          <w:rFonts w:ascii="Arial" w:cs="Arial" w:eastAsia="Arial" w:hAnsi="Arial"/>
          <w:sz w:val="18"/>
          <w:szCs w:val="18"/>
          <w:color w:val="auto"/>
        </w:rPr>
      </w:pPr>
    </w:p>
    <w:p>
      <w:pPr>
        <w:ind w:left="980" w:hanging="324"/>
        <w:spacing w:after="0" w:line="342" w:lineRule="auto"/>
        <w:tabs>
          <w:tab w:leader="none" w:pos="9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re-activation of pro-cyclical provisions required by the Peruvian supervisor as of 3Q10 in a context of economic growth; it is important to note, however, that the impact of this measure was much lower because the provisions made before the international crisis were not used; and</w:t>
      </w:r>
    </w:p>
    <w:p>
      <w:pPr>
        <w:spacing w:after="0" w:line="150" w:lineRule="exact"/>
        <w:rPr>
          <w:rFonts w:ascii="Arial" w:cs="Arial" w:eastAsia="Arial" w:hAnsi="Arial"/>
          <w:sz w:val="16"/>
          <w:szCs w:val="16"/>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conscious decision to increase provisions to expand the coverage level.</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Recoveries for charge offs fell this quarter (-48.4% QoQ), which heightened the increase in net provisions (68.7% QoQ). These recoveries took place primarily in BCP Peru (associated mainly with Work-out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2303145</wp:posOffset>
            </wp:positionH>
            <wp:positionV relativeFrom="paragraph">
              <wp:posOffset>134620</wp:posOffset>
            </wp:positionV>
            <wp:extent cx="2649855" cy="12865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649855" cy="128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With regards to the past due ratio- which measures loan portfolio quality- it improved substantially QoQ, going from 1.71% at the end of 2Q10 to 1.59% at the end of 3Q10. Moreover, when we analyze PDL ratio for loans with more than 90 days overdue, we note a reduction from 1.19% at the end of 2Q10 to 0.97% at the end of 3Q10. The aforementioned evolutions were the result of 5.7% growth QoQ in gross loans as well as a drop of 1.2% QoQ in absolute terms in the past due portfolio. The curve in the following chart shows the evolution of PDLs and clearly reflects the effect of the economic slowdown in 2009 which had a delayed impact on PDLs and its recovery.</w:t>
      </w:r>
    </w:p>
    <w:p>
      <w:pPr>
        <w:spacing w:after="0" w:line="3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0"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4"/>
        </w:trPr>
        <w:tc>
          <w:tcPr>
            <w:tcW w:w="4160" w:type="dxa"/>
            <w:vAlign w:val="bottom"/>
            <w:gridSpan w:val="2"/>
          </w:tcPr>
          <w:p>
            <w:pPr>
              <w:spacing w:after="0"/>
              <w:rPr>
                <w:sz w:val="20"/>
                <w:szCs w:val="20"/>
                <w:color w:val="auto"/>
              </w:rPr>
            </w:pPr>
            <w:r>
              <w:rPr>
                <w:rFonts w:ascii="Arial" w:cs="Arial" w:eastAsia="Arial" w:hAnsi="Arial"/>
                <w:sz w:val="18"/>
                <w:szCs w:val="18"/>
                <w:b w:val="1"/>
                <w:bCs w:val="1"/>
                <w:color w:val="auto"/>
              </w:rPr>
              <w:t>PDL</w:t>
            </w:r>
          </w:p>
        </w:tc>
        <w:tc>
          <w:tcPr>
            <w:tcW w:w="6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3Q10</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2Q10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FFCC"/>
          </w:tcPr>
          <w:p>
            <w:pPr>
              <w:spacing w:after="0"/>
              <w:rPr>
                <w:sz w:val="20"/>
                <w:szCs w:val="20"/>
                <w:color w:val="auto"/>
              </w:rPr>
            </w:pPr>
            <w:r>
              <w:rPr>
                <w:rFonts w:ascii="Arial" w:cs="Arial" w:eastAsia="Arial" w:hAnsi="Arial"/>
                <w:sz w:val="18"/>
                <w:szCs w:val="18"/>
                <w:color w:val="auto"/>
              </w:rPr>
              <w:t>PDL (%)</w:t>
            </w:r>
          </w:p>
        </w:tc>
        <w:tc>
          <w:tcPr>
            <w:tcW w:w="60" w:type="dxa"/>
            <w:vAlign w:val="bottom"/>
            <w:shd w:val="clear" w:color="auto" w:fill="CCFFCC"/>
          </w:tcPr>
          <w:p>
            <w:pPr>
              <w:spacing w:after="0"/>
              <w:rPr>
                <w:sz w:val="18"/>
                <w:szCs w:val="18"/>
                <w:color w:val="auto"/>
              </w:rPr>
            </w:pPr>
          </w:p>
        </w:tc>
        <w:tc>
          <w:tcPr>
            <w:tcW w:w="7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1.59%</w:t>
            </w:r>
          </w:p>
        </w:tc>
        <w:tc>
          <w:tcPr>
            <w:tcW w:w="7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PDL over 90 days (%)</w:t>
            </w: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0.97%</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175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drawing>
          <wp:anchor simplePos="0" relativeHeight="251657728" behindDoc="1" locked="0" layoutInCell="0" allowOverlap="1">
            <wp:simplePos x="0" y="0"/>
            <wp:positionH relativeFrom="column">
              <wp:posOffset>2131695</wp:posOffset>
            </wp:positionH>
            <wp:positionV relativeFrom="paragraph">
              <wp:posOffset>145415</wp:posOffset>
            </wp:positionV>
            <wp:extent cx="2992755" cy="13722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992755" cy="1372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II.5 Non Financial Income</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The 6.4% growth observed in fees for banking services and the 11.7% increase in earnings on FX transactions significantly offset lower net earnings on sales of securities. Thus, excluding extraordinary gains on sales of securities, non financial income would increase 9.4% QoQ.</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80" w:type="dxa"/>
            <w:vAlign w:val="bottom"/>
            <w:gridSpan w:val="2"/>
          </w:tcPr>
          <w:p>
            <w:pPr>
              <w:spacing w:after="0"/>
              <w:rPr>
                <w:sz w:val="20"/>
                <w:szCs w:val="20"/>
                <w:color w:val="auto"/>
              </w:rPr>
            </w:pPr>
            <w:r>
              <w:rPr>
                <w:rFonts w:ascii="Arial" w:cs="Arial" w:eastAsia="Arial" w:hAnsi="Arial"/>
                <w:sz w:val="18"/>
                <w:szCs w:val="18"/>
                <w:b w:val="1"/>
                <w:bCs w:val="1"/>
                <w:color w:val="auto"/>
              </w:rPr>
              <w:t>Non financial income</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Quarter</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3"/>
          </w:tcPr>
          <w:p>
            <w:pPr>
              <w:ind w:left="620"/>
              <w:spacing w:after="0"/>
              <w:rPr>
                <w:sz w:val="20"/>
                <w:szCs w:val="20"/>
                <w:color w:val="auto"/>
              </w:rPr>
            </w:pPr>
            <w:r>
              <w:rPr>
                <w:rFonts w:ascii="Arial" w:cs="Arial" w:eastAsia="Arial" w:hAnsi="Arial"/>
                <w:sz w:val="18"/>
                <w:szCs w:val="18"/>
                <w:b w:val="1"/>
                <w:bCs w:val="1"/>
                <w:color w:val="auto"/>
                <w:w w:val="91"/>
              </w:rPr>
              <w:t>Change %</w:t>
            </w: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20" w:type="dxa"/>
            <w:vAlign w:val="bottom"/>
            <w:gridSpan w:val="4"/>
          </w:tcPr>
          <w:p>
            <w:pPr>
              <w:jc w:val="right"/>
              <w:ind w:right="740"/>
              <w:spacing w:after="0"/>
              <w:rPr>
                <w:sz w:val="20"/>
                <w:szCs w:val="20"/>
                <w:color w:val="auto"/>
              </w:rPr>
            </w:pPr>
            <w:r>
              <w:rPr>
                <w:rFonts w:ascii="Arial" w:cs="Arial" w:eastAsia="Arial" w:hAnsi="Arial"/>
                <w:sz w:val="18"/>
                <w:szCs w:val="18"/>
                <w:b w:val="1"/>
                <w:bCs w:val="1"/>
                <w:color w:val="auto"/>
              </w:rPr>
              <w:t>Year to date</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Change %</w:t>
            </w:r>
          </w:p>
        </w:tc>
        <w:tc>
          <w:tcPr>
            <w:tcW w:w="0" w:type="dxa"/>
            <w:vAlign w:val="bottom"/>
          </w:tcPr>
          <w:p>
            <w:pPr>
              <w:spacing w:after="0"/>
              <w:rPr>
                <w:sz w:val="1"/>
                <w:szCs w:val="1"/>
                <w:color w:val="auto"/>
              </w:rPr>
            </w:pPr>
          </w:p>
        </w:tc>
      </w:tr>
      <w:tr>
        <w:trPr>
          <w:trHeight w:val="216"/>
        </w:trPr>
        <w:tc>
          <w:tcPr>
            <w:tcW w:w="20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US$ 000</w:t>
            </w:r>
          </w:p>
        </w:tc>
        <w:tc>
          <w:tcPr>
            <w:tcW w:w="120" w:type="dxa"/>
            <w:vAlign w:val="bottom"/>
          </w:tcPr>
          <w:p>
            <w:pPr>
              <w:spacing w:after="0"/>
              <w:rPr>
                <w:sz w:val="18"/>
                <w:szCs w:val="18"/>
                <w:color w:val="auto"/>
              </w:rPr>
            </w:pPr>
          </w:p>
        </w:tc>
        <w:tc>
          <w:tcPr>
            <w:tcW w:w="1100" w:type="dxa"/>
            <w:vAlign w:val="bottom"/>
            <w:tcBorders>
              <w:top w:val="single" w:sz="8" w:color="auto"/>
            </w:tcBorders>
            <w:gridSpan w:val="2"/>
          </w:tcPr>
          <w:p>
            <w:pPr>
              <w:jc w:val="right"/>
              <w:ind w:right="460"/>
              <w:spacing w:after="0"/>
              <w:rPr>
                <w:sz w:val="20"/>
                <w:szCs w:val="20"/>
                <w:color w:val="auto"/>
              </w:rPr>
            </w:pPr>
            <w:r>
              <w:rPr>
                <w:rFonts w:ascii="Arial" w:cs="Arial" w:eastAsia="Arial" w:hAnsi="Arial"/>
                <w:sz w:val="18"/>
                <w:szCs w:val="18"/>
                <w:b w:val="1"/>
                <w:bCs w:val="1"/>
                <w:color w:val="auto"/>
              </w:rPr>
              <w:t>3Q10</w:t>
            </w:r>
          </w:p>
        </w:tc>
        <w:tc>
          <w:tcPr>
            <w:tcW w:w="1120" w:type="dxa"/>
            <w:vAlign w:val="bottom"/>
            <w:tcBorders>
              <w:top w:val="single" w:sz="8" w:color="auto"/>
            </w:tcBorders>
            <w:gridSpan w:val="2"/>
          </w:tcPr>
          <w:p>
            <w:pPr>
              <w:jc w:val="center"/>
              <w:ind w:right="220"/>
              <w:spacing w:after="0"/>
              <w:rPr>
                <w:sz w:val="20"/>
                <w:szCs w:val="20"/>
                <w:color w:val="auto"/>
              </w:rPr>
            </w:pPr>
            <w:r>
              <w:rPr>
                <w:rFonts w:ascii="Arial" w:cs="Arial" w:eastAsia="Arial" w:hAnsi="Arial"/>
                <w:sz w:val="18"/>
                <w:szCs w:val="18"/>
                <w:b w:val="1"/>
                <w:bCs w:val="1"/>
                <w:color w:val="auto"/>
                <w:w w:val="95"/>
              </w:rPr>
              <w:t>2Q10</w:t>
            </w:r>
          </w:p>
        </w:tc>
        <w:tc>
          <w:tcPr>
            <w:tcW w:w="880" w:type="dxa"/>
            <w:vAlign w:val="bottom"/>
            <w:tcBorders>
              <w:top w:val="single" w:sz="8" w:color="auto"/>
            </w:tcBorders>
          </w:tcPr>
          <w:p>
            <w:pPr>
              <w:ind w:left="240"/>
              <w:spacing w:after="0"/>
              <w:rPr>
                <w:sz w:val="20"/>
                <w:szCs w:val="20"/>
                <w:color w:val="auto"/>
              </w:rPr>
            </w:pPr>
            <w:r>
              <w:rPr>
                <w:rFonts w:ascii="Arial" w:cs="Arial" w:eastAsia="Arial" w:hAnsi="Arial"/>
                <w:sz w:val="18"/>
                <w:szCs w:val="18"/>
                <w:b w:val="1"/>
                <w:bCs w:val="1"/>
                <w:color w:val="auto"/>
              </w:rPr>
              <w:t>3Q09</w:t>
            </w:r>
          </w:p>
        </w:tc>
        <w:tc>
          <w:tcPr>
            <w:tcW w:w="220" w:type="dxa"/>
            <w:vAlign w:val="bottom"/>
          </w:tcPr>
          <w:p>
            <w:pPr>
              <w:spacing w:after="0"/>
              <w:rPr>
                <w:sz w:val="18"/>
                <w:szCs w:val="18"/>
                <w:color w:val="auto"/>
              </w:rPr>
            </w:pPr>
          </w:p>
        </w:tc>
        <w:tc>
          <w:tcPr>
            <w:tcW w:w="1440" w:type="dxa"/>
            <w:vAlign w:val="bottom"/>
            <w:tcBorders>
              <w:top w:val="single" w:sz="8" w:color="auto"/>
            </w:tcBorders>
            <w:gridSpan w:val="3"/>
          </w:tcPr>
          <w:p>
            <w:pPr>
              <w:ind w:left="260"/>
              <w:spacing w:after="0"/>
              <w:rPr>
                <w:sz w:val="20"/>
                <w:szCs w:val="20"/>
                <w:color w:val="auto"/>
              </w:rPr>
            </w:pPr>
            <w:r>
              <w:rPr>
                <w:rFonts w:ascii="Arial" w:cs="Arial" w:eastAsia="Arial" w:hAnsi="Arial"/>
                <w:sz w:val="18"/>
                <w:szCs w:val="18"/>
                <w:b w:val="1"/>
                <w:bCs w:val="1"/>
                <w:color w:val="auto"/>
              </w:rPr>
              <w:t>QoQ</w:t>
            </w:r>
          </w:p>
        </w:tc>
        <w:tc>
          <w:tcPr>
            <w:tcW w:w="6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YoY</w:t>
            </w:r>
          </w:p>
        </w:tc>
        <w:tc>
          <w:tcPr>
            <w:tcW w:w="280" w:type="dxa"/>
            <w:vAlign w:val="bottom"/>
          </w:tcPr>
          <w:p>
            <w:pPr>
              <w:spacing w:after="0"/>
              <w:rPr>
                <w:sz w:val="18"/>
                <w:szCs w:val="18"/>
                <w:color w:val="auto"/>
              </w:rPr>
            </w:pPr>
          </w:p>
        </w:tc>
        <w:tc>
          <w:tcPr>
            <w:tcW w:w="1120" w:type="dxa"/>
            <w:vAlign w:val="bottom"/>
            <w:tcBorders>
              <w:top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Sep 10</w:t>
            </w:r>
          </w:p>
        </w:tc>
        <w:tc>
          <w:tcPr>
            <w:tcW w:w="8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Sep 09</w:t>
            </w:r>
          </w:p>
        </w:tc>
        <w:tc>
          <w:tcPr>
            <w:tcW w:w="220" w:type="dxa"/>
            <w:vAlign w:val="bottom"/>
          </w:tcPr>
          <w:p>
            <w:pPr>
              <w:spacing w:after="0"/>
              <w:rPr>
                <w:sz w:val="18"/>
                <w:szCs w:val="18"/>
                <w:color w:val="auto"/>
              </w:rPr>
            </w:pP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Sep 10 / Sep 09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60" w:type="dxa"/>
            <w:vAlign w:val="bottom"/>
            <w:shd w:val="clear" w:color="auto" w:fill="CCFFCC"/>
          </w:tcPr>
          <w:p>
            <w:pPr>
              <w:spacing w:after="0"/>
              <w:rPr>
                <w:sz w:val="20"/>
                <w:szCs w:val="20"/>
                <w:color w:val="auto"/>
              </w:rPr>
            </w:pPr>
            <w:r>
              <w:rPr>
                <w:rFonts w:ascii="Arial" w:cs="Arial" w:eastAsia="Arial" w:hAnsi="Arial"/>
                <w:sz w:val="18"/>
                <w:szCs w:val="18"/>
                <w:color w:val="auto"/>
              </w:rPr>
              <w:t>Fee income</w:t>
            </w:r>
          </w:p>
        </w:tc>
        <w:tc>
          <w:tcPr>
            <w:tcW w:w="12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120,839</w:t>
            </w:r>
          </w:p>
        </w:tc>
        <w:tc>
          <w:tcPr>
            <w:tcW w:w="22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113,577</w:t>
            </w:r>
          </w:p>
        </w:tc>
        <w:tc>
          <w:tcPr>
            <w:tcW w:w="22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93,348</w:t>
            </w:r>
          </w:p>
        </w:tc>
        <w:tc>
          <w:tcPr>
            <w:tcW w:w="11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6.4%</w:t>
            </w:r>
          </w:p>
        </w:tc>
        <w:tc>
          <w:tcPr>
            <w:tcW w:w="26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29.5%</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341,639</w:t>
            </w:r>
          </w:p>
        </w:tc>
        <w:tc>
          <w:tcPr>
            <w:tcW w:w="22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258,521</w:t>
            </w:r>
          </w:p>
        </w:tc>
        <w:tc>
          <w:tcPr>
            <w:tcW w:w="13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60" w:type="dxa"/>
            <w:vAlign w:val="bottom"/>
          </w:tcPr>
          <w:p>
            <w:pPr>
              <w:spacing w:after="0" w:line="201" w:lineRule="exact"/>
              <w:rPr>
                <w:sz w:val="20"/>
                <w:szCs w:val="20"/>
                <w:color w:val="auto"/>
              </w:rPr>
            </w:pPr>
            <w:r>
              <w:rPr>
                <w:rFonts w:ascii="Arial" w:cs="Arial" w:eastAsia="Arial" w:hAnsi="Arial"/>
                <w:sz w:val="18"/>
                <w:szCs w:val="18"/>
                <w:color w:val="auto"/>
              </w:rPr>
              <w:t>Net gain on foreign</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80" w:type="dxa"/>
            <w:vAlign w:val="bottom"/>
            <w:gridSpan w:val="2"/>
          </w:tcPr>
          <w:p>
            <w:pPr>
              <w:spacing w:after="0"/>
              <w:rPr>
                <w:sz w:val="20"/>
                <w:szCs w:val="20"/>
                <w:color w:val="auto"/>
              </w:rPr>
            </w:pPr>
            <w:r>
              <w:rPr>
                <w:rFonts w:ascii="Arial" w:cs="Arial" w:eastAsia="Arial" w:hAnsi="Arial"/>
                <w:sz w:val="18"/>
                <w:szCs w:val="18"/>
                <w:color w:val="auto"/>
              </w:rPr>
              <w:t>exchange transactions</w:t>
            </w: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26,354</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23,595</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25,559</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11.7%</w:t>
            </w:r>
          </w:p>
        </w:tc>
        <w:tc>
          <w:tcPr>
            <w:tcW w:w="26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3.1%</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75,452</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65,587</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6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Net gain on sales of</w:t>
            </w:r>
          </w:p>
        </w:tc>
        <w:tc>
          <w:tcPr>
            <w:tcW w:w="120" w:type="dxa"/>
            <w:vAlign w:val="bottom"/>
            <w:shd w:val="clear" w:color="auto" w:fill="CCFFCC"/>
          </w:tcPr>
          <w:p>
            <w:pPr>
              <w:spacing w:after="0"/>
              <w:rPr>
                <w:sz w:val="17"/>
                <w:szCs w:val="17"/>
                <w:color w:val="auto"/>
              </w:rPr>
            </w:pPr>
          </w:p>
        </w:tc>
        <w:tc>
          <w:tcPr>
            <w:tcW w:w="88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88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880" w:type="dxa"/>
            <w:vAlign w:val="bottom"/>
            <w:shd w:val="clear" w:color="auto" w:fill="CCFFCC"/>
          </w:tcPr>
          <w:p>
            <w:pPr>
              <w:spacing w:after="0"/>
              <w:rPr>
                <w:sz w:val="17"/>
                <w:szCs w:val="17"/>
                <w:color w:val="auto"/>
              </w:rPr>
            </w:pPr>
          </w:p>
        </w:tc>
        <w:tc>
          <w:tcPr>
            <w:tcW w:w="30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62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88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16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60" w:type="dxa"/>
            <w:vAlign w:val="bottom"/>
            <w:shd w:val="clear" w:color="auto" w:fill="CCFFCC"/>
          </w:tcPr>
          <w:p>
            <w:pPr>
              <w:spacing w:after="0"/>
              <w:rPr>
                <w:sz w:val="20"/>
                <w:szCs w:val="20"/>
                <w:color w:val="auto"/>
              </w:rPr>
            </w:pPr>
            <w:r>
              <w:rPr>
                <w:rFonts w:ascii="Arial" w:cs="Arial" w:eastAsia="Arial" w:hAnsi="Arial"/>
                <w:sz w:val="18"/>
                <w:szCs w:val="18"/>
                <w:color w:val="auto"/>
              </w:rPr>
              <w:t>securities</w:t>
            </w:r>
          </w:p>
        </w:tc>
        <w:tc>
          <w:tcPr>
            <w:tcW w:w="122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18,987</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29,727</w:t>
            </w:r>
          </w:p>
        </w:tc>
        <w:tc>
          <w:tcPr>
            <w:tcW w:w="11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9,890</w:t>
            </w:r>
          </w:p>
        </w:tc>
        <w:tc>
          <w:tcPr>
            <w:tcW w:w="11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-36.1%</w:t>
            </w:r>
          </w:p>
        </w:tc>
        <w:tc>
          <w:tcPr>
            <w:tcW w:w="260" w:type="dxa"/>
            <w:vAlign w:val="bottom"/>
            <w:shd w:val="clear" w:color="auto" w:fill="CCFFCC"/>
          </w:tcPr>
          <w:p>
            <w:pPr>
              <w:spacing w:after="0"/>
              <w:rPr>
                <w:sz w:val="20"/>
                <w:szCs w:val="20"/>
                <w:color w:val="auto"/>
              </w:rPr>
            </w:pPr>
          </w:p>
        </w:tc>
        <w:tc>
          <w:tcPr>
            <w:tcW w:w="9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92.0%</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48,875</w:t>
            </w:r>
          </w:p>
        </w:tc>
        <w:tc>
          <w:tcPr>
            <w:tcW w:w="11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92,164</w:t>
            </w:r>
          </w:p>
        </w:tc>
        <w:tc>
          <w:tcPr>
            <w:tcW w:w="13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Other income</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1,168</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2,642</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892</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-55.8%</w:t>
            </w:r>
          </w:p>
        </w:tc>
        <w:tc>
          <w:tcPr>
            <w:tcW w:w="2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30.9%</w:t>
            </w:r>
          </w:p>
        </w:tc>
        <w:tc>
          <w:tcPr>
            <w:tcW w:w="900" w:type="dxa"/>
            <w:vAlign w:val="bottom"/>
          </w:tcPr>
          <w:p>
            <w:pPr>
              <w:jc w:val="right"/>
              <w:spacing w:after="0"/>
              <w:rPr>
                <w:sz w:val="20"/>
                <w:szCs w:val="20"/>
                <w:color w:val="auto"/>
              </w:rPr>
            </w:pPr>
            <w:r>
              <w:rPr>
                <w:rFonts w:ascii="Arial" w:cs="Arial" w:eastAsia="Arial" w:hAnsi="Arial"/>
                <w:sz w:val="18"/>
                <w:szCs w:val="18"/>
                <w:color w:val="auto"/>
              </w:rPr>
              <w:t>8,764</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12,251</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w w:val="89"/>
              </w:rPr>
              <w:t>Total non financial income</w:t>
            </w:r>
          </w:p>
        </w:tc>
        <w:tc>
          <w:tcPr>
            <w:tcW w:w="12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167,348</w:t>
            </w:r>
          </w:p>
        </w:tc>
        <w:tc>
          <w:tcPr>
            <w:tcW w:w="22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169,541</w:t>
            </w:r>
          </w:p>
        </w:tc>
        <w:tc>
          <w:tcPr>
            <w:tcW w:w="22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129,689</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-1.3%</w:t>
            </w:r>
          </w:p>
        </w:tc>
        <w:tc>
          <w:tcPr>
            <w:tcW w:w="26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29.0%</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474,730</w:t>
            </w:r>
          </w:p>
        </w:tc>
        <w:tc>
          <w:tcPr>
            <w:tcW w:w="22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428,523</w:t>
            </w:r>
          </w:p>
        </w:tc>
        <w:tc>
          <w:tcPr>
            <w:tcW w:w="134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10.8%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6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Fees for banking services grew 6.4% QoQ due to increases across segments. It is important to emphasize that the evolution of fees for Other Accounts (+9.1% QoQ) was mainly attributable to higher fees relative to Savings Accounts and Debit Cards. The Others category (+4.4% QoQ) also reported considerable growth, primarily in terms of higher fees for Foreign Trade and those derived from Contingencies (guarantees).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aforementioned, coupled with higher net earnings on FX operations, which rose 11.7% QoQ due to an increase in the volume of operations in a context in which the Nuevo Sol appreciated (+1.4%), mitigated the effect caused by the decline in net earnings on sales of securities.</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It is important to highlight that non financial income would increase 9.4% QoQ when excluding extraordinary gains on sales of securities reported in 3Q and 2Q obtained from the Peruvian Government’s repurchase of bonds denominated in Euros.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Banking Fee Income</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Quarter</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60" w:type="dxa"/>
            <w:vAlign w:val="bottom"/>
            <w:gridSpan w:val="4"/>
          </w:tcPr>
          <w:p>
            <w:pPr>
              <w:ind w:left="880"/>
              <w:spacing w:after="0"/>
              <w:rPr>
                <w:sz w:val="20"/>
                <w:szCs w:val="20"/>
                <w:color w:val="auto"/>
              </w:rPr>
            </w:pPr>
            <w:r>
              <w:rPr>
                <w:rFonts w:ascii="Arial" w:cs="Arial" w:eastAsia="Arial" w:hAnsi="Arial"/>
                <w:sz w:val="18"/>
                <w:szCs w:val="18"/>
                <w:b w:val="1"/>
                <w:bCs w:val="1"/>
                <w:color w:val="auto"/>
              </w:rPr>
              <w:t>Change %</w:t>
            </w:r>
          </w:p>
        </w:tc>
        <w:tc>
          <w:tcPr>
            <w:tcW w:w="0" w:type="dxa"/>
            <w:vAlign w:val="bottom"/>
          </w:tcPr>
          <w:p>
            <w:pPr>
              <w:spacing w:after="0"/>
              <w:rPr>
                <w:sz w:val="1"/>
                <w:szCs w:val="1"/>
                <w:color w:val="auto"/>
              </w:rPr>
            </w:pPr>
          </w:p>
        </w:tc>
      </w:tr>
      <w:tr>
        <w:trPr>
          <w:trHeight w:val="216"/>
        </w:trPr>
        <w:tc>
          <w:tcPr>
            <w:tcW w:w="45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US$ 000</w:t>
            </w:r>
          </w:p>
        </w:tc>
        <w:tc>
          <w:tcPr>
            <w:tcW w:w="120" w:type="dxa"/>
            <w:vAlign w:val="bottom"/>
          </w:tcPr>
          <w:p>
            <w:pPr>
              <w:spacing w:after="0"/>
              <w:rPr>
                <w:sz w:val="18"/>
                <w:szCs w:val="18"/>
                <w:color w:val="auto"/>
              </w:rPr>
            </w:pPr>
          </w:p>
        </w:tc>
        <w:tc>
          <w:tcPr>
            <w:tcW w:w="1340" w:type="dxa"/>
            <w:vAlign w:val="bottom"/>
            <w:tcBorders>
              <w:top w:val="single" w:sz="8" w:color="auto"/>
            </w:tcBorders>
            <w:gridSpan w:val="2"/>
          </w:tcPr>
          <w:p>
            <w:pPr>
              <w:jc w:val="right"/>
              <w:ind w:right="580"/>
              <w:spacing w:after="0"/>
              <w:rPr>
                <w:sz w:val="20"/>
                <w:szCs w:val="20"/>
                <w:color w:val="auto"/>
              </w:rPr>
            </w:pPr>
            <w:r>
              <w:rPr>
                <w:rFonts w:ascii="Arial" w:cs="Arial" w:eastAsia="Arial" w:hAnsi="Arial"/>
                <w:sz w:val="18"/>
                <w:szCs w:val="18"/>
                <w:b w:val="1"/>
                <w:bCs w:val="1"/>
                <w:color w:val="auto"/>
              </w:rPr>
              <w:t>3Q10</w:t>
            </w:r>
          </w:p>
        </w:tc>
        <w:tc>
          <w:tcPr>
            <w:tcW w:w="1360" w:type="dxa"/>
            <w:vAlign w:val="bottom"/>
            <w:tcBorders>
              <w:top w:val="single" w:sz="8" w:color="auto"/>
            </w:tcBorders>
            <w:gridSpan w:val="2"/>
          </w:tcPr>
          <w:p>
            <w:pPr>
              <w:jc w:val="center"/>
              <w:ind w:right="220"/>
              <w:spacing w:after="0"/>
              <w:rPr>
                <w:sz w:val="20"/>
                <w:szCs w:val="20"/>
                <w:color w:val="auto"/>
              </w:rPr>
            </w:pPr>
            <w:r>
              <w:rPr>
                <w:rFonts w:ascii="Arial" w:cs="Arial" w:eastAsia="Arial" w:hAnsi="Arial"/>
                <w:sz w:val="18"/>
                <w:szCs w:val="18"/>
                <w:b w:val="1"/>
                <w:bCs w:val="1"/>
                <w:color w:val="auto"/>
                <w:w w:val="95"/>
              </w:rPr>
              <w:t>2Q10</w:t>
            </w:r>
          </w:p>
        </w:tc>
        <w:tc>
          <w:tcPr>
            <w:tcW w:w="112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3Q09</w:t>
            </w:r>
          </w:p>
        </w:tc>
        <w:tc>
          <w:tcPr>
            <w:tcW w:w="220" w:type="dxa"/>
            <w:vAlign w:val="bottom"/>
          </w:tcPr>
          <w:p>
            <w:pPr>
              <w:spacing w:after="0"/>
              <w:rPr>
                <w:sz w:val="18"/>
                <w:szCs w:val="18"/>
                <w:color w:val="auto"/>
              </w:rPr>
            </w:pPr>
          </w:p>
        </w:tc>
        <w:tc>
          <w:tcPr>
            <w:tcW w:w="144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rPr>
              <w:t>3Q10 / 2Q10</w:t>
            </w:r>
          </w:p>
        </w:tc>
        <w:tc>
          <w:tcPr>
            <w:tcW w:w="1140" w:type="dxa"/>
            <w:vAlign w:val="bottom"/>
            <w:tcBorders>
              <w:top w:val="single" w:sz="8" w:color="auto"/>
            </w:tcBorders>
          </w:tcPr>
          <w:p>
            <w:pPr>
              <w:ind w:left="80"/>
              <w:spacing w:after="0"/>
              <w:rPr>
                <w:sz w:val="20"/>
                <w:szCs w:val="20"/>
                <w:color w:val="auto"/>
              </w:rPr>
            </w:pPr>
            <w:r>
              <w:rPr>
                <w:rFonts w:ascii="Arial" w:cs="Arial" w:eastAsia="Arial" w:hAnsi="Arial"/>
                <w:sz w:val="18"/>
                <w:szCs w:val="18"/>
                <w:b w:val="1"/>
                <w:bCs w:val="1"/>
                <w:color w:val="auto"/>
              </w:rPr>
              <w:t>3Q10 / 3Q09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Miscellaneous Accounts*</w:t>
            </w:r>
          </w:p>
        </w:tc>
        <w:tc>
          <w:tcPr>
            <w:tcW w:w="12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30,863</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28,276</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23,792</w:t>
            </w: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9.1%</w:t>
            </w:r>
          </w:p>
        </w:tc>
        <w:tc>
          <w:tcPr>
            <w:tcW w:w="1320" w:type="dxa"/>
            <w:vAlign w:val="bottom"/>
            <w:gridSpan w:val="2"/>
            <w:shd w:val="clear" w:color="auto" w:fill="CCFFCC"/>
          </w:tcPr>
          <w:p>
            <w:pPr>
              <w:ind w:left="820"/>
              <w:spacing w:after="0"/>
              <w:rPr>
                <w:sz w:val="20"/>
                <w:szCs w:val="20"/>
                <w:color w:val="auto"/>
              </w:rPr>
            </w:pPr>
            <w:r>
              <w:rPr>
                <w:rFonts w:ascii="Arial" w:cs="Arial" w:eastAsia="Arial" w:hAnsi="Arial"/>
                <w:sz w:val="18"/>
                <w:szCs w:val="18"/>
                <w:color w:val="auto"/>
                <w:w w:val="93"/>
              </w:rPr>
              <w:t>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Contingents</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7,113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6,214</w:t>
            </w:r>
          </w:p>
        </w:tc>
        <w:tc>
          <w:tcPr>
            <w:tcW w:w="1120" w:type="dxa"/>
            <w:vAlign w:val="bottom"/>
          </w:tcPr>
          <w:p>
            <w:pPr>
              <w:jc w:val="right"/>
              <w:spacing w:after="0"/>
              <w:rPr>
                <w:sz w:val="20"/>
                <w:szCs w:val="20"/>
                <w:color w:val="auto"/>
              </w:rPr>
            </w:pPr>
            <w:r>
              <w:rPr>
                <w:rFonts w:ascii="Arial" w:cs="Arial" w:eastAsia="Arial" w:hAnsi="Arial"/>
                <w:sz w:val="18"/>
                <w:szCs w:val="18"/>
                <w:color w:val="auto"/>
              </w:rPr>
              <w:t>5,238</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14.5%</w:t>
            </w:r>
          </w:p>
        </w:tc>
        <w:tc>
          <w:tcPr>
            <w:tcW w:w="1320" w:type="dxa"/>
            <w:vAlign w:val="bottom"/>
            <w:gridSpan w:val="2"/>
          </w:tcPr>
          <w:p>
            <w:pPr>
              <w:ind w:left="820"/>
              <w:spacing w:after="0"/>
              <w:rPr>
                <w:sz w:val="20"/>
                <w:szCs w:val="20"/>
                <w:color w:val="auto"/>
              </w:rPr>
            </w:pPr>
            <w:r>
              <w:rPr>
                <w:rFonts w:ascii="Arial" w:cs="Arial" w:eastAsia="Arial" w:hAnsi="Arial"/>
                <w:sz w:val="18"/>
                <w:szCs w:val="18"/>
                <w:color w:val="auto"/>
                <w:w w:val="93"/>
              </w:rPr>
              <w:t>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Payments and Collections</w:t>
            </w:r>
          </w:p>
        </w:tc>
        <w:tc>
          <w:tcPr>
            <w:tcW w:w="146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15,376</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14,651</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12,881</w:t>
            </w: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4.9%</w:t>
            </w:r>
          </w:p>
        </w:tc>
        <w:tc>
          <w:tcPr>
            <w:tcW w:w="1320" w:type="dxa"/>
            <w:vAlign w:val="bottom"/>
            <w:gridSpan w:val="2"/>
            <w:shd w:val="clear" w:color="auto" w:fill="CCFFCC"/>
          </w:tcPr>
          <w:p>
            <w:pPr>
              <w:ind w:left="820"/>
              <w:spacing w:after="0"/>
              <w:rPr>
                <w:sz w:val="20"/>
                <w:szCs w:val="20"/>
                <w:color w:val="auto"/>
              </w:rPr>
            </w:pPr>
            <w:r>
              <w:rPr>
                <w:rFonts w:ascii="Arial" w:cs="Arial" w:eastAsia="Arial" w:hAnsi="Arial"/>
                <w:sz w:val="18"/>
                <w:szCs w:val="18"/>
                <w:color w:val="auto"/>
                <w:w w:val="93"/>
              </w:rPr>
              <w:t>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Drafts and Transfers</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7,321</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6,837</w:t>
            </w:r>
          </w:p>
        </w:tc>
        <w:tc>
          <w:tcPr>
            <w:tcW w:w="1120" w:type="dxa"/>
            <w:vAlign w:val="bottom"/>
          </w:tcPr>
          <w:p>
            <w:pPr>
              <w:jc w:val="right"/>
              <w:spacing w:after="0"/>
              <w:rPr>
                <w:sz w:val="20"/>
                <w:szCs w:val="20"/>
                <w:color w:val="auto"/>
              </w:rPr>
            </w:pPr>
            <w:r>
              <w:rPr>
                <w:rFonts w:ascii="Arial" w:cs="Arial" w:eastAsia="Arial" w:hAnsi="Arial"/>
                <w:sz w:val="18"/>
                <w:szCs w:val="18"/>
                <w:color w:val="auto"/>
              </w:rPr>
              <w:t>6,265</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7.1%</w:t>
            </w:r>
          </w:p>
        </w:tc>
        <w:tc>
          <w:tcPr>
            <w:tcW w:w="1320" w:type="dxa"/>
            <w:vAlign w:val="bottom"/>
            <w:gridSpan w:val="2"/>
          </w:tcPr>
          <w:p>
            <w:pPr>
              <w:ind w:left="820"/>
              <w:spacing w:after="0"/>
              <w:rPr>
                <w:sz w:val="20"/>
                <w:szCs w:val="20"/>
                <w:color w:val="auto"/>
              </w:rPr>
            </w:pPr>
            <w:r>
              <w:rPr>
                <w:rFonts w:ascii="Arial" w:cs="Arial" w:eastAsia="Arial" w:hAnsi="Arial"/>
                <w:sz w:val="18"/>
                <w:szCs w:val="18"/>
                <w:color w:val="auto"/>
                <w:w w:val="93"/>
              </w:rPr>
              <w:t>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Credit Cards</w:t>
            </w:r>
          </w:p>
        </w:tc>
        <w:tc>
          <w:tcPr>
            <w:tcW w:w="146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15,284</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14,628</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12,729</w:t>
            </w: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4.5%</w:t>
            </w:r>
          </w:p>
        </w:tc>
        <w:tc>
          <w:tcPr>
            <w:tcW w:w="1320" w:type="dxa"/>
            <w:vAlign w:val="bottom"/>
            <w:gridSpan w:val="2"/>
            <w:shd w:val="clear" w:color="auto" w:fill="CCFFCC"/>
          </w:tcPr>
          <w:p>
            <w:pPr>
              <w:ind w:left="820"/>
              <w:spacing w:after="0"/>
              <w:rPr>
                <w:sz w:val="20"/>
                <w:szCs w:val="20"/>
                <w:color w:val="auto"/>
              </w:rPr>
            </w:pPr>
            <w:r>
              <w:rPr>
                <w:rFonts w:ascii="Arial" w:cs="Arial" w:eastAsia="Arial" w:hAnsi="Arial"/>
                <w:sz w:val="18"/>
                <w:szCs w:val="18"/>
                <w:color w:val="auto"/>
                <w:w w:val="93"/>
              </w:rPr>
              <w:t>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Others</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44,882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42,970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32,444</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4.4%</w:t>
            </w:r>
          </w:p>
        </w:tc>
        <w:tc>
          <w:tcPr>
            <w:tcW w:w="1320" w:type="dxa"/>
            <w:vAlign w:val="bottom"/>
            <w:gridSpan w:val="2"/>
          </w:tcPr>
          <w:p>
            <w:pPr>
              <w:ind w:left="820"/>
              <w:spacing w:after="0"/>
              <w:rPr>
                <w:sz w:val="20"/>
                <w:szCs w:val="20"/>
                <w:color w:val="auto"/>
              </w:rPr>
            </w:pPr>
            <w:r>
              <w:rPr>
                <w:rFonts w:ascii="Arial" w:cs="Arial" w:eastAsia="Arial" w:hAnsi="Arial"/>
                <w:sz w:val="18"/>
                <w:szCs w:val="18"/>
                <w:color w:val="auto"/>
                <w:w w:val="93"/>
              </w:rPr>
              <w:t>38.3%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 Fee Income</w:t>
            </w:r>
          </w:p>
        </w:tc>
        <w:tc>
          <w:tcPr>
            <w:tcW w:w="120" w:type="dxa"/>
            <w:vAlign w:val="bottom"/>
            <w:shd w:val="clear" w:color="auto" w:fill="CCFFCC"/>
          </w:tcPr>
          <w:p>
            <w:pPr>
              <w:spacing w:after="0"/>
              <w:rPr>
                <w:sz w:val="19"/>
                <w:szCs w:val="19"/>
                <w:color w:val="auto"/>
              </w:rPr>
            </w:pP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120,839</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113,577</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93,348</w:t>
            </w: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6.4%</w:t>
            </w:r>
          </w:p>
        </w:tc>
        <w:tc>
          <w:tcPr>
            <w:tcW w:w="1320" w:type="dxa"/>
            <w:vAlign w:val="bottom"/>
            <w:gridSpan w:val="2"/>
            <w:shd w:val="clear" w:color="auto" w:fill="CCFFCC"/>
          </w:tcPr>
          <w:p>
            <w:pPr>
              <w:ind w:left="820"/>
              <w:spacing w:after="0"/>
              <w:rPr>
                <w:sz w:val="20"/>
                <w:szCs w:val="20"/>
                <w:color w:val="auto"/>
              </w:rPr>
            </w:pPr>
            <w:r>
              <w:rPr>
                <w:rFonts w:ascii="Arial" w:cs="Arial" w:eastAsia="Arial" w:hAnsi="Arial"/>
                <w:sz w:val="18"/>
                <w:szCs w:val="18"/>
                <w:b w:val="1"/>
                <w:bCs w:val="1"/>
                <w:color w:val="auto"/>
                <w:w w:val="93"/>
              </w:rPr>
              <w:t>29.5%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80" w:type="dxa"/>
            <w:vAlign w:val="bottom"/>
            <w:tcBorders>
              <w:top w:val="single" w:sz="8" w:color="CCFFCC"/>
            </w:tcBorders>
          </w:tcPr>
          <w:p>
            <w:pPr>
              <w:spacing w:after="0"/>
              <w:rPr>
                <w:sz w:val="20"/>
                <w:szCs w:val="20"/>
                <w:color w:val="auto"/>
              </w:rPr>
            </w:pPr>
            <w:r>
              <w:rPr>
                <w:rFonts w:ascii="Arial" w:cs="Arial" w:eastAsia="Arial" w:hAnsi="Arial"/>
                <w:sz w:val="18"/>
                <w:szCs w:val="18"/>
                <w:i w:val="1"/>
                <w:iCs w:val="1"/>
                <w:color w:val="auto"/>
              </w:rPr>
              <w:t>* Saving Accounts, Current Accounts and Debit Card.</w:t>
            </w:r>
          </w:p>
        </w:tc>
        <w:tc>
          <w:tcPr>
            <w:tcW w:w="120" w:type="dxa"/>
            <w:vAlign w:val="bottom"/>
            <w:tcBorders>
              <w:top w:val="single" w:sz="8" w:color="CCFFCC"/>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20" w:type="dxa"/>
            <w:vAlign w:val="bottom"/>
            <w:tcBorders>
              <w:top w:val="single" w:sz="8" w:color="CCFFCC"/>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220" w:type="dxa"/>
            <w:vAlign w:val="bottom"/>
            <w:tcBorders>
              <w:top w:val="single" w:sz="8" w:color="CCFFCC"/>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20" w:type="dxa"/>
            <w:vAlign w:val="bottom"/>
            <w:tcBorders>
              <w:top w:val="single" w:sz="8" w:color="CCFFCC"/>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300" w:type="dxa"/>
            <w:vAlign w:val="bottom"/>
            <w:tcBorders>
              <w:top w:val="single" w:sz="8" w:color="CCFFCC"/>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80" w:type="dxa"/>
            <w:vAlign w:val="bottom"/>
            <w:tcBorders>
              <w:top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593"/>
        </w:trPr>
        <w:tc>
          <w:tcPr>
            <w:tcW w:w="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gridSpan w:val="2"/>
          </w:tcPr>
          <w:p>
            <w:pPr>
              <w:ind w:left="1140"/>
              <w:spacing w:after="0"/>
              <w:rPr>
                <w:sz w:val="20"/>
                <w:szCs w:val="20"/>
                <w:color w:val="auto"/>
              </w:rPr>
            </w:pPr>
            <w:r>
              <w:rPr>
                <w:rFonts w:ascii="Arial" w:cs="Arial" w:eastAsia="Arial" w:hAnsi="Arial"/>
                <w:sz w:val="18"/>
                <w:szCs w:val="18"/>
                <w:color w:val="auto"/>
                <w:w w:val="79"/>
              </w:rPr>
              <w:t>15</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4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6" w:right="239" w:bottom="1440" w:gutter="0" w:footer="0" w:header="0"/>
        </w:sectPr>
      </w:pPr>
    </w:p>
    <w:bookmarkStart w:id="16" w:name="page17"/>
    <w:bookmarkEnd w:id="16"/>
    <w:p>
      <w:pPr>
        <w:jc w:val="both"/>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175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The positive evolution of fees is also related to the behavior of banking transactions, which grew 5.4% QoQ due, in large part, to on-line transactions. This growth is mainly attributable to an increase in Internet transactions (+8.5% QoQ), which represents 35% of the total growth of transactions this quarter. Other items that contributed to growth in transactions were (i) an increase in the use of ATMs (+7.4% QoQ) and (ii) higher transactions in Telecrédito (+8.9% QoQ). The aforementioned is a clear sign that customers are increasing their use of channels that are more cost efficient for BCP.</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480" w:type="dxa"/>
            <w:vAlign w:val="bottom"/>
            <w:tcBorders>
              <w:bottom w:val="single" w:sz="8" w:color="auto"/>
            </w:tcBorders>
          </w:tcPr>
          <w:p>
            <w:pPr>
              <w:ind w:left="1040"/>
              <w:spacing w:after="0"/>
              <w:rPr>
                <w:sz w:val="20"/>
                <w:szCs w:val="20"/>
                <w:color w:val="auto"/>
              </w:rPr>
            </w:pPr>
            <w:r>
              <w:rPr>
                <w:rFonts w:ascii="Arial" w:cs="Arial" w:eastAsia="Arial" w:hAnsi="Arial"/>
                <w:sz w:val="18"/>
                <w:szCs w:val="18"/>
                <w:b w:val="1"/>
                <w:bCs w:val="1"/>
                <w:color w:val="auto"/>
              </w:rPr>
              <w:t>N° de Transactions per channel</w:t>
            </w:r>
          </w:p>
        </w:tc>
        <w:tc>
          <w:tcPr>
            <w:tcW w:w="12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ind w:left="260"/>
              <w:spacing w:after="0"/>
              <w:rPr>
                <w:sz w:val="20"/>
                <w:szCs w:val="20"/>
                <w:color w:val="auto"/>
              </w:rPr>
            </w:pPr>
            <w:r>
              <w:rPr>
                <w:rFonts w:ascii="Arial" w:cs="Arial" w:eastAsia="Arial" w:hAnsi="Arial"/>
                <w:sz w:val="18"/>
                <w:szCs w:val="18"/>
                <w:b w:val="1"/>
                <w:bCs w:val="1"/>
                <w:color w:val="auto"/>
              </w:rPr>
              <w:t>Quarter</w:t>
            </w:r>
          </w:p>
        </w:tc>
        <w:tc>
          <w:tcPr>
            <w:tcW w:w="11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580" w:type="dxa"/>
            <w:vAlign w:val="bottom"/>
            <w:tcBorders>
              <w:bottom w:val="single" w:sz="8" w:color="auto"/>
            </w:tcBorders>
            <w:gridSpan w:val="3"/>
          </w:tcPr>
          <w:p>
            <w:pPr>
              <w:ind w:left="880"/>
              <w:spacing w:after="0"/>
              <w:rPr>
                <w:sz w:val="20"/>
                <w:szCs w:val="20"/>
                <w:color w:val="auto"/>
              </w:rPr>
            </w:pPr>
            <w:r>
              <w:rPr>
                <w:rFonts w:ascii="Arial" w:cs="Arial" w:eastAsia="Arial" w:hAnsi="Arial"/>
                <w:sz w:val="18"/>
                <w:szCs w:val="18"/>
                <w:b w:val="1"/>
                <w:bCs w:val="1"/>
                <w:color w:val="auto"/>
              </w:rPr>
              <w:t>Change %</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Average 3Q10</w:t>
            </w:r>
          </w:p>
        </w:tc>
        <w:tc>
          <w:tcPr>
            <w:tcW w:w="220" w:type="dxa"/>
            <w:vAlign w:val="bottom"/>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Average 2Q10</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Average 3Q09</w:t>
            </w:r>
          </w:p>
        </w:tc>
        <w:tc>
          <w:tcPr>
            <w:tcW w:w="220" w:type="dxa"/>
            <w:vAlign w:val="bottom"/>
          </w:tcPr>
          <w:p>
            <w:pPr>
              <w:spacing w:after="0"/>
              <w:rPr>
                <w:sz w:val="21"/>
                <w:szCs w:val="21"/>
                <w:color w:val="auto"/>
              </w:rPr>
            </w:pPr>
          </w:p>
        </w:tc>
        <w:tc>
          <w:tcPr>
            <w:tcW w:w="11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95"/>
              </w:rPr>
              <w:t>3Q10 / 2Q10</w:t>
            </w:r>
          </w:p>
        </w:tc>
        <w:tc>
          <w:tcPr>
            <w:tcW w:w="300" w:type="dxa"/>
            <w:vAlign w:val="bottom"/>
          </w:tcPr>
          <w:p>
            <w:pPr>
              <w:spacing w:after="0"/>
              <w:rPr>
                <w:sz w:val="21"/>
                <w:szCs w:val="21"/>
                <w:color w:val="auto"/>
              </w:rPr>
            </w:pPr>
          </w:p>
        </w:tc>
        <w:tc>
          <w:tcPr>
            <w:tcW w:w="11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95"/>
              </w:rPr>
              <w:t>3Q10 / 3Q09</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Teller</w:t>
            </w:r>
          </w:p>
        </w:tc>
        <w:tc>
          <w:tcPr>
            <w:tcW w:w="1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10,105,034</w:t>
            </w:r>
          </w:p>
        </w:tc>
        <w:tc>
          <w:tcPr>
            <w:tcW w:w="22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10,115,285</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10,596,719</w:t>
            </w: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-0.1%</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ATMs Via BCP</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8,957,045</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8,339,318</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7,239,234</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7.4%</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Balance Inquiries</w:t>
            </w:r>
          </w:p>
        </w:tc>
        <w:tc>
          <w:tcPr>
            <w:tcW w:w="1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2,931,377</w:t>
            </w: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2,888,532</w:t>
            </w: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2,554,782</w:t>
            </w:r>
          </w:p>
        </w:tc>
        <w:tc>
          <w:tcPr>
            <w:tcW w:w="22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1.5%</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Telephone Banking</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1,643,660</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1,548,182</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1,470,293</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6.2%</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Internet Banking Via BCP</w:t>
            </w:r>
          </w:p>
        </w:tc>
        <w:tc>
          <w:tcPr>
            <w:tcW w:w="146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11,458,877</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10,563,002</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9,770,583</w:t>
            </w:r>
          </w:p>
        </w:tc>
        <w:tc>
          <w:tcPr>
            <w:tcW w:w="22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8.5%</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Agente BCP</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5,383,892</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5,118,650</w:t>
            </w:r>
          </w:p>
        </w:tc>
        <w:tc>
          <w:tcPr>
            <w:tcW w:w="1120" w:type="dxa"/>
            <w:vAlign w:val="bottom"/>
          </w:tcPr>
          <w:p>
            <w:pPr>
              <w:jc w:val="right"/>
              <w:spacing w:after="0"/>
              <w:rPr>
                <w:sz w:val="20"/>
                <w:szCs w:val="20"/>
                <w:color w:val="auto"/>
              </w:rPr>
            </w:pPr>
            <w:r>
              <w:rPr>
                <w:rFonts w:ascii="Arial" w:cs="Arial" w:eastAsia="Arial" w:hAnsi="Arial"/>
                <w:sz w:val="18"/>
                <w:szCs w:val="18"/>
                <w:color w:val="auto"/>
              </w:rPr>
              <w:t>4,006,165</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5.2%</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Telecrédito</w:t>
            </w:r>
          </w:p>
        </w:tc>
        <w:tc>
          <w:tcPr>
            <w:tcW w:w="1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4,725,407</w:t>
            </w: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4,339,153</w:t>
            </w: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3,973,367</w:t>
            </w:r>
          </w:p>
        </w:tc>
        <w:tc>
          <w:tcPr>
            <w:tcW w:w="22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8.9%</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Mobile banking</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303,147</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254,054</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118,641</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19.3%</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Direct Debit</w:t>
            </w:r>
          </w:p>
        </w:tc>
        <w:tc>
          <w:tcPr>
            <w:tcW w:w="1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417,399</w:t>
            </w:r>
          </w:p>
        </w:tc>
        <w:tc>
          <w:tcPr>
            <w:tcW w:w="22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418,500</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408,430</w:t>
            </w:r>
          </w:p>
        </w:tc>
        <w:tc>
          <w:tcPr>
            <w:tcW w:w="22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-0.3%</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Points of Sale P.O.S.</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4,273,894</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4,052,376</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3,474,223</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5.5%</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Other ATMs network</w:t>
            </w: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333,604</w:t>
            </w: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319,065</w:t>
            </w: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270,654</w:t>
            </w:r>
          </w:p>
        </w:tc>
        <w:tc>
          <w:tcPr>
            <w:tcW w:w="22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4.6%</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b w:val="1"/>
                <w:bCs w:val="1"/>
                <w:color w:val="auto"/>
              </w:rPr>
              <w:t>Total transactions</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50,533,335</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47,956,117</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43,883,091</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5.4%</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15.2%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BCP’s network of distribution channels (only in Peru) continues to grow, specifically in terms of the number of BCP Agents, which continues to be the channel with the highest profile and growth (+8.7% QoQ). In this way, the total number of points of contact grew in 3Q10 (+7.0% QoQ), which is double the growth reported in 2Q10. A YoY analysis shows that the total number of points of contact has increased by more than one thousand.</w:t>
      </w:r>
    </w:p>
    <w:p>
      <w:pPr>
        <w:spacing w:after="0" w:line="189"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Balance as of</w:t>
            </w: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w w:val="94"/>
              </w:rPr>
              <w:t>Change %</w:t>
            </w:r>
          </w:p>
        </w:tc>
        <w:tc>
          <w:tcPr>
            <w:tcW w:w="7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10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3Q10</w:t>
            </w:r>
          </w:p>
        </w:tc>
        <w:tc>
          <w:tcPr>
            <w:tcW w:w="180" w:type="dxa"/>
            <w:vAlign w:val="bottom"/>
          </w:tcPr>
          <w:p>
            <w:pPr>
              <w:spacing w:after="0"/>
              <w:rPr>
                <w:sz w:val="19"/>
                <w:szCs w:val="19"/>
                <w:color w:val="auto"/>
              </w:rPr>
            </w:pPr>
          </w:p>
        </w:tc>
        <w:tc>
          <w:tcPr>
            <w:tcW w:w="10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2Q10</w:t>
            </w:r>
          </w:p>
        </w:tc>
        <w:tc>
          <w:tcPr>
            <w:tcW w:w="180" w:type="dxa"/>
            <w:vAlign w:val="bottom"/>
          </w:tcPr>
          <w:p>
            <w:pPr>
              <w:spacing w:after="0"/>
              <w:rPr>
                <w:sz w:val="19"/>
                <w:szCs w:val="19"/>
                <w:color w:val="auto"/>
              </w:rPr>
            </w:pPr>
          </w:p>
        </w:tc>
        <w:tc>
          <w:tcPr>
            <w:tcW w:w="10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3Q09</w:t>
            </w:r>
          </w:p>
        </w:tc>
        <w:tc>
          <w:tcPr>
            <w:tcW w:w="180" w:type="dxa"/>
            <w:vAlign w:val="bottom"/>
          </w:tcPr>
          <w:p>
            <w:pPr>
              <w:spacing w:after="0"/>
              <w:rPr>
                <w:sz w:val="19"/>
                <w:szCs w:val="19"/>
                <w:color w:val="auto"/>
              </w:rPr>
            </w:pPr>
          </w:p>
        </w:tc>
        <w:tc>
          <w:tcPr>
            <w:tcW w:w="72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w w:val="97"/>
              </w:rPr>
              <w:t>QoQ</w:t>
            </w:r>
          </w:p>
        </w:tc>
        <w:tc>
          <w:tcPr>
            <w:tcW w:w="3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YoY</w:t>
            </w:r>
          </w:p>
        </w:tc>
        <w:tc>
          <w:tcPr>
            <w:tcW w:w="1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FFCC"/>
          </w:tcPr>
          <w:p>
            <w:pPr>
              <w:spacing w:after="0"/>
              <w:rPr>
                <w:sz w:val="20"/>
                <w:szCs w:val="20"/>
                <w:color w:val="auto"/>
              </w:rPr>
            </w:pPr>
            <w:r>
              <w:rPr>
                <w:rFonts w:ascii="Arial" w:cs="Arial" w:eastAsia="Arial" w:hAnsi="Arial"/>
                <w:sz w:val="18"/>
                <w:szCs w:val="18"/>
                <w:color w:val="auto"/>
              </w:rPr>
              <w:t>Branches</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324</w:t>
            </w:r>
          </w:p>
        </w:tc>
        <w:tc>
          <w:tcPr>
            <w:tcW w:w="1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325</w:t>
            </w:r>
          </w:p>
        </w:tc>
        <w:tc>
          <w:tcPr>
            <w:tcW w:w="1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330</w:t>
            </w:r>
          </w:p>
        </w:tc>
        <w:tc>
          <w:tcPr>
            <w:tcW w:w="18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5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w w:val="89"/>
              </w:rPr>
              <w:t>-0.3%</w:t>
            </w:r>
          </w:p>
        </w:tc>
        <w:tc>
          <w:tcPr>
            <w:tcW w:w="30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-1.8%</w:t>
            </w: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ATMs</w:t>
            </w:r>
          </w:p>
        </w:tc>
        <w:tc>
          <w:tcPr>
            <w:tcW w:w="1020" w:type="dxa"/>
            <w:vAlign w:val="bottom"/>
          </w:tcPr>
          <w:p>
            <w:pPr>
              <w:jc w:val="right"/>
              <w:spacing w:after="0"/>
              <w:rPr>
                <w:sz w:val="20"/>
                <w:szCs w:val="20"/>
                <w:color w:val="auto"/>
              </w:rPr>
            </w:pPr>
            <w:r>
              <w:rPr>
                <w:rFonts w:ascii="Arial" w:cs="Arial" w:eastAsia="Arial" w:hAnsi="Arial"/>
                <w:sz w:val="18"/>
                <w:szCs w:val="18"/>
                <w:color w:val="auto"/>
              </w:rPr>
              <w:t>1,109</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1,062</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951</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4.4%</w:t>
            </w:r>
          </w:p>
        </w:tc>
        <w:tc>
          <w:tcPr>
            <w:tcW w:w="3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16.6%</w:t>
            </w:r>
          </w:p>
        </w:tc>
      </w:tr>
      <w:tr>
        <w:trPr>
          <w:trHeight w:val="216"/>
        </w:trPr>
        <w:tc>
          <w:tcPr>
            <w:tcW w:w="20" w:type="dxa"/>
            <w:vAlign w:val="bottom"/>
          </w:tcPr>
          <w:p>
            <w:pPr>
              <w:spacing w:after="0"/>
              <w:rPr>
                <w:sz w:val="18"/>
                <w:szCs w:val="18"/>
                <w:color w:val="auto"/>
              </w:rPr>
            </w:pPr>
          </w:p>
        </w:tc>
        <w:tc>
          <w:tcPr>
            <w:tcW w:w="4200" w:type="dxa"/>
            <w:vAlign w:val="bottom"/>
            <w:shd w:val="clear" w:color="auto" w:fill="CCFFCC"/>
          </w:tcPr>
          <w:p>
            <w:pPr>
              <w:spacing w:after="0"/>
              <w:rPr>
                <w:sz w:val="20"/>
                <w:szCs w:val="20"/>
                <w:color w:val="auto"/>
              </w:rPr>
            </w:pPr>
            <w:r>
              <w:rPr>
                <w:rFonts w:ascii="Arial" w:cs="Arial" w:eastAsia="Arial" w:hAnsi="Arial"/>
                <w:sz w:val="18"/>
                <w:szCs w:val="18"/>
                <w:color w:val="auto"/>
              </w:rPr>
              <w:t>Agentes BCP</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3,354</w:t>
            </w:r>
          </w:p>
        </w:tc>
        <w:tc>
          <w:tcPr>
            <w:tcW w:w="1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3,086</w:t>
            </w:r>
          </w:p>
        </w:tc>
        <w:tc>
          <w:tcPr>
            <w:tcW w:w="1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2,435</w:t>
            </w:r>
          </w:p>
        </w:tc>
        <w:tc>
          <w:tcPr>
            <w:tcW w:w="18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5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8.7%</w:t>
            </w:r>
          </w:p>
        </w:tc>
        <w:tc>
          <w:tcPr>
            <w:tcW w:w="30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37.7%</w:t>
            </w:r>
          </w:p>
        </w:tc>
      </w:tr>
      <w:tr>
        <w:trPr>
          <w:trHeight w:val="230"/>
        </w:trPr>
        <w:tc>
          <w:tcPr>
            <w:tcW w:w="20" w:type="dxa"/>
            <w:vAlign w:val="bottom"/>
          </w:tcPr>
          <w:p>
            <w:pPr>
              <w:spacing w:after="0"/>
              <w:rPr>
                <w:sz w:val="20"/>
                <w:szCs w:val="20"/>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Total</w:t>
            </w:r>
          </w:p>
        </w:tc>
        <w:tc>
          <w:tcPr>
            <w:tcW w:w="1020" w:type="dxa"/>
            <w:vAlign w:val="bottom"/>
          </w:tcPr>
          <w:p>
            <w:pPr>
              <w:jc w:val="right"/>
              <w:spacing w:after="0"/>
              <w:rPr>
                <w:sz w:val="20"/>
                <w:szCs w:val="20"/>
                <w:color w:val="auto"/>
              </w:rPr>
            </w:pPr>
            <w:r>
              <w:rPr>
                <w:rFonts w:ascii="Arial" w:cs="Arial" w:eastAsia="Arial" w:hAnsi="Arial"/>
                <w:sz w:val="18"/>
                <w:szCs w:val="18"/>
                <w:color w:val="auto"/>
              </w:rPr>
              <w:t>4,787</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4,473</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3,716</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7.0%</w:t>
            </w:r>
          </w:p>
        </w:tc>
        <w:tc>
          <w:tcPr>
            <w:tcW w:w="30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28.8%</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II.6 Operating Costs and Efficiency</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For the third consecutive quarter, BCP achieved an improvement in operating efficiency, which was reflected in a drop in the efficiency ratio, which went from 48.0% in 2Q10 to 46.3% in 3Q10. This positive evolution was due to an increase in income as well as an adequate control of expenses, which remained at levels similar to those seen in 2Q10.</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180" w:type="dxa"/>
            <w:vAlign w:val="bottom"/>
            <w:gridSpan w:val="2"/>
          </w:tcPr>
          <w:p>
            <w:pPr>
              <w:spacing w:after="0"/>
              <w:rPr>
                <w:sz w:val="20"/>
                <w:szCs w:val="20"/>
                <w:color w:val="auto"/>
              </w:rPr>
            </w:pPr>
            <w:r>
              <w:rPr>
                <w:rFonts w:ascii="Arial" w:cs="Arial" w:eastAsia="Arial" w:hAnsi="Arial"/>
                <w:sz w:val="14"/>
                <w:szCs w:val="14"/>
                <w:b w:val="1"/>
                <w:bCs w:val="1"/>
                <w:color w:val="auto"/>
              </w:rPr>
              <w:t>Operating expenses</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Quarter</w:t>
            </w: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40" w:type="dxa"/>
            <w:vAlign w:val="bottom"/>
            <w:gridSpan w:val="3"/>
          </w:tcPr>
          <w:p>
            <w:pPr>
              <w:ind w:left="100"/>
              <w:spacing w:after="0"/>
              <w:rPr>
                <w:sz w:val="20"/>
                <w:szCs w:val="20"/>
                <w:color w:val="auto"/>
              </w:rPr>
            </w:pPr>
            <w:r>
              <w:rPr>
                <w:rFonts w:ascii="Arial" w:cs="Arial" w:eastAsia="Arial" w:hAnsi="Arial"/>
                <w:sz w:val="14"/>
                <w:szCs w:val="14"/>
                <w:b w:val="1"/>
                <w:bCs w:val="1"/>
                <w:color w:val="auto"/>
              </w:rPr>
              <w:t>Change %</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gridSpan w:val="3"/>
          </w:tcPr>
          <w:p>
            <w:pPr>
              <w:ind w:left="660"/>
              <w:spacing w:after="0"/>
              <w:rPr>
                <w:sz w:val="20"/>
                <w:szCs w:val="20"/>
                <w:color w:val="auto"/>
              </w:rPr>
            </w:pPr>
            <w:r>
              <w:rPr>
                <w:rFonts w:ascii="Arial" w:cs="Arial" w:eastAsia="Arial" w:hAnsi="Arial"/>
                <w:sz w:val="14"/>
                <w:szCs w:val="14"/>
                <w:b w:val="1"/>
                <w:bCs w:val="1"/>
                <w:color w:val="auto"/>
                <w:w w:val="89"/>
              </w:rPr>
              <w:t>Year to date</w:t>
            </w: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Change %</w:t>
            </w:r>
          </w:p>
        </w:tc>
        <w:tc>
          <w:tcPr>
            <w:tcW w:w="0" w:type="dxa"/>
            <w:vAlign w:val="bottom"/>
          </w:tcPr>
          <w:p>
            <w:pPr>
              <w:spacing w:after="0"/>
              <w:rPr>
                <w:sz w:val="1"/>
                <w:szCs w:val="1"/>
                <w:color w:val="auto"/>
              </w:rPr>
            </w:pPr>
          </w:p>
        </w:tc>
      </w:tr>
      <w:tr>
        <w:trPr>
          <w:trHeight w:val="149"/>
        </w:trPr>
        <w:tc>
          <w:tcPr>
            <w:tcW w:w="2180" w:type="dxa"/>
            <w:vAlign w:val="bottom"/>
            <w:tcBorders>
              <w:top w:val="single" w:sz="8" w:color="auto"/>
            </w:tcBorders>
            <w:gridSpan w:val="2"/>
          </w:tcPr>
          <w:p>
            <w:pPr>
              <w:spacing w:after="0" w:line="149" w:lineRule="exact"/>
              <w:rPr>
                <w:sz w:val="20"/>
                <w:szCs w:val="20"/>
                <w:color w:val="auto"/>
              </w:rPr>
            </w:pPr>
            <w:r>
              <w:rPr>
                <w:rFonts w:ascii="Arial" w:cs="Arial" w:eastAsia="Arial" w:hAnsi="Arial"/>
                <w:sz w:val="14"/>
                <w:szCs w:val="14"/>
                <w:color w:val="auto"/>
              </w:rPr>
              <w:t>US$ 000</w:t>
            </w:r>
          </w:p>
        </w:tc>
        <w:tc>
          <w:tcPr>
            <w:tcW w:w="120" w:type="dxa"/>
            <w:vAlign w:val="bottom"/>
          </w:tcPr>
          <w:p>
            <w:pPr>
              <w:spacing w:after="0"/>
              <w:rPr>
                <w:sz w:val="12"/>
                <w:szCs w:val="12"/>
                <w:color w:val="auto"/>
              </w:rPr>
            </w:pPr>
          </w:p>
        </w:tc>
        <w:tc>
          <w:tcPr>
            <w:tcW w:w="1140" w:type="dxa"/>
            <w:vAlign w:val="bottom"/>
            <w:tcBorders>
              <w:top w:val="single" w:sz="8" w:color="auto"/>
            </w:tcBorders>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3Q10</w:t>
            </w:r>
          </w:p>
        </w:tc>
        <w:tc>
          <w:tcPr>
            <w:tcW w:w="1140" w:type="dxa"/>
            <w:vAlign w:val="bottom"/>
            <w:tcBorders>
              <w:top w:val="single" w:sz="8" w:color="auto"/>
            </w:tcBorders>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2Q10</w:t>
            </w:r>
          </w:p>
        </w:tc>
        <w:tc>
          <w:tcPr>
            <w:tcW w:w="900" w:type="dxa"/>
            <w:vAlign w:val="bottom"/>
            <w:tcBorders>
              <w:top w:val="single" w:sz="8" w:color="auto"/>
            </w:tcBorders>
          </w:tcPr>
          <w:p>
            <w:pPr>
              <w:jc w:val="right"/>
              <w:ind w:right="168"/>
              <w:spacing w:after="0" w:line="149" w:lineRule="exact"/>
              <w:rPr>
                <w:sz w:val="20"/>
                <w:szCs w:val="20"/>
                <w:color w:val="auto"/>
              </w:rPr>
            </w:pPr>
            <w:r>
              <w:rPr>
                <w:rFonts w:ascii="Arial" w:cs="Arial" w:eastAsia="Arial" w:hAnsi="Arial"/>
                <w:sz w:val="14"/>
                <w:szCs w:val="14"/>
                <w:b w:val="1"/>
                <w:bCs w:val="1"/>
                <w:color w:val="auto"/>
              </w:rPr>
              <w:t>3Q09</w:t>
            </w:r>
          </w:p>
        </w:tc>
        <w:tc>
          <w:tcPr>
            <w:tcW w:w="260" w:type="dxa"/>
            <w:vAlign w:val="bottom"/>
          </w:tcPr>
          <w:p>
            <w:pPr>
              <w:spacing w:after="0"/>
              <w:rPr>
                <w:sz w:val="12"/>
                <w:szCs w:val="12"/>
                <w:color w:val="auto"/>
              </w:rPr>
            </w:pPr>
          </w:p>
        </w:tc>
        <w:tc>
          <w:tcPr>
            <w:tcW w:w="580" w:type="dxa"/>
            <w:vAlign w:val="bottom"/>
            <w:tcBorders>
              <w:top w:val="single" w:sz="8" w:color="auto"/>
            </w:tcBorders>
          </w:tcPr>
          <w:p>
            <w:pPr>
              <w:ind w:left="300"/>
              <w:spacing w:after="0" w:line="149" w:lineRule="exact"/>
              <w:rPr>
                <w:sz w:val="20"/>
                <w:szCs w:val="20"/>
                <w:color w:val="auto"/>
              </w:rPr>
            </w:pPr>
            <w:r>
              <w:rPr>
                <w:rFonts w:ascii="Arial" w:cs="Arial" w:eastAsia="Arial" w:hAnsi="Arial"/>
                <w:sz w:val="14"/>
                <w:szCs w:val="14"/>
                <w:b w:val="1"/>
                <w:bCs w:val="1"/>
                <w:color w:val="auto"/>
                <w:w w:val="85"/>
              </w:rPr>
              <w:t>QoQ</w:t>
            </w:r>
          </w:p>
        </w:tc>
        <w:tc>
          <w:tcPr>
            <w:tcW w:w="3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ind w:left="320"/>
              <w:spacing w:after="0" w:line="149" w:lineRule="exact"/>
              <w:rPr>
                <w:sz w:val="20"/>
                <w:szCs w:val="20"/>
                <w:color w:val="auto"/>
              </w:rPr>
            </w:pPr>
            <w:r>
              <w:rPr>
                <w:rFonts w:ascii="Arial" w:cs="Arial" w:eastAsia="Arial" w:hAnsi="Arial"/>
                <w:sz w:val="14"/>
                <w:szCs w:val="14"/>
                <w:b w:val="1"/>
                <w:bCs w:val="1"/>
                <w:color w:val="auto"/>
                <w:w w:val="87"/>
              </w:rPr>
              <w:t>YoY</w:t>
            </w:r>
          </w:p>
        </w:tc>
        <w:tc>
          <w:tcPr>
            <w:tcW w:w="3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tcBorders>
              <w:top w:val="single" w:sz="8" w:color="auto"/>
            </w:tcBorders>
            <w:gridSpan w:val="3"/>
          </w:tcPr>
          <w:p>
            <w:pPr>
              <w:ind w:left="240"/>
              <w:spacing w:after="0" w:line="149" w:lineRule="exact"/>
              <w:rPr>
                <w:sz w:val="20"/>
                <w:szCs w:val="20"/>
                <w:color w:val="auto"/>
              </w:rPr>
            </w:pPr>
            <w:r>
              <w:rPr>
                <w:rFonts w:ascii="Arial" w:cs="Arial" w:eastAsia="Arial" w:hAnsi="Arial"/>
                <w:sz w:val="14"/>
                <w:szCs w:val="14"/>
                <w:b w:val="1"/>
                <w:bCs w:val="1"/>
                <w:color w:val="auto"/>
              </w:rPr>
              <w:t>Sep 10</w:t>
            </w:r>
          </w:p>
        </w:tc>
        <w:tc>
          <w:tcPr>
            <w:tcW w:w="660" w:type="dxa"/>
            <w:vAlign w:val="bottom"/>
            <w:tcBorders>
              <w:top w:val="single" w:sz="8" w:color="auto"/>
            </w:tcBorders>
          </w:tcPr>
          <w:p>
            <w:pPr>
              <w:jc w:val="right"/>
              <w:ind w:right="188"/>
              <w:spacing w:after="0" w:line="149" w:lineRule="exact"/>
              <w:rPr>
                <w:sz w:val="20"/>
                <w:szCs w:val="20"/>
                <w:color w:val="auto"/>
              </w:rPr>
            </w:pPr>
            <w:r>
              <w:rPr>
                <w:rFonts w:ascii="Arial" w:cs="Arial" w:eastAsia="Arial" w:hAnsi="Arial"/>
                <w:sz w:val="14"/>
                <w:szCs w:val="14"/>
                <w:b w:val="1"/>
                <w:bCs w:val="1"/>
                <w:color w:val="auto"/>
                <w:w w:val="84"/>
              </w:rPr>
              <w:t>Sep 09</w:t>
            </w:r>
          </w:p>
        </w:tc>
        <w:tc>
          <w:tcPr>
            <w:tcW w:w="260" w:type="dxa"/>
            <w:vAlign w:val="bottom"/>
          </w:tcPr>
          <w:p>
            <w:pPr>
              <w:spacing w:after="0"/>
              <w:rPr>
                <w:sz w:val="12"/>
                <w:szCs w:val="12"/>
                <w:color w:val="auto"/>
              </w:rPr>
            </w:pPr>
          </w:p>
        </w:tc>
        <w:tc>
          <w:tcPr>
            <w:tcW w:w="92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0"/>
              </w:rPr>
              <w:t>Sep 10 / Sep 09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1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Salaries and employees benefits</w:t>
            </w:r>
          </w:p>
        </w:tc>
        <w:tc>
          <w:tcPr>
            <w:tcW w:w="12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95,404</w:t>
            </w:r>
          </w:p>
        </w:tc>
        <w:tc>
          <w:tcPr>
            <w:tcW w:w="11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90,961</w:t>
            </w:r>
          </w:p>
        </w:tc>
        <w:tc>
          <w:tcPr>
            <w:tcW w:w="11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80,318</w:t>
            </w:r>
          </w:p>
        </w:tc>
        <w:tc>
          <w:tcPr>
            <w:tcW w:w="580" w:type="dxa"/>
            <w:vAlign w:val="bottom"/>
            <w:shd w:val="clear" w:color="auto" w:fill="CCFFCC"/>
          </w:tcPr>
          <w:p>
            <w:pPr>
              <w:spacing w:after="0"/>
              <w:rPr>
                <w:sz w:val="12"/>
                <w:szCs w:val="12"/>
                <w:color w:val="auto"/>
              </w:rPr>
            </w:pPr>
          </w:p>
        </w:tc>
        <w:tc>
          <w:tcPr>
            <w:tcW w:w="5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4.9%</w:t>
            </w:r>
          </w:p>
        </w:tc>
        <w:tc>
          <w:tcPr>
            <w:tcW w:w="580" w:type="dxa"/>
            <w:vAlign w:val="bottom"/>
            <w:shd w:val="clear" w:color="auto" w:fill="CCFFCC"/>
          </w:tcPr>
          <w:p>
            <w:pPr>
              <w:spacing w:after="0"/>
              <w:rPr>
                <w:sz w:val="12"/>
                <w:szCs w:val="12"/>
                <w:color w:val="auto"/>
              </w:rPr>
            </w:pPr>
          </w:p>
        </w:tc>
        <w:tc>
          <w:tcPr>
            <w:tcW w:w="5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18.8%</w:t>
            </w:r>
          </w:p>
        </w:tc>
        <w:tc>
          <w:tcPr>
            <w:tcW w:w="11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284,810</w:t>
            </w:r>
          </w:p>
        </w:tc>
        <w:tc>
          <w:tcPr>
            <w:tcW w:w="240" w:type="dxa"/>
            <w:vAlign w:val="bottom"/>
            <w:shd w:val="clear" w:color="auto" w:fill="CCFFCC"/>
          </w:tcPr>
          <w:p>
            <w:pPr>
              <w:spacing w:after="0"/>
              <w:rPr>
                <w:sz w:val="12"/>
                <w:szCs w:val="12"/>
                <w:color w:val="auto"/>
              </w:rPr>
            </w:pPr>
          </w:p>
        </w:tc>
        <w:tc>
          <w:tcPr>
            <w:tcW w:w="920" w:type="dxa"/>
            <w:vAlign w:val="bottom"/>
            <w:tcBorders>
              <w:right w:val="single" w:sz="8" w:color="CCFFCC"/>
            </w:tcBorders>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238,983</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19.2%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60" w:type="dxa"/>
            <w:vAlign w:val="bottom"/>
          </w:tcPr>
          <w:p>
            <w:pPr>
              <w:spacing w:after="0" w:line="130" w:lineRule="exact"/>
              <w:rPr>
                <w:sz w:val="20"/>
                <w:szCs w:val="20"/>
                <w:color w:val="auto"/>
              </w:rPr>
            </w:pPr>
            <w:r>
              <w:rPr>
                <w:rFonts w:ascii="Arial" w:cs="Arial" w:eastAsia="Arial" w:hAnsi="Arial"/>
                <w:sz w:val="14"/>
                <w:szCs w:val="14"/>
                <w:color w:val="auto"/>
              </w:rPr>
              <w:t>Administrative, general and tax</w:t>
            </w: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80" w:type="dxa"/>
            <w:vAlign w:val="bottom"/>
            <w:gridSpan w:val="2"/>
          </w:tcPr>
          <w:p>
            <w:pPr>
              <w:spacing w:after="0"/>
              <w:rPr>
                <w:sz w:val="20"/>
                <w:szCs w:val="20"/>
                <w:color w:val="auto"/>
              </w:rPr>
            </w:pPr>
            <w:r>
              <w:rPr>
                <w:rFonts w:ascii="Arial" w:cs="Arial" w:eastAsia="Arial" w:hAnsi="Arial"/>
                <w:sz w:val="14"/>
                <w:szCs w:val="14"/>
                <w:color w:val="auto"/>
              </w:rPr>
              <w:t>expenses</w:t>
            </w:r>
          </w:p>
        </w:tc>
        <w:tc>
          <w:tcPr>
            <w:tcW w:w="1260" w:type="dxa"/>
            <w:vAlign w:val="bottom"/>
            <w:gridSpan w:val="3"/>
          </w:tcPr>
          <w:p>
            <w:pPr>
              <w:jc w:val="right"/>
              <w:ind w:right="260"/>
              <w:spacing w:after="0"/>
              <w:rPr>
                <w:sz w:val="20"/>
                <w:szCs w:val="20"/>
                <w:color w:val="auto"/>
              </w:rPr>
            </w:pPr>
            <w:r>
              <w:rPr>
                <w:rFonts w:ascii="Arial" w:cs="Arial" w:eastAsia="Arial" w:hAnsi="Arial"/>
                <w:sz w:val="14"/>
                <w:szCs w:val="14"/>
                <w:color w:val="auto"/>
              </w:rPr>
              <w:t>67,549</w:t>
            </w: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67,866</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59,269</w:t>
            </w:r>
          </w:p>
        </w:tc>
        <w:tc>
          <w:tcPr>
            <w:tcW w:w="580" w:type="dxa"/>
            <w:vAlign w:val="bottom"/>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4"/>
                <w:szCs w:val="14"/>
                <w:color w:val="auto"/>
              </w:rPr>
              <w:t>-0.5%</w:t>
            </w:r>
          </w:p>
        </w:tc>
        <w:tc>
          <w:tcPr>
            <w:tcW w:w="580" w:type="dxa"/>
            <w:vAlign w:val="bottom"/>
          </w:tcPr>
          <w:p>
            <w:pPr>
              <w:spacing w:after="0"/>
              <w:rPr>
                <w:sz w:val="14"/>
                <w:szCs w:val="14"/>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14.0%</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201,200</w:t>
            </w:r>
          </w:p>
        </w:tc>
        <w:tc>
          <w:tcPr>
            <w:tcW w:w="24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186,741</w:t>
            </w: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Depreciation and amortizacion</w:t>
            </w:r>
          </w:p>
        </w:tc>
        <w:tc>
          <w:tcPr>
            <w:tcW w:w="1260" w:type="dxa"/>
            <w:vAlign w:val="bottom"/>
            <w:gridSpan w:val="3"/>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17,392</w:t>
            </w:r>
          </w:p>
        </w:tc>
        <w:tc>
          <w:tcPr>
            <w:tcW w:w="11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16,837</w:t>
            </w:r>
          </w:p>
        </w:tc>
        <w:tc>
          <w:tcPr>
            <w:tcW w:w="11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14,712</w:t>
            </w:r>
          </w:p>
        </w:tc>
        <w:tc>
          <w:tcPr>
            <w:tcW w:w="580" w:type="dxa"/>
            <w:vAlign w:val="bottom"/>
            <w:shd w:val="clear" w:color="auto" w:fill="CCFFCC"/>
          </w:tcPr>
          <w:p>
            <w:pPr>
              <w:spacing w:after="0"/>
              <w:rPr>
                <w:sz w:val="12"/>
                <w:szCs w:val="12"/>
                <w:color w:val="auto"/>
              </w:rPr>
            </w:pPr>
          </w:p>
        </w:tc>
        <w:tc>
          <w:tcPr>
            <w:tcW w:w="5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3.3%</w:t>
            </w:r>
          </w:p>
        </w:tc>
        <w:tc>
          <w:tcPr>
            <w:tcW w:w="580" w:type="dxa"/>
            <w:vAlign w:val="bottom"/>
            <w:shd w:val="clear" w:color="auto" w:fill="CCFFCC"/>
          </w:tcPr>
          <w:p>
            <w:pPr>
              <w:spacing w:after="0"/>
              <w:rPr>
                <w:sz w:val="12"/>
                <w:szCs w:val="12"/>
                <w:color w:val="auto"/>
              </w:rPr>
            </w:pPr>
          </w:p>
        </w:tc>
        <w:tc>
          <w:tcPr>
            <w:tcW w:w="5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18.2%</w:t>
            </w:r>
          </w:p>
        </w:tc>
        <w:tc>
          <w:tcPr>
            <w:tcW w:w="11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50,652</w:t>
            </w:r>
          </w:p>
        </w:tc>
        <w:tc>
          <w:tcPr>
            <w:tcW w:w="240" w:type="dxa"/>
            <w:vAlign w:val="bottom"/>
            <w:shd w:val="clear" w:color="auto" w:fill="CCFFCC"/>
          </w:tcPr>
          <w:p>
            <w:pPr>
              <w:spacing w:after="0"/>
              <w:rPr>
                <w:sz w:val="12"/>
                <w:szCs w:val="12"/>
                <w:color w:val="auto"/>
              </w:rPr>
            </w:pPr>
          </w:p>
        </w:tc>
        <w:tc>
          <w:tcPr>
            <w:tcW w:w="920" w:type="dxa"/>
            <w:vAlign w:val="bottom"/>
            <w:tcBorders>
              <w:right w:val="single" w:sz="8" w:color="CCFFCC"/>
            </w:tcBorders>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42,556</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tcPr>
          <w:p>
            <w:pPr>
              <w:spacing w:after="0" w:line="149" w:lineRule="exact"/>
              <w:rPr>
                <w:sz w:val="20"/>
                <w:szCs w:val="20"/>
                <w:color w:val="auto"/>
              </w:rPr>
            </w:pPr>
            <w:r>
              <w:rPr>
                <w:rFonts w:ascii="Arial" w:cs="Arial" w:eastAsia="Arial" w:hAnsi="Arial"/>
                <w:sz w:val="14"/>
                <w:szCs w:val="14"/>
                <w:color w:val="auto"/>
              </w:rPr>
              <w:t>Other expenses</w:t>
            </w:r>
          </w:p>
        </w:tc>
        <w:tc>
          <w:tcPr>
            <w:tcW w:w="120" w:type="dxa"/>
            <w:vAlign w:val="bottom"/>
          </w:tcPr>
          <w:p>
            <w:pPr>
              <w:spacing w:after="0"/>
              <w:rPr>
                <w:sz w:val="12"/>
                <w:szCs w:val="12"/>
                <w:color w:val="auto"/>
              </w:rPr>
            </w:pPr>
          </w:p>
        </w:tc>
        <w:tc>
          <w:tcPr>
            <w:tcW w:w="11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4,406</w:t>
            </w:r>
          </w:p>
        </w:tc>
        <w:tc>
          <w:tcPr>
            <w:tcW w:w="11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7,516</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6,794</w:t>
            </w:r>
          </w:p>
        </w:tc>
        <w:tc>
          <w:tcPr>
            <w:tcW w:w="580" w:type="dxa"/>
            <w:vAlign w:val="bottom"/>
          </w:tcPr>
          <w:p>
            <w:pPr>
              <w:spacing w:after="0"/>
              <w:rPr>
                <w:sz w:val="12"/>
                <w:szCs w:val="12"/>
                <w:color w:val="auto"/>
              </w:rPr>
            </w:pP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0"/>
              </w:rPr>
              <w:t>-41.4%</w:t>
            </w:r>
          </w:p>
        </w:tc>
        <w:tc>
          <w:tcPr>
            <w:tcW w:w="580" w:type="dxa"/>
            <w:vAlign w:val="bottom"/>
          </w:tcPr>
          <w:p>
            <w:pPr>
              <w:spacing w:after="0"/>
              <w:rPr>
                <w:sz w:val="12"/>
                <w:szCs w:val="12"/>
                <w:color w:val="auto"/>
              </w:rPr>
            </w:pPr>
          </w:p>
        </w:tc>
        <w:tc>
          <w:tcPr>
            <w:tcW w:w="5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4"/>
              </w:rPr>
              <w:t>-35.1%</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16,602</w:t>
            </w:r>
          </w:p>
        </w:tc>
        <w:tc>
          <w:tcPr>
            <w:tcW w:w="240" w:type="dxa"/>
            <w:vAlign w:val="bottom"/>
          </w:tcPr>
          <w:p>
            <w:pPr>
              <w:spacing w:after="0"/>
              <w:rPr>
                <w:sz w:val="12"/>
                <w:szCs w:val="12"/>
                <w:color w:val="auto"/>
              </w:rPr>
            </w:pP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27,493</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-39.6%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16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Total operating expenses</w:t>
            </w:r>
          </w:p>
        </w:tc>
        <w:tc>
          <w:tcPr>
            <w:tcW w:w="12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184,751</w:t>
            </w:r>
          </w:p>
        </w:tc>
        <w:tc>
          <w:tcPr>
            <w:tcW w:w="11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183,180</w:t>
            </w:r>
          </w:p>
        </w:tc>
        <w:tc>
          <w:tcPr>
            <w:tcW w:w="11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161,093</w:t>
            </w:r>
          </w:p>
        </w:tc>
        <w:tc>
          <w:tcPr>
            <w:tcW w:w="580" w:type="dxa"/>
            <w:vAlign w:val="bottom"/>
            <w:shd w:val="clear" w:color="auto" w:fill="CCFFCC"/>
          </w:tcPr>
          <w:p>
            <w:pPr>
              <w:spacing w:after="0"/>
              <w:rPr>
                <w:sz w:val="12"/>
                <w:szCs w:val="12"/>
                <w:color w:val="auto"/>
              </w:rPr>
            </w:pPr>
          </w:p>
        </w:tc>
        <w:tc>
          <w:tcPr>
            <w:tcW w:w="5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0.9%</w:t>
            </w:r>
          </w:p>
        </w:tc>
        <w:tc>
          <w:tcPr>
            <w:tcW w:w="580" w:type="dxa"/>
            <w:vAlign w:val="bottom"/>
            <w:shd w:val="clear" w:color="auto" w:fill="CCFFCC"/>
          </w:tcPr>
          <w:p>
            <w:pPr>
              <w:spacing w:after="0"/>
              <w:rPr>
                <w:sz w:val="12"/>
                <w:szCs w:val="12"/>
                <w:color w:val="auto"/>
              </w:rPr>
            </w:pPr>
          </w:p>
        </w:tc>
        <w:tc>
          <w:tcPr>
            <w:tcW w:w="5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14.7%</w:t>
            </w:r>
          </w:p>
        </w:tc>
        <w:tc>
          <w:tcPr>
            <w:tcW w:w="11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553,264</w:t>
            </w:r>
          </w:p>
        </w:tc>
        <w:tc>
          <w:tcPr>
            <w:tcW w:w="240" w:type="dxa"/>
            <w:vAlign w:val="bottom"/>
            <w:shd w:val="clear" w:color="auto" w:fill="CCFFCC"/>
          </w:tcPr>
          <w:p>
            <w:pPr>
              <w:spacing w:after="0"/>
              <w:rPr>
                <w:sz w:val="12"/>
                <w:szCs w:val="12"/>
                <w:color w:val="auto"/>
              </w:rPr>
            </w:pPr>
          </w:p>
        </w:tc>
        <w:tc>
          <w:tcPr>
            <w:tcW w:w="920" w:type="dxa"/>
            <w:vAlign w:val="bottom"/>
            <w:tcBorders>
              <w:right w:val="single" w:sz="8" w:color="CCFFCC"/>
            </w:tcBorders>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495,773</w:t>
            </w:r>
          </w:p>
        </w:tc>
        <w:tc>
          <w:tcPr>
            <w:tcW w:w="10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6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Borders>
              <w:right w:val="single" w:sz="8" w:color="CCFFCC"/>
            </w:tcBorders>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160" w:type="dxa"/>
            <w:vAlign w:val="bottom"/>
          </w:tcPr>
          <w:p>
            <w:pPr>
              <w:spacing w:after="0" w:line="149" w:lineRule="exact"/>
              <w:rPr>
                <w:sz w:val="20"/>
                <w:szCs w:val="20"/>
                <w:color w:val="auto"/>
              </w:rPr>
            </w:pPr>
            <w:r>
              <w:rPr>
                <w:rFonts w:ascii="Arial" w:cs="Arial" w:eastAsia="Arial" w:hAnsi="Arial"/>
                <w:sz w:val="14"/>
                <w:szCs w:val="14"/>
                <w:b w:val="1"/>
                <w:bCs w:val="1"/>
                <w:color w:val="auto"/>
              </w:rPr>
              <w:t>Efficiency ratio</w:t>
            </w:r>
          </w:p>
        </w:tc>
        <w:tc>
          <w:tcPr>
            <w:tcW w:w="120" w:type="dxa"/>
            <w:vAlign w:val="bottom"/>
          </w:tcPr>
          <w:p>
            <w:pPr>
              <w:spacing w:after="0"/>
              <w:rPr>
                <w:sz w:val="12"/>
                <w:szCs w:val="12"/>
                <w:color w:val="auto"/>
              </w:rPr>
            </w:pP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46.3%</w:t>
            </w: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48.0%</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48.8%</w:t>
            </w: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48.5%</w:t>
            </w:r>
          </w:p>
        </w:tc>
        <w:tc>
          <w:tcPr>
            <w:tcW w:w="24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51.1%</w:t>
            </w: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Operating expenses were similar QoQ, reporting an increase of only 0.9%. This slight variation was due primarily to an increase in salaries and employee benefits (+4.9% QoQ)-in line with business expansion- which was offset by a reduction in other expenses and administrative expenses.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details on the administrative expensive and quarterly variations:</w:t>
      </w:r>
    </w:p>
    <w:p>
      <w:pPr>
        <w:spacing w:after="0" w:line="200" w:lineRule="exact"/>
        <w:rPr>
          <w:sz w:val="20"/>
          <w:szCs w:val="20"/>
          <w:color w:val="auto"/>
        </w:rPr>
      </w:pPr>
    </w:p>
    <w:p>
      <w:pPr>
        <w:spacing w:after="0" w:line="201"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0"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49"/>
        </w:trPr>
        <w:tc>
          <w:tcPr>
            <w:tcW w:w="1340" w:type="dxa"/>
            <w:vAlign w:val="bottom"/>
            <w:gridSpan w:val="2"/>
          </w:tcPr>
          <w:p>
            <w:pPr>
              <w:spacing w:after="0"/>
              <w:rPr>
                <w:sz w:val="20"/>
                <w:szCs w:val="20"/>
                <w:color w:val="auto"/>
              </w:rPr>
            </w:pPr>
            <w:r>
              <w:rPr>
                <w:rFonts w:ascii="Arial" w:cs="Arial" w:eastAsia="Arial" w:hAnsi="Arial"/>
                <w:sz w:val="13"/>
                <w:szCs w:val="13"/>
                <w:b w:val="1"/>
                <w:bCs w:val="1"/>
                <w:color w:val="auto"/>
              </w:rPr>
              <w:t>Administrative</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340" w:type="dxa"/>
            <w:vAlign w:val="bottom"/>
            <w:gridSpan w:val="2"/>
          </w:tcPr>
          <w:p>
            <w:pPr>
              <w:spacing w:after="0"/>
              <w:rPr>
                <w:sz w:val="20"/>
                <w:szCs w:val="20"/>
                <w:color w:val="auto"/>
              </w:rPr>
            </w:pPr>
            <w:r>
              <w:rPr>
                <w:rFonts w:ascii="Arial" w:cs="Arial" w:eastAsia="Arial" w:hAnsi="Arial"/>
                <w:sz w:val="13"/>
                <w:szCs w:val="13"/>
                <w:b w:val="1"/>
                <w:bCs w:val="1"/>
                <w:color w:val="auto"/>
              </w:rPr>
              <w:t>Expenses</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gridSpan w:val="3"/>
          </w:tcPr>
          <w:p>
            <w:pPr>
              <w:ind w:left="560"/>
              <w:spacing w:after="0"/>
              <w:rPr>
                <w:sz w:val="20"/>
                <w:szCs w:val="20"/>
                <w:color w:val="auto"/>
              </w:rPr>
            </w:pPr>
            <w:r>
              <w:rPr>
                <w:rFonts w:ascii="Arial" w:cs="Arial" w:eastAsia="Arial" w:hAnsi="Arial"/>
                <w:sz w:val="13"/>
                <w:szCs w:val="13"/>
                <w:b w:val="1"/>
                <w:bCs w:val="1"/>
                <w:color w:val="auto"/>
              </w:rPr>
              <w:t>Quarter</w:t>
            </w: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3"/>
          </w:tcPr>
          <w:p>
            <w:pPr>
              <w:ind w:left="500"/>
              <w:spacing w:after="0"/>
              <w:rPr>
                <w:sz w:val="20"/>
                <w:szCs w:val="20"/>
                <w:color w:val="auto"/>
              </w:rPr>
            </w:pPr>
            <w:r>
              <w:rPr>
                <w:rFonts w:ascii="Arial" w:cs="Arial" w:eastAsia="Arial" w:hAnsi="Arial"/>
                <w:sz w:val="13"/>
                <w:szCs w:val="13"/>
                <w:b w:val="1"/>
                <w:bCs w:val="1"/>
                <w:color w:val="auto"/>
                <w:w w:val="92"/>
              </w:rPr>
              <w:t>Change %</w:t>
            </w: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80" w:type="dxa"/>
            <w:vAlign w:val="bottom"/>
            <w:gridSpan w:val="4"/>
          </w:tcPr>
          <w:p>
            <w:pPr>
              <w:ind w:left="460"/>
              <w:spacing w:after="0"/>
              <w:rPr>
                <w:sz w:val="20"/>
                <w:szCs w:val="20"/>
                <w:color w:val="auto"/>
              </w:rPr>
            </w:pPr>
            <w:r>
              <w:rPr>
                <w:rFonts w:ascii="Arial" w:cs="Arial" w:eastAsia="Arial" w:hAnsi="Arial"/>
                <w:sz w:val="13"/>
                <w:szCs w:val="13"/>
                <w:b w:val="1"/>
                <w:bCs w:val="1"/>
                <w:color w:val="auto"/>
              </w:rPr>
              <w:t>Year to date</w:t>
            </w:r>
          </w:p>
        </w:tc>
        <w:tc>
          <w:tcPr>
            <w:tcW w:w="9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9"/>
              </w:rPr>
              <w:t>Change %</w:t>
            </w:r>
          </w:p>
        </w:tc>
        <w:tc>
          <w:tcPr>
            <w:tcW w:w="0" w:type="dxa"/>
            <w:vAlign w:val="bottom"/>
          </w:tcPr>
          <w:p>
            <w:pPr>
              <w:spacing w:after="0"/>
              <w:rPr>
                <w:sz w:val="1"/>
                <w:szCs w:val="1"/>
                <w:color w:val="auto"/>
              </w:rPr>
            </w:pPr>
          </w:p>
        </w:tc>
      </w:tr>
      <w:tr>
        <w:trPr>
          <w:trHeight w:val="135"/>
        </w:trPr>
        <w:tc>
          <w:tcPr>
            <w:tcW w:w="1340" w:type="dxa"/>
            <w:vAlign w:val="bottom"/>
            <w:tcBorders>
              <w:top w:val="single" w:sz="8" w:color="auto"/>
            </w:tcBorders>
            <w:gridSpan w:val="2"/>
          </w:tcPr>
          <w:p>
            <w:pPr>
              <w:spacing w:after="0" w:line="135" w:lineRule="exact"/>
              <w:rPr>
                <w:sz w:val="20"/>
                <w:szCs w:val="20"/>
                <w:color w:val="auto"/>
              </w:rPr>
            </w:pPr>
            <w:r>
              <w:rPr>
                <w:rFonts w:ascii="Arial" w:cs="Arial" w:eastAsia="Arial" w:hAnsi="Arial"/>
                <w:sz w:val="13"/>
                <w:szCs w:val="13"/>
                <w:color w:val="auto"/>
              </w:rPr>
              <w:t>US$ 000</w:t>
            </w:r>
          </w:p>
        </w:tc>
        <w:tc>
          <w:tcPr>
            <w:tcW w:w="100" w:type="dxa"/>
            <w:vAlign w:val="bottom"/>
          </w:tcPr>
          <w:p>
            <w:pPr>
              <w:spacing w:after="0"/>
              <w:rPr>
                <w:sz w:val="11"/>
                <w:szCs w:val="11"/>
                <w:color w:val="auto"/>
              </w:rPr>
            </w:pPr>
          </w:p>
        </w:tc>
        <w:tc>
          <w:tcPr>
            <w:tcW w:w="880" w:type="dxa"/>
            <w:vAlign w:val="bottom"/>
            <w:tcBorders>
              <w:top w:val="single" w:sz="8" w:color="auto"/>
            </w:tcBorders>
            <w:gridSpan w:val="2"/>
          </w:tcPr>
          <w:p>
            <w:pPr>
              <w:ind w:left="180"/>
              <w:spacing w:after="0" w:line="135" w:lineRule="exact"/>
              <w:rPr>
                <w:sz w:val="20"/>
                <w:szCs w:val="20"/>
                <w:color w:val="auto"/>
              </w:rPr>
            </w:pPr>
            <w:r>
              <w:rPr>
                <w:rFonts w:ascii="Arial" w:cs="Arial" w:eastAsia="Arial" w:hAnsi="Arial"/>
                <w:sz w:val="13"/>
                <w:szCs w:val="13"/>
                <w:b w:val="1"/>
                <w:bCs w:val="1"/>
                <w:color w:val="auto"/>
              </w:rPr>
              <w:t>3Q10</w:t>
            </w:r>
          </w:p>
        </w:tc>
        <w:tc>
          <w:tcPr>
            <w:tcW w:w="680" w:type="dxa"/>
            <w:vAlign w:val="bottom"/>
            <w:tcBorders>
              <w:top w:val="single" w:sz="8" w:color="auto"/>
            </w:tcBorders>
          </w:tcPr>
          <w:p>
            <w:pPr>
              <w:jc w:val="right"/>
              <w:ind w:right="217"/>
              <w:spacing w:after="0" w:line="135" w:lineRule="exact"/>
              <w:rPr>
                <w:sz w:val="20"/>
                <w:szCs w:val="20"/>
                <w:color w:val="auto"/>
              </w:rPr>
            </w:pPr>
            <w:r>
              <w:rPr>
                <w:rFonts w:ascii="Arial" w:cs="Arial" w:eastAsia="Arial" w:hAnsi="Arial"/>
                <w:sz w:val="13"/>
                <w:szCs w:val="13"/>
                <w:b w:val="1"/>
                <w:bCs w:val="1"/>
                <w:color w:val="auto"/>
              </w:rPr>
              <w:t>%</w:t>
            </w:r>
          </w:p>
        </w:tc>
        <w:tc>
          <w:tcPr>
            <w:tcW w:w="2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3"/>
          </w:tcPr>
          <w:p>
            <w:pPr>
              <w:ind w:left="200"/>
              <w:spacing w:after="0" w:line="135" w:lineRule="exact"/>
              <w:rPr>
                <w:sz w:val="20"/>
                <w:szCs w:val="20"/>
                <w:color w:val="auto"/>
              </w:rPr>
            </w:pPr>
            <w:r>
              <w:rPr>
                <w:rFonts w:ascii="Arial" w:cs="Arial" w:eastAsia="Arial" w:hAnsi="Arial"/>
                <w:sz w:val="13"/>
                <w:szCs w:val="13"/>
                <w:b w:val="1"/>
                <w:bCs w:val="1"/>
                <w:color w:val="auto"/>
              </w:rPr>
              <w:t>2Q10</w:t>
            </w:r>
          </w:p>
        </w:tc>
        <w:tc>
          <w:tcPr>
            <w:tcW w:w="480" w:type="dxa"/>
            <w:vAlign w:val="bottom"/>
            <w:tcBorders>
              <w:top w:val="single" w:sz="8" w:color="auto"/>
            </w:tcBorders>
          </w:tcPr>
          <w:p>
            <w:pPr>
              <w:jc w:val="right"/>
              <w:ind w:right="217"/>
              <w:spacing w:after="0" w:line="135" w:lineRule="exact"/>
              <w:rPr>
                <w:sz w:val="20"/>
                <w:szCs w:val="20"/>
                <w:color w:val="auto"/>
              </w:rPr>
            </w:pPr>
            <w:r>
              <w:rPr>
                <w:rFonts w:ascii="Arial" w:cs="Arial" w:eastAsia="Arial" w:hAnsi="Arial"/>
                <w:sz w:val="13"/>
                <w:szCs w:val="13"/>
                <w:b w:val="1"/>
                <w:bCs w:val="1"/>
                <w:color w:val="auto"/>
              </w:rPr>
              <w:t>%</w:t>
            </w:r>
          </w:p>
        </w:tc>
        <w:tc>
          <w:tcPr>
            <w:tcW w:w="2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2"/>
          </w:tcPr>
          <w:p>
            <w:pPr>
              <w:jc w:val="right"/>
              <w:ind w:right="420"/>
              <w:spacing w:after="0" w:line="135" w:lineRule="exact"/>
              <w:rPr>
                <w:sz w:val="20"/>
                <w:szCs w:val="20"/>
                <w:color w:val="auto"/>
              </w:rPr>
            </w:pPr>
            <w:r>
              <w:rPr>
                <w:rFonts w:ascii="Arial" w:cs="Arial" w:eastAsia="Arial" w:hAnsi="Arial"/>
                <w:sz w:val="13"/>
                <w:szCs w:val="13"/>
                <w:b w:val="1"/>
                <w:bCs w:val="1"/>
                <w:color w:val="auto"/>
              </w:rPr>
              <w:t>3Q09</w:t>
            </w:r>
          </w:p>
        </w:tc>
        <w:tc>
          <w:tcPr>
            <w:tcW w:w="680" w:type="dxa"/>
            <w:vAlign w:val="bottom"/>
            <w:tcBorders>
              <w:top w:val="single" w:sz="8" w:color="auto"/>
            </w:tcBorders>
          </w:tcPr>
          <w:p>
            <w:pPr>
              <w:jc w:val="right"/>
              <w:ind w:right="217"/>
              <w:spacing w:after="0" w:line="135"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1"/>
                <w:szCs w:val="11"/>
                <w:color w:val="auto"/>
              </w:rPr>
            </w:pPr>
          </w:p>
        </w:tc>
        <w:tc>
          <w:tcPr>
            <w:tcW w:w="1100" w:type="dxa"/>
            <w:vAlign w:val="bottom"/>
            <w:tcBorders>
              <w:top w:val="single" w:sz="8" w:color="auto"/>
            </w:tcBorders>
            <w:gridSpan w:val="3"/>
          </w:tcPr>
          <w:p>
            <w:pPr>
              <w:ind w:left="200"/>
              <w:spacing w:after="0" w:line="135" w:lineRule="exact"/>
              <w:rPr>
                <w:sz w:val="20"/>
                <w:szCs w:val="20"/>
                <w:color w:val="auto"/>
              </w:rPr>
            </w:pPr>
            <w:r>
              <w:rPr>
                <w:rFonts w:ascii="Arial" w:cs="Arial" w:eastAsia="Arial" w:hAnsi="Arial"/>
                <w:sz w:val="13"/>
                <w:szCs w:val="13"/>
                <w:b w:val="1"/>
                <w:bCs w:val="1"/>
                <w:color w:val="auto"/>
              </w:rPr>
              <w:t>QoQ</w:t>
            </w:r>
          </w:p>
        </w:tc>
        <w:tc>
          <w:tcPr>
            <w:tcW w:w="480" w:type="dxa"/>
            <w:vAlign w:val="bottom"/>
            <w:tcBorders>
              <w:top w:val="single" w:sz="8" w:color="auto"/>
            </w:tcBorders>
          </w:tcPr>
          <w:p>
            <w:pPr>
              <w:ind w:left="40"/>
              <w:spacing w:after="0" w:line="135" w:lineRule="exact"/>
              <w:rPr>
                <w:sz w:val="20"/>
                <w:szCs w:val="20"/>
                <w:color w:val="auto"/>
              </w:rPr>
            </w:pPr>
            <w:r>
              <w:rPr>
                <w:rFonts w:ascii="Arial" w:cs="Arial" w:eastAsia="Arial" w:hAnsi="Arial"/>
                <w:sz w:val="13"/>
                <w:szCs w:val="13"/>
                <w:b w:val="1"/>
                <w:bCs w:val="1"/>
                <w:color w:val="auto"/>
              </w:rPr>
              <w:t>YoY</w:t>
            </w:r>
          </w:p>
        </w:tc>
        <w:tc>
          <w:tcPr>
            <w:tcW w:w="260" w:type="dxa"/>
            <w:vAlign w:val="bottom"/>
          </w:tcPr>
          <w:p>
            <w:pPr>
              <w:spacing w:after="0"/>
              <w:rPr>
                <w:sz w:val="11"/>
                <w:szCs w:val="11"/>
                <w:color w:val="auto"/>
              </w:rPr>
            </w:pPr>
          </w:p>
        </w:tc>
        <w:tc>
          <w:tcPr>
            <w:tcW w:w="880" w:type="dxa"/>
            <w:vAlign w:val="bottom"/>
            <w:tcBorders>
              <w:top w:val="single" w:sz="8" w:color="auto"/>
            </w:tcBorders>
            <w:gridSpan w:val="2"/>
          </w:tcPr>
          <w:p>
            <w:pPr>
              <w:jc w:val="right"/>
              <w:ind w:right="380"/>
              <w:spacing w:after="0" w:line="135" w:lineRule="exact"/>
              <w:rPr>
                <w:sz w:val="20"/>
                <w:szCs w:val="20"/>
                <w:color w:val="auto"/>
              </w:rPr>
            </w:pPr>
            <w:r>
              <w:rPr>
                <w:rFonts w:ascii="Arial" w:cs="Arial" w:eastAsia="Arial" w:hAnsi="Arial"/>
                <w:sz w:val="13"/>
                <w:szCs w:val="13"/>
                <w:b w:val="1"/>
                <w:bCs w:val="1"/>
                <w:color w:val="auto"/>
              </w:rPr>
              <w:t>Sep 10</w:t>
            </w:r>
          </w:p>
        </w:tc>
        <w:tc>
          <w:tcPr>
            <w:tcW w:w="680" w:type="dxa"/>
            <w:vAlign w:val="bottom"/>
            <w:tcBorders>
              <w:top w:val="single" w:sz="8" w:color="auto"/>
            </w:tcBorders>
          </w:tcPr>
          <w:p>
            <w:pPr>
              <w:jc w:val="right"/>
              <w:ind w:right="97"/>
              <w:spacing w:after="0" w:line="135" w:lineRule="exact"/>
              <w:rPr>
                <w:sz w:val="20"/>
                <w:szCs w:val="20"/>
                <w:color w:val="auto"/>
              </w:rPr>
            </w:pPr>
            <w:r>
              <w:rPr>
                <w:rFonts w:ascii="Arial" w:cs="Arial" w:eastAsia="Arial" w:hAnsi="Arial"/>
                <w:sz w:val="13"/>
                <w:szCs w:val="13"/>
                <w:b w:val="1"/>
                <w:bCs w:val="1"/>
                <w:color w:val="auto"/>
              </w:rPr>
              <w:t>Sep 09</w:t>
            </w:r>
          </w:p>
        </w:tc>
        <w:tc>
          <w:tcPr>
            <w:tcW w:w="220" w:type="dxa"/>
            <w:vAlign w:val="bottom"/>
          </w:tcPr>
          <w:p>
            <w:pPr>
              <w:spacing w:after="0"/>
              <w:rPr>
                <w:sz w:val="11"/>
                <w:szCs w:val="11"/>
                <w:color w:val="auto"/>
              </w:rPr>
            </w:pPr>
          </w:p>
        </w:tc>
        <w:tc>
          <w:tcPr>
            <w:tcW w:w="80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4"/>
              </w:rPr>
              <w:t>Sep 10 / Sep 09</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132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Marketing</w:t>
            </w:r>
          </w:p>
        </w:tc>
        <w:tc>
          <w:tcPr>
            <w:tcW w:w="100" w:type="dxa"/>
            <w:vAlign w:val="bottom"/>
            <w:shd w:val="clear" w:color="auto" w:fill="CCFFCC"/>
          </w:tcPr>
          <w:p>
            <w:pPr>
              <w:spacing w:after="0"/>
              <w:rPr>
                <w:sz w:val="11"/>
                <w:szCs w:val="11"/>
                <w:color w:val="auto"/>
              </w:rPr>
            </w:pPr>
          </w:p>
        </w:tc>
        <w:tc>
          <w:tcPr>
            <w:tcW w:w="66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8,815</w:t>
            </w:r>
          </w:p>
        </w:tc>
        <w:tc>
          <w:tcPr>
            <w:tcW w:w="220" w:type="dxa"/>
            <w:vAlign w:val="bottom"/>
            <w:shd w:val="clear" w:color="auto" w:fill="CCFFCC"/>
          </w:tcPr>
          <w:p>
            <w:pPr>
              <w:spacing w:after="0"/>
              <w:rPr>
                <w:sz w:val="11"/>
                <w:szCs w:val="11"/>
                <w:color w:val="auto"/>
              </w:rPr>
            </w:pPr>
          </w:p>
        </w:tc>
        <w:tc>
          <w:tcPr>
            <w:tcW w:w="9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13.0%</w:t>
            </w:r>
          </w:p>
        </w:tc>
        <w:tc>
          <w:tcPr>
            <w:tcW w:w="88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8,133</w:t>
            </w:r>
          </w:p>
        </w:tc>
        <w:tc>
          <w:tcPr>
            <w:tcW w:w="20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12.0%</w:t>
            </w: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7,197</w:t>
            </w:r>
          </w:p>
        </w:tc>
        <w:tc>
          <w:tcPr>
            <w:tcW w:w="9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11.5%</w:t>
            </w:r>
          </w:p>
        </w:tc>
        <w:tc>
          <w:tcPr>
            <w:tcW w:w="9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8.4%</w:t>
            </w:r>
          </w:p>
        </w:tc>
        <w:tc>
          <w:tcPr>
            <w:tcW w:w="18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22.5%</w:t>
            </w:r>
          </w:p>
        </w:tc>
        <w:tc>
          <w:tcPr>
            <w:tcW w:w="8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22,256</w:t>
            </w: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19,321</w:t>
            </w:r>
          </w:p>
        </w:tc>
        <w:tc>
          <w:tcPr>
            <w:tcW w:w="94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15.2%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20" w:type="dxa"/>
            <w:vAlign w:val="bottom"/>
          </w:tcPr>
          <w:p>
            <w:pPr>
              <w:spacing w:after="0" w:line="135" w:lineRule="exact"/>
              <w:rPr>
                <w:sz w:val="20"/>
                <w:szCs w:val="20"/>
                <w:color w:val="auto"/>
              </w:rPr>
            </w:pPr>
            <w:r>
              <w:rPr>
                <w:rFonts w:ascii="Arial" w:cs="Arial" w:eastAsia="Arial" w:hAnsi="Arial"/>
                <w:sz w:val="13"/>
                <w:szCs w:val="13"/>
                <w:color w:val="auto"/>
              </w:rPr>
              <w:t>Systems</w:t>
            </w:r>
          </w:p>
        </w:tc>
        <w:tc>
          <w:tcPr>
            <w:tcW w:w="7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9,270</w:t>
            </w:r>
          </w:p>
        </w:tc>
        <w:tc>
          <w:tcPr>
            <w:tcW w:w="22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13.7%</w:t>
            </w: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7,994</w:t>
            </w:r>
          </w:p>
        </w:tc>
        <w:tc>
          <w:tcPr>
            <w:tcW w:w="200" w:type="dxa"/>
            <w:vAlign w:val="bottom"/>
          </w:tcPr>
          <w:p>
            <w:pPr>
              <w:spacing w:after="0"/>
              <w:rPr>
                <w:sz w:val="11"/>
                <w:szCs w:val="11"/>
                <w:color w:val="auto"/>
              </w:rPr>
            </w:pPr>
          </w:p>
        </w:tc>
        <w:tc>
          <w:tcPr>
            <w:tcW w:w="7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11.8%</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7,463</w:t>
            </w: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11.9%</w:t>
            </w: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16.0%</w:t>
            </w:r>
          </w:p>
        </w:tc>
        <w:tc>
          <w:tcPr>
            <w:tcW w:w="180" w:type="dxa"/>
            <w:vAlign w:val="bottom"/>
          </w:tcPr>
          <w:p>
            <w:pPr>
              <w:spacing w:after="0"/>
              <w:rPr>
                <w:sz w:val="11"/>
                <w:szCs w:val="11"/>
                <w:color w:val="auto"/>
              </w:rPr>
            </w:pPr>
          </w:p>
        </w:tc>
        <w:tc>
          <w:tcPr>
            <w:tcW w:w="7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24.2%</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26,615</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26,212</w:t>
            </w:r>
          </w:p>
        </w:tc>
        <w:tc>
          <w:tcPr>
            <w:tcW w:w="9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2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Transport</w:t>
            </w:r>
          </w:p>
        </w:tc>
        <w:tc>
          <w:tcPr>
            <w:tcW w:w="76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6,057</w:t>
            </w:r>
          </w:p>
        </w:tc>
        <w:tc>
          <w:tcPr>
            <w:tcW w:w="220" w:type="dxa"/>
            <w:vAlign w:val="bottom"/>
            <w:shd w:val="clear" w:color="auto" w:fill="CCFFCC"/>
          </w:tcPr>
          <w:p>
            <w:pPr>
              <w:spacing w:after="0"/>
              <w:rPr>
                <w:sz w:val="11"/>
                <w:szCs w:val="11"/>
                <w:color w:val="auto"/>
              </w:rPr>
            </w:pPr>
          </w:p>
        </w:tc>
        <w:tc>
          <w:tcPr>
            <w:tcW w:w="9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9.0%</w:t>
            </w:r>
          </w:p>
        </w:tc>
        <w:tc>
          <w:tcPr>
            <w:tcW w:w="88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5,530</w:t>
            </w:r>
          </w:p>
        </w:tc>
        <w:tc>
          <w:tcPr>
            <w:tcW w:w="20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8.1%</w:t>
            </w: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5,448</w:t>
            </w:r>
          </w:p>
        </w:tc>
        <w:tc>
          <w:tcPr>
            <w:tcW w:w="9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8.7%</w:t>
            </w:r>
          </w:p>
        </w:tc>
        <w:tc>
          <w:tcPr>
            <w:tcW w:w="9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9.5%</w:t>
            </w:r>
          </w:p>
        </w:tc>
        <w:tc>
          <w:tcPr>
            <w:tcW w:w="18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11.2%</w:t>
            </w:r>
          </w:p>
        </w:tc>
        <w:tc>
          <w:tcPr>
            <w:tcW w:w="8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17,532</w:t>
            </w: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15,653</w:t>
            </w:r>
          </w:p>
        </w:tc>
        <w:tc>
          <w:tcPr>
            <w:tcW w:w="94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12.0%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20" w:type="dxa"/>
            <w:vAlign w:val="bottom"/>
          </w:tcPr>
          <w:p>
            <w:pPr>
              <w:spacing w:after="0" w:line="135" w:lineRule="exact"/>
              <w:rPr>
                <w:sz w:val="20"/>
                <w:szCs w:val="20"/>
                <w:color w:val="auto"/>
              </w:rPr>
            </w:pPr>
            <w:r>
              <w:rPr>
                <w:rFonts w:ascii="Arial" w:cs="Arial" w:eastAsia="Arial" w:hAnsi="Arial"/>
                <w:sz w:val="13"/>
                <w:szCs w:val="13"/>
                <w:color w:val="auto"/>
              </w:rPr>
              <w:t>Maintenance</w:t>
            </w:r>
          </w:p>
        </w:tc>
        <w:tc>
          <w:tcPr>
            <w:tcW w:w="7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2,971</w:t>
            </w:r>
          </w:p>
        </w:tc>
        <w:tc>
          <w:tcPr>
            <w:tcW w:w="22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4.4%</w:t>
            </w: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2,530</w:t>
            </w:r>
          </w:p>
        </w:tc>
        <w:tc>
          <w:tcPr>
            <w:tcW w:w="200" w:type="dxa"/>
            <w:vAlign w:val="bottom"/>
          </w:tcPr>
          <w:p>
            <w:pPr>
              <w:spacing w:after="0"/>
              <w:rPr>
                <w:sz w:val="11"/>
                <w:szCs w:val="11"/>
                <w:color w:val="auto"/>
              </w:rPr>
            </w:pPr>
          </w:p>
        </w:tc>
        <w:tc>
          <w:tcPr>
            <w:tcW w:w="7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3.7%</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3,052</w:t>
            </w: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4.9%</w:t>
            </w: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17.4%</w:t>
            </w:r>
          </w:p>
        </w:tc>
        <w:tc>
          <w:tcPr>
            <w:tcW w:w="180" w:type="dxa"/>
            <w:vAlign w:val="bottom"/>
          </w:tcPr>
          <w:p>
            <w:pPr>
              <w:spacing w:after="0"/>
              <w:rPr>
                <w:sz w:val="11"/>
                <w:szCs w:val="11"/>
                <w:color w:val="auto"/>
              </w:rPr>
            </w:pPr>
          </w:p>
        </w:tc>
        <w:tc>
          <w:tcPr>
            <w:tcW w:w="7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-2.7%</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8,175</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8,495</w:t>
            </w:r>
          </w:p>
        </w:tc>
        <w:tc>
          <w:tcPr>
            <w:tcW w:w="9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-3.8%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2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Communications</w:t>
            </w:r>
          </w:p>
        </w:tc>
        <w:tc>
          <w:tcPr>
            <w:tcW w:w="76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3,857</w:t>
            </w:r>
          </w:p>
        </w:tc>
        <w:tc>
          <w:tcPr>
            <w:tcW w:w="220" w:type="dxa"/>
            <w:vAlign w:val="bottom"/>
            <w:shd w:val="clear" w:color="auto" w:fill="CCFFCC"/>
          </w:tcPr>
          <w:p>
            <w:pPr>
              <w:spacing w:after="0"/>
              <w:rPr>
                <w:sz w:val="11"/>
                <w:szCs w:val="11"/>
                <w:color w:val="auto"/>
              </w:rPr>
            </w:pPr>
          </w:p>
        </w:tc>
        <w:tc>
          <w:tcPr>
            <w:tcW w:w="9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5.7%</w:t>
            </w:r>
          </w:p>
        </w:tc>
        <w:tc>
          <w:tcPr>
            <w:tcW w:w="88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4,734</w:t>
            </w:r>
          </w:p>
        </w:tc>
        <w:tc>
          <w:tcPr>
            <w:tcW w:w="20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7.0%</w:t>
            </w: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3,312</w:t>
            </w:r>
          </w:p>
        </w:tc>
        <w:tc>
          <w:tcPr>
            <w:tcW w:w="9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5.3%</w:t>
            </w:r>
          </w:p>
        </w:tc>
        <w:tc>
          <w:tcPr>
            <w:tcW w:w="9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-18.5%</w:t>
            </w:r>
          </w:p>
        </w:tc>
        <w:tc>
          <w:tcPr>
            <w:tcW w:w="18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16.5%</w:t>
            </w:r>
          </w:p>
        </w:tc>
        <w:tc>
          <w:tcPr>
            <w:tcW w:w="8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12,203</w:t>
            </w: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9,447</w:t>
            </w:r>
          </w:p>
        </w:tc>
        <w:tc>
          <w:tcPr>
            <w:tcW w:w="94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29.2%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20" w:type="dxa"/>
            <w:vAlign w:val="bottom"/>
          </w:tcPr>
          <w:p>
            <w:pPr>
              <w:spacing w:after="0" w:line="135" w:lineRule="exact"/>
              <w:rPr>
                <w:sz w:val="20"/>
                <w:szCs w:val="20"/>
                <w:color w:val="auto"/>
              </w:rPr>
            </w:pPr>
            <w:r>
              <w:rPr>
                <w:rFonts w:ascii="Arial" w:cs="Arial" w:eastAsia="Arial" w:hAnsi="Arial"/>
                <w:sz w:val="13"/>
                <w:szCs w:val="13"/>
                <w:color w:val="auto"/>
              </w:rPr>
              <w:t>Consulting</w:t>
            </w:r>
          </w:p>
        </w:tc>
        <w:tc>
          <w:tcPr>
            <w:tcW w:w="7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3,076</w:t>
            </w:r>
          </w:p>
        </w:tc>
        <w:tc>
          <w:tcPr>
            <w:tcW w:w="22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4.6%</w:t>
            </w: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4,460</w:t>
            </w:r>
          </w:p>
        </w:tc>
        <w:tc>
          <w:tcPr>
            <w:tcW w:w="200" w:type="dxa"/>
            <w:vAlign w:val="bottom"/>
          </w:tcPr>
          <w:p>
            <w:pPr>
              <w:spacing w:after="0"/>
              <w:rPr>
                <w:sz w:val="11"/>
                <w:szCs w:val="11"/>
                <w:color w:val="auto"/>
              </w:rPr>
            </w:pPr>
          </w:p>
        </w:tc>
        <w:tc>
          <w:tcPr>
            <w:tcW w:w="7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6.6%</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6,500</w:t>
            </w: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10.4%</w:t>
            </w: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-31.0%</w:t>
            </w:r>
          </w:p>
        </w:tc>
        <w:tc>
          <w:tcPr>
            <w:tcW w:w="180" w:type="dxa"/>
            <w:vAlign w:val="bottom"/>
          </w:tcPr>
          <w:p>
            <w:pPr>
              <w:spacing w:after="0"/>
              <w:rPr>
                <w:sz w:val="11"/>
                <w:szCs w:val="11"/>
                <w:color w:val="auto"/>
              </w:rPr>
            </w:pPr>
          </w:p>
        </w:tc>
        <w:tc>
          <w:tcPr>
            <w:tcW w:w="7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-52.7%</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9,801</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13,686</w:t>
            </w:r>
          </w:p>
        </w:tc>
        <w:tc>
          <w:tcPr>
            <w:tcW w:w="9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-28.4%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2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Others</w:t>
            </w:r>
          </w:p>
        </w:tc>
        <w:tc>
          <w:tcPr>
            <w:tcW w:w="76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17,621</w:t>
            </w:r>
          </w:p>
        </w:tc>
        <w:tc>
          <w:tcPr>
            <w:tcW w:w="220" w:type="dxa"/>
            <w:vAlign w:val="bottom"/>
            <w:shd w:val="clear" w:color="auto" w:fill="CCFFCC"/>
          </w:tcPr>
          <w:p>
            <w:pPr>
              <w:spacing w:after="0"/>
              <w:rPr>
                <w:sz w:val="11"/>
                <w:szCs w:val="11"/>
                <w:color w:val="auto"/>
              </w:rPr>
            </w:pPr>
          </w:p>
        </w:tc>
        <w:tc>
          <w:tcPr>
            <w:tcW w:w="9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26.1%</w:t>
            </w:r>
          </w:p>
        </w:tc>
        <w:tc>
          <w:tcPr>
            <w:tcW w:w="88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19,246</w:t>
            </w:r>
          </w:p>
        </w:tc>
        <w:tc>
          <w:tcPr>
            <w:tcW w:w="20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28.4%</w:t>
            </w: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18,209</w:t>
            </w:r>
          </w:p>
        </w:tc>
        <w:tc>
          <w:tcPr>
            <w:tcW w:w="9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29.1%</w:t>
            </w:r>
          </w:p>
        </w:tc>
        <w:tc>
          <w:tcPr>
            <w:tcW w:w="9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-8.4%</w:t>
            </w:r>
          </w:p>
        </w:tc>
        <w:tc>
          <w:tcPr>
            <w:tcW w:w="18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-3.2%</w:t>
            </w:r>
          </w:p>
        </w:tc>
        <w:tc>
          <w:tcPr>
            <w:tcW w:w="8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56,836</w:t>
            </w: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56,414</w:t>
            </w:r>
          </w:p>
        </w:tc>
        <w:tc>
          <w:tcPr>
            <w:tcW w:w="94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0.7%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20" w:type="dxa"/>
            <w:vAlign w:val="bottom"/>
          </w:tcPr>
          <w:p>
            <w:pPr>
              <w:spacing w:after="0" w:line="135" w:lineRule="exact"/>
              <w:rPr>
                <w:sz w:val="20"/>
                <w:szCs w:val="20"/>
                <w:color w:val="auto"/>
              </w:rPr>
            </w:pPr>
            <w:r>
              <w:rPr>
                <w:rFonts w:ascii="Arial" w:cs="Arial" w:eastAsia="Arial" w:hAnsi="Arial"/>
                <w:sz w:val="13"/>
                <w:szCs w:val="13"/>
                <w:color w:val="auto"/>
                <w:w w:val="94"/>
              </w:rPr>
              <w:t>Taxes and contributions</w:t>
            </w:r>
          </w:p>
        </w:tc>
        <w:tc>
          <w:tcPr>
            <w:tcW w:w="7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6,635</w:t>
            </w:r>
          </w:p>
        </w:tc>
        <w:tc>
          <w:tcPr>
            <w:tcW w:w="22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9.8%</w:t>
            </w: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7,009</w:t>
            </w:r>
          </w:p>
        </w:tc>
        <w:tc>
          <w:tcPr>
            <w:tcW w:w="200" w:type="dxa"/>
            <w:vAlign w:val="bottom"/>
          </w:tcPr>
          <w:p>
            <w:pPr>
              <w:spacing w:after="0"/>
              <w:rPr>
                <w:sz w:val="11"/>
                <w:szCs w:val="11"/>
                <w:color w:val="auto"/>
              </w:rPr>
            </w:pPr>
          </w:p>
        </w:tc>
        <w:tc>
          <w:tcPr>
            <w:tcW w:w="7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10.3%</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5,937</w:t>
            </w: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9.5%</w:t>
            </w: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-5.3%</w:t>
            </w:r>
          </w:p>
        </w:tc>
        <w:tc>
          <w:tcPr>
            <w:tcW w:w="180" w:type="dxa"/>
            <w:vAlign w:val="bottom"/>
          </w:tcPr>
          <w:p>
            <w:pPr>
              <w:spacing w:after="0"/>
              <w:rPr>
                <w:sz w:val="11"/>
                <w:szCs w:val="11"/>
                <w:color w:val="auto"/>
              </w:rPr>
            </w:pPr>
          </w:p>
        </w:tc>
        <w:tc>
          <w:tcPr>
            <w:tcW w:w="7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11.8%</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20,337</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18,064</w:t>
            </w:r>
          </w:p>
        </w:tc>
        <w:tc>
          <w:tcPr>
            <w:tcW w:w="9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12.6%</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320" w:type="dxa"/>
            <w:vAlign w:val="bottom"/>
            <w:shd w:val="clear" w:color="auto" w:fill="CCFFCC"/>
          </w:tcPr>
          <w:p>
            <w:pPr>
              <w:spacing w:after="0" w:line="121" w:lineRule="exact"/>
              <w:rPr>
                <w:sz w:val="20"/>
                <w:szCs w:val="20"/>
                <w:color w:val="auto"/>
              </w:rPr>
            </w:pPr>
            <w:r>
              <w:rPr>
                <w:rFonts w:ascii="Arial" w:cs="Arial" w:eastAsia="Arial" w:hAnsi="Arial"/>
                <w:sz w:val="13"/>
                <w:szCs w:val="13"/>
                <w:color w:val="auto"/>
                <w:w w:val="99"/>
              </w:rPr>
              <w:t>Other subsidiaries and</w:t>
            </w:r>
          </w:p>
        </w:tc>
        <w:tc>
          <w:tcPr>
            <w:tcW w:w="10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24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480" w:type="dxa"/>
            <w:vAlign w:val="bottom"/>
            <w:shd w:val="clear" w:color="auto" w:fill="CCFFCC"/>
          </w:tcPr>
          <w:p>
            <w:pPr>
              <w:spacing w:after="0"/>
              <w:rPr>
                <w:sz w:val="10"/>
                <w:szCs w:val="10"/>
                <w:color w:val="auto"/>
              </w:rPr>
            </w:pPr>
          </w:p>
        </w:tc>
        <w:tc>
          <w:tcPr>
            <w:tcW w:w="24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24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24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480" w:type="dxa"/>
            <w:vAlign w:val="bottom"/>
            <w:shd w:val="clear" w:color="auto" w:fill="CCFFCC"/>
          </w:tcPr>
          <w:p>
            <w:pPr>
              <w:spacing w:after="0"/>
              <w:rPr>
                <w:sz w:val="10"/>
                <w:szCs w:val="10"/>
                <w:color w:val="auto"/>
              </w:rPr>
            </w:pPr>
          </w:p>
        </w:tc>
        <w:tc>
          <w:tcPr>
            <w:tcW w:w="26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320" w:type="dxa"/>
            <w:vAlign w:val="bottom"/>
            <w:shd w:val="clear" w:color="auto" w:fill="CCFFCC"/>
          </w:tcPr>
          <w:p>
            <w:pPr>
              <w:spacing w:after="0"/>
              <w:rPr>
                <w:sz w:val="20"/>
                <w:szCs w:val="20"/>
                <w:color w:val="auto"/>
              </w:rPr>
            </w:pPr>
            <w:r>
              <w:rPr>
                <w:rFonts w:ascii="Arial" w:cs="Arial" w:eastAsia="Arial" w:hAnsi="Arial"/>
                <w:sz w:val="13"/>
                <w:szCs w:val="13"/>
                <w:color w:val="auto"/>
              </w:rPr>
              <w:t>eliminations, net</w:t>
            </w:r>
          </w:p>
        </w:tc>
        <w:tc>
          <w:tcPr>
            <w:tcW w:w="760" w:type="dxa"/>
            <w:vAlign w:val="bottom"/>
            <w:gridSpan w:val="2"/>
            <w:shd w:val="clear" w:color="auto" w:fill="CCFFCC"/>
          </w:tcPr>
          <w:p>
            <w:pPr>
              <w:jc w:val="right"/>
              <w:spacing w:after="0"/>
              <w:rPr>
                <w:sz w:val="20"/>
                <w:szCs w:val="20"/>
                <w:color w:val="auto"/>
              </w:rPr>
            </w:pPr>
            <w:r>
              <w:rPr>
                <w:rFonts w:ascii="Arial" w:cs="Arial" w:eastAsia="Arial" w:hAnsi="Arial"/>
                <w:sz w:val="13"/>
                <w:szCs w:val="13"/>
                <w:color w:val="auto"/>
              </w:rPr>
              <w:t>9,247</w:t>
            </w:r>
          </w:p>
        </w:tc>
        <w:tc>
          <w:tcPr>
            <w:tcW w:w="220" w:type="dxa"/>
            <w:vAlign w:val="bottom"/>
            <w:shd w:val="clear" w:color="auto" w:fill="CCFFCC"/>
          </w:tcPr>
          <w:p>
            <w:pPr>
              <w:spacing w:after="0"/>
              <w:rPr>
                <w:sz w:val="13"/>
                <w:szCs w:val="13"/>
                <w:color w:val="auto"/>
              </w:rPr>
            </w:pPr>
          </w:p>
        </w:tc>
        <w:tc>
          <w:tcPr>
            <w:tcW w:w="920" w:type="dxa"/>
            <w:vAlign w:val="bottom"/>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13.7%</w:t>
            </w:r>
          </w:p>
        </w:tc>
        <w:tc>
          <w:tcPr>
            <w:tcW w:w="880" w:type="dxa"/>
            <w:vAlign w:val="bottom"/>
            <w:gridSpan w:val="2"/>
            <w:shd w:val="clear" w:color="auto" w:fill="CCFFCC"/>
          </w:tcPr>
          <w:p>
            <w:pPr>
              <w:jc w:val="right"/>
              <w:ind w:right="200"/>
              <w:spacing w:after="0"/>
              <w:rPr>
                <w:sz w:val="20"/>
                <w:szCs w:val="20"/>
                <w:color w:val="auto"/>
              </w:rPr>
            </w:pPr>
            <w:r>
              <w:rPr>
                <w:rFonts w:ascii="Arial" w:cs="Arial" w:eastAsia="Arial" w:hAnsi="Arial"/>
                <w:sz w:val="13"/>
                <w:szCs w:val="13"/>
                <w:color w:val="auto"/>
              </w:rPr>
              <w:t>8,231</w:t>
            </w:r>
          </w:p>
        </w:tc>
        <w:tc>
          <w:tcPr>
            <w:tcW w:w="200" w:type="dxa"/>
            <w:vAlign w:val="bottom"/>
            <w:shd w:val="clear" w:color="auto" w:fill="CCFFCC"/>
          </w:tcPr>
          <w:p>
            <w:pPr>
              <w:spacing w:after="0"/>
              <w:rPr>
                <w:sz w:val="13"/>
                <w:szCs w:val="13"/>
                <w:color w:val="auto"/>
              </w:rPr>
            </w:pPr>
          </w:p>
        </w:tc>
        <w:tc>
          <w:tcPr>
            <w:tcW w:w="720" w:type="dxa"/>
            <w:vAlign w:val="bottom"/>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12.1%</w:t>
            </w: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5,451</w:t>
            </w:r>
          </w:p>
        </w:tc>
        <w:tc>
          <w:tcPr>
            <w:tcW w:w="920" w:type="dxa"/>
            <w:vAlign w:val="bottom"/>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8.7%</w:t>
            </w:r>
          </w:p>
        </w:tc>
        <w:tc>
          <w:tcPr>
            <w:tcW w:w="920" w:type="dxa"/>
            <w:vAlign w:val="bottom"/>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12.3%</w:t>
            </w:r>
          </w:p>
        </w:tc>
        <w:tc>
          <w:tcPr>
            <w:tcW w:w="180" w:type="dxa"/>
            <w:vAlign w:val="bottom"/>
            <w:shd w:val="clear" w:color="auto" w:fill="CCFFCC"/>
          </w:tcPr>
          <w:p>
            <w:pPr>
              <w:spacing w:after="0"/>
              <w:rPr>
                <w:sz w:val="13"/>
                <w:szCs w:val="13"/>
                <w:color w:val="auto"/>
              </w:rPr>
            </w:pPr>
          </w:p>
        </w:tc>
        <w:tc>
          <w:tcPr>
            <w:tcW w:w="740" w:type="dxa"/>
            <w:vAlign w:val="bottom"/>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69.6%</w:t>
            </w: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27,445</w:t>
            </w: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19,447</w:t>
            </w:r>
          </w:p>
        </w:tc>
        <w:tc>
          <w:tcPr>
            <w:tcW w:w="940" w:type="dxa"/>
            <w:vAlign w:val="bottom"/>
            <w:gridSpan w:val="2"/>
            <w:shd w:val="clear" w:color="auto" w:fill="CCFFCC"/>
          </w:tcPr>
          <w:p>
            <w:pPr>
              <w:jc w:val="right"/>
              <w:ind w:right="40"/>
              <w:spacing w:after="0"/>
              <w:rPr>
                <w:sz w:val="20"/>
                <w:szCs w:val="20"/>
                <w:color w:val="auto"/>
              </w:rPr>
            </w:pPr>
            <w:r>
              <w:rPr>
                <w:rFonts w:ascii="Arial" w:cs="Arial" w:eastAsia="Arial" w:hAnsi="Arial"/>
                <w:sz w:val="13"/>
                <w:szCs w:val="13"/>
                <w:color w:val="auto"/>
              </w:rPr>
              <w:t>41.1%</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320" w:type="dxa"/>
            <w:vAlign w:val="bottom"/>
            <w:tcBorders>
              <w:top w:val="single" w:sz="8" w:color="CCFFCC"/>
            </w:tcBorders>
          </w:tcPr>
          <w:p>
            <w:pPr>
              <w:spacing w:after="0" w:line="117" w:lineRule="exact"/>
              <w:rPr>
                <w:sz w:val="20"/>
                <w:szCs w:val="20"/>
                <w:color w:val="auto"/>
              </w:rPr>
            </w:pPr>
            <w:r>
              <w:rPr>
                <w:rFonts w:ascii="Arial" w:cs="Arial" w:eastAsia="Arial" w:hAnsi="Arial"/>
                <w:sz w:val="13"/>
                <w:szCs w:val="13"/>
                <w:b w:val="1"/>
                <w:bCs w:val="1"/>
                <w:color w:val="auto"/>
              </w:rPr>
              <w:t>Total Administrative</w:t>
            </w:r>
          </w:p>
        </w:tc>
        <w:tc>
          <w:tcPr>
            <w:tcW w:w="100" w:type="dxa"/>
            <w:vAlign w:val="bottom"/>
            <w:tcBorders>
              <w:top w:val="single" w:sz="8" w:color="CCFFCC"/>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20" w:type="dxa"/>
            <w:vAlign w:val="bottom"/>
            <w:tcBorders>
              <w:top w:val="single" w:sz="8" w:color="CCFFCC"/>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40" w:type="dxa"/>
            <w:vAlign w:val="bottom"/>
            <w:tcBorders>
              <w:top w:val="single" w:sz="8" w:color="CCFFCC"/>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00" w:type="dxa"/>
            <w:vAlign w:val="bottom"/>
            <w:tcBorders>
              <w:top w:val="single" w:sz="8" w:color="CCFFCC"/>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40" w:type="dxa"/>
            <w:vAlign w:val="bottom"/>
            <w:tcBorders>
              <w:top w:val="single" w:sz="8" w:color="CCFFCC"/>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20" w:type="dxa"/>
            <w:vAlign w:val="bottom"/>
            <w:tcBorders>
              <w:top w:val="single" w:sz="8" w:color="CCFFCC"/>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40" w:type="dxa"/>
            <w:vAlign w:val="bottom"/>
            <w:tcBorders>
              <w:top w:val="single" w:sz="8" w:color="CCFFCC"/>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40" w:type="dxa"/>
            <w:vAlign w:val="bottom"/>
            <w:tcBorders>
              <w:top w:val="single" w:sz="8" w:color="CCFFC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60" w:type="dxa"/>
            <w:vAlign w:val="bottom"/>
            <w:tcBorders>
              <w:top w:val="single" w:sz="8" w:color="CCFFCC"/>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20" w:type="dxa"/>
            <w:vAlign w:val="bottom"/>
            <w:tcBorders>
              <w:top w:val="single" w:sz="8" w:color="CCFFCC"/>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20" w:type="dxa"/>
            <w:vAlign w:val="bottom"/>
            <w:tcBorders>
              <w:top w:val="single" w:sz="8" w:color="CCFFCC"/>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40" w:type="dxa"/>
            <w:vAlign w:val="bottom"/>
            <w:tcBorders>
              <w:top w:val="single" w:sz="8" w:color="CCFFCC"/>
            </w:tcBorders>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340" w:type="dxa"/>
            <w:vAlign w:val="bottom"/>
            <w:gridSpan w:val="2"/>
          </w:tcPr>
          <w:p>
            <w:pPr>
              <w:spacing w:after="0"/>
              <w:rPr>
                <w:sz w:val="20"/>
                <w:szCs w:val="20"/>
                <w:color w:val="auto"/>
              </w:rPr>
            </w:pPr>
            <w:r>
              <w:rPr>
                <w:rFonts w:ascii="Arial" w:cs="Arial" w:eastAsia="Arial" w:hAnsi="Arial"/>
                <w:sz w:val="13"/>
                <w:szCs w:val="13"/>
                <w:b w:val="1"/>
                <w:bCs w:val="1"/>
                <w:color w:val="auto"/>
              </w:rPr>
              <w:t>Expenses</w:t>
            </w:r>
          </w:p>
        </w:tc>
        <w:tc>
          <w:tcPr>
            <w:tcW w:w="1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67,549</w:t>
            </w:r>
          </w:p>
        </w:tc>
        <w:tc>
          <w:tcPr>
            <w:tcW w:w="22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100.0%</w:t>
            </w:r>
          </w:p>
        </w:tc>
        <w:tc>
          <w:tcPr>
            <w:tcW w:w="88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67,867</w:t>
            </w:r>
          </w:p>
        </w:tc>
        <w:tc>
          <w:tcPr>
            <w:tcW w:w="20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100.0%</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62,569</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100.0%</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-0.5%</w:t>
            </w:r>
          </w:p>
        </w:tc>
        <w:tc>
          <w:tcPr>
            <w:tcW w:w="18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8.0%</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201,200</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186,740</w:t>
            </w:r>
          </w:p>
        </w:tc>
        <w:tc>
          <w:tcPr>
            <w:tcW w:w="940" w:type="dxa"/>
            <w:vAlign w:val="bottom"/>
            <w:gridSpan w:val="2"/>
          </w:tcPr>
          <w:p>
            <w:pPr>
              <w:jc w:val="right"/>
              <w:spacing w:after="0"/>
              <w:rPr>
                <w:sz w:val="20"/>
                <w:szCs w:val="20"/>
                <w:color w:val="auto"/>
              </w:rPr>
            </w:pPr>
            <w:r>
              <w:rPr>
                <w:rFonts w:ascii="Arial" w:cs="Arial" w:eastAsia="Arial" w:hAnsi="Arial"/>
                <w:sz w:val="13"/>
                <w:szCs w:val="13"/>
                <w:b w:val="1"/>
                <w:bCs w:val="1"/>
                <w:color w:val="auto"/>
              </w:rPr>
              <w:t>7.7%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175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140460" cy="3175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II.7 Shareholders’ Equity and Regulatory Capital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BIS ratio rose to 13.89% at the end of 3Q10 due to a decline in total RWA (-1.1% QoQ) and an increase in regulatory capital (+0.8% QoQ).</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Additionally, ROAE remained at an excellent level of 31.3%, which reflects the high profitability of the banking business.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Shareholders' equity</w:t>
            </w:r>
          </w:p>
        </w:tc>
        <w:tc>
          <w:tcPr>
            <w:tcW w:w="10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8"/>
                <w:szCs w:val="18"/>
                <w:b w:val="1"/>
                <w:bCs w:val="1"/>
                <w:color w:val="auto"/>
              </w:rPr>
              <w:t>Quarter</w:t>
            </w:r>
          </w:p>
        </w:tc>
        <w:tc>
          <w:tcPr>
            <w:tcW w:w="108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tcBorders>
              <w:bottom w:val="single" w:sz="8" w:color="auto"/>
            </w:tcBorders>
            <w:gridSpan w:val="3"/>
          </w:tcPr>
          <w:p>
            <w:pPr>
              <w:ind w:left="780"/>
              <w:spacing w:after="0"/>
              <w:rPr>
                <w:sz w:val="20"/>
                <w:szCs w:val="20"/>
                <w:color w:val="auto"/>
              </w:rPr>
            </w:pPr>
            <w:r>
              <w:rPr>
                <w:rFonts w:ascii="Arial" w:cs="Arial" w:eastAsia="Arial" w:hAnsi="Arial"/>
                <w:sz w:val="18"/>
                <w:szCs w:val="18"/>
                <w:b w:val="1"/>
                <w:bCs w:val="1"/>
                <w:color w:val="auto"/>
                <w:w w:val="96"/>
              </w:rPr>
              <w:t>Change %</w:t>
            </w:r>
          </w:p>
        </w:tc>
        <w:tc>
          <w:tcPr>
            <w:tcW w:w="7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US$ 000</w:t>
            </w:r>
          </w:p>
        </w:tc>
        <w:tc>
          <w:tcPr>
            <w:tcW w:w="100" w:type="dxa"/>
            <w:vAlign w:val="bottom"/>
          </w:tcPr>
          <w:p>
            <w:pPr>
              <w:spacing w:after="0"/>
              <w:rPr>
                <w:sz w:val="18"/>
                <w:szCs w:val="18"/>
                <w:color w:val="auto"/>
              </w:rPr>
            </w:pPr>
          </w:p>
        </w:tc>
        <w:tc>
          <w:tcPr>
            <w:tcW w:w="1360" w:type="dxa"/>
            <w:vAlign w:val="bottom"/>
            <w:gridSpan w:val="2"/>
          </w:tcPr>
          <w:p>
            <w:pPr>
              <w:ind w:left="320"/>
              <w:spacing w:after="0"/>
              <w:rPr>
                <w:sz w:val="20"/>
                <w:szCs w:val="20"/>
                <w:color w:val="auto"/>
              </w:rPr>
            </w:pPr>
            <w:r>
              <w:rPr>
                <w:rFonts w:ascii="Arial" w:cs="Arial" w:eastAsia="Arial" w:hAnsi="Arial"/>
                <w:sz w:val="18"/>
                <w:szCs w:val="18"/>
                <w:b w:val="1"/>
                <w:bCs w:val="1"/>
                <w:color w:val="auto"/>
              </w:rPr>
              <w:t>3Q10</w:t>
            </w:r>
          </w:p>
        </w:tc>
        <w:tc>
          <w:tcPr>
            <w:tcW w:w="136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2Q10</w:t>
            </w:r>
          </w:p>
        </w:tc>
        <w:tc>
          <w:tcPr>
            <w:tcW w:w="1080" w:type="dxa"/>
            <w:vAlign w:val="bottom"/>
          </w:tcPr>
          <w:p>
            <w:pPr>
              <w:jc w:val="right"/>
              <w:ind w:right="250"/>
              <w:spacing w:after="0"/>
              <w:rPr>
                <w:sz w:val="20"/>
                <w:szCs w:val="20"/>
                <w:color w:val="auto"/>
              </w:rPr>
            </w:pPr>
            <w:r>
              <w:rPr>
                <w:rFonts w:ascii="Arial" w:cs="Arial" w:eastAsia="Arial" w:hAnsi="Arial"/>
                <w:sz w:val="18"/>
                <w:szCs w:val="18"/>
                <w:b w:val="1"/>
                <w:bCs w:val="1"/>
                <w:color w:val="auto"/>
              </w:rPr>
              <w:t>3Q09</w:t>
            </w:r>
          </w:p>
        </w:tc>
        <w:tc>
          <w:tcPr>
            <w:tcW w:w="300" w:type="dxa"/>
            <w:vAlign w:val="bottom"/>
          </w:tcPr>
          <w:p>
            <w:pPr>
              <w:spacing w:after="0"/>
              <w:rPr>
                <w:sz w:val="18"/>
                <w:szCs w:val="18"/>
                <w:color w:val="auto"/>
              </w:rPr>
            </w:pPr>
          </w:p>
        </w:tc>
        <w:tc>
          <w:tcPr>
            <w:tcW w:w="1640" w:type="dxa"/>
            <w:vAlign w:val="bottom"/>
            <w:gridSpan w:val="3"/>
          </w:tcPr>
          <w:p>
            <w:pPr>
              <w:ind w:left="320"/>
              <w:spacing w:after="0"/>
              <w:rPr>
                <w:sz w:val="20"/>
                <w:szCs w:val="20"/>
                <w:color w:val="auto"/>
              </w:rPr>
            </w:pPr>
            <w:r>
              <w:rPr>
                <w:rFonts w:ascii="Arial" w:cs="Arial" w:eastAsia="Arial" w:hAnsi="Arial"/>
                <w:sz w:val="18"/>
                <w:szCs w:val="18"/>
                <w:b w:val="1"/>
                <w:bCs w:val="1"/>
                <w:color w:val="auto"/>
              </w:rPr>
              <w:t>QoQ</w:t>
            </w:r>
          </w:p>
        </w:tc>
        <w:tc>
          <w:tcPr>
            <w:tcW w:w="740" w:type="dxa"/>
            <w:vAlign w:val="bottom"/>
          </w:tcPr>
          <w:p>
            <w:pPr>
              <w:ind w:left="40"/>
              <w:spacing w:after="0"/>
              <w:rPr>
                <w:sz w:val="20"/>
                <w:szCs w:val="20"/>
                <w:color w:val="auto"/>
              </w:rPr>
            </w:pPr>
            <w:r>
              <w:rPr>
                <w:rFonts w:ascii="Arial" w:cs="Arial" w:eastAsia="Arial" w:hAnsi="Arial"/>
                <w:sz w:val="18"/>
                <w:szCs w:val="18"/>
                <w:b w:val="1"/>
                <w:bCs w:val="1"/>
                <w:color w:val="auto"/>
              </w:rPr>
              <w:t>YoY</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FFCC"/>
          </w:tcPr>
          <w:p>
            <w:pPr>
              <w:spacing w:after="0"/>
              <w:rPr>
                <w:sz w:val="20"/>
                <w:szCs w:val="20"/>
                <w:color w:val="auto"/>
              </w:rPr>
            </w:pPr>
            <w:r>
              <w:rPr>
                <w:rFonts w:ascii="Arial" w:cs="Arial" w:eastAsia="Arial" w:hAnsi="Arial"/>
                <w:sz w:val="18"/>
                <w:szCs w:val="18"/>
                <w:color w:val="auto"/>
              </w:rPr>
              <w:t>Capital stock</w:t>
            </w:r>
          </w:p>
        </w:tc>
        <w:tc>
          <w:tcPr>
            <w:tcW w:w="10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783,213</w:t>
            </w:r>
          </w:p>
        </w:tc>
        <w:tc>
          <w:tcPr>
            <w:tcW w:w="136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783,213</w:t>
            </w:r>
          </w:p>
        </w:tc>
        <w:tc>
          <w:tcPr>
            <w:tcW w:w="138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667,250</w:t>
            </w:r>
          </w:p>
        </w:tc>
        <w:tc>
          <w:tcPr>
            <w:tcW w:w="13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0.0%</w:t>
            </w:r>
          </w:p>
        </w:tc>
        <w:tc>
          <w:tcPr>
            <w:tcW w:w="30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Reserves</w:t>
            </w:r>
          </w:p>
        </w:tc>
        <w:tc>
          <w:tcPr>
            <w:tcW w:w="1460" w:type="dxa"/>
            <w:vAlign w:val="bottom"/>
            <w:gridSpan w:val="3"/>
          </w:tcPr>
          <w:p>
            <w:pPr>
              <w:jc w:val="right"/>
              <w:ind w:right="300"/>
              <w:spacing w:after="0"/>
              <w:rPr>
                <w:sz w:val="20"/>
                <w:szCs w:val="20"/>
                <w:color w:val="auto"/>
              </w:rPr>
            </w:pPr>
            <w:r>
              <w:rPr>
                <w:rFonts w:ascii="Arial" w:cs="Arial" w:eastAsia="Arial" w:hAnsi="Arial"/>
                <w:sz w:val="18"/>
                <w:szCs w:val="18"/>
                <w:color w:val="auto"/>
              </w:rPr>
              <w:t>388,309</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388,309</w:t>
            </w: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388,275</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0.0%</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FFCC"/>
          </w:tcPr>
          <w:p>
            <w:pPr>
              <w:spacing w:after="0"/>
              <w:rPr>
                <w:sz w:val="20"/>
                <w:szCs w:val="20"/>
                <w:color w:val="auto"/>
              </w:rPr>
            </w:pPr>
            <w:r>
              <w:rPr>
                <w:rFonts w:ascii="Arial" w:cs="Arial" w:eastAsia="Arial" w:hAnsi="Arial"/>
                <w:sz w:val="18"/>
                <w:szCs w:val="18"/>
                <w:color w:val="auto"/>
              </w:rPr>
              <w:t>Unrealized gains and losses</w:t>
            </w:r>
          </w:p>
        </w:tc>
        <w:tc>
          <w:tcPr>
            <w:tcW w:w="1460" w:type="dxa"/>
            <w:vAlign w:val="bottom"/>
            <w:gridSpan w:val="3"/>
            <w:shd w:val="clear" w:color="auto" w:fill="CCFFCC"/>
          </w:tcPr>
          <w:p>
            <w:pPr>
              <w:jc w:val="right"/>
              <w:ind w:right="300"/>
              <w:spacing w:after="0"/>
              <w:rPr>
                <w:sz w:val="20"/>
                <w:szCs w:val="20"/>
                <w:color w:val="auto"/>
              </w:rPr>
            </w:pPr>
            <w:r>
              <w:rPr>
                <w:rFonts w:ascii="Arial" w:cs="Arial" w:eastAsia="Arial" w:hAnsi="Arial"/>
                <w:sz w:val="18"/>
                <w:szCs w:val="18"/>
                <w:color w:val="auto"/>
              </w:rPr>
              <w:t>131,056</w:t>
            </w:r>
          </w:p>
        </w:tc>
        <w:tc>
          <w:tcPr>
            <w:tcW w:w="136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84,959</w:t>
            </w:r>
          </w:p>
        </w:tc>
        <w:tc>
          <w:tcPr>
            <w:tcW w:w="138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94,797</w:t>
            </w:r>
          </w:p>
        </w:tc>
        <w:tc>
          <w:tcPr>
            <w:tcW w:w="13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54.3%</w:t>
            </w:r>
          </w:p>
        </w:tc>
        <w:tc>
          <w:tcPr>
            <w:tcW w:w="30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Retained earnings</w:t>
            </w:r>
          </w:p>
        </w:tc>
        <w:tc>
          <w:tcPr>
            <w:tcW w:w="1460" w:type="dxa"/>
            <w:vAlign w:val="bottom"/>
            <w:gridSpan w:val="3"/>
          </w:tcPr>
          <w:p>
            <w:pPr>
              <w:jc w:val="right"/>
              <w:ind w:right="300"/>
              <w:spacing w:after="0"/>
              <w:rPr>
                <w:sz w:val="20"/>
                <w:szCs w:val="20"/>
                <w:color w:val="auto"/>
              </w:rPr>
            </w:pPr>
            <w:r>
              <w:rPr>
                <w:rFonts w:ascii="Arial" w:cs="Arial" w:eastAsia="Arial" w:hAnsi="Arial"/>
                <w:sz w:val="18"/>
                <w:szCs w:val="18"/>
                <w:color w:val="auto"/>
              </w:rPr>
              <w:t>187,143</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187,143</w:t>
            </w: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115,922</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0.0%</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FFCC"/>
          </w:tcPr>
          <w:p>
            <w:pPr>
              <w:spacing w:after="0"/>
              <w:rPr>
                <w:sz w:val="20"/>
                <w:szCs w:val="20"/>
                <w:color w:val="auto"/>
              </w:rPr>
            </w:pPr>
            <w:r>
              <w:rPr>
                <w:rFonts w:ascii="Arial" w:cs="Arial" w:eastAsia="Arial" w:hAnsi="Arial"/>
                <w:sz w:val="18"/>
                <w:szCs w:val="18"/>
                <w:color w:val="auto"/>
              </w:rPr>
              <w:t>Income for the year</w:t>
            </w:r>
          </w:p>
        </w:tc>
        <w:tc>
          <w:tcPr>
            <w:tcW w:w="10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374,750</w:t>
            </w:r>
          </w:p>
        </w:tc>
        <w:tc>
          <w:tcPr>
            <w:tcW w:w="136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236,130</w:t>
            </w:r>
          </w:p>
        </w:tc>
        <w:tc>
          <w:tcPr>
            <w:tcW w:w="138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289,980</w:t>
            </w:r>
          </w:p>
        </w:tc>
        <w:tc>
          <w:tcPr>
            <w:tcW w:w="13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58.7%</w:t>
            </w:r>
          </w:p>
        </w:tc>
        <w:tc>
          <w:tcPr>
            <w:tcW w:w="30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6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Net shareholders' equity</w:t>
            </w:r>
          </w:p>
        </w:tc>
        <w:tc>
          <w:tcPr>
            <w:tcW w:w="100" w:type="dxa"/>
            <w:vAlign w:val="bottom"/>
          </w:tcPr>
          <w:p>
            <w:pPr>
              <w:spacing w:after="0"/>
              <w:rPr>
                <w:sz w:val="18"/>
                <w:szCs w:val="18"/>
                <w:color w:val="auto"/>
              </w:rPr>
            </w:pPr>
          </w:p>
        </w:tc>
        <w:tc>
          <w:tcPr>
            <w:tcW w:w="1060" w:type="dxa"/>
            <w:vAlign w:val="bottom"/>
          </w:tcPr>
          <w:p>
            <w:pPr>
              <w:ind w:left="340"/>
              <w:spacing w:after="0"/>
              <w:rPr>
                <w:sz w:val="20"/>
                <w:szCs w:val="20"/>
                <w:color w:val="auto"/>
              </w:rPr>
            </w:pPr>
            <w:r>
              <w:rPr>
                <w:rFonts w:ascii="Arial" w:cs="Arial" w:eastAsia="Arial" w:hAnsi="Arial"/>
                <w:sz w:val="18"/>
                <w:szCs w:val="18"/>
                <w:b w:val="1"/>
                <w:bCs w:val="1"/>
                <w:color w:val="auto"/>
                <w:w w:val="87"/>
              </w:rPr>
              <w:t>1,864,471</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1,679,754</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1,556,224</w:t>
            </w:r>
          </w:p>
        </w:tc>
        <w:tc>
          <w:tcPr>
            <w:tcW w:w="30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11.0%</w:t>
            </w:r>
          </w:p>
        </w:tc>
        <w:tc>
          <w:tcPr>
            <w:tcW w:w="3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19.8%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FFCC"/>
          </w:tcPr>
          <w:p>
            <w:pPr>
              <w:spacing w:after="0"/>
              <w:rPr>
                <w:sz w:val="20"/>
                <w:szCs w:val="20"/>
                <w:color w:val="auto"/>
              </w:rPr>
            </w:pPr>
            <w:r>
              <w:rPr>
                <w:rFonts w:ascii="Arial" w:cs="Arial" w:eastAsia="Arial" w:hAnsi="Arial"/>
                <w:sz w:val="18"/>
                <w:szCs w:val="18"/>
                <w:color w:val="auto"/>
              </w:rPr>
              <w:t>Return on average equity (ROAE)</w:t>
            </w:r>
          </w:p>
        </w:tc>
        <w:tc>
          <w:tcPr>
            <w:tcW w:w="10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31.3%</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33.0%</w:t>
            </w:r>
          </w:p>
        </w:tc>
        <w:tc>
          <w:tcPr>
            <w:tcW w:w="13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27.1%</w:t>
            </w:r>
          </w:p>
        </w:tc>
        <w:tc>
          <w:tcPr>
            <w:tcW w:w="10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6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040" w:type="dxa"/>
            <w:vAlign w:val="bottom"/>
            <w:shd w:val="clear" w:color="auto" w:fill="CCFFCC"/>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740" w:type="dxa"/>
            <w:vAlign w:val="bottom"/>
            <w:shd w:val="clear" w:color="auto" w:fill="CCFFCC"/>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QoQ analysis reveals that net shareholders’ equity grew 11.0% due to higher retained earnings this quarter (+58.7%). Although net income increased this quarter with regard to 2Q10, higher growth in shareholders’ equity explains the fact that ROAE has dropped to 31.3%, which is still a very favorable level and is ample evidence that BCP’s profitability remains high.</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BIS ratio went from 13.62% at the end of 2Q10 to 13.89% at the end of 3Q10. This was primarily attributable to a 1.1% QoQ decline in total RWA (risk-weighted assets), which offset the marginal increase of 0.8% QoQ in regulatory capital.</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Total RWA contracted 1.1% QoQ due to the 20.9% QoQ decline in assets weighted for market risk given that BCP maintains a lower position in dollars. A contraction in assets weighted for credit risk was also evident despite a significant increase in gross loans of 5.7% QoQ. This is attributable to the fact that as of July, the standard method (Basel II) was used to calculate credit RWA. This methodology is more sensitive to the portfolio’s risk quality and in the case of BCP (good risk profile), the change has meant that a significant percentage of the portfolio is subject to lower weighted risk rates such as AA+ Corporate loans, off-balance sheet and loans with liquid guarantees.</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Although the credit and operational RWA declined, the associated capital requirements increased due to the higher capital requirements set by the Peruvian regulatory entity (9.8% as of July; previously 9.5%).</w:t>
      </w:r>
    </w:p>
    <w:p>
      <w:pPr>
        <w:spacing w:after="0" w:line="19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Finally, BCP, based on its preliminary analysis of the impact of implementing Basel III for 2018, believes that it has complied with the new capital requirements. This is still subject to the regulatory entity’s interpretation (Superintendence of Banking, Insurance and Private Pension Fund Administrators) of the treatment given to hybrid bonds and the magnitude and composition of additional requirements for pro-cyclical capital and systemic risk.</w:t>
      </w:r>
    </w:p>
    <w:p>
      <w:pPr>
        <w:spacing w:after="0" w:line="3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41"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60"/>
        </w:trPr>
        <w:tc>
          <w:tcPr>
            <w:tcW w:w="458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Regulatory Capital and Capital Adequacy Ratios</w:t>
            </w:r>
          </w:p>
        </w:tc>
        <w:tc>
          <w:tcPr>
            <w:tcW w:w="120" w:type="dxa"/>
            <w:vAlign w:val="bottom"/>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3"/>
                <w:szCs w:val="13"/>
                <w:b w:val="1"/>
                <w:bCs w:val="1"/>
                <w:color w:val="auto"/>
              </w:rPr>
              <w:t>Balance as of</w:t>
            </w:r>
          </w:p>
        </w:tc>
        <w:tc>
          <w:tcPr>
            <w:tcW w:w="11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540" w:type="dxa"/>
            <w:vAlign w:val="bottom"/>
            <w:tcBorders>
              <w:bottom w:val="single" w:sz="8" w:color="auto"/>
            </w:tcBorders>
            <w:gridSpan w:val="3"/>
          </w:tcPr>
          <w:p>
            <w:pPr>
              <w:ind w:left="960"/>
              <w:spacing w:after="0"/>
              <w:rPr>
                <w:sz w:val="20"/>
                <w:szCs w:val="20"/>
                <w:color w:val="auto"/>
              </w:rPr>
            </w:pPr>
            <w:r>
              <w:rPr>
                <w:rFonts w:ascii="Arial" w:cs="Arial" w:eastAsia="Arial" w:hAnsi="Arial"/>
                <w:sz w:val="13"/>
                <w:szCs w:val="13"/>
                <w:b w:val="1"/>
                <w:bCs w:val="1"/>
                <w:color w:val="auto"/>
                <w:w w:val="89"/>
              </w:rPr>
              <w:t>Change %</w:t>
            </w:r>
          </w:p>
        </w:tc>
        <w:tc>
          <w:tcPr>
            <w:tcW w:w="9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580" w:type="dxa"/>
            <w:vAlign w:val="bottom"/>
            <w:gridSpan w:val="2"/>
          </w:tcPr>
          <w:p>
            <w:pPr>
              <w:spacing w:after="0" w:line="135" w:lineRule="exact"/>
              <w:rPr>
                <w:sz w:val="20"/>
                <w:szCs w:val="20"/>
                <w:color w:val="auto"/>
              </w:rPr>
            </w:pPr>
            <w:r>
              <w:rPr>
                <w:rFonts w:ascii="Arial" w:cs="Arial" w:eastAsia="Arial" w:hAnsi="Arial"/>
                <w:sz w:val="13"/>
                <w:szCs w:val="13"/>
                <w:color w:val="auto"/>
              </w:rPr>
              <w:t>US$ 000</w:t>
            </w:r>
          </w:p>
        </w:tc>
        <w:tc>
          <w:tcPr>
            <w:tcW w:w="120" w:type="dxa"/>
            <w:vAlign w:val="bottom"/>
          </w:tcPr>
          <w:p>
            <w:pPr>
              <w:spacing w:after="0"/>
              <w:rPr>
                <w:sz w:val="11"/>
                <w:szCs w:val="11"/>
                <w:color w:val="auto"/>
              </w:rPr>
            </w:pPr>
          </w:p>
        </w:tc>
        <w:tc>
          <w:tcPr>
            <w:tcW w:w="1380" w:type="dxa"/>
            <w:vAlign w:val="bottom"/>
            <w:gridSpan w:val="2"/>
          </w:tcPr>
          <w:p>
            <w:pPr>
              <w:jc w:val="right"/>
              <w:ind w:right="620"/>
              <w:spacing w:after="0" w:line="135" w:lineRule="exact"/>
              <w:rPr>
                <w:sz w:val="20"/>
                <w:szCs w:val="20"/>
                <w:color w:val="auto"/>
              </w:rPr>
            </w:pPr>
            <w:r>
              <w:rPr>
                <w:rFonts w:ascii="Arial" w:cs="Arial" w:eastAsia="Arial" w:hAnsi="Arial"/>
                <w:sz w:val="13"/>
                <w:szCs w:val="13"/>
                <w:b w:val="1"/>
                <w:bCs w:val="1"/>
                <w:color w:val="auto"/>
              </w:rPr>
              <w:t>Sep 10</w:t>
            </w:r>
          </w:p>
        </w:tc>
        <w:tc>
          <w:tcPr>
            <w:tcW w:w="1340" w:type="dxa"/>
            <w:vAlign w:val="bottom"/>
            <w:gridSpan w:val="2"/>
          </w:tcPr>
          <w:p>
            <w:pPr>
              <w:jc w:val="right"/>
              <w:ind w:right="600"/>
              <w:spacing w:after="0" w:line="135" w:lineRule="exact"/>
              <w:rPr>
                <w:sz w:val="20"/>
                <w:szCs w:val="20"/>
                <w:color w:val="auto"/>
              </w:rPr>
            </w:pPr>
            <w:r>
              <w:rPr>
                <w:rFonts w:ascii="Arial" w:cs="Arial" w:eastAsia="Arial" w:hAnsi="Arial"/>
                <w:sz w:val="13"/>
                <w:szCs w:val="13"/>
                <w:b w:val="1"/>
                <w:bCs w:val="1"/>
                <w:color w:val="auto"/>
              </w:rPr>
              <w:t>Jun 10</w:t>
            </w:r>
          </w:p>
        </w:tc>
        <w:tc>
          <w:tcPr>
            <w:tcW w:w="1140" w:type="dxa"/>
            <w:vAlign w:val="bottom"/>
          </w:tcPr>
          <w:p>
            <w:pPr>
              <w:jc w:val="right"/>
              <w:ind w:right="337"/>
              <w:spacing w:after="0" w:line="135" w:lineRule="exact"/>
              <w:rPr>
                <w:sz w:val="20"/>
                <w:szCs w:val="20"/>
                <w:color w:val="auto"/>
              </w:rPr>
            </w:pPr>
            <w:r>
              <w:rPr>
                <w:rFonts w:ascii="Arial" w:cs="Arial" w:eastAsia="Arial" w:hAnsi="Arial"/>
                <w:sz w:val="13"/>
                <w:szCs w:val="13"/>
                <w:b w:val="1"/>
                <w:bCs w:val="1"/>
                <w:color w:val="auto"/>
              </w:rPr>
              <w:t>Sep 09</w:t>
            </w:r>
          </w:p>
        </w:tc>
        <w:tc>
          <w:tcPr>
            <w:tcW w:w="220" w:type="dxa"/>
            <w:vAlign w:val="bottom"/>
          </w:tcPr>
          <w:p>
            <w:pPr>
              <w:spacing w:after="0"/>
              <w:rPr>
                <w:sz w:val="11"/>
                <w:szCs w:val="11"/>
                <w:color w:val="auto"/>
              </w:rPr>
            </w:pPr>
          </w:p>
        </w:tc>
        <w:tc>
          <w:tcPr>
            <w:tcW w:w="1540" w:type="dxa"/>
            <w:vAlign w:val="bottom"/>
            <w:gridSpan w:val="3"/>
          </w:tcPr>
          <w:p>
            <w:pPr>
              <w:ind w:left="160"/>
              <w:spacing w:after="0" w:line="135" w:lineRule="exact"/>
              <w:rPr>
                <w:sz w:val="20"/>
                <w:szCs w:val="20"/>
                <w:color w:val="auto"/>
              </w:rPr>
            </w:pPr>
            <w:r>
              <w:rPr>
                <w:rFonts w:ascii="Arial" w:cs="Arial" w:eastAsia="Arial" w:hAnsi="Arial"/>
                <w:sz w:val="13"/>
                <w:szCs w:val="13"/>
                <w:b w:val="1"/>
                <w:bCs w:val="1"/>
                <w:color w:val="auto"/>
              </w:rPr>
              <w:t>Sep 10 / Jun 10</w:t>
            </w: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auto"/>
                <w:w w:val="99"/>
              </w:rPr>
              <w:t>Sep 10 / Sep 09</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456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Capital Stock</w:t>
            </w:r>
          </w:p>
        </w:tc>
        <w:tc>
          <w:tcPr>
            <w:tcW w:w="120" w:type="dxa"/>
            <w:vAlign w:val="bottom"/>
            <w:shd w:val="clear" w:color="auto" w:fill="CCFFCC"/>
          </w:tcPr>
          <w:p>
            <w:pPr>
              <w:spacing w:after="0"/>
              <w:rPr>
                <w:sz w:val="11"/>
                <w:szCs w:val="11"/>
                <w:color w:val="auto"/>
              </w:rPr>
            </w:pPr>
          </w:p>
        </w:tc>
        <w:tc>
          <w:tcPr>
            <w:tcW w:w="116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917,739</w:t>
            </w:r>
          </w:p>
        </w:tc>
        <w:tc>
          <w:tcPr>
            <w:tcW w:w="220" w:type="dxa"/>
            <w:vAlign w:val="bottom"/>
            <w:shd w:val="clear" w:color="auto" w:fill="CCFFCC"/>
          </w:tcPr>
          <w:p>
            <w:pPr>
              <w:spacing w:after="0"/>
              <w:rPr>
                <w:sz w:val="11"/>
                <w:szCs w:val="11"/>
                <w:color w:val="auto"/>
              </w:rPr>
            </w:pPr>
          </w:p>
        </w:tc>
        <w:tc>
          <w:tcPr>
            <w:tcW w:w="134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905,074</w:t>
            </w:r>
          </w:p>
        </w:tc>
        <w:tc>
          <w:tcPr>
            <w:tcW w:w="13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772,638</w:t>
            </w:r>
          </w:p>
        </w:tc>
        <w:tc>
          <w:tcPr>
            <w:tcW w:w="138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1.4%</w:t>
            </w:r>
          </w:p>
        </w:tc>
        <w:tc>
          <w:tcPr>
            <w:tcW w:w="160" w:type="dxa"/>
            <w:vAlign w:val="bottom"/>
            <w:shd w:val="clear" w:color="auto" w:fill="CCFFCC"/>
          </w:tcPr>
          <w:p>
            <w:pPr>
              <w:spacing w:after="0"/>
              <w:rPr>
                <w:sz w:val="11"/>
                <w:szCs w:val="11"/>
                <w:color w:val="auto"/>
              </w:rPr>
            </w:pPr>
          </w:p>
        </w:tc>
        <w:tc>
          <w:tcPr>
            <w:tcW w:w="110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18.8%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60" w:type="dxa"/>
            <w:vAlign w:val="bottom"/>
          </w:tcPr>
          <w:p>
            <w:pPr>
              <w:spacing w:after="0" w:line="135" w:lineRule="exact"/>
              <w:rPr>
                <w:sz w:val="20"/>
                <w:szCs w:val="20"/>
                <w:color w:val="auto"/>
              </w:rPr>
            </w:pPr>
            <w:r>
              <w:rPr>
                <w:rFonts w:ascii="Arial" w:cs="Arial" w:eastAsia="Arial" w:hAnsi="Arial"/>
                <w:sz w:val="13"/>
                <w:szCs w:val="13"/>
                <w:color w:val="auto"/>
              </w:rPr>
              <w:t>Legal and Other capital reserves</w:t>
            </w:r>
          </w:p>
        </w:tc>
        <w:tc>
          <w:tcPr>
            <w:tcW w:w="12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476,912</w:t>
            </w:r>
          </w:p>
        </w:tc>
        <w:tc>
          <w:tcPr>
            <w:tcW w:w="220" w:type="dxa"/>
            <w:vAlign w:val="bottom"/>
          </w:tcPr>
          <w:p>
            <w:pPr>
              <w:spacing w:after="0"/>
              <w:rPr>
                <w:sz w:val="11"/>
                <w:szCs w:val="11"/>
                <w:color w:val="auto"/>
              </w:rPr>
            </w:pPr>
          </w:p>
        </w:tc>
        <w:tc>
          <w:tcPr>
            <w:tcW w:w="13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470,331</w:t>
            </w:r>
          </w:p>
        </w:tc>
        <w:tc>
          <w:tcPr>
            <w:tcW w:w="13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460,838</w:t>
            </w:r>
          </w:p>
        </w:tc>
        <w:tc>
          <w:tcPr>
            <w:tcW w:w="13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1.4%</w:t>
            </w:r>
          </w:p>
        </w:tc>
        <w:tc>
          <w:tcPr>
            <w:tcW w:w="160" w:type="dxa"/>
            <w:vAlign w:val="bottom"/>
          </w:tcPr>
          <w:p>
            <w:pPr>
              <w:spacing w:after="0"/>
              <w:rPr>
                <w:sz w:val="11"/>
                <w:szCs w:val="11"/>
                <w:color w:val="auto"/>
              </w:rPr>
            </w:pPr>
          </w:p>
        </w:tc>
        <w:tc>
          <w:tcPr>
            <w:tcW w:w="110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6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Accumulated earnings with capitalization agreement</w:t>
            </w:r>
          </w:p>
        </w:tc>
        <w:tc>
          <w:tcPr>
            <w:tcW w:w="1500" w:type="dxa"/>
            <w:vAlign w:val="bottom"/>
            <w:gridSpan w:val="3"/>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34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14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114,234</w:t>
            </w:r>
          </w:p>
        </w:tc>
        <w:tc>
          <w:tcPr>
            <w:tcW w:w="220" w:type="dxa"/>
            <w:vAlign w:val="bottom"/>
            <w:shd w:val="clear" w:color="auto" w:fill="CCFFCC"/>
          </w:tcPr>
          <w:p>
            <w:pPr>
              <w:spacing w:after="0"/>
              <w:rPr>
                <w:sz w:val="11"/>
                <w:szCs w:val="11"/>
                <w:color w:val="auto"/>
              </w:rPr>
            </w:pPr>
          </w:p>
        </w:tc>
        <w:tc>
          <w:tcPr>
            <w:tcW w:w="1380" w:type="dxa"/>
            <w:vAlign w:val="bottom"/>
            <w:gridSpan w:val="2"/>
            <w:shd w:val="clear" w:color="auto" w:fill="CCFFCC"/>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FFCC"/>
          </w:tcPr>
          <w:p>
            <w:pPr>
              <w:spacing w:after="0"/>
              <w:rPr>
                <w:sz w:val="11"/>
                <w:szCs w:val="11"/>
                <w:color w:val="auto"/>
              </w:rPr>
            </w:pPr>
          </w:p>
        </w:tc>
        <w:tc>
          <w:tcPr>
            <w:tcW w:w="110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60" w:type="dxa"/>
            <w:vAlign w:val="bottom"/>
          </w:tcPr>
          <w:p>
            <w:pPr>
              <w:spacing w:after="0" w:line="135" w:lineRule="exact"/>
              <w:rPr>
                <w:sz w:val="20"/>
                <w:szCs w:val="20"/>
                <w:color w:val="auto"/>
              </w:rPr>
            </w:pPr>
            <w:r>
              <w:rPr>
                <w:rFonts w:ascii="Arial" w:cs="Arial" w:eastAsia="Arial" w:hAnsi="Arial"/>
                <w:sz w:val="13"/>
                <w:szCs w:val="13"/>
                <w:color w:val="auto"/>
              </w:rPr>
              <w:t>Loan loss reserves (1)</w:t>
            </w:r>
          </w:p>
        </w:tc>
        <w:tc>
          <w:tcPr>
            <w:tcW w:w="12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167,661</w:t>
            </w:r>
          </w:p>
        </w:tc>
        <w:tc>
          <w:tcPr>
            <w:tcW w:w="220" w:type="dxa"/>
            <w:vAlign w:val="bottom"/>
          </w:tcPr>
          <w:p>
            <w:pPr>
              <w:spacing w:after="0"/>
              <w:rPr>
                <w:sz w:val="11"/>
                <w:szCs w:val="11"/>
                <w:color w:val="auto"/>
              </w:rPr>
            </w:pPr>
          </w:p>
        </w:tc>
        <w:tc>
          <w:tcPr>
            <w:tcW w:w="13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168,228</w:t>
            </w:r>
          </w:p>
        </w:tc>
        <w:tc>
          <w:tcPr>
            <w:tcW w:w="13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133,804</w:t>
            </w:r>
          </w:p>
        </w:tc>
        <w:tc>
          <w:tcPr>
            <w:tcW w:w="13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-0.3%</w:t>
            </w:r>
          </w:p>
        </w:tc>
        <w:tc>
          <w:tcPr>
            <w:tcW w:w="160" w:type="dxa"/>
            <w:vAlign w:val="bottom"/>
          </w:tcPr>
          <w:p>
            <w:pPr>
              <w:spacing w:after="0"/>
              <w:rPr>
                <w:sz w:val="11"/>
                <w:szCs w:val="11"/>
                <w:color w:val="auto"/>
              </w:rPr>
            </w:pPr>
          </w:p>
        </w:tc>
        <w:tc>
          <w:tcPr>
            <w:tcW w:w="110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25.3%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6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Perpetual subordinated debt</w:t>
            </w:r>
          </w:p>
        </w:tc>
        <w:tc>
          <w:tcPr>
            <w:tcW w:w="128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250,000</w:t>
            </w:r>
          </w:p>
        </w:tc>
        <w:tc>
          <w:tcPr>
            <w:tcW w:w="220" w:type="dxa"/>
            <w:vAlign w:val="bottom"/>
            <w:shd w:val="clear" w:color="auto" w:fill="CCFFCC"/>
          </w:tcPr>
          <w:p>
            <w:pPr>
              <w:spacing w:after="0"/>
              <w:rPr>
                <w:sz w:val="11"/>
                <w:szCs w:val="11"/>
                <w:color w:val="auto"/>
              </w:rPr>
            </w:pPr>
          </w:p>
        </w:tc>
        <w:tc>
          <w:tcPr>
            <w:tcW w:w="134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250,000</w:t>
            </w:r>
          </w:p>
        </w:tc>
        <w:tc>
          <w:tcPr>
            <w:tcW w:w="13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38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0.0%</w:t>
            </w:r>
          </w:p>
        </w:tc>
        <w:tc>
          <w:tcPr>
            <w:tcW w:w="160" w:type="dxa"/>
            <w:vAlign w:val="bottom"/>
            <w:shd w:val="clear" w:color="auto" w:fill="CCFFCC"/>
          </w:tcPr>
          <w:p>
            <w:pPr>
              <w:spacing w:after="0"/>
              <w:rPr>
                <w:sz w:val="11"/>
                <w:szCs w:val="11"/>
                <w:color w:val="auto"/>
              </w:rPr>
            </w:pPr>
          </w:p>
        </w:tc>
        <w:tc>
          <w:tcPr>
            <w:tcW w:w="110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60" w:type="dxa"/>
            <w:vAlign w:val="bottom"/>
          </w:tcPr>
          <w:p>
            <w:pPr>
              <w:spacing w:after="0" w:line="135" w:lineRule="exact"/>
              <w:rPr>
                <w:sz w:val="20"/>
                <w:szCs w:val="20"/>
                <w:color w:val="auto"/>
              </w:rPr>
            </w:pPr>
            <w:r>
              <w:rPr>
                <w:rFonts w:ascii="Arial" w:cs="Arial" w:eastAsia="Arial" w:hAnsi="Arial"/>
                <w:sz w:val="13"/>
                <w:szCs w:val="13"/>
                <w:color w:val="auto"/>
              </w:rPr>
              <w:t>Subordinated Debt</w:t>
            </w:r>
          </w:p>
        </w:tc>
        <w:tc>
          <w:tcPr>
            <w:tcW w:w="12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448,728</w:t>
            </w:r>
          </w:p>
        </w:tc>
        <w:tc>
          <w:tcPr>
            <w:tcW w:w="220" w:type="dxa"/>
            <w:vAlign w:val="bottom"/>
          </w:tcPr>
          <w:p>
            <w:pPr>
              <w:spacing w:after="0"/>
              <w:rPr>
                <w:sz w:val="11"/>
                <w:szCs w:val="11"/>
                <w:color w:val="auto"/>
              </w:rPr>
            </w:pPr>
          </w:p>
        </w:tc>
        <w:tc>
          <w:tcPr>
            <w:tcW w:w="13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446,011</w:t>
            </w:r>
          </w:p>
        </w:tc>
        <w:tc>
          <w:tcPr>
            <w:tcW w:w="13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432,418</w:t>
            </w:r>
          </w:p>
        </w:tc>
        <w:tc>
          <w:tcPr>
            <w:tcW w:w="13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0.6%</w:t>
            </w:r>
          </w:p>
        </w:tc>
        <w:tc>
          <w:tcPr>
            <w:tcW w:w="160" w:type="dxa"/>
            <w:vAlign w:val="bottom"/>
          </w:tcPr>
          <w:p>
            <w:pPr>
              <w:spacing w:after="0"/>
              <w:rPr>
                <w:sz w:val="11"/>
                <w:szCs w:val="11"/>
                <w:color w:val="auto"/>
              </w:rPr>
            </w:pPr>
          </w:p>
        </w:tc>
        <w:tc>
          <w:tcPr>
            <w:tcW w:w="110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3.8%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6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Unrealized profit (loss)</w:t>
            </w:r>
          </w:p>
        </w:tc>
        <w:tc>
          <w:tcPr>
            <w:tcW w:w="1500" w:type="dxa"/>
            <w:vAlign w:val="bottom"/>
            <w:gridSpan w:val="3"/>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34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3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380" w:type="dxa"/>
            <w:vAlign w:val="bottom"/>
            <w:gridSpan w:val="2"/>
            <w:shd w:val="clear" w:color="auto" w:fill="CCFFCC"/>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FFCC"/>
          </w:tcPr>
          <w:p>
            <w:pPr>
              <w:spacing w:after="0"/>
              <w:rPr>
                <w:sz w:val="11"/>
                <w:szCs w:val="11"/>
                <w:color w:val="auto"/>
              </w:rPr>
            </w:pPr>
          </w:p>
        </w:tc>
        <w:tc>
          <w:tcPr>
            <w:tcW w:w="110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60" w:type="dxa"/>
            <w:vAlign w:val="bottom"/>
          </w:tcPr>
          <w:p>
            <w:pPr>
              <w:spacing w:after="0" w:line="135" w:lineRule="exact"/>
              <w:rPr>
                <w:sz w:val="20"/>
                <w:szCs w:val="20"/>
                <w:color w:val="auto"/>
              </w:rPr>
            </w:pPr>
            <w:r>
              <w:rPr>
                <w:rFonts w:ascii="Arial" w:cs="Arial" w:eastAsia="Arial" w:hAnsi="Arial"/>
                <w:sz w:val="13"/>
                <w:szCs w:val="13"/>
                <w:color w:val="auto"/>
              </w:rPr>
              <w:t>Investment in subsidiaries and others, net of unrealized profit</w:t>
            </w:r>
          </w:p>
        </w:tc>
        <w:tc>
          <w:tcPr>
            <w:tcW w:w="150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(232,388)</w:t>
            </w:r>
          </w:p>
        </w:tc>
        <w:tc>
          <w:tcPr>
            <w:tcW w:w="13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(227,269)</w:t>
            </w:r>
          </w:p>
        </w:tc>
        <w:tc>
          <w:tcPr>
            <w:tcW w:w="13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(174,911)</w:t>
            </w:r>
          </w:p>
        </w:tc>
        <w:tc>
          <w:tcPr>
            <w:tcW w:w="13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2.3%</w:t>
            </w:r>
          </w:p>
        </w:tc>
        <w:tc>
          <w:tcPr>
            <w:tcW w:w="160" w:type="dxa"/>
            <w:vAlign w:val="bottom"/>
          </w:tcPr>
          <w:p>
            <w:pPr>
              <w:spacing w:after="0"/>
              <w:rPr>
                <w:sz w:val="11"/>
                <w:szCs w:val="11"/>
                <w:color w:val="auto"/>
              </w:rPr>
            </w:pPr>
          </w:p>
        </w:tc>
        <w:tc>
          <w:tcPr>
            <w:tcW w:w="110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32.9%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6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Goodwill</w:t>
            </w:r>
          </w:p>
        </w:tc>
        <w:tc>
          <w:tcPr>
            <w:tcW w:w="1500" w:type="dxa"/>
            <w:vAlign w:val="bottom"/>
            <w:gridSpan w:val="3"/>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(43,805)</w:t>
            </w:r>
          </w:p>
        </w:tc>
        <w:tc>
          <w:tcPr>
            <w:tcW w:w="134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(43,200)</w:t>
            </w:r>
          </w:p>
        </w:tc>
        <w:tc>
          <w:tcPr>
            <w:tcW w:w="13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38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1.4%</w:t>
            </w:r>
          </w:p>
        </w:tc>
        <w:tc>
          <w:tcPr>
            <w:tcW w:w="160" w:type="dxa"/>
            <w:vAlign w:val="bottom"/>
            <w:shd w:val="clear" w:color="auto" w:fill="CCFFCC"/>
          </w:tcPr>
          <w:p>
            <w:pPr>
              <w:spacing w:after="0"/>
              <w:rPr>
                <w:sz w:val="11"/>
                <w:szCs w:val="11"/>
                <w:color w:val="auto"/>
              </w:rPr>
            </w:pPr>
          </w:p>
        </w:tc>
        <w:tc>
          <w:tcPr>
            <w:tcW w:w="110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60" w:type="dxa"/>
            <w:vAlign w:val="bottom"/>
          </w:tcPr>
          <w:p>
            <w:pPr>
              <w:spacing w:after="0" w:line="135" w:lineRule="exact"/>
              <w:rPr>
                <w:sz w:val="20"/>
                <w:szCs w:val="20"/>
                <w:color w:val="auto"/>
              </w:rPr>
            </w:pPr>
            <w:r>
              <w:rPr>
                <w:rFonts w:ascii="Arial" w:cs="Arial" w:eastAsia="Arial" w:hAnsi="Arial"/>
                <w:sz w:val="13"/>
                <w:szCs w:val="13"/>
                <w:b w:val="1"/>
                <w:bCs w:val="1"/>
                <w:color w:val="auto"/>
              </w:rPr>
              <w:t>Total Regulatory Capital</w:t>
            </w:r>
          </w:p>
        </w:tc>
        <w:tc>
          <w:tcPr>
            <w:tcW w:w="128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rPr>
              <w:t>1,984,848</w:t>
            </w:r>
          </w:p>
        </w:tc>
        <w:tc>
          <w:tcPr>
            <w:tcW w:w="220" w:type="dxa"/>
            <w:vAlign w:val="bottom"/>
          </w:tcPr>
          <w:p>
            <w:pPr>
              <w:spacing w:after="0"/>
              <w:rPr>
                <w:sz w:val="12"/>
                <w:szCs w:val="12"/>
                <w:color w:val="auto"/>
              </w:rPr>
            </w:pPr>
          </w:p>
        </w:tc>
        <w:tc>
          <w:tcPr>
            <w:tcW w:w="134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1,969,175</w:t>
            </w:r>
          </w:p>
        </w:tc>
        <w:tc>
          <w:tcPr>
            <w:tcW w:w="114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1,739,021</w:t>
            </w:r>
          </w:p>
        </w:tc>
        <w:tc>
          <w:tcPr>
            <w:tcW w:w="220" w:type="dxa"/>
            <w:vAlign w:val="bottom"/>
          </w:tcPr>
          <w:p>
            <w:pPr>
              <w:spacing w:after="0"/>
              <w:rPr>
                <w:sz w:val="12"/>
                <w:szCs w:val="12"/>
                <w:color w:val="auto"/>
              </w:rPr>
            </w:pPr>
          </w:p>
        </w:tc>
        <w:tc>
          <w:tcPr>
            <w:tcW w:w="138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0.8%</w:t>
            </w:r>
          </w:p>
        </w:tc>
        <w:tc>
          <w:tcPr>
            <w:tcW w:w="160" w:type="dxa"/>
            <w:vAlign w:val="bottom"/>
          </w:tcPr>
          <w:p>
            <w:pPr>
              <w:spacing w:after="0"/>
              <w:rPr>
                <w:sz w:val="12"/>
                <w:szCs w:val="12"/>
                <w:color w:val="auto"/>
              </w:rPr>
            </w:pPr>
          </w:p>
        </w:tc>
        <w:tc>
          <w:tcPr>
            <w:tcW w:w="110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rPr>
              <w:t>14.1%</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5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160" w:type="dxa"/>
            <w:vAlign w:val="bottom"/>
            <w:tcBorders>
              <w:top w:val="single" w:sz="8" w:color="auto"/>
            </w:tcBorders>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120" w:type="dxa"/>
            <w:vAlign w:val="bottom"/>
            <w:tcBorders>
              <w:top w:val="single" w:sz="8" w:color="auto"/>
            </w:tcBorders>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140" w:type="dxa"/>
            <w:vAlign w:val="bottom"/>
            <w:tcBorders>
              <w:top w:val="single" w:sz="8" w:color="auto"/>
            </w:tcBorders>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120" w:type="dxa"/>
            <w:vAlign w:val="bottom"/>
            <w:tcBorders>
              <w:top w:val="single" w:sz="8" w:color="auto"/>
            </w:tcBorders>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160" w:type="dxa"/>
            <w:vAlign w:val="bottom"/>
            <w:tcBorders>
              <w:top w:val="single" w:sz="8" w:color="auto"/>
            </w:tcBorders>
            <w:shd w:val="clear" w:color="auto" w:fill="CCFFCC"/>
          </w:tcPr>
          <w:p>
            <w:pPr>
              <w:spacing w:after="0"/>
              <w:rPr>
                <w:sz w:val="11"/>
                <w:szCs w:val="11"/>
                <w:color w:val="auto"/>
              </w:rPr>
            </w:pPr>
          </w:p>
        </w:tc>
        <w:tc>
          <w:tcPr>
            <w:tcW w:w="960" w:type="dxa"/>
            <w:vAlign w:val="bottom"/>
            <w:tcBorders>
              <w:top w:val="single" w:sz="8" w:color="auto"/>
            </w:tcBorders>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560" w:type="dxa"/>
            <w:vAlign w:val="bottom"/>
          </w:tcPr>
          <w:p>
            <w:pPr>
              <w:spacing w:after="0" w:line="135" w:lineRule="exact"/>
              <w:rPr>
                <w:sz w:val="20"/>
                <w:szCs w:val="20"/>
                <w:color w:val="auto"/>
              </w:rPr>
            </w:pPr>
            <w:r>
              <w:rPr>
                <w:rFonts w:ascii="Arial" w:cs="Arial" w:eastAsia="Arial" w:hAnsi="Arial"/>
                <w:sz w:val="13"/>
                <w:szCs w:val="13"/>
                <w:color w:val="auto"/>
              </w:rPr>
              <w:t>Tier 1 (2)</w:t>
            </w:r>
          </w:p>
        </w:tc>
        <w:tc>
          <w:tcPr>
            <w:tcW w:w="12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1,560,999</w:t>
            </w:r>
          </w:p>
        </w:tc>
        <w:tc>
          <w:tcPr>
            <w:tcW w:w="220" w:type="dxa"/>
            <w:vAlign w:val="bottom"/>
          </w:tcPr>
          <w:p>
            <w:pPr>
              <w:spacing w:after="0"/>
              <w:rPr>
                <w:sz w:val="11"/>
                <w:szCs w:val="11"/>
                <w:color w:val="auto"/>
              </w:rPr>
            </w:pPr>
          </w:p>
        </w:tc>
        <w:tc>
          <w:tcPr>
            <w:tcW w:w="13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1,514,939</w:t>
            </w:r>
          </w:p>
        </w:tc>
        <w:tc>
          <w:tcPr>
            <w:tcW w:w="1140" w:type="dxa"/>
            <w:vAlign w:val="bottom"/>
          </w:tcPr>
          <w:p>
            <w:pPr>
              <w:jc w:val="right"/>
              <w:spacing w:after="0" w:line="135" w:lineRule="exact"/>
              <w:rPr>
                <w:sz w:val="20"/>
                <w:szCs w:val="20"/>
                <w:color w:val="auto"/>
              </w:rPr>
            </w:pPr>
            <w:r>
              <w:rPr>
                <w:rFonts w:ascii="Arial" w:cs="Arial" w:eastAsia="Arial" w:hAnsi="Arial"/>
                <w:sz w:val="13"/>
                <w:szCs w:val="13"/>
                <w:color w:val="auto"/>
              </w:rPr>
              <w:t>1,289,384</w:t>
            </w:r>
          </w:p>
        </w:tc>
        <w:tc>
          <w:tcPr>
            <w:tcW w:w="220" w:type="dxa"/>
            <w:vAlign w:val="bottom"/>
          </w:tcPr>
          <w:p>
            <w:pPr>
              <w:spacing w:after="0"/>
              <w:rPr>
                <w:sz w:val="11"/>
                <w:szCs w:val="11"/>
                <w:color w:val="auto"/>
              </w:rPr>
            </w:pPr>
          </w:p>
        </w:tc>
        <w:tc>
          <w:tcPr>
            <w:tcW w:w="13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3.0%</w:t>
            </w:r>
          </w:p>
        </w:tc>
        <w:tc>
          <w:tcPr>
            <w:tcW w:w="160" w:type="dxa"/>
            <w:vAlign w:val="bottom"/>
          </w:tcPr>
          <w:p>
            <w:pPr>
              <w:spacing w:after="0"/>
              <w:rPr>
                <w:sz w:val="11"/>
                <w:szCs w:val="11"/>
                <w:color w:val="auto"/>
              </w:rPr>
            </w:pPr>
          </w:p>
        </w:tc>
        <w:tc>
          <w:tcPr>
            <w:tcW w:w="110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21.1%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6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Tier 2 (3) + Tier 3 (4)</w:t>
            </w:r>
          </w:p>
        </w:tc>
        <w:tc>
          <w:tcPr>
            <w:tcW w:w="128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423,850</w:t>
            </w:r>
          </w:p>
        </w:tc>
        <w:tc>
          <w:tcPr>
            <w:tcW w:w="220" w:type="dxa"/>
            <w:vAlign w:val="bottom"/>
            <w:shd w:val="clear" w:color="auto" w:fill="CCFFCC"/>
          </w:tcPr>
          <w:p>
            <w:pPr>
              <w:spacing w:after="0"/>
              <w:rPr>
                <w:sz w:val="12"/>
                <w:szCs w:val="12"/>
                <w:color w:val="auto"/>
              </w:rPr>
            </w:pPr>
          </w:p>
        </w:tc>
        <w:tc>
          <w:tcPr>
            <w:tcW w:w="134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454,236</w:t>
            </w:r>
          </w:p>
        </w:tc>
        <w:tc>
          <w:tcPr>
            <w:tcW w:w="13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449,636</w:t>
            </w:r>
          </w:p>
        </w:tc>
        <w:tc>
          <w:tcPr>
            <w:tcW w:w="138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-6.7%</w:t>
            </w:r>
          </w:p>
        </w:tc>
        <w:tc>
          <w:tcPr>
            <w:tcW w:w="16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-5.7%</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560" w:type="dxa"/>
            <w:vAlign w:val="bottom"/>
            <w:tcBorders>
              <w:top w:val="single" w:sz="8" w:color="CCFFCC"/>
            </w:tcBorders>
          </w:tcPr>
          <w:p>
            <w:pPr>
              <w:spacing w:after="0"/>
              <w:rPr>
                <w:sz w:val="11"/>
                <w:szCs w:val="11"/>
                <w:color w:val="auto"/>
              </w:rPr>
            </w:pPr>
          </w:p>
        </w:tc>
        <w:tc>
          <w:tcPr>
            <w:tcW w:w="120" w:type="dxa"/>
            <w:vAlign w:val="bottom"/>
            <w:tcBorders>
              <w:top w:val="single" w:sz="8" w:color="CCFFCC"/>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220" w:type="dxa"/>
            <w:vAlign w:val="bottom"/>
            <w:tcBorders>
              <w:top w:val="single" w:sz="8" w:color="CCFFCC"/>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220" w:type="dxa"/>
            <w:vAlign w:val="bottom"/>
            <w:tcBorders>
              <w:top w:val="single" w:sz="8" w:color="CCFFCC"/>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220" w:type="dxa"/>
            <w:vAlign w:val="bottom"/>
            <w:tcBorders>
              <w:top w:val="single" w:sz="8" w:color="CCFFCC"/>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260" w:type="dxa"/>
            <w:vAlign w:val="bottom"/>
            <w:tcBorders>
              <w:top w:val="single" w:sz="8" w:color="CCFFCC"/>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40" w:type="dxa"/>
            <w:vAlign w:val="bottom"/>
            <w:tcBorders>
              <w:top w:val="single" w:sz="8" w:color="CCFFC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560" w:type="dxa"/>
            <w:vAlign w:val="bottom"/>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Total risk-weighted assets</w:t>
            </w:r>
          </w:p>
        </w:tc>
        <w:tc>
          <w:tcPr>
            <w:tcW w:w="120" w:type="dxa"/>
            <w:vAlign w:val="bottom"/>
            <w:shd w:val="clear" w:color="auto" w:fill="CCFFCC"/>
          </w:tcPr>
          <w:p>
            <w:pPr>
              <w:spacing w:after="0"/>
              <w:rPr>
                <w:sz w:val="11"/>
                <w:szCs w:val="11"/>
                <w:color w:val="auto"/>
              </w:rPr>
            </w:pPr>
          </w:p>
        </w:tc>
        <w:tc>
          <w:tcPr>
            <w:tcW w:w="116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14,290,912</w:t>
            </w:r>
          </w:p>
        </w:tc>
        <w:tc>
          <w:tcPr>
            <w:tcW w:w="220" w:type="dxa"/>
            <w:vAlign w:val="bottom"/>
            <w:shd w:val="clear" w:color="auto" w:fill="CCFFCC"/>
          </w:tcPr>
          <w:p>
            <w:pPr>
              <w:spacing w:after="0"/>
              <w:rPr>
                <w:sz w:val="11"/>
                <w:szCs w:val="11"/>
                <w:color w:val="auto"/>
              </w:rPr>
            </w:pPr>
          </w:p>
        </w:tc>
        <w:tc>
          <w:tcPr>
            <w:tcW w:w="134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14,454,607</w:t>
            </w:r>
          </w:p>
        </w:tc>
        <w:tc>
          <w:tcPr>
            <w:tcW w:w="13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12,024,011</w:t>
            </w:r>
          </w:p>
        </w:tc>
        <w:tc>
          <w:tcPr>
            <w:tcW w:w="138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b w:val="1"/>
                <w:bCs w:val="1"/>
                <w:color w:val="auto"/>
              </w:rPr>
              <w:t>-1.1%</w:t>
            </w:r>
          </w:p>
        </w:tc>
        <w:tc>
          <w:tcPr>
            <w:tcW w:w="160" w:type="dxa"/>
            <w:vAlign w:val="bottom"/>
            <w:shd w:val="clear" w:color="auto" w:fill="CCFFCC"/>
          </w:tcPr>
          <w:p>
            <w:pPr>
              <w:spacing w:after="0"/>
              <w:rPr>
                <w:sz w:val="11"/>
                <w:szCs w:val="11"/>
                <w:color w:val="auto"/>
              </w:rPr>
            </w:pPr>
          </w:p>
        </w:tc>
        <w:tc>
          <w:tcPr>
            <w:tcW w:w="110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18.9%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4560" w:type="dxa"/>
            <w:vAlign w:val="bottom"/>
          </w:tcPr>
          <w:p>
            <w:pPr>
              <w:spacing w:after="0" w:line="135" w:lineRule="exact"/>
              <w:rPr>
                <w:sz w:val="20"/>
                <w:szCs w:val="20"/>
                <w:color w:val="auto"/>
              </w:rPr>
            </w:pPr>
            <w:r>
              <w:rPr>
                <w:rFonts w:ascii="Arial" w:cs="Arial" w:eastAsia="Arial" w:hAnsi="Arial"/>
                <w:sz w:val="13"/>
                <w:szCs w:val="13"/>
                <w:color w:val="auto"/>
              </w:rPr>
              <w:t>Market risk-weighted assets (5)</w:t>
            </w:r>
          </w:p>
        </w:tc>
        <w:tc>
          <w:tcPr>
            <w:tcW w:w="120" w:type="dxa"/>
            <w:vAlign w:val="bottom"/>
          </w:tcPr>
          <w:p>
            <w:pPr>
              <w:spacing w:after="0"/>
              <w:rPr>
                <w:sz w:val="11"/>
                <w:szCs w:val="11"/>
                <w:color w:val="auto"/>
              </w:rPr>
            </w:pPr>
          </w:p>
        </w:tc>
        <w:tc>
          <w:tcPr>
            <w:tcW w:w="1160" w:type="dxa"/>
            <w:vAlign w:val="bottom"/>
          </w:tcPr>
          <w:p>
            <w:pPr>
              <w:jc w:val="right"/>
              <w:spacing w:after="0" w:line="135" w:lineRule="exact"/>
              <w:rPr>
                <w:sz w:val="20"/>
                <w:szCs w:val="20"/>
                <w:color w:val="auto"/>
              </w:rPr>
            </w:pPr>
            <w:r>
              <w:rPr>
                <w:rFonts w:ascii="Arial" w:cs="Arial" w:eastAsia="Arial" w:hAnsi="Arial"/>
                <w:sz w:val="13"/>
                <w:szCs w:val="13"/>
                <w:color w:val="auto"/>
              </w:rPr>
              <w:t>410,725</w:t>
            </w:r>
          </w:p>
        </w:tc>
        <w:tc>
          <w:tcPr>
            <w:tcW w:w="220" w:type="dxa"/>
            <w:vAlign w:val="bottom"/>
          </w:tcPr>
          <w:p>
            <w:pPr>
              <w:spacing w:after="0"/>
              <w:rPr>
                <w:sz w:val="11"/>
                <w:szCs w:val="11"/>
                <w:color w:val="auto"/>
              </w:rPr>
            </w:pPr>
          </w:p>
        </w:tc>
        <w:tc>
          <w:tcPr>
            <w:tcW w:w="13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519,321</w:t>
            </w:r>
          </w:p>
        </w:tc>
        <w:tc>
          <w:tcPr>
            <w:tcW w:w="13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897,171</w:t>
            </w:r>
          </w:p>
        </w:tc>
        <w:tc>
          <w:tcPr>
            <w:tcW w:w="13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-20.9%</w:t>
            </w:r>
          </w:p>
        </w:tc>
        <w:tc>
          <w:tcPr>
            <w:tcW w:w="160" w:type="dxa"/>
            <w:vAlign w:val="bottom"/>
          </w:tcPr>
          <w:p>
            <w:pPr>
              <w:spacing w:after="0"/>
              <w:rPr>
                <w:sz w:val="11"/>
                <w:szCs w:val="11"/>
                <w:color w:val="auto"/>
              </w:rPr>
            </w:pPr>
          </w:p>
        </w:tc>
        <w:tc>
          <w:tcPr>
            <w:tcW w:w="110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-54.2%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6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Credit risk-weighted assets</w:t>
            </w:r>
          </w:p>
        </w:tc>
        <w:tc>
          <w:tcPr>
            <w:tcW w:w="1500" w:type="dxa"/>
            <w:vAlign w:val="bottom"/>
            <w:gridSpan w:val="3"/>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13,396,056</w:t>
            </w:r>
          </w:p>
        </w:tc>
        <w:tc>
          <w:tcPr>
            <w:tcW w:w="134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13,458,244</w:t>
            </w:r>
          </w:p>
        </w:tc>
        <w:tc>
          <w:tcPr>
            <w:tcW w:w="13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10,684,874</w:t>
            </w:r>
          </w:p>
        </w:tc>
        <w:tc>
          <w:tcPr>
            <w:tcW w:w="138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-0.5%</w:t>
            </w:r>
          </w:p>
        </w:tc>
        <w:tc>
          <w:tcPr>
            <w:tcW w:w="160" w:type="dxa"/>
            <w:vAlign w:val="bottom"/>
            <w:shd w:val="clear" w:color="auto" w:fill="CCFFCC"/>
          </w:tcPr>
          <w:p>
            <w:pPr>
              <w:spacing w:after="0"/>
              <w:rPr>
                <w:sz w:val="11"/>
                <w:szCs w:val="11"/>
                <w:color w:val="auto"/>
              </w:rPr>
            </w:pPr>
          </w:p>
        </w:tc>
        <w:tc>
          <w:tcPr>
            <w:tcW w:w="110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25.4%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60" w:type="dxa"/>
            <w:vAlign w:val="bottom"/>
          </w:tcPr>
          <w:p>
            <w:pPr>
              <w:spacing w:after="0" w:line="135" w:lineRule="exact"/>
              <w:rPr>
                <w:sz w:val="20"/>
                <w:szCs w:val="20"/>
                <w:color w:val="auto"/>
              </w:rPr>
            </w:pPr>
            <w:r>
              <w:rPr>
                <w:rFonts w:ascii="Arial" w:cs="Arial" w:eastAsia="Arial" w:hAnsi="Arial"/>
                <w:sz w:val="13"/>
                <w:szCs w:val="13"/>
                <w:color w:val="auto"/>
              </w:rPr>
              <w:t>Operational risk-weighted assets (6)</w:t>
            </w:r>
          </w:p>
        </w:tc>
        <w:tc>
          <w:tcPr>
            <w:tcW w:w="12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484,132</w:t>
            </w:r>
          </w:p>
        </w:tc>
        <w:tc>
          <w:tcPr>
            <w:tcW w:w="220" w:type="dxa"/>
            <w:vAlign w:val="bottom"/>
          </w:tcPr>
          <w:p>
            <w:pPr>
              <w:spacing w:after="0"/>
              <w:rPr>
                <w:sz w:val="12"/>
                <w:szCs w:val="12"/>
                <w:color w:val="auto"/>
              </w:rPr>
            </w:pPr>
          </w:p>
        </w:tc>
        <w:tc>
          <w:tcPr>
            <w:tcW w:w="13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477,043</w:t>
            </w:r>
          </w:p>
        </w:tc>
        <w:tc>
          <w:tcPr>
            <w:tcW w:w="13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441,966</w:t>
            </w:r>
          </w:p>
        </w:tc>
        <w:tc>
          <w:tcPr>
            <w:tcW w:w="13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1.5%</w:t>
            </w:r>
          </w:p>
        </w:tc>
        <w:tc>
          <w:tcPr>
            <w:tcW w:w="160" w:type="dxa"/>
            <w:vAlign w:val="bottom"/>
          </w:tcPr>
          <w:p>
            <w:pPr>
              <w:spacing w:after="0"/>
              <w:rPr>
                <w:sz w:val="12"/>
                <w:szCs w:val="12"/>
                <w:color w:val="auto"/>
              </w:rPr>
            </w:pPr>
          </w:p>
        </w:tc>
        <w:tc>
          <w:tcPr>
            <w:tcW w:w="110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9.5%</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5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160" w:type="dxa"/>
            <w:vAlign w:val="bottom"/>
            <w:tcBorders>
              <w:top w:val="single" w:sz="8" w:color="auto"/>
            </w:tcBorders>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120" w:type="dxa"/>
            <w:vAlign w:val="bottom"/>
            <w:tcBorders>
              <w:top w:val="single" w:sz="8" w:color="auto"/>
            </w:tcBorders>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140" w:type="dxa"/>
            <w:vAlign w:val="bottom"/>
            <w:tcBorders>
              <w:top w:val="single" w:sz="8" w:color="auto"/>
            </w:tcBorders>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120" w:type="dxa"/>
            <w:vAlign w:val="bottom"/>
            <w:tcBorders>
              <w:top w:val="single" w:sz="8" w:color="auto"/>
            </w:tcBorders>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160" w:type="dxa"/>
            <w:vAlign w:val="bottom"/>
            <w:tcBorders>
              <w:top w:val="single" w:sz="8" w:color="auto"/>
            </w:tcBorders>
            <w:shd w:val="clear" w:color="auto" w:fill="CCFFCC"/>
          </w:tcPr>
          <w:p>
            <w:pPr>
              <w:spacing w:after="0"/>
              <w:rPr>
                <w:sz w:val="11"/>
                <w:szCs w:val="11"/>
                <w:color w:val="auto"/>
              </w:rPr>
            </w:pPr>
          </w:p>
        </w:tc>
        <w:tc>
          <w:tcPr>
            <w:tcW w:w="960" w:type="dxa"/>
            <w:vAlign w:val="bottom"/>
            <w:tcBorders>
              <w:top w:val="single" w:sz="8" w:color="auto"/>
            </w:tcBorders>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560" w:type="dxa"/>
            <w:vAlign w:val="bottom"/>
          </w:tcPr>
          <w:p>
            <w:pPr>
              <w:spacing w:after="0" w:line="135" w:lineRule="exact"/>
              <w:rPr>
                <w:sz w:val="20"/>
                <w:szCs w:val="20"/>
                <w:color w:val="auto"/>
              </w:rPr>
            </w:pPr>
            <w:r>
              <w:rPr>
                <w:rFonts w:ascii="Arial" w:cs="Arial" w:eastAsia="Arial" w:hAnsi="Arial"/>
                <w:sz w:val="13"/>
                <w:szCs w:val="13"/>
                <w:color w:val="auto"/>
              </w:rPr>
              <w:t>Market risk capital requirement (5)</w:t>
            </w:r>
          </w:p>
        </w:tc>
        <w:tc>
          <w:tcPr>
            <w:tcW w:w="1500" w:type="dxa"/>
            <w:vAlign w:val="bottom"/>
            <w:gridSpan w:val="3"/>
          </w:tcPr>
          <w:p>
            <w:pPr>
              <w:jc w:val="right"/>
              <w:ind w:right="220"/>
              <w:spacing w:after="0" w:line="135" w:lineRule="exact"/>
              <w:rPr>
                <w:sz w:val="20"/>
                <w:szCs w:val="20"/>
                <w:color w:val="auto"/>
              </w:rPr>
            </w:pPr>
            <w:r>
              <w:rPr>
                <w:rFonts w:ascii="Arial" w:cs="Arial" w:eastAsia="Arial" w:hAnsi="Arial"/>
                <w:sz w:val="13"/>
                <w:szCs w:val="13"/>
                <w:color w:val="auto"/>
              </w:rPr>
              <w:t>40,251</w:t>
            </w:r>
          </w:p>
        </w:tc>
        <w:tc>
          <w:tcPr>
            <w:tcW w:w="13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49,335</w:t>
            </w:r>
          </w:p>
        </w:tc>
        <w:tc>
          <w:tcPr>
            <w:tcW w:w="13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85,231</w:t>
            </w:r>
          </w:p>
        </w:tc>
        <w:tc>
          <w:tcPr>
            <w:tcW w:w="13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-18.4%</w:t>
            </w:r>
          </w:p>
        </w:tc>
        <w:tc>
          <w:tcPr>
            <w:tcW w:w="160" w:type="dxa"/>
            <w:vAlign w:val="bottom"/>
          </w:tcPr>
          <w:p>
            <w:pPr>
              <w:spacing w:after="0"/>
              <w:rPr>
                <w:sz w:val="11"/>
                <w:szCs w:val="11"/>
                <w:color w:val="auto"/>
              </w:rPr>
            </w:pPr>
          </w:p>
        </w:tc>
        <w:tc>
          <w:tcPr>
            <w:tcW w:w="110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-52.8%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6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Credit risk capital requirement</w:t>
            </w:r>
          </w:p>
        </w:tc>
        <w:tc>
          <w:tcPr>
            <w:tcW w:w="128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1,312,813</w:t>
            </w:r>
          </w:p>
        </w:tc>
        <w:tc>
          <w:tcPr>
            <w:tcW w:w="220" w:type="dxa"/>
            <w:vAlign w:val="bottom"/>
            <w:shd w:val="clear" w:color="auto" w:fill="CCFFCC"/>
          </w:tcPr>
          <w:p>
            <w:pPr>
              <w:spacing w:after="0"/>
              <w:rPr>
                <w:sz w:val="11"/>
                <w:szCs w:val="11"/>
                <w:color w:val="auto"/>
              </w:rPr>
            </w:pPr>
          </w:p>
        </w:tc>
        <w:tc>
          <w:tcPr>
            <w:tcW w:w="134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1,278,533</w:t>
            </w:r>
          </w:p>
        </w:tc>
        <w:tc>
          <w:tcPr>
            <w:tcW w:w="114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1,015,063</w:t>
            </w:r>
          </w:p>
        </w:tc>
        <w:tc>
          <w:tcPr>
            <w:tcW w:w="220" w:type="dxa"/>
            <w:vAlign w:val="bottom"/>
            <w:shd w:val="clear" w:color="auto" w:fill="CCFFCC"/>
          </w:tcPr>
          <w:p>
            <w:pPr>
              <w:spacing w:after="0"/>
              <w:rPr>
                <w:sz w:val="11"/>
                <w:szCs w:val="11"/>
                <w:color w:val="auto"/>
              </w:rPr>
            </w:pPr>
          </w:p>
        </w:tc>
        <w:tc>
          <w:tcPr>
            <w:tcW w:w="138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2.7%</w:t>
            </w:r>
          </w:p>
        </w:tc>
        <w:tc>
          <w:tcPr>
            <w:tcW w:w="160" w:type="dxa"/>
            <w:vAlign w:val="bottom"/>
            <w:shd w:val="clear" w:color="auto" w:fill="CCFFCC"/>
          </w:tcPr>
          <w:p>
            <w:pPr>
              <w:spacing w:after="0"/>
              <w:rPr>
                <w:sz w:val="11"/>
                <w:szCs w:val="11"/>
                <w:color w:val="auto"/>
              </w:rPr>
            </w:pPr>
          </w:p>
        </w:tc>
        <w:tc>
          <w:tcPr>
            <w:tcW w:w="110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29.3%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60" w:type="dxa"/>
            <w:vAlign w:val="bottom"/>
          </w:tcPr>
          <w:p>
            <w:pPr>
              <w:spacing w:after="0" w:line="135" w:lineRule="exact"/>
              <w:rPr>
                <w:sz w:val="20"/>
                <w:szCs w:val="20"/>
                <w:color w:val="auto"/>
              </w:rPr>
            </w:pPr>
            <w:r>
              <w:rPr>
                <w:rFonts w:ascii="Arial" w:cs="Arial" w:eastAsia="Arial" w:hAnsi="Arial"/>
                <w:sz w:val="13"/>
                <w:szCs w:val="13"/>
                <w:color w:val="auto"/>
              </w:rPr>
              <w:t>Operational risk capital requirement (6)</w:t>
            </w:r>
          </w:p>
        </w:tc>
        <w:tc>
          <w:tcPr>
            <w:tcW w:w="1500" w:type="dxa"/>
            <w:vAlign w:val="bottom"/>
            <w:gridSpan w:val="3"/>
          </w:tcPr>
          <w:p>
            <w:pPr>
              <w:jc w:val="right"/>
              <w:ind w:right="220"/>
              <w:spacing w:after="0" w:line="135" w:lineRule="exact"/>
              <w:rPr>
                <w:sz w:val="20"/>
                <w:szCs w:val="20"/>
                <w:color w:val="auto"/>
              </w:rPr>
            </w:pPr>
            <w:r>
              <w:rPr>
                <w:rFonts w:ascii="Arial" w:cs="Arial" w:eastAsia="Arial" w:hAnsi="Arial"/>
                <w:sz w:val="13"/>
                <w:szCs w:val="13"/>
                <w:color w:val="auto"/>
              </w:rPr>
              <w:t>47,445</w:t>
            </w:r>
          </w:p>
        </w:tc>
        <w:tc>
          <w:tcPr>
            <w:tcW w:w="13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45,319</w:t>
            </w:r>
          </w:p>
        </w:tc>
        <w:tc>
          <w:tcPr>
            <w:tcW w:w="13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41,987</w:t>
            </w:r>
          </w:p>
        </w:tc>
        <w:tc>
          <w:tcPr>
            <w:tcW w:w="13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4.7%</w:t>
            </w:r>
          </w:p>
        </w:tc>
        <w:tc>
          <w:tcPr>
            <w:tcW w:w="160" w:type="dxa"/>
            <w:vAlign w:val="bottom"/>
          </w:tcPr>
          <w:p>
            <w:pPr>
              <w:spacing w:after="0"/>
              <w:rPr>
                <w:sz w:val="12"/>
                <w:szCs w:val="12"/>
                <w:color w:val="auto"/>
              </w:rPr>
            </w:pPr>
          </w:p>
        </w:tc>
        <w:tc>
          <w:tcPr>
            <w:tcW w:w="110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13.0%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60" w:type="dxa"/>
            <w:vAlign w:val="bottom"/>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Capital ratios</w:t>
            </w:r>
          </w:p>
        </w:tc>
        <w:tc>
          <w:tcPr>
            <w:tcW w:w="120" w:type="dxa"/>
            <w:vAlign w:val="bottom"/>
            <w:shd w:val="clear" w:color="auto" w:fill="CCFFCC"/>
          </w:tcPr>
          <w:p>
            <w:pPr>
              <w:spacing w:after="0"/>
              <w:rPr>
                <w:sz w:val="11"/>
                <w:szCs w:val="11"/>
                <w:color w:val="auto"/>
              </w:rPr>
            </w:pPr>
          </w:p>
        </w:tc>
        <w:tc>
          <w:tcPr>
            <w:tcW w:w="1160" w:type="dxa"/>
            <w:vAlign w:val="bottom"/>
            <w:tcBorders>
              <w:top w:val="single" w:sz="8" w:color="auto"/>
            </w:tcBorders>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120" w:type="dxa"/>
            <w:vAlign w:val="bottom"/>
            <w:tcBorders>
              <w:top w:val="single" w:sz="8" w:color="auto"/>
            </w:tcBorders>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140" w:type="dxa"/>
            <w:vAlign w:val="bottom"/>
            <w:tcBorders>
              <w:top w:val="single" w:sz="8" w:color="auto"/>
            </w:tcBorders>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120" w:type="dxa"/>
            <w:vAlign w:val="bottom"/>
            <w:tcBorders>
              <w:top w:val="single" w:sz="8" w:color="auto"/>
            </w:tcBorders>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160" w:type="dxa"/>
            <w:vAlign w:val="bottom"/>
            <w:tcBorders>
              <w:top w:val="single" w:sz="8" w:color="auto"/>
            </w:tcBorders>
            <w:shd w:val="clear" w:color="auto" w:fill="CCFFCC"/>
          </w:tcPr>
          <w:p>
            <w:pPr>
              <w:spacing w:after="0"/>
              <w:rPr>
                <w:sz w:val="11"/>
                <w:szCs w:val="11"/>
                <w:color w:val="auto"/>
              </w:rPr>
            </w:pPr>
          </w:p>
        </w:tc>
        <w:tc>
          <w:tcPr>
            <w:tcW w:w="960" w:type="dxa"/>
            <w:vAlign w:val="bottom"/>
            <w:tcBorders>
              <w:top w:val="single" w:sz="8" w:color="auto"/>
            </w:tcBorders>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60" w:type="dxa"/>
            <w:vAlign w:val="bottom"/>
          </w:tcPr>
          <w:p>
            <w:pPr>
              <w:spacing w:after="0" w:line="135" w:lineRule="exact"/>
              <w:rPr>
                <w:sz w:val="20"/>
                <w:szCs w:val="20"/>
                <w:color w:val="auto"/>
              </w:rPr>
            </w:pPr>
            <w:r>
              <w:rPr>
                <w:rFonts w:ascii="Arial" w:cs="Arial" w:eastAsia="Arial" w:hAnsi="Arial"/>
                <w:sz w:val="13"/>
                <w:szCs w:val="13"/>
                <w:color w:val="auto"/>
              </w:rPr>
              <w:t>BIS ratio (7)</w:t>
            </w:r>
          </w:p>
        </w:tc>
        <w:tc>
          <w:tcPr>
            <w:tcW w:w="120" w:type="dxa"/>
            <w:vAlign w:val="bottom"/>
          </w:tcPr>
          <w:p>
            <w:pPr>
              <w:spacing w:after="0"/>
              <w:rPr>
                <w:sz w:val="11"/>
                <w:szCs w:val="11"/>
                <w:color w:val="auto"/>
              </w:rPr>
            </w:pPr>
          </w:p>
        </w:tc>
        <w:tc>
          <w:tcPr>
            <w:tcW w:w="13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13.9%</w:t>
            </w:r>
          </w:p>
        </w:tc>
        <w:tc>
          <w:tcPr>
            <w:tcW w:w="13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13.6%</w:t>
            </w:r>
          </w:p>
        </w:tc>
        <w:tc>
          <w:tcPr>
            <w:tcW w:w="13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14.5%</w:t>
            </w:r>
          </w:p>
        </w:tc>
        <w:tc>
          <w:tcPr>
            <w:tcW w:w="1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456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Risk-weighted assets (8) / Regulatory Capital</w:t>
            </w:r>
          </w:p>
        </w:tc>
        <w:tc>
          <w:tcPr>
            <w:tcW w:w="120" w:type="dxa"/>
            <w:vAlign w:val="bottom"/>
            <w:shd w:val="clear" w:color="auto" w:fill="CCFFCC"/>
          </w:tcPr>
          <w:p>
            <w:pPr>
              <w:spacing w:after="0"/>
              <w:rPr>
                <w:sz w:val="11"/>
                <w:szCs w:val="11"/>
                <w:color w:val="auto"/>
              </w:rPr>
            </w:pPr>
          </w:p>
        </w:tc>
        <w:tc>
          <w:tcPr>
            <w:tcW w:w="116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7.20</w:t>
            </w:r>
          </w:p>
        </w:tc>
        <w:tc>
          <w:tcPr>
            <w:tcW w:w="220" w:type="dxa"/>
            <w:vAlign w:val="bottom"/>
            <w:shd w:val="clear" w:color="auto" w:fill="CCFFCC"/>
          </w:tcPr>
          <w:p>
            <w:pPr>
              <w:spacing w:after="0"/>
              <w:rPr>
                <w:sz w:val="11"/>
                <w:szCs w:val="11"/>
                <w:color w:val="auto"/>
              </w:rPr>
            </w:pPr>
          </w:p>
        </w:tc>
        <w:tc>
          <w:tcPr>
            <w:tcW w:w="134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7.34</w:t>
            </w:r>
          </w:p>
        </w:tc>
        <w:tc>
          <w:tcPr>
            <w:tcW w:w="13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6.91</w:t>
            </w:r>
          </w:p>
        </w:tc>
        <w:tc>
          <w:tcPr>
            <w:tcW w:w="112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96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20" w:type="dxa"/>
            <w:vAlign w:val="bottom"/>
            <w:shd w:val="clear" w:color="auto" w:fill="CCFFCC"/>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60" w:type="dxa"/>
            <w:vAlign w:val="bottom"/>
            <w:shd w:val="clear" w:color="auto" w:fill="CCFFCC"/>
          </w:tcPr>
          <w:p>
            <w:pPr>
              <w:spacing w:after="0"/>
              <w:rPr>
                <w:sz w:val="2"/>
                <w:szCs w:val="2"/>
                <w:color w:val="auto"/>
              </w:rPr>
            </w:pPr>
          </w:p>
        </w:tc>
        <w:tc>
          <w:tcPr>
            <w:tcW w:w="960" w:type="dxa"/>
            <w:vAlign w:val="bottom"/>
            <w:shd w:val="clear" w:color="auto" w:fill="CCFFCC"/>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260" w:hanging="252"/>
        <w:spacing w:after="0"/>
        <w:tabs>
          <w:tab w:leader="none" w:pos="2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175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Until June 2009, loan loss reserves up to 1% of gross loans.  Since July 2009, up to 1.25% of total risk-weighted assets.</w:t>
      </w:r>
    </w:p>
    <w:p>
      <w:pPr>
        <w:spacing w:after="0" w:line="9" w:lineRule="exact"/>
        <w:rPr>
          <w:rFonts w:ascii="Arial" w:cs="Arial" w:eastAsia="Arial" w:hAnsi="Arial"/>
          <w:sz w:val="18"/>
          <w:szCs w:val="18"/>
          <w:i w:val="1"/>
          <w:iCs w:val="1"/>
          <w:color w:val="auto"/>
        </w:rPr>
      </w:pPr>
    </w:p>
    <w:p>
      <w:pPr>
        <w:ind w:right="2580" w:firstLine="8"/>
        <w:spacing w:after="0" w:line="265" w:lineRule="auto"/>
        <w:tabs>
          <w:tab w:leader="none" w:pos="255" w:val="left"/>
        </w:tabs>
        <w:numPr>
          <w:ilvl w:val="0"/>
          <w:numId w:val="10"/>
        </w:numPr>
        <w:rPr>
          <w:rFonts w:ascii="Arial" w:cs="Arial" w:eastAsia="Arial" w:hAnsi="Arial"/>
          <w:sz w:val="17"/>
          <w:szCs w:val="17"/>
          <w:i w:val="1"/>
          <w:iCs w:val="1"/>
          <w:color w:val="auto"/>
        </w:rPr>
      </w:pPr>
      <w:r>
        <w:rPr>
          <w:rFonts w:ascii="Arial" w:cs="Arial" w:eastAsia="Arial" w:hAnsi="Arial"/>
          <w:sz w:val="17"/>
          <w:szCs w:val="17"/>
          <w:i w:val="1"/>
          <w:iCs w:val="1"/>
          <w:color w:val="auto"/>
        </w:rPr>
        <w:t>Tier 1 = Capital + Reserves + Accumulated earnings with capitalization agreement + Unrealized profit in subsidiaries + Perpetual subordinated debt (maximum amount that can be included is 17.65% of Capital + Reserves</w:t>
      </w:r>
    </w:p>
    <w:p>
      <w:pPr>
        <w:spacing w:after="0"/>
        <w:rPr>
          <w:rFonts w:ascii="Arial" w:cs="Arial" w:eastAsia="Arial" w:hAnsi="Arial"/>
          <w:sz w:val="17"/>
          <w:szCs w:val="17"/>
          <w:i w:val="1"/>
          <w:iCs w:val="1"/>
          <w:color w:val="auto"/>
        </w:rPr>
      </w:pPr>
      <w:r>
        <w:rPr>
          <w:rFonts w:ascii="Arial" w:cs="Arial" w:eastAsia="Arial" w:hAnsi="Arial"/>
          <w:sz w:val="18"/>
          <w:szCs w:val="18"/>
          <w:i w:val="1"/>
          <w:iCs w:val="1"/>
          <w:color w:val="auto"/>
        </w:rPr>
        <w:t>+ Accumulated earnings with capitalization agreement + Unrealized gains - Goodwill).</w:t>
      </w:r>
    </w:p>
    <w:p>
      <w:pPr>
        <w:spacing w:after="0" w:line="9" w:lineRule="exact"/>
        <w:rPr>
          <w:rFonts w:ascii="Arial" w:cs="Arial" w:eastAsia="Arial" w:hAnsi="Arial"/>
          <w:sz w:val="17"/>
          <w:szCs w:val="17"/>
          <w:i w:val="1"/>
          <w:iCs w:val="1"/>
          <w:color w:val="auto"/>
        </w:rPr>
      </w:pPr>
    </w:p>
    <w:p>
      <w:pPr>
        <w:ind w:left="260" w:hanging="252"/>
        <w:spacing w:after="0"/>
        <w:tabs>
          <w:tab w:leader="none" w:pos="2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Tier 2 = Subordinated debt + Loan loss reserves - (0.5 x Investment in subsidiaries)</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Tier 3 = Subordinated debt covering market risk only. Tier 3 exists since 1Q10.</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Since July 2009, it includes capital requirement to cover price and rate risk.</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Effective as of July 2009.</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Regulatory Capital / Risk-weighted assets (legal minimum = 9.8% since July 2010)</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Until June 2009, Risk-weighted assets = Credit risk-weighted assets + Capital requirement to cover market risk * 11. Since July 2009,</w:t>
      </w:r>
    </w:p>
    <w:p>
      <w:pPr>
        <w:spacing w:after="0" w:line="9"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i w:val="1"/>
          <w:iCs w:val="1"/>
          <w:color w:val="auto"/>
        </w:rPr>
        <w:t>Risk-weighted assets = Credit risk-weighted assets * 0.96 + Capital requirement to cover market risk * 10.5 + Capital requirement to cover operational risk * 10.5</w:t>
      </w:r>
    </w:p>
    <w:p>
      <w:pPr>
        <w:spacing w:after="0" w:line="3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6"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175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III. Banco de Crédito de Bolivia</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w:t>
      </w:r>
    </w:p>
    <w:p>
      <w:pPr>
        <w:spacing w:after="0" w:line="25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3Q10, BCP Bolivia reported net income of US$ 3.4 million, whereby this will probably set the new level of income that can be achieved within the existent economic framework. The results of this quarter represented a 3.7% increase QoQ and a 51.4% contraction YoY. The QoQ increase was due primarily to: (i) higher non-financial income (13.6%), and (ii) lower net provisions for loans (-26.7%). All above offset the reduction of 4.9% QoQ in net interest margin.</w:t>
      </w:r>
    </w:p>
    <w:p>
      <w:pPr>
        <w:spacing w:after="0" w:line="17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Financial income rose due to an increase in the volume of FX transactions, which compensated the effect of the exchange rate that remains fixed and the reduction of the spread, growth in volume has generated an increase in financial income. Net loan provisions fell after the portfolio was restructured to comply with ASFI changes in provision requirements. The main modifications to these norms include a simplification in the portfolio’s segmentation from eight classes to six. This scenario, coupled with the fact that the bank’s policies- which were much more conservative than the legislation previously in effect-have been aligned with ASFI legislation, means that the portfolio is much healthier. This had led BCP to reduce the provisions stipulated under previous policies. The past due loan ratio has also fallen, which has further reduced the need for loan provisions.</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drop in net income YoY (-51.4%) is primarily attributable to lower net interest income, which was generated by (i) excess liquidity, (ii) a decline in the borrowing rate and (iii) an increase in deposits rates (regulated by ASFI). The elimination of some fees (regulated by ASFI) and higher net loan provisions (12.1% YoY) have been insufficient to offset the effect of smaller margin (-33.9% YoY) on the net income.</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prudent strategy to main loan risk allowed BCP to achieve a past due loan ratio of 1.4% in 3Q10 (1.5% in 2Q10 and 2.3% in 3Q09) coverage of 304.5% (284.6% in 2Q10 and 241.3% in 3Q09). These indicators show that BCP Bolivia was one of the top performers in the Bolivian banking system, which reported ratios of 2.5% and 197.2%, respectively, at the end of 3Q10. BCP Bolivia’s ROAE was 18.3%, lower than the 20.0% reported in June 2010 and below the 30.3% registered in September 2009.</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Total loans at the end of September 2010 were US$ 570.7 million, which indicates an 8.6% increase over the US$ 525.6 million reported in June 2010 and 21.2% above the level reported in September 2009. Loan growth in the third quarter was attributable to the bank’s decision to adopt a more aggressive loan strategy due to good economic indicators and the fact that its past due loan ratio was one of the lowest in the banking system.</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This quarter, Retail Banking’s performance, which reported 9.0% growth QoQ and 20.1% YoY, was particularly noteworthy. This increase has an important impact on the bank’s results given it represents 53.3% of the total portfolio (Wholesale Banking represents 43.6% and Special Accounts, 3.1%)and generates higher margins. The Retail Banking product that showed the highest QoQ growth was the commercial segment (19.4%), which represents 8.6% of this portfolio. The Home Mortgage segment represents 44.9% of the Retail Banking portfolio and grew 4.1% QoQ and 13.7% YoY.</w:t>
      </w:r>
    </w:p>
    <w:p>
      <w:pPr>
        <w:spacing w:after="0" w:line="19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terms of liabilities, BCP Bolivia’s deposits increased 6.5% QoQ but fell 8.3% YoY. The QoQ increase is primarily attributable to growth of 21.1% and 4.8% in time deposits and savings accounts, respectively, while the YoY contraction was due to a 24.4% decline in savings accounts with regard to September 2009. This contraction can be traced to a drop savings accounts held by institutional clients, which generated excess liquidity.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Shareholders’ equity increased 3.4% QoQ but fell 8.4% QoQ due to lower quarterly earnings.</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6" w:right="239" w:bottom="1440" w:gutter="0" w:footer="0" w:header="0"/>
        </w:sectPr>
      </w:pPr>
    </w:p>
    <w:bookmarkStart w:id="20" w:name="page21"/>
    <w:bookmarkEnd w:id="20"/>
    <w:p>
      <w:pPr>
        <w:jc w:val="both"/>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175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BCP Bolivia maintained an 11.7% share of the market of current loans (not including rescheduled loans) and holds 11.8% of total deposits. This situates the bank in third place in terms of loans and fourth in deposits in the Bolivian banking system. BCP Bolivia continues to position itself as a bank on the move that provides simple and efficient technological solutions by offering innovative transactional products and increasingly sophisticated on-line services.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60" w:type="dxa"/>
            <w:vAlign w:val="bottom"/>
            <w:gridSpan w:val="2"/>
          </w:tcPr>
          <w:p>
            <w:pPr>
              <w:spacing w:after="0"/>
              <w:rPr>
                <w:sz w:val="20"/>
                <w:szCs w:val="20"/>
                <w:color w:val="auto"/>
              </w:rPr>
            </w:pPr>
            <w:r>
              <w:rPr>
                <w:rFonts w:ascii="Arial" w:cs="Arial" w:eastAsia="Arial" w:hAnsi="Arial"/>
                <w:sz w:val="18"/>
                <w:szCs w:val="18"/>
                <w:b w:val="1"/>
                <w:bCs w:val="1"/>
                <w:color w:val="auto"/>
              </w:rPr>
              <w:t>Banco de Crédito de</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60" w:type="dxa"/>
            <w:vAlign w:val="bottom"/>
            <w:gridSpan w:val="2"/>
          </w:tcPr>
          <w:p>
            <w:pPr>
              <w:spacing w:after="0"/>
              <w:rPr>
                <w:sz w:val="20"/>
                <w:szCs w:val="20"/>
                <w:color w:val="auto"/>
              </w:rPr>
            </w:pPr>
            <w:r>
              <w:rPr>
                <w:rFonts w:ascii="Arial" w:cs="Arial" w:eastAsia="Arial" w:hAnsi="Arial"/>
                <w:sz w:val="18"/>
                <w:szCs w:val="18"/>
                <w:b w:val="1"/>
                <w:bCs w:val="1"/>
                <w:color w:val="auto"/>
              </w:rPr>
              <w:t>Bolivia</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Quarter</w:t>
            </w: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gridSpan w:val="3"/>
          </w:tcPr>
          <w:p>
            <w:pPr>
              <w:ind w:left="600"/>
              <w:spacing w:after="0"/>
              <w:rPr>
                <w:sz w:val="20"/>
                <w:szCs w:val="20"/>
                <w:color w:val="auto"/>
              </w:rPr>
            </w:pPr>
            <w:r>
              <w:rPr>
                <w:rFonts w:ascii="Arial" w:cs="Arial" w:eastAsia="Arial" w:hAnsi="Arial"/>
                <w:sz w:val="18"/>
                <w:szCs w:val="18"/>
                <w:b w:val="1"/>
                <w:bCs w:val="1"/>
                <w:color w:val="auto"/>
                <w:w w:val="91"/>
              </w:rPr>
              <w:t>Change %</w:t>
            </w: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60" w:type="dxa"/>
            <w:vAlign w:val="bottom"/>
            <w:gridSpan w:val="4"/>
          </w:tcPr>
          <w:p>
            <w:pPr>
              <w:jc w:val="right"/>
              <w:ind w:right="720"/>
              <w:spacing w:after="0"/>
              <w:rPr>
                <w:sz w:val="20"/>
                <w:szCs w:val="20"/>
                <w:color w:val="auto"/>
              </w:rPr>
            </w:pPr>
            <w:r>
              <w:rPr>
                <w:rFonts w:ascii="Arial" w:cs="Arial" w:eastAsia="Arial" w:hAnsi="Arial"/>
                <w:sz w:val="18"/>
                <w:szCs w:val="18"/>
                <w:b w:val="1"/>
                <w:bCs w:val="1"/>
                <w:color w:val="auto"/>
              </w:rPr>
              <w:t>Year to date</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Change %</w:t>
            </w:r>
          </w:p>
        </w:tc>
        <w:tc>
          <w:tcPr>
            <w:tcW w:w="0" w:type="dxa"/>
            <w:vAlign w:val="bottom"/>
          </w:tcPr>
          <w:p>
            <w:pPr>
              <w:spacing w:after="0"/>
              <w:rPr>
                <w:sz w:val="1"/>
                <w:szCs w:val="1"/>
                <w:color w:val="auto"/>
              </w:rPr>
            </w:pPr>
          </w:p>
        </w:tc>
      </w:tr>
      <w:tr>
        <w:trPr>
          <w:trHeight w:val="216"/>
        </w:trPr>
        <w:tc>
          <w:tcPr>
            <w:tcW w:w="206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US$ million</w:t>
            </w:r>
          </w:p>
        </w:tc>
        <w:tc>
          <w:tcPr>
            <w:tcW w:w="100" w:type="dxa"/>
            <w:vAlign w:val="bottom"/>
          </w:tcPr>
          <w:p>
            <w:pPr>
              <w:spacing w:after="0"/>
              <w:rPr>
                <w:sz w:val="18"/>
                <w:szCs w:val="18"/>
                <w:color w:val="auto"/>
              </w:rPr>
            </w:pPr>
          </w:p>
        </w:tc>
        <w:tc>
          <w:tcPr>
            <w:tcW w:w="1160" w:type="dxa"/>
            <w:vAlign w:val="bottom"/>
            <w:tcBorders>
              <w:top w:val="single" w:sz="8" w:color="auto"/>
            </w:tcBorders>
            <w:gridSpan w:val="2"/>
          </w:tcPr>
          <w:p>
            <w:pPr>
              <w:jc w:val="right"/>
              <w:ind w:right="500"/>
              <w:spacing w:after="0"/>
              <w:rPr>
                <w:sz w:val="20"/>
                <w:szCs w:val="20"/>
                <w:color w:val="auto"/>
              </w:rPr>
            </w:pPr>
            <w:r>
              <w:rPr>
                <w:rFonts w:ascii="Arial" w:cs="Arial" w:eastAsia="Arial" w:hAnsi="Arial"/>
                <w:sz w:val="18"/>
                <w:szCs w:val="18"/>
                <w:b w:val="1"/>
                <w:bCs w:val="1"/>
                <w:color w:val="auto"/>
              </w:rPr>
              <w:t>3Q10</w:t>
            </w:r>
          </w:p>
        </w:tc>
        <w:tc>
          <w:tcPr>
            <w:tcW w:w="1140" w:type="dxa"/>
            <w:vAlign w:val="bottom"/>
            <w:tcBorders>
              <w:top w:val="single" w:sz="8" w:color="auto"/>
            </w:tcBorders>
            <w:gridSpan w:val="2"/>
          </w:tcPr>
          <w:p>
            <w:pPr>
              <w:jc w:val="right"/>
              <w:ind w:right="500"/>
              <w:spacing w:after="0"/>
              <w:rPr>
                <w:sz w:val="20"/>
                <w:szCs w:val="20"/>
                <w:color w:val="auto"/>
              </w:rPr>
            </w:pPr>
            <w:r>
              <w:rPr>
                <w:rFonts w:ascii="Arial" w:cs="Arial" w:eastAsia="Arial" w:hAnsi="Arial"/>
                <w:sz w:val="18"/>
                <w:szCs w:val="18"/>
                <w:b w:val="1"/>
                <w:bCs w:val="1"/>
                <w:color w:val="auto"/>
              </w:rPr>
              <w:t>2Q10</w:t>
            </w:r>
          </w:p>
        </w:tc>
        <w:tc>
          <w:tcPr>
            <w:tcW w:w="860" w:type="dxa"/>
            <w:vAlign w:val="bottom"/>
            <w:tcBorders>
              <w:top w:val="single" w:sz="8" w:color="auto"/>
            </w:tcBorders>
          </w:tcPr>
          <w:p>
            <w:pPr>
              <w:ind w:left="220"/>
              <w:spacing w:after="0"/>
              <w:rPr>
                <w:sz w:val="20"/>
                <w:szCs w:val="20"/>
                <w:color w:val="auto"/>
              </w:rPr>
            </w:pPr>
            <w:r>
              <w:rPr>
                <w:rFonts w:ascii="Arial" w:cs="Arial" w:eastAsia="Arial" w:hAnsi="Arial"/>
                <w:sz w:val="18"/>
                <w:szCs w:val="18"/>
                <w:b w:val="1"/>
                <w:bCs w:val="1"/>
                <w:color w:val="auto"/>
              </w:rPr>
              <w:t>3Q09</w:t>
            </w:r>
          </w:p>
        </w:tc>
        <w:tc>
          <w:tcPr>
            <w:tcW w:w="280" w:type="dxa"/>
            <w:vAlign w:val="bottom"/>
          </w:tcPr>
          <w:p>
            <w:pPr>
              <w:spacing w:after="0"/>
              <w:rPr>
                <w:sz w:val="18"/>
                <w:szCs w:val="18"/>
                <w:color w:val="auto"/>
              </w:rPr>
            </w:pPr>
          </w:p>
        </w:tc>
        <w:tc>
          <w:tcPr>
            <w:tcW w:w="1420" w:type="dxa"/>
            <w:vAlign w:val="bottom"/>
            <w:tcBorders>
              <w:top w:val="single" w:sz="8" w:color="auto"/>
            </w:tcBorders>
            <w:gridSpan w:val="3"/>
          </w:tcPr>
          <w:p>
            <w:pPr>
              <w:ind w:left="240"/>
              <w:spacing w:after="0"/>
              <w:rPr>
                <w:sz w:val="20"/>
                <w:szCs w:val="20"/>
                <w:color w:val="auto"/>
              </w:rPr>
            </w:pPr>
            <w:r>
              <w:rPr>
                <w:rFonts w:ascii="Arial" w:cs="Arial" w:eastAsia="Arial" w:hAnsi="Arial"/>
                <w:sz w:val="18"/>
                <w:szCs w:val="18"/>
                <w:b w:val="1"/>
                <w:bCs w:val="1"/>
                <w:color w:val="auto"/>
              </w:rPr>
              <w:t>QoQ</w:t>
            </w:r>
          </w:p>
        </w:tc>
        <w:tc>
          <w:tcPr>
            <w:tcW w:w="6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YoY</w:t>
            </w:r>
          </w:p>
        </w:tc>
        <w:tc>
          <w:tcPr>
            <w:tcW w:w="300" w:type="dxa"/>
            <w:vAlign w:val="bottom"/>
          </w:tcPr>
          <w:p>
            <w:pPr>
              <w:spacing w:after="0"/>
              <w:rPr>
                <w:sz w:val="18"/>
                <w:szCs w:val="18"/>
                <w:color w:val="auto"/>
              </w:rPr>
            </w:pPr>
          </w:p>
        </w:tc>
        <w:tc>
          <w:tcPr>
            <w:tcW w:w="1080" w:type="dxa"/>
            <w:vAlign w:val="bottom"/>
            <w:tcBorders>
              <w:top w:val="single" w:sz="8" w:color="auto"/>
            </w:tcBorders>
            <w:gridSpan w:val="2"/>
          </w:tcPr>
          <w:p>
            <w:pPr>
              <w:jc w:val="right"/>
              <w:ind w:right="400"/>
              <w:spacing w:after="0"/>
              <w:rPr>
                <w:sz w:val="20"/>
                <w:szCs w:val="20"/>
                <w:color w:val="auto"/>
              </w:rPr>
            </w:pPr>
            <w:r>
              <w:rPr>
                <w:rFonts w:ascii="Arial" w:cs="Arial" w:eastAsia="Arial" w:hAnsi="Arial"/>
                <w:sz w:val="18"/>
                <w:szCs w:val="18"/>
                <w:b w:val="1"/>
                <w:bCs w:val="1"/>
                <w:color w:val="auto"/>
              </w:rPr>
              <w:t>Sep 10</w:t>
            </w:r>
          </w:p>
        </w:tc>
        <w:tc>
          <w:tcPr>
            <w:tcW w:w="8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Sep 09</w:t>
            </w:r>
          </w:p>
        </w:tc>
        <w:tc>
          <w:tcPr>
            <w:tcW w:w="220" w:type="dxa"/>
            <w:vAlign w:val="bottom"/>
          </w:tcPr>
          <w:p>
            <w:pPr>
              <w:spacing w:after="0"/>
              <w:rPr>
                <w:sz w:val="18"/>
                <w:szCs w:val="18"/>
                <w:color w:val="auto"/>
              </w:rPr>
            </w:pP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Sep 10 / Sep 09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40" w:type="dxa"/>
            <w:vAlign w:val="bottom"/>
            <w:shd w:val="clear" w:color="auto" w:fill="CCFFCC"/>
          </w:tcPr>
          <w:p>
            <w:pPr>
              <w:spacing w:after="0"/>
              <w:rPr>
                <w:sz w:val="20"/>
                <w:szCs w:val="20"/>
                <w:color w:val="auto"/>
              </w:rPr>
            </w:pPr>
            <w:r>
              <w:rPr>
                <w:rFonts w:ascii="Arial" w:cs="Arial" w:eastAsia="Arial" w:hAnsi="Arial"/>
                <w:sz w:val="18"/>
                <w:szCs w:val="18"/>
                <w:color w:val="auto"/>
              </w:rPr>
              <w:t>Net financial income</w:t>
            </w:r>
          </w:p>
        </w:tc>
        <w:tc>
          <w:tcPr>
            <w:tcW w:w="10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7.7</w:t>
            </w:r>
          </w:p>
        </w:tc>
        <w:tc>
          <w:tcPr>
            <w:tcW w:w="11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8.1</w:t>
            </w:r>
          </w:p>
        </w:tc>
        <w:tc>
          <w:tcPr>
            <w:tcW w:w="11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11.6</w:t>
            </w:r>
          </w:p>
        </w:tc>
        <w:tc>
          <w:tcPr>
            <w:tcW w:w="11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-4.9%</w:t>
            </w:r>
          </w:p>
        </w:tc>
        <w:tc>
          <w:tcPr>
            <w:tcW w:w="26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-33.9%</w:t>
            </w:r>
          </w:p>
        </w:tc>
        <w:tc>
          <w:tcPr>
            <w:tcW w:w="10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24.6</w:t>
            </w:r>
          </w:p>
        </w:tc>
        <w:tc>
          <w:tcPr>
            <w:tcW w:w="10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38.7</w:t>
            </w:r>
          </w:p>
        </w:tc>
        <w:tc>
          <w:tcPr>
            <w:tcW w:w="13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40" w:type="dxa"/>
            <w:vAlign w:val="bottom"/>
          </w:tcPr>
          <w:p>
            <w:pPr>
              <w:spacing w:after="0" w:line="201" w:lineRule="exact"/>
              <w:rPr>
                <w:sz w:val="20"/>
                <w:szCs w:val="20"/>
                <w:color w:val="auto"/>
              </w:rPr>
            </w:pPr>
            <w:r>
              <w:rPr>
                <w:rFonts w:ascii="Arial" w:cs="Arial" w:eastAsia="Arial" w:hAnsi="Arial"/>
                <w:sz w:val="18"/>
                <w:szCs w:val="18"/>
                <w:color w:val="auto"/>
              </w:rPr>
              <w:t>Net provisions for loan</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60" w:type="dxa"/>
            <w:vAlign w:val="bottom"/>
            <w:gridSpan w:val="2"/>
          </w:tcPr>
          <w:p>
            <w:pPr>
              <w:spacing w:after="0"/>
              <w:rPr>
                <w:sz w:val="20"/>
                <w:szCs w:val="20"/>
                <w:color w:val="auto"/>
              </w:rPr>
            </w:pPr>
            <w:r>
              <w:rPr>
                <w:rFonts w:ascii="Arial" w:cs="Arial" w:eastAsia="Arial" w:hAnsi="Arial"/>
                <w:sz w:val="18"/>
                <w:szCs w:val="18"/>
                <w:color w:val="auto"/>
              </w:rPr>
              <w:t>losses</w:t>
            </w: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(1.3)</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(1.8)</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-26.7%</w:t>
            </w:r>
          </w:p>
        </w:tc>
        <w:tc>
          <w:tcPr>
            <w:tcW w:w="26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12.1%</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(3.4)</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(5.2)</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CCFFCC"/>
          </w:tcPr>
          <w:p>
            <w:pPr>
              <w:spacing w:after="0"/>
              <w:rPr>
                <w:sz w:val="20"/>
                <w:szCs w:val="20"/>
                <w:color w:val="auto"/>
              </w:rPr>
            </w:pPr>
            <w:r>
              <w:rPr>
                <w:rFonts w:ascii="Arial" w:cs="Arial" w:eastAsia="Arial" w:hAnsi="Arial"/>
                <w:sz w:val="18"/>
                <w:szCs w:val="18"/>
                <w:color w:val="auto"/>
              </w:rPr>
              <w:t>Non financial income</w:t>
            </w:r>
          </w:p>
        </w:tc>
        <w:tc>
          <w:tcPr>
            <w:tcW w:w="1260" w:type="dxa"/>
            <w:vAlign w:val="bottom"/>
            <w:gridSpan w:val="3"/>
            <w:shd w:val="clear" w:color="auto" w:fill="CCFFCC"/>
          </w:tcPr>
          <w:p>
            <w:pPr>
              <w:jc w:val="right"/>
              <w:ind w:right="280"/>
              <w:spacing w:after="0"/>
              <w:rPr>
                <w:sz w:val="20"/>
                <w:szCs w:val="20"/>
                <w:color w:val="auto"/>
              </w:rPr>
            </w:pPr>
            <w:r>
              <w:rPr>
                <w:rFonts w:ascii="Arial" w:cs="Arial" w:eastAsia="Arial" w:hAnsi="Arial"/>
                <w:sz w:val="18"/>
                <w:szCs w:val="18"/>
                <w:color w:val="auto"/>
              </w:rPr>
              <w:t>9.4</w:t>
            </w:r>
          </w:p>
        </w:tc>
        <w:tc>
          <w:tcPr>
            <w:tcW w:w="11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8.3</w:t>
            </w:r>
          </w:p>
        </w:tc>
        <w:tc>
          <w:tcPr>
            <w:tcW w:w="11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9.0</w:t>
            </w:r>
          </w:p>
        </w:tc>
        <w:tc>
          <w:tcPr>
            <w:tcW w:w="11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13.6%</w:t>
            </w:r>
          </w:p>
        </w:tc>
        <w:tc>
          <w:tcPr>
            <w:tcW w:w="26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5.3%</w:t>
            </w:r>
          </w:p>
        </w:tc>
        <w:tc>
          <w:tcPr>
            <w:tcW w:w="10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26.8</w:t>
            </w:r>
          </w:p>
        </w:tc>
        <w:tc>
          <w:tcPr>
            <w:tcW w:w="10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29.4</w:t>
            </w:r>
          </w:p>
        </w:tc>
        <w:tc>
          <w:tcPr>
            <w:tcW w:w="13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Operating expenses</w:t>
            </w: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(11.6)</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(11.0)</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(11.6)</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5.3%</w:t>
            </w:r>
          </w:p>
        </w:tc>
        <w:tc>
          <w:tcPr>
            <w:tcW w:w="2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-0.4%</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(33.6)</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(37.5)</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CCFFCC"/>
          </w:tcPr>
          <w:p>
            <w:pPr>
              <w:spacing w:after="0"/>
              <w:rPr>
                <w:sz w:val="20"/>
                <w:szCs w:val="20"/>
                <w:color w:val="auto"/>
              </w:rPr>
            </w:pPr>
            <w:r>
              <w:rPr>
                <w:rFonts w:ascii="Arial" w:cs="Arial" w:eastAsia="Arial" w:hAnsi="Arial"/>
                <w:sz w:val="18"/>
                <w:szCs w:val="18"/>
                <w:color w:val="auto"/>
              </w:rPr>
              <w:t>Translation result</w:t>
            </w:r>
          </w:p>
        </w:tc>
        <w:tc>
          <w:tcPr>
            <w:tcW w:w="1260" w:type="dxa"/>
            <w:vAlign w:val="bottom"/>
            <w:gridSpan w:val="3"/>
            <w:shd w:val="clear" w:color="auto" w:fill="CCFFCC"/>
          </w:tcPr>
          <w:p>
            <w:pPr>
              <w:jc w:val="right"/>
              <w:ind w:right="280"/>
              <w:spacing w:after="0"/>
              <w:rPr>
                <w:sz w:val="20"/>
                <w:szCs w:val="20"/>
                <w:color w:val="auto"/>
              </w:rPr>
            </w:pPr>
            <w:r>
              <w:rPr>
                <w:rFonts w:ascii="Arial" w:cs="Arial" w:eastAsia="Arial" w:hAnsi="Arial"/>
                <w:sz w:val="18"/>
                <w:szCs w:val="18"/>
                <w:color w:val="auto"/>
              </w:rPr>
              <w:t>0.1</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(0.1)</w:t>
            </w:r>
          </w:p>
        </w:tc>
        <w:tc>
          <w:tcPr>
            <w:tcW w:w="11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0.1</w:t>
            </w:r>
          </w:p>
        </w:tc>
        <w:tc>
          <w:tcPr>
            <w:tcW w:w="11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235.9%</w:t>
            </w:r>
          </w:p>
        </w:tc>
        <w:tc>
          <w:tcPr>
            <w:tcW w:w="26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14.1%</w:t>
            </w:r>
          </w:p>
        </w:tc>
        <w:tc>
          <w:tcPr>
            <w:tcW w:w="10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0.0</w:t>
            </w:r>
          </w:p>
        </w:tc>
        <w:tc>
          <w:tcPr>
            <w:tcW w:w="10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(0.3)</w:t>
            </w:r>
          </w:p>
        </w:tc>
        <w:tc>
          <w:tcPr>
            <w:tcW w:w="13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Income tax</w:t>
            </w:r>
          </w:p>
        </w:tc>
        <w:tc>
          <w:tcPr>
            <w:tcW w:w="1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(0.8)</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(0.2)</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(0.7)</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312.0%</w:t>
            </w:r>
          </w:p>
        </w:tc>
        <w:tc>
          <w:tcPr>
            <w:tcW w:w="2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12.3%</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(2.1)</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b w:val="1"/>
                <w:bCs w:val="1"/>
                <w:color w:val="auto"/>
              </w:rPr>
              <w:t>3.4</w:t>
            </w:r>
          </w:p>
        </w:tc>
        <w:tc>
          <w:tcPr>
            <w:tcW w:w="11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b w:val="1"/>
                <w:bCs w:val="1"/>
                <w:color w:val="auto"/>
              </w:rPr>
              <w:t>3.3</w:t>
            </w:r>
          </w:p>
        </w:tc>
        <w:tc>
          <w:tcPr>
            <w:tcW w:w="11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b w:val="1"/>
                <w:bCs w:val="1"/>
                <w:color w:val="auto"/>
              </w:rPr>
              <w:t>7.1</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3.7%</w:t>
            </w:r>
          </w:p>
        </w:tc>
        <w:tc>
          <w:tcPr>
            <w:tcW w:w="26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-51.4%</w:t>
            </w:r>
          </w:p>
        </w:tc>
        <w:tc>
          <w:tcPr>
            <w:tcW w:w="10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12.4</w:t>
            </w:r>
          </w:p>
        </w:tc>
        <w:tc>
          <w:tcPr>
            <w:tcW w:w="10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22.6</w:t>
            </w:r>
          </w:p>
        </w:tc>
        <w:tc>
          <w:tcPr>
            <w:tcW w:w="134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-45.2%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4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Total loans</w:t>
            </w:r>
          </w:p>
        </w:tc>
        <w:tc>
          <w:tcPr>
            <w:tcW w:w="1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570.7</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525.6</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470.8</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8.6%</w:t>
            </w:r>
          </w:p>
        </w:tc>
        <w:tc>
          <w:tcPr>
            <w:tcW w:w="2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21.2%</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CCFFCC"/>
          </w:tcPr>
          <w:p>
            <w:pPr>
              <w:spacing w:after="0"/>
              <w:rPr>
                <w:sz w:val="20"/>
                <w:szCs w:val="20"/>
                <w:color w:val="auto"/>
              </w:rPr>
            </w:pPr>
            <w:r>
              <w:rPr>
                <w:rFonts w:ascii="Arial" w:cs="Arial" w:eastAsia="Arial" w:hAnsi="Arial"/>
                <w:sz w:val="18"/>
                <w:szCs w:val="18"/>
                <w:color w:val="auto"/>
              </w:rPr>
              <w:t>Past due loans</w:t>
            </w:r>
          </w:p>
        </w:tc>
        <w:tc>
          <w:tcPr>
            <w:tcW w:w="1260" w:type="dxa"/>
            <w:vAlign w:val="bottom"/>
            <w:gridSpan w:val="3"/>
            <w:shd w:val="clear" w:color="auto" w:fill="CCFFCC"/>
          </w:tcPr>
          <w:p>
            <w:pPr>
              <w:jc w:val="right"/>
              <w:ind w:right="280"/>
              <w:spacing w:after="0"/>
              <w:rPr>
                <w:sz w:val="20"/>
                <w:szCs w:val="20"/>
                <w:color w:val="auto"/>
              </w:rPr>
            </w:pPr>
            <w:r>
              <w:rPr>
                <w:rFonts w:ascii="Arial" w:cs="Arial" w:eastAsia="Arial" w:hAnsi="Arial"/>
                <w:sz w:val="18"/>
                <w:szCs w:val="18"/>
                <w:color w:val="auto"/>
              </w:rPr>
              <w:t>7.9</w:t>
            </w:r>
          </w:p>
        </w:tc>
        <w:tc>
          <w:tcPr>
            <w:tcW w:w="11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8.1</w:t>
            </w:r>
          </w:p>
        </w:tc>
        <w:tc>
          <w:tcPr>
            <w:tcW w:w="11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10.7</w:t>
            </w:r>
          </w:p>
        </w:tc>
        <w:tc>
          <w:tcPr>
            <w:tcW w:w="11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-2.6%</w:t>
            </w:r>
          </w:p>
        </w:tc>
        <w:tc>
          <w:tcPr>
            <w:tcW w:w="26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-26.4%</w:t>
            </w:r>
          </w:p>
        </w:tc>
        <w:tc>
          <w:tcPr>
            <w:tcW w:w="8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40" w:type="dxa"/>
            <w:vAlign w:val="bottom"/>
          </w:tcPr>
          <w:p>
            <w:pPr>
              <w:spacing w:after="0" w:line="201" w:lineRule="exact"/>
              <w:rPr>
                <w:sz w:val="20"/>
                <w:szCs w:val="20"/>
                <w:color w:val="auto"/>
              </w:rPr>
            </w:pPr>
            <w:r>
              <w:rPr>
                <w:rFonts w:ascii="Arial" w:cs="Arial" w:eastAsia="Arial" w:hAnsi="Arial"/>
                <w:sz w:val="18"/>
                <w:szCs w:val="18"/>
                <w:color w:val="auto"/>
                <w:w w:val="95"/>
              </w:rPr>
              <w:t>Net provisions for possible</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60" w:type="dxa"/>
            <w:vAlign w:val="bottom"/>
            <w:gridSpan w:val="2"/>
          </w:tcPr>
          <w:p>
            <w:pPr>
              <w:spacing w:after="0"/>
              <w:rPr>
                <w:sz w:val="20"/>
                <w:szCs w:val="20"/>
                <w:color w:val="auto"/>
              </w:rPr>
            </w:pPr>
            <w:r>
              <w:rPr>
                <w:rFonts w:ascii="Arial" w:cs="Arial" w:eastAsia="Arial" w:hAnsi="Arial"/>
                <w:sz w:val="18"/>
                <w:szCs w:val="18"/>
                <w:color w:val="auto"/>
              </w:rPr>
              <w:t>loan losses</w:t>
            </w: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(23.1)</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(22.3)</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(24.0)</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3.8%</w:t>
            </w:r>
          </w:p>
        </w:tc>
        <w:tc>
          <w:tcPr>
            <w:tcW w:w="26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-3.8%</w:t>
            </w: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CCFFCC"/>
          </w:tcPr>
          <w:p>
            <w:pPr>
              <w:spacing w:after="0"/>
              <w:rPr>
                <w:sz w:val="20"/>
                <w:szCs w:val="20"/>
                <w:color w:val="auto"/>
              </w:rPr>
            </w:pPr>
            <w:r>
              <w:rPr>
                <w:rFonts w:ascii="Arial" w:cs="Arial" w:eastAsia="Arial" w:hAnsi="Arial"/>
                <w:sz w:val="18"/>
                <w:szCs w:val="18"/>
                <w:color w:val="auto"/>
              </w:rPr>
              <w:t>Total investments</w:t>
            </w:r>
          </w:p>
        </w:tc>
        <w:tc>
          <w:tcPr>
            <w:tcW w:w="1260" w:type="dxa"/>
            <w:vAlign w:val="bottom"/>
            <w:gridSpan w:val="3"/>
            <w:shd w:val="clear" w:color="auto" w:fill="CCFFCC"/>
          </w:tcPr>
          <w:p>
            <w:pPr>
              <w:jc w:val="right"/>
              <w:ind w:right="280"/>
              <w:spacing w:after="0"/>
              <w:rPr>
                <w:sz w:val="20"/>
                <w:szCs w:val="20"/>
                <w:color w:val="auto"/>
              </w:rPr>
            </w:pPr>
            <w:r>
              <w:rPr>
                <w:rFonts w:ascii="Arial" w:cs="Arial" w:eastAsia="Arial" w:hAnsi="Arial"/>
                <w:sz w:val="18"/>
                <w:szCs w:val="18"/>
                <w:color w:val="auto"/>
              </w:rPr>
              <w:t>224.5</w:t>
            </w:r>
          </w:p>
        </w:tc>
        <w:tc>
          <w:tcPr>
            <w:tcW w:w="11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267.0</w:t>
            </w:r>
          </w:p>
        </w:tc>
        <w:tc>
          <w:tcPr>
            <w:tcW w:w="11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328.1</w:t>
            </w:r>
          </w:p>
        </w:tc>
        <w:tc>
          <w:tcPr>
            <w:tcW w:w="11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-15.9%</w:t>
            </w:r>
          </w:p>
        </w:tc>
        <w:tc>
          <w:tcPr>
            <w:tcW w:w="26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-31.6%</w:t>
            </w:r>
          </w:p>
        </w:tc>
        <w:tc>
          <w:tcPr>
            <w:tcW w:w="8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Total assets</w:t>
            </w:r>
          </w:p>
        </w:tc>
        <w:tc>
          <w:tcPr>
            <w:tcW w:w="1260" w:type="dxa"/>
            <w:vAlign w:val="bottom"/>
            <w:gridSpan w:val="3"/>
          </w:tcPr>
          <w:p>
            <w:pPr>
              <w:jc w:val="right"/>
              <w:ind w:right="280"/>
              <w:spacing w:after="0"/>
              <w:rPr>
                <w:sz w:val="20"/>
                <w:szCs w:val="20"/>
                <w:color w:val="auto"/>
              </w:rPr>
            </w:pPr>
            <w:r>
              <w:rPr>
                <w:rFonts w:ascii="Arial" w:cs="Arial" w:eastAsia="Arial" w:hAnsi="Arial"/>
                <w:sz w:val="18"/>
                <w:szCs w:val="18"/>
                <w:color w:val="auto"/>
              </w:rPr>
              <w:t>1,014.2</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965.8</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1,120.1</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5.0%</w:t>
            </w:r>
          </w:p>
        </w:tc>
        <w:tc>
          <w:tcPr>
            <w:tcW w:w="2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-9.5%</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CCFFCC"/>
          </w:tcPr>
          <w:p>
            <w:pPr>
              <w:spacing w:after="0"/>
              <w:rPr>
                <w:sz w:val="20"/>
                <w:szCs w:val="20"/>
                <w:color w:val="auto"/>
              </w:rPr>
            </w:pPr>
            <w:r>
              <w:rPr>
                <w:rFonts w:ascii="Arial" w:cs="Arial" w:eastAsia="Arial" w:hAnsi="Arial"/>
                <w:sz w:val="18"/>
                <w:szCs w:val="18"/>
                <w:color w:val="auto"/>
              </w:rPr>
              <w:t>Total deposits</w:t>
            </w:r>
          </w:p>
        </w:tc>
        <w:tc>
          <w:tcPr>
            <w:tcW w:w="1260" w:type="dxa"/>
            <w:vAlign w:val="bottom"/>
            <w:gridSpan w:val="3"/>
            <w:shd w:val="clear" w:color="auto" w:fill="CCFFCC"/>
          </w:tcPr>
          <w:p>
            <w:pPr>
              <w:jc w:val="right"/>
              <w:ind w:right="280"/>
              <w:spacing w:after="0"/>
              <w:rPr>
                <w:sz w:val="20"/>
                <w:szCs w:val="20"/>
                <w:color w:val="auto"/>
              </w:rPr>
            </w:pPr>
            <w:r>
              <w:rPr>
                <w:rFonts w:ascii="Arial" w:cs="Arial" w:eastAsia="Arial" w:hAnsi="Arial"/>
                <w:sz w:val="18"/>
                <w:szCs w:val="18"/>
                <w:color w:val="auto"/>
              </w:rPr>
              <w:t>888.2</w:t>
            </w:r>
          </w:p>
        </w:tc>
        <w:tc>
          <w:tcPr>
            <w:tcW w:w="11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833.8</w:t>
            </w:r>
          </w:p>
        </w:tc>
        <w:tc>
          <w:tcPr>
            <w:tcW w:w="11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968.6</w:t>
            </w:r>
          </w:p>
        </w:tc>
        <w:tc>
          <w:tcPr>
            <w:tcW w:w="11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6.5%</w:t>
            </w:r>
          </w:p>
        </w:tc>
        <w:tc>
          <w:tcPr>
            <w:tcW w:w="26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-8.3%</w:t>
            </w:r>
          </w:p>
        </w:tc>
        <w:tc>
          <w:tcPr>
            <w:tcW w:w="8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Net shareholders' equity</w:t>
            </w:r>
          </w:p>
        </w:tc>
        <w:tc>
          <w:tcPr>
            <w:tcW w:w="1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92.6</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89.5</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101.1</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3.4%</w:t>
            </w:r>
          </w:p>
        </w:tc>
        <w:tc>
          <w:tcPr>
            <w:tcW w:w="2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-8.4%</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40" w:type="dxa"/>
            <w:vAlign w:val="bottom"/>
            <w:shd w:val="clear" w:color="auto" w:fill="CCFFCC"/>
          </w:tcPr>
          <w:p>
            <w:pPr>
              <w:spacing w:after="0"/>
              <w:rPr>
                <w:sz w:val="20"/>
                <w:szCs w:val="20"/>
                <w:color w:val="auto"/>
              </w:rPr>
            </w:pPr>
            <w:r>
              <w:rPr>
                <w:rFonts w:ascii="Arial" w:cs="Arial" w:eastAsia="Arial" w:hAnsi="Arial"/>
                <w:sz w:val="18"/>
                <w:szCs w:val="18"/>
                <w:color w:val="auto"/>
              </w:rPr>
              <w:t>PDL / total loans</w:t>
            </w:r>
          </w:p>
        </w:tc>
        <w:tc>
          <w:tcPr>
            <w:tcW w:w="10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1.39%</w:t>
            </w:r>
          </w:p>
        </w:tc>
        <w:tc>
          <w:tcPr>
            <w:tcW w:w="11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1.54%</w:t>
            </w:r>
          </w:p>
        </w:tc>
        <w:tc>
          <w:tcPr>
            <w:tcW w:w="11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2.28%</w:t>
            </w:r>
          </w:p>
        </w:tc>
        <w:tc>
          <w:tcPr>
            <w:tcW w:w="86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6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Coverage ratio of PDLs</w:t>
            </w:r>
          </w:p>
        </w:tc>
        <w:tc>
          <w:tcPr>
            <w:tcW w:w="1260" w:type="dxa"/>
            <w:vAlign w:val="bottom"/>
            <w:gridSpan w:val="3"/>
          </w:tcPr>
          <w:p>
            <w:pPr>
              <w:jc w:val="right"/>
              <w:ind w:right="120"/>
              <w:spacing w:after="0"/>
              <w:rPr>
                <w:sz w:val="20"/>
                <w:szCs w:val="20"/>
                <w:color w:val="auto"/>
              </w:rPr>
            </w:pPr>
            <w:r>
              <w:rPr>
                <w:rFonts w:ascii="Arial" w:cs="Arial" w:eastAsia="Arial" w:hAnsi="Arial"/>
                <w:sz w:val="18"/>
                <w:szCs w:val="18"/>
                <w:color w:val="auto"/>
              </w:rPr>
              <w:t>304.5%</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284.6%</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241.3%</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CCFFCC"/>
          </w:tcPr>
          <w:p>
            <w:pPr>
              <w:spacing w:after="0"/>
              <w:rPr>
                <w:sz w:val="20"/>
                <w:szCs w:val="20"/>
                <w:color w:val="auto"/>
              </w:rPr>
            </w:pPr>
            <w:r>
              <w:rPr>
                <w:rFonts w:ascii="Arial" w:cs="Arial" w:eastAsia="Arial" w:hAnsi="Arial"/>
                <w:sz w:val="18"/>
                <w:szCs w:val="18"/>
                <w:color w:val="auto"/>
              </w:rPr>
              <w:t>ROAE*</w:t>
            </w:r>
          </w:p>
        </w:tc>
        <w:tc>
          <w:tcPr>
            <w:tcW w:w="126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18.3%</w:t>
            </w:r>
          </w:p>
        </w:tc>
        <w:tc>
          <w:tcPr>
            <w:tcW w:w="11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20.0%</w:t>
            </w:r>
          </w:p>
        </w:tc>
        <w:tc>
          <w:tcPr>
            <w:tcW w:w="11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30.3%</w:t>
            </w:r>
          </w:p>
        </w:tc>
        <w:tc>
          <w:tcPr>
            <w:tcW w:w="86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6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Branches</w:t>
            </w:r>
          </w:p>
        </w:tc>
        <w:tc>
          <w:tcPr>
            <w:tcW w:w="1260" w:type="dxa"/>
            <w:vAlign w:val="bottom"/>
            <w:gridSpan w:val="3"/>
          </w:tcPr>
          <w:p>
            <w:pPr>
              <w:jc w:val="right"/>
              <w:ind w:right="280"/>
              <w:spacing w:after="0"/>
              <w:rPr>
                <w:sz w:val="20"/>
                <w:szCs w:val="20"/>
                <w:color w:val="auto"/>
              </w:rPr>
            </w:pPr>
            <w:r>
              <w:rPr>
                <w:rFonts w:ascii="Arial" w:cs="Arial" w:eastAsia="Arial" w:hAnsi="Arial"/>
                <w:sz w:val="18"/>
                <w:szCs w:val="18"/>
                <w:color w:val="auto"/>
              </w:rPr>
              <w:t>65</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65</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65</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CCFFCC"/>
          </w:tcPr>
          <w:p>
            <w:pPr>
              <w:spacing w:after="0"/>
              <w:rPr>
                <w:sz w:val="20"/>
                <w:szCs w:val="20"/>
                <w:color w:val="auto"/>
              </w:rPr>
            </w:pPr>
            <w:r>
              <w:rPr>
                <w:rFonts w:ascii="Arial" w:cs="Arial" w:eastAsia="Arial" w:hAnsi="Arial"/>
                <w:sz w:val="18"/>
                <w:szCs w:val="18"/>
                <w:color w:val="auto"/>
              </w:rPr>
              <w:t>Agentes</w:t>
            </w:r>
          </w:p>
        </w:tc>
        <w:tc>
          <w:tcPr>
            <w:tcW w:w="1260" w:type="dxa"/>
            <w:vAlign w:val="bottom"/>
            <w:gridSpan w:val="3"/>
            <w:shd w:val="clear" w:color="auto" w:fill="CCFFCC"/>
          </w:tcPr>
          <w:p>
            <w:pPr>
              <w:jc w:val="right"/>
              <w:ind w:right="280"/>
              <w:spacing w:after="0"/>
              <w:rPr>
                <w:sz w:val="20"/>
                <w:szCs w:val="20"/>
                <w:color w:val="auto"/>
              </w:rPr>
            </w:pPr>
            <w:r>
              <w:rPr>
                <w:rFonts w:ascii="Arial" w:cs="Arial" w:eastAsia="Arial" w:hAnsi="Arial"/>
                <w:sz w:val="18"/>
                <w:szCs w:val="18"/>
                <w:color w:val="auto"/>
              </w:rPr>
              <w:t>35</w:t>
            </w:r>
          </w:p>
        </w:tc>
        <w:tc>
          <w:tcPr>
            <w:tcW w:w="11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40</w:t>
            </w:r>
          </w:p>
        </w:tc>
        <w:tc>
          <w:tcPr>
            <w:tcW w:w="11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55</w:t>
            </w:r>
          </w:p>
        </w:tc>
        <w:tc>
          <w:tcPr>
            <w:tcW w:w="86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6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ATMs</w:t>
            </w:r>
          </w:p>
        </w:tc>
        <w:tc>
          <w:tcPr>
            <w:tcW w:w="1260" w:type="dxa"/>
            <w:vAlign w:val="bottom"/>
            <w:gridSpan w:val="3"/>
          </w:tcPr>
          <w:p>
            <w:pPr>
              <w:jc w:val="right"/>
              <w:ind w:right="280"/>
              <w:spacing w:after="0"/>
              <w:rPr>
                <w:sz w:val="20"/>
                <w:szCs w:val="20"/>
                <w:color w:val="auto"/>
              </w:rPr>
            </w:pPr>
            <w:r>
              <w:rPr>
                <w:rFonts w:ascii="Arial" w:cs="Arial" w:eastAsia="Arial" w:hAnsi="Arial"/>
                <w:sz w:val="18"/>
                <w:szCs w:val="18"/>
                <w:color w:val="auto"/>
              </w:rPr>
              <w:t>172</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171</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172</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CCFFCC"/>
          </w:tcPr>
          <w:p>
            <w:pPr>
              <w:spacing w:after="0"/>
              <w:rPr>
                <w:sz w:val="20"/>
                <w:szCs w:val="20"/>
                <w:color w:val="auto"/>
              </w:rPr>
            </w:pPr>
            <w:r>
              <w:rPr>
                <w:rFonts w:ascii="Arial" w:cs="Arial" w:eastAsia="Arial" w:hAnsi="Arial"/>
                <w:sz w:val="18"/>
                <w:szCs w:val="18"/>
                <w:color w:val="auto"/>
              </w:rPr>
              <w:t>Employees</w:t>
            </w:r>
          </w:p>
        </w:tc>
        <w:tc>
          <w:tcPr>
            <w:tcW w:w="10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1,396</w:t>
            </w:r>
          </w:p>
        </w:tc>
        <w:tc>
          <w:tcPr>
            <w:tcW w:w="11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1,368</w:t>
            </w:r>
          </w:p>
        </w:tc>
        <w:tc>
          <w:tcPr>
            <w:tcW w:w="11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1,522</w:t>
            </w:r>
          </w:p>
        </w:tc>
        <w:tc>
          <w:tcPr>
            <w:tcW w:w="86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6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4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860" w:type="dxa"/>
            <w:vAlign w:val="bottom"/>
            <w:shd w:val="clear" w:color="auto" w:fill="CCFFCC"/>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600" w:type="dxa"/>
            <w:vAlign w:val="bottom"/>
            <w:shd w:val="clear" w:color="auto" w:fill="CCFFCC"/>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860" w:type="dxa"/>
            <w:vAlign w:val="bottom"/>
            <w:shd w:val="clear" w:color="auto" w:fill="CCFFCC"/>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860" w:type="dxa"/>
            <w:vAlign w:val="bottom"/>
            <w:shd w:val="clear" w:color="auto" w:fill="CCFFCC"/>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60" w:type="dxa"/>
            <w:vAlign w:val="bottom"/>
            <w:shd w:val="clear" w:color="auto" w:fill="CCFFCC"/>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i w:val="1"/>
          <w:iCs w:val="1"/>
          <w:color w:val="auto"/>
        </w:rPr>
        <w:t>* ROAE: (Acumulated net income / average monthly equity (from dec. to date))/(number of months)*12</w:t>
      </w:r>
    </w:p>
    <w:p>
      <w:pPr>
        <w:spacing w:after="0" w:line="3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0"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4"/>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IV. Financiera Edyficar</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Edyficar</w:t>
            </w:r>
          </w:p>
        </w:tc>
        <w:tc>
          <w:tcPr>
            <w:tcW w:w="100" w:type="dxa"/>
            <w:vAlign w:val="bottom"/>
          </w:tcPr>
          <w:p>
            <w:pPr>
              <w:spacing w:after="0"/>
              <w:rPr>
                <w:sz w:val="24"/>
                <w:szCs w:val="24"/>
                <w:color w:val="auto"/>
              </w:rPr>
            </w:pPr>
          </w:p>
        </w:tc>
        <w:tc>
          <w:tcPr>
            <w:tcW w:w="1540" w:type="dxa"/>
            <w:vAlign w:val="bottom"/>
            <w:gridSpan w:val="3"/>
          </w:tcPr>
          <w:p>
            <w:pPr>
              <w:ind w:left="820"/>
              <w:spacing w:after="0"/>
              <w:rPr>
                <w:sz w:val="20"/>
                <w:szCs w:val="20"/>
                <w:color w:val="auto"/>
              </w:rPr>
            </w:pPr>
            <w:r>
              <w:rPr>
                <w:rFonts w:ascii="Arial" w:cs="Arial" w:eastAsia="Arial" w:hAnsi="Arial"/>
                <w:sz w:val="18"/>
                <w:szCs w:val="18"/>
                <w:b w:val="1"/>
                <w:bCs w:val="1"/>
                <w:color w:val="auto"/>
              </w:rPr>
              <w:t>Quarter</w:t>
            </w: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3"/>
              </w:rPr>
              <w:t>Year to date</w:t>
            </w: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Change %</w:t>
            </w:r>
          </w:p>
        </w:tc>
        <w:tc>
          <w:tcPr>
            <w:tcW w:w="0" w:type="dxa"/>
            <w:vAlign w:val="bottom"/>
          </w:tcPr>
          <w:p>
            <w:pPr>
              <w:spacing w:after="0"/>
              <w:rPr>
                <w:sz w:val="1"/>
                <w:szCs w:val="1"/>
                <w:color w:val="auto"/>
              </w:rPr>
            </w:pPr>
          </w:p>
        </w:tc>
      </w:tr>
      <w:tr>
        <w:trPr>
          <w:trHeight w:val="216"/>
        </w:trPr>
        <w:tc>
          <w:tcPr>
            <w:tcW w:w="51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US$ 000</w:t>
            </w:r>
          </w:p>
        </w:tc>
        <w:tc>
          <w:tcPr>
            <w:tcW w:w="100" w:type="dxa"/>
            <w:vAlign w:val="bottom"/>
          </w:tcPr>
          <w:p>
            <w:pPr>
              <w:spacing w:after="0"/>
              <w:rPr>
                <w:sz w:val="18"/>
                <w:szCs w:val="18"/>
                <w:color w:val="auto"/>
              </w:rPr>
            </w:pPr>
          </w:p>
        </w:tc>
        <w:tc>
          <w:tcPr>
            <w:tcW w:w="1540" w:type="dxa"/>
            <w:vAlign w:val="bottom"/>
            <w:tcBorders>
              <w:top w:val="single" w:sz="8" w:color="auto"/>
            </w:tcBorders>
            <w:gridSpan w:val="3"/>
          </w:tcPr>
          <w:p>
            <w:pPr>
              <w:ind w:left="360"/>
              <w:spacing w:after="0"/>
              <w:rPr>
                <w:sz w:val="20"/>
                <w:szCs w:val="20"/>
                <w:color w:val="auto"/>
              </w:rPr>
            </w:pPr>
            <w:r>
              <w:rPr>
                <w:rFonts w:ascii="Arial" w:cs="Arial" w:eastAsia="Arial" w:hAnsi="Arial"/>
                <w:sz w:val="18"/>
                <w:szCs w:val="18"/>
                <w:b w:val="1"/>
                <w:bCs w:val="1"/>
                <w:color w:val="auto"/>
              </w:rPr>
              <w:t>3Q10</w:t>
            </w:r>
          </w:p>
        </w:tc>
        <w:tc>
          <w:tcPr>
            <w:tcW w:w="740" w:type="dxa"/>
            <w:vAlign w:val="bottom"/>
            <w:tcBorders>
              <w:top w:val="single" w:sz="8" w:color="auto"/>
            </w:tcBorders>
          </w:tcPr>
          <w:p>
            <w:pPr>
              <w:ind w:left="80"/>
              <w:spacing w:after="0"/>
              <w:rPr>
                <w:sz w:val="20"/>
                <w:szCs w:val="20"/>
                <w:color w:val="auto"/>
              </w:rPr>
            </w:pPr>
            <w:r>
              <w:rPr>
                <w:rFonts w:ascii="Arial" w:cs="Arial" w:eastAsia="Arial" w:hAnsi="Arial"/>
                <w:sz w:val="18"/>
                <w:szCs w:val="18"/>
                <w:b w:val="1"/>
                <w:bCs w:val="1"/>
                <w:color w:val="auto"/>
              </w:rPr>
              <w:t>2Q10</w:t>
            </w:r>
          </w:p>
        </w:tc>
        <w:tc>
          <w:tcPr>
            <w:tcW w:w="260" w:type="dxa"/>
            <w:vAlign w:val="bottom"/>
          </w:tcPr>
          <w:p>
            <w:pPr>
              <w:spacing w:after="0"/>
              <w:rPr>
                <w:sz w:val="18"/>
                <w:szCs w:val="18"/>
                <w:color w:val="auto"/>
              </w:rPr>
            </w:pPr>
          </w:p>
        </w:tc>
        <w:tc>
          <w:tcPr>
            <w:tcW w:w="10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Sep 10</w:t>
            </w:r>
          </w:p>
        </w:tc>
        <w:tc>
          <w:tcPr>
            <w:tcW w:w="260" w:type="dxa"/>
            <w:vAlign w:val="bottom"/>
          </w:tcPr>
          <w:p>
            <w:pPr>
              <w:spacing w:after="0"/>
              <w:rPr>
                <w:sz w:val="18"/>
                <w:szCs w:val="18"/>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QoQ</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FFCC"/>
          </w:tcPr>
          <w:p>
            <w:pPr>
              <w:spacing w:after="0"/>
              <w:rPr>
                <w:sz w:val="20"/>
                <w:szCs w:val="20"/>
                <w:color w:val="auto"/>
              </w:rPr>
            </w:pPr>
            <w:r>
              <w:rPr>
                <w:rFonts w:ascii="Arial" w:cs="Arial" w:eastAsia="Arial" w:hAnsi="Arial"/>
                <w:sz w:val="18"/>
                <w:szCs w:val="18"/>
                <w:color w:val="auto"/>
              </w:rPr>
              <w:t>Net financial income</w:t>
            </w:r>
          </w:p>
        </w:tc>
        <w:tc>
          <w:tcPr>
            <w:tcW w:w="10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21,571</w:t>
            </w:r>
          </w:p>
        </w:tc>
        <w:tc>
          <w:tcPr>
            <w:tcW w:w="26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19,499</w:t>
            </w:r>
          </w:p>
        </w:tc>
        <w:tc>
          <w:tcPr>
            <w:tcW w:w="12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58,371</w:t>
            </w:r>
          </w:p>
        </w:tc>
        <w:tc>
          <w:tcPr>
            <w:tcW w:w="12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Total provisions for loan loasses</w:t>
            </w:r>
          </w:p>
        </w:tc>
        <w:tc>
          <w:tcPr>
            <w:tcW w:w="1380" w:type="dxa"/>
            <w:vAlign w:val="bottom"/>
            <w:gridSpan w:val="3"/>
          </w:tcPr>
          <w:p>
            <w:pPr>
              <w:jc w:val="right"/>
              <w:ind w:right="200"/>
              <w:spacing w:after="0"/>
              <w:rPr>
                <w:sz w:val="20"/>
                <w:szCs w:val="20"/>
                <w:color w:val="auto"/>
              </w:rPr>
            </w:pPr>
            <w:r>
              <w:rPr>
                <w:rFonts w:ascii="Arial" w:cs="Arial" w:eastAsia="Arial" w:hAnsi="Arial"/>
                <w:sz w:val="18"/>
                <w:szCs w:val="18"/>
                <w:color w:val="auto"/>
              </w:rPr>
              <w:t>(1,887)</w:t>
            </w:r>
          </w:p>
        </w:tc>
        <w:tc>
          <w:tcPr>
            <w:tcW w:w="2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(1,238)</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(2,988)</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FFCC"/>
          </w:tcPr>
          <w:p>
            <w:pPr>
              <w:spacing w:after="0"/>
              <w:rPr>
                <w:sz w:val="20"/>
                <w:szCs w:val="20"/>
                <w:color w:val="auto"/>
              </w:rPr>
            </w:pPr>
            <w:r>
              <w:rPr>
                <w:rFonts w:ascii="Arial" w:cs="Arial" w:eastAsia="Arial" w:hAnsi="Arial"/>
                <w:sz w:val="18"/>
                <w:szCs w:val="18"/>
                <w:color w:val="auto"/>
              </w:rPr>
              <w:t>Non financial income</w:t>
            </w:r>
          </w:p>
        </w:tc>
        <w:tc>
          <w:tcPr>
            <w:tcW w:w="1380" w:type="dxa"/>
            <w:vAlign w:val="bottom"/>
            <w:gridSpan w:val="3"/>
            <w:shd w:val="clear" w:color="auto" w:fill="CCFFCC"/>
          </w:tcPr>
          <w:p>
            <w:pPr>
              <w:jc w:val="right"/>
              <w:ind w:right="260"/>
              <w:spacing w:after="0"/>
              <w:rPr>
                <w:sz w:val="20"/>
                <w:szCs w:val="20"/>
                <w:color w:val="auto"/>
              </w:rPr>
            </w:pPr>
            <w:r>
              <w:rPr>
                <w:rFonts w:ascii="Arial" w:cs="Arial" w:eastAsia="Arial" w:hAnsi="Arial"/>
                <w:sz w:val="18"/>
                <w:szCs w:val="18"/>
                <w:color w:val="auto"/>
              </w:rPr>
              <w:t>223</w:t>
            </w:r>
          </w:p>
        </w:tc>
        <w:tc>
          <w:tcPr>
            <w:tcW w:w="26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217</w:t>
            </w:r>
          </w:p>
        </w:tc>
        <w:tc>
          <w:tcPr>
            <w:tcW w:w="12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533</w:t>
            </w:r>
          </w:p>
        </w:tc>
        <w:tc>
          <w:tcPr>
            <w:tcW w:w="12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Operating expenses</w:t>
            </w:r>
          </w:p>
        </w:tc>
        <w:tc>
          <w:tcPr>
            <w:tcW w:w="1380" w:type="dxa"/>
            <w:vAlign w:val="bottom"/>
            <w:gridSpan w:val="3"/>
          </w:tcPr>
          <w:p>
            <w:pPr>
              <w:jc w:val="right"/>
              <w:ind w:right="200"/>
              <w:spacing w:after="0"/>
              <w:rPr>
                <w:sz w:val="20"/>
                <w:szCs w:val="20"/>
                <w:color w:val="auto"/>
              </w:rPr>
            </w:pPr>
            <w:r>
              <w:rPr>
                <w:rFonts w:ascii="Arial" w:cs="Arial" w:eastAsia="Arial" w:hAnsi="Arial"/>
                <w:sz w:val="18"/>
                <w:szCs w:val="18"/>
                <w:color w:val="auto"/>
              </w:rPr>
              <w:t>(13,147)</w:t>
            </w:r>
          </w:p>
        </w:tc>
        <w:tc>
          <w:tcPr>
            <w:tcW w:w="2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(10,996)</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(33,905)</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Operating Income</w:t>
            </w:r>
          </w:p>
        </w:tc>
        <w:tc>
          <w:tcPr>
            <w:tcW w:w="1380" w:type="dxa"/>
            <w:vAlign w:val="bottom"/>
            <w:gridSpan w:val="3"/>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6,761</w:t>
            </w:r>
          </w:p>
        </w:tc>
        <w:tc>
          <w:tcPr>
            <w:tcW w:w="26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7,482</w:t>
            </w:r>
          </w:p>
        </w:tc>
        <w:tc>
          <w:tcPr>
            <w:tcW w:w="12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22,012</w:t>
            </w:r>
          </w:p>
        </w:tc>
        <w:tc>
          <w:tcPr>
            <w:tcW w:w="12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Translation results</w:t>
            </w:r>
          </w:p>
        </w:tc>
        <w:tc>
          <w:tcPr>
            <w:tcW w:w="1380" w:type="dxa"/>
            <w:vAlign w:val="bottom"/>
            <w:gridSpan w:val="3"/>
          </w:tcPr>
          <w:p>
            <w:pPr>
              <w:jc w:val="right"/>
              <w:ind w:right="260"/>
              <w:spacing w:after="0"/>
              <w:rPr>
                <w:sz w:val="20"/>
                <w:szCs w:val="20"/>
                <w:color w:val="auto"/>
              </w:rPr>
            </w:pPr>
            <w:r>
              <w:rPr>
                <w:rFonts w:ascii="Arial" w:cs="Arial" w:eastAsia="Arial" w:hAnsi="Arial"/>
                <w:sz w:val="18"/>
                <w:szCs w:val="18"/>
                <w:color w:val="auto"/>
              </w:rPr>
              <w:t>1,138</w:t>
            </w:r>
          </w:p>
        </w:tc>
        <w:tc>
          <w:tcPr>
            <w:tcW w:w="26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381</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2,968</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FFCC"/>
          </w:tcPr>
          <w:p>
            <w:pPr>
              <w:spacing w:after="0"/>
              <w:rPr>
                <w:sz w:val="20"/>
                <w:szCs w:val="20"/>
                <w:color w:val="auto"/>
              </w:rPr>
            </w:pPr>
            <w:r>
              <w:rPr>
                <w:rFonts w:ascii="Arial" w:cs="Arial" w:eastAsia="Arial" w:hAnsi="Arial"/>
                <w:sz w:val="18"/>
                <w:szCs w:val="18"/>
                <w:color w:val="auto"/>
              </w:rPr>
              <w:t>Worker's profit sharing and income taxes</w:t>
            </w:r>
          </w:p>
        </w:tc>
        <w:tc>
          <w:tcPr>
            <w:tcW w:w="138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(2,440)</w:t>
            </w:r>
          </w:p>
        </w:tc>
        <w:tc>
          <w:tcPr>
            <w:tcW w:w="26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(2,740)</w:t>
            </w:r>
          </w:p>
        </w:tc>
        <w:tc>
          <w:tcPr>
            <w:tcW w:w="12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(7,408)</w:t>
            </w:r>
          </w:p>
        </w:tc>
        <w:tc>
          <w:tcPr>
            <w:tcW w:w="12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5,459</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5,123</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17,572</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Contribution to BCP</w:t>
            </w:r>
          </w:p>
        </w:tc>
        <w:tc>
          <w:tcPr>
            <w:tcW w:w="10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5,448</w:t>
            </w:r>
          </w:p>
        </w:tc>
        <w:tc>
          <w:tcPr>
            <w:tcW w:w="26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5,112</w:t>
            </w:r>
          </w:p>
        </w:tc>
        <w:tc>
          <w:tcPr>
            <w:tcW w:w="12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17,535</w:t>
            </w:r>
          </w:p>
        </w:tc>
        <w:tc>
          <w:tcPr>
            <w:tcW w:w="12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6.6%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Total loans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318,708</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289,392</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318,708</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FFCC"/>
          </w:tcPr>
          <w:p>
            <w:pPr>
              <w:spacing w:after="0"/>
              <w:rPr>
                <w:sz w:val="20"/>
                <w:szCs w:val="20"/>
                <w:color w:val="auto"/>
              </w:rPr>
            </w:pPr>
            <w:r>
              <w:rPr>
                <w:rFonts w:ascii="Arial" w:cs="Arial" w:eastAsia="Arial" w:hAnsi="Arial"/>
                <w:sz w:val="18"/>
                <w:szCs w:val="18"/>
                <w:color w:val="auto"/>
              </w:rPr>
              <w:t>Past due loans</w:t>
            </w:r>
          </w:p>
        </w:tc>
        <w:tc>
          <w:tcPr>
            <w:tcW w:w="1380" w:type="dxa"/>
            <w:vAlign w:val="bottom"/>
            <w:gridSpan w:val="3"/>
            <w:shd w:val="clear" w:color="auto" w:fill="CCFFCC"/>
          </w:tcPr>
          <w:p>
            <w:pPr>
              <w:jc w:val="right"/>
              <w:ind w:right="260"/>
              <w:spacing w:after="0"/>
              <w:rPr>
                <w:sz w:val="20"/>
                <w:szCs w:val="20"/>
                <w:color w:val="auto"/>
              </w:rPr>
            </w:pPr>
            <w:r>
              <w:rPr>
                <w:rFonts w:ascii="Arial" w:cs="Arial" w:eastAsia="Arial" w:hAnsi="Arial"/>
                <w:sz w:val="18"/>
                <w:szCs w:val="18"/>
                <w:color w:val="auto"/>
              </w:rPr>
              <w:t>13,352</w:t>
            </w:r>
          </w:p>
        </w:tc>
        <w:tc>
          <w:tcPr>
            <w:tcW w:w="26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13,314</w:t>
            </w:r>
          </w:p>
        </w:tc>
        <w:tc>
          <w:tcPr>
            <w:tcW w:w="12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13,352</w:t>
            </w:r>
          </w:p>
        </w:tc>
        <w:tc>
          <w:tcPr>
            <w:tcW w:w="12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Net provisions for possible loan losses</w:t>
            </w:r>
          </w:p>
        </w:tc>
        <w:tc>
          <w:tcPr>
            <w:tcW w:w="1380" w:type="dxa"/>
            <w:vAlign w:val="bottom"/>
            <w:gridSpan w:val="3"/>
          </w:tcPr>
          <w:p>
            <w:pPr>
              <w:jc w:val="right"/>
              <w:ind w:right="200"/>
              <w:spacing w:after="0"/>
              <w:rPr>
                <w:sz w:val="20"/>
                <w:szCs w:val="20"/>
                <w:color w:val="auto"/>
              </w:rPr>
            </w:pPr>
            <w:r>
              <w:rPr>
                <w:rFonts w:ascii="Arial" w:cs="Arial" w:eastAsia="Arial" w:hAnsi="Arial"/>
                <w:sz w:val="18"/>
                <w:szCs w:val="18"/>
                <w:color w:val="auto"/>
              </w:rPr>
              <w:t>(24,987)</w:t>
            </w:r>
          </w:p>
        </w:tc>
        <w:tc>
          <w:tcPr>
            <w:tcW w:w="2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(25,136)</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(24,987)</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FFCC"/>
          </w:tcPr>
          <w:p>
            <w:pPr>
              <w:spacing w:after="0"/>
              <w:rPr>
                <w:sz w:val="20"/>
                <w:szCs w:val="20"/>
                <w:color w:val="auto"/>
              </w:rPr>
            </w:pPr>
            <w:r>
              <w:rPr>
                <w:rFonts w:ascii="Arial" w:cs="Arial" w:eastAsia="Arial" w:hAnsi="Arial"/>
                <w:sz w:val="18"/>
                <w:szCs w:val="18"/>
                <w:color w:val="auto"/>
              </w:rPr>
              <w:t>Total assets</w:t>
            </w:r>
          </w:p>
        </w:tc>
        <w:tc>
          <w:tcPr>
            <w:tcW w:w="1380" w:type="dxa"/>
            <w:vAlign w:val="bottom"/>
            <w:gridSpan w:val="3"/>
            <w:shd w:val="clear" w:color="auto" w:fill="CCFFCC"/>
          </w:tcPr>
          <w:p>
            <w:pPr>
              <w:jc w:val="right"/>
              <w:ind w:right="260"/>
              <w:spacing w:after="0"/>
              <w:rPr>
                <w:sz w:val="20"/>
                <w:szCs w:val="20"/>
                <w:color w:val="auto"/>
              </w:rPr>
            </w:pPr>
            <w:r>
              <w:rPr>
                <w:rFonts w:ascii="Arial" w:cs="Arial" w:eastAsia="Arial" w:hAnsi="Arial"/>
                <w:sz w:val="18"/>
                <w:szCs w:val="18"/>
                <w:color w:val="auto"/>
              </w:rPr>
              <w:t>375,773</w:t>
            </w:r>
          </w:p>
        </w:tc>
        <w:tc>
          <w:tcPr>
            <w:tcW w:w="26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361,827</w:t>
            </w:r>
          </w:p>
        </w:tc>
        <w:tc>
          <w:tcPr>
            <w:tcW w:w="12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375,773</w:t>
            </w:r>
          </w:p>
        </w:tc>
        <w:tc>
          <w:tcPr>
            <w:tcW w:w="12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Deposits and obligations</w:t>
            </w:r>
          </w:p>
        </w:tc>
        <w:tc>
          <w:tcPr>
            <w:tcW w:w="1380" w:type="dxa"/>
            <w:vAlign w:val="bottom"/>
            <w:gridSpan w:val="3"/>
          </w:tcPr>
          <w:p>
            <w:pPr>
              <w:jc w:val="right"/>
              <w:ind w:right="260"/>
              <w:spacing w:after="0"/>
              <w:rPr>
                <w:sz w:val="20"/>
                <w:szCs w:val="20"/>
                <w:color w:val="auto"/>
              </w:rPr>
            </w:pPr>
            <w:r>
              <w:rPr>
                <w:rFonts w:ascii="Arial" w:cs="Arial" w:eastAsia="Arial" w:hAnsi="Arial"/>
                <w:sz w:val="18"/>
                <w:szCs w:val="18"/>
                <w:color w:val="auto"/>
              </w:rPr>
              <w:t>74,271</w:t>
            </w:r>
          </w:p>
        </w:tc>
        <w:tc>
          <w:tcPr>
            <w:tcW w:w="26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74,708</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74,271</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FFCC"/>
          </w:tcPr>
          <w:p>
            <w:pPr>
              <w:spacing w:after="0"/>
              <w:rPr>
                <w:sz w:val="20"/>
                <w:szCs w:val="20"/>
                <w:color w:val="auto"/>
              </w:rPr>
            </w:pPr>
            <w:r>
              <w:rPr>
                <w:rFonts w:ascii="Arial" w:cs="Arial" w:eastAsia="Arial" w:hAnsi="Arial"/>
                <w:sz w:val="18"/>
                <w:szCs w:val="18"/>
                <w:color w:val="auto"/>
              </w:rPr>
              <w:t>Net shareholders' equity</w:t>
            </w:r>
          </w:p>
        </w:tc>
        <w:tc>
          <w:tcPr>
            <w:tcW w:w="10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47,878</w:t>
            </w:r>
          </w:p>
        </w:tc>
        <w:tc>
          <w:tcPr>
            <w:tcW w:w="26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42,415</w:t>
            </w:r>
          </w:p>
        </w:tc>
        <w:tc>
          <w:tcPr>
            <w:tcW w:w="12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47,878</w:t>
            </w:r>
          </w:p>
        </w:tc>
        <w:tc>
          <w:tcPr>
            <w:tcW w:w="12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PDL / Total loans</w:t>
            </w: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4.2%</w:t>
            </w: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4.2%</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FFCC"/>
          </w:tcPr>
          <w:p>
            <w:pPr>
              <w:spacing w:after="0"/>
              <w:rPr>
                <w:sz w:val="20"/>
                <w:szCs w:val="20"/>
                <w:color w:val="auto"/>
              </w:rPr>
            </w:pPr>
            <w:r>
              <w:rPr>
                <w:rFonts w:ascii="Arial" w:cs="Arial" w:eastAsia="Arial" w:hAnsi="Arial"/>
                <w:sz w:val="18"/>
                <w:szCs w:val="18"/>
                <w:color w:val="auto"/>
              </w:rPr>
              <w:t>Coverage ratio of PDLs</w:t>
            </w:r>
          </w:p>
        </w:tc>
        <w:tc>
          <w:tcPr>
            <w:tcW w:w="138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187.1%</w:t>
            </w:r>
          </w:p>
        </w:tc>
        <w:tc>
          <w:tcPr>
            <w:tcW w:w="26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188.8%</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187.1%</w:t>
            </w:r>
          </w:p>
        </w:tc>
        <w:tc>
          <w:tcPr>
            <w:tcW w:w="10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Return on average equity*</w:t>
            </w: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22.8%</w:t>
            </w: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22.6%</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24.6%</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FFCC"/>
          </w:tcPr>
          <w:p>
            <w:pPr>
              <w:spacing w:after="0"/>
              <w:rPr>
                <w:sz w:val="20"/>
                <w:szCs w:val="20"/>
                <w:color w:val="auto"/>
              </w:rPr>
            </w:pPr>
            <w:r>
              <w:rPr>
                <w:rFonts w:ascii="Arial" w:cs="Arial" w:eastAsia="Arial" w:hAnsi="Arial"/>
                <w:sz w:val="18"/>
                <w:szCs w:val="18"/>
                <w:color w:val="auto"/>
              </w:rPr>
              <w:t>Branches</w:t>
            </w:r>
          </w:p>
        </w:tc>
        <w:tc>
          <w:tcPr>
            <w:tcW w:w="10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105</w:t>
            </w:r>
          </w:p>
        </w:tc>
        <w:tc>
          <w:tcPr>
            <w:tcW w:w="26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104</w:t>
            </w:r>
          </w:p>
        </w:tc>
        <w:tc>
          <w:tcPr>
            <w:tcW w:w="10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Employees</w:t>
            </w:r>
          </w:p>
        </w:tc>
        <w:tc>
          <w:tcPr>
            <w:tcW w:w="1380" w:type="dxa"/>
            <w:vAlign w:val="bottom"/>
            <w:gridSpan w:val="3"/>
          </w:tcPr>
          <w:p>
            <w:pPr>
              <w:jc w:val="right"/>
              <w:ind w:right="260"/>
              <w:spacing w:after="0"/>
              <w:rPr>
                <w:sz w:val="20"/>
                <w:szCs w:val="20"/>
                <w:color w:val="auto"/>
              </w:rPr>
            </w:pPr>
            <w:r>
              <w:rPr>
                <w:rFonts w:ascii="Arial" w:cs="Arial" w:eastAsia="Arial" w:hAnsi="Arial"/>
                <w:sz w:val="18"/>
                <w:szCs w:val="18"/>
                <w:color w:val="auto"/>
              </w:rPr>
              <w:t>1,534</w:t>
            </w:r>
          </w:p>
        </w:tc>
        <w:tc>
          <w:tcPr>
            <w:tcW w:w="260" w:type="dxa"/>
            <w:vAlign w:val="bottom"/>
          </w:tcPr>
          <w:p>
            <w:pPr>
              <w:spacing w:after="0"/>
              <w:rPr>
                <w:sz w:val="20"/>
                <w:szCs w:val="20"/>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1,538</w:t>
            </w: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175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-8255</wp:posOffset>
            </wp:positionV>
            <wp:extent cx="144907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 Net shareholder´s equity includes US$ 50.7 millions from goodwill</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Edyficar’s performance in 3Q10 exceeded 2Q10’s excellent results. Noteworthy aspects include:</w:t>
      </w:r>
    </w:p>
    <w:p>
      <w:pPr>
        <w:spacing w:after="0" w:line="252" w:lineRule="exact"/>
        <w:rPr>
          <w:sz w:val="20"/>
          <w:szCs w:val="20"/>
          <w:color w:val="auto"/>
        </w:rPr>
      </w:pPr>
    </w:p>
    <w:p>
      <w:pPr>
        <w:ind w:left="1000" w:hanging="66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10.1% QoQ increase in loans, which topped 2Q10’s QoQ growth of 6.6%;</w:t>
      </w:r>
    </w:p>
    <w:p>
      <w:pPr>
        <w:spacing w:after="0" w:line="252" w:lineRule="exact"/>
        <w:rPr>
          <w:rFonts w:ascii="Arial" w:cs="Arial" w:eastAsia="Arial" w:hAnsi="Arial"/>
          <w:sz w:val="18"/>
          <w:szCs w:val="18"/>
          <w:color w:val="auto"/>
        </w:rPr>
      </w:pPr>
    </w:p>
    <w:p>
      <w:pPr>
        <w:ind w:left="340" w:right="20" w:hanging="8"/>
        <w:spacing w:after="0" w:line="277" w:lineRule="auto"/>
        <w:tabs>
          <w:tab w:leader="none" w:pos="1063"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past due ratio rate went from 4.6% in 2Q10 to 4.2% in 3Q10, which was attributable to loan growth and the fact that the level of past due loans reflected virtually no change QoQ;</w:t>
      </w:r>
    </w:p>
    <w:p>
      <w:pPr>
        <w:spacing w:after="0" w:line="197" w:lineRule="exact"/>
        <w:rPr>
          <w:rFonts w:ascii="Arial" w:cs="Arial" w:eastAsia="Arial" w:hAnsi="Arial"/>
          <w:sz w:val="18"/>
          <w:szCs w:val="18"/>
          <w:color w:val="auto"/>
        </w:rPr>
      </w:pPr>
    </w:p>
    <w:p>
      <w:pPr>
        <w:ind w:left="1000" w:hanging="66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6.6% QoQ increase in net earnings, which increased Edyficar’s contributions to BCP and Credicorp; and</w:t>
      </w:r>
    </w:p>
    <w:p>
      <w:pPr>
        <w:spacing w:after="0" w:line="252" w:lineRule="exact"/>
        <w:rPr>
          <w:rFonts w:ascii="Arial" w:cs="Arial" w:eastAsia="Arial" w:hAnsi="Arial"/>
          <w:sz w:val="18"/>
          <w:szCs w:val="18"/>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satisfactory ROAE of 22.8% (considering the US$ 50.7 million in goodwill) and 48.4% (excluding goodwill).</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Despite a strong increase in operating expenses to train new personnel to prepare for future growth, at the end of the third quarter, Edyficar reported net earnings of US$ 5.5 million, rising 6.6% QoQ. This good quarterly performance was attributable to a 10.6% increase in NII due to loan growth; lower tax provisions; and an increase in translation earnings, which was attributable to a 1.4% appreciation of the Nuevo Sol in comparison to the 0.5% reported in 2Q10.</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NII reported significant growth (10.6% QoQ). This was due primarily to interest income stemming from considerable loan growth (10.1% QoQ) as well as adequate financial management. The latter was reflected in lower financial expenses and an earnings increase, which was attributable to a successful strategy to negotiate forward contracts.</w:t>
      </w:r>
    </w:p>
    <w:p>
      <w:pPr>
        <w:spacing w:after="0" w:line="20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Net loan provisions totaled US$ 1.9 million in 3Q10 (US$ 3.0 million accumulated during 2010). This represented an increase of US$ 650 mil QoQ, which was due to higher provisions taken to cover loan growth as well as voluntary provisions to maintain the coverage ratio. It is important to mention that provisions will be higher next year given that the accounting adjustment made at the time of purchase will be reported this year.</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expenses grew 19.6% QoQ. This was due primarily to an increase in personnel expenses stemming from investments in analyst training and additional projects to prepare Edyficar to capture market growth in the future and achieve the company’s goals.</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6" w:right="239" w:bottom="1440" w:gutter="0" w:footer="0" w:header="0"/>
        </w:sectPr>
      </w:pPr>
    </w:p>
    <w:bookmarkStart w:id="22" w:name="page23"/>
    <w:bookmarkEnd w:id="22"/>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6263640</wp:posOffset>
            </wp:positionH>
            <wp:positionV relativeFrom="page">
              <wp:posOffset>243205</wp:posOffset>
            </wp:positionV>
            <wp:extent cx="1140460" cy="3175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Edyficar reported a past due ratio of 4.2% in 3Q10, which was lower than the 4.6% reported in 2Q10 due to significant loan growth. Currently, the company’s strategy is to focus on improving loan quality and collections management.</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Finally, it is evident that Edyficar’s contribution to BCP continues to rise. This is reflected in the company’s ROAE, which reached 22.8% in 3Q10 and 24.6% in accumulated terms.</w:t>
      </w:r>
    </w:p>
    <w:p>
      <w:pPr>
        <w:spacing w:after="0" w:line="3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11"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175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V. Atlantic Security Holding Corporation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Quarterly Results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order to compare the results of 3Q10 and 2Q10, we have eliminated the effect of Credicorp’s dividends on 2Q10’s results, which totaled US$ 24.9 million (treasury shares), in the table below:</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120" w:type="dxa"/>
            <w:vAlign w:val="bottom"/>
            <w:gridSpan w:val="2"/>
          </w:tcPr>
          <w:p>
            <w:pPr>
              <w:spacing w:after="0"/>
              <w:rPr>
                <w:sz w:val="20"/>
                <w:szCs w:val="20"/>
                <w:color w:val="auto"/>
              </w:rPr>
            </w:pPr>
            <w:r>
              <w:rPr>
                <w:rFonts w:ascii="Arial" w:cs="Arial" w:eastAsia="Arial" w:hAnsi="Arial"/>
                <w:sz w:val="14"/>
                <w:szCs w:val="14"/>
                <w:b w:val="1"/>
                <w:bCs w:val="1"/>
                <w:color w:val="auto"/>
              </w:rPr>
              <w:t>ASHC</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Quarter</w:t>
            </w: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3"/>
          </w:tcPr>
          <w:p>
            <w:pPr>
              <w:ind w:left="580"/>
              <w:spacing w:after="0"/>
              <w:rPr>
                <w:sz w:val="20"/>
                <w:szCs w:val="20"/>
                <w:color w:val="auto"/>
              </w:rPr>
            </w:pPr>
            <w:r>
              <w:rPr>
                <w:rFonts w:ascii="Arial" w:cs="Arial" w:eastAsia="Arial" w:hAnsi="Arial"/>
                <w:sz w:val="14"/>
                <w:szCs w:val="14"/>
                <w:b w:val="1"/>
                <w:bCs w:val="1"/>
                <w:color w:val="auto"/>
                <w:w w:val="97"/>
              </w:rPr>
              <w:t>Change %</w:t>
            </w: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80" w:type="dxa"/>
            <w:vAlign w:val="bottom"/>
            <w:gridSpan w:val="4"/>
          </w:tcPr>
          <w:p>
            <w:pPr>
              <w:ind w:left="500"/>
              <w:spacing w:after="0"/>
              <w:rPr>
                <w:sz w:val="20"/>
                <w:szCs w:val="20"/>
                <w:color w:val="auto"/>
              </w:rPr>
            </w:pPr>
            <w:r>
              <w:rPr>
                <w:rFonts w:ascii="Arial" w:cs="Arial" w:eastAsia="Arial" w:hAnsi="Arial"/>
                <w:sz w:val="14"/>
                <w:szCs w:val="14"/>
                <w:b w:val="1"/>
                <w:bCs w:val="1"/>
                <w:color w:val="auto"/>
              </w:rPr>
              <w:t>Year to Date</w:t>
            </w:r>
          </w:p>
        </w:tc>
        <w:tc>
          <w:tcPr>
            <w:tcW w:w="120" w:type="dxa"/>
            <w:vAlign w:val="bottom"/>
          </w:tcPr>
          <w:p>
            <w:pPr>
              <w:spacing w:after="0"/>
              <w:rPr>
                <w:sz w:val="15"/>
                <w:szCs w:val="15"/>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Change %</w:t>
            </w:r>
          </w:p>
        </w:tc>
        <w:tc>
          <w:tcPr>
            <w:tcW w:w="0" w:type="dxa"/>
            <w:vAlign w:val="bottom"/>
          </w:tcPr>
          <w:p>
            <w:pPr>
              <w:spacing w:after="0"/>
              <w:rPr>
                <w:sz w:val="1"/>
                <w:szCs w:val="1"/>
                <w:color w:val="auto"/>
              </w:rPr>
            </w:pPr>
          </w:p>
        </w:tc>
      </w:tr>
      <w:tr>
        <w:trPr>
          <w:trHeight w:val="149"/>
        </w:trPr>
        <w:tc>
          <w:tcPr>
            <w:tcW w:w="3120" w:type="dxa"/>
            <w:vAlign w:val="bottom"/>
            <w:tcBorders>
              <w:top w:val="single" w:sz="8" w:color="auto"/>
            </w:tcBorders>
            <w:gridSpan w:val="2"/>
          </w:tcPr>
          <w:p>
            <w:pPr>
              <w:spacing w:after="0" w:line="149" w:lineRule="exact"/>
              <w:rPr>
                <w:sz w:val="20"/>
                <w:szCs w:val="20"/>
                <w:color w:val="auto"/>
              </w:rPr>
            </w:pPr>
            <w:r>
              <w:rPr>
                <w:rFonts w:ascii="Arial" w:cs="Arial" w:eastAsia="Arial" w:hAnsi="Arial"/>
                <w:sz w:val="14"/>
                <w:szCs w:val="14"/>
                <w:b w:val="1"/>
                <w:bCs w:val="1"/>
                <w:color w:val="auto"/>
              </w:rPr>
              <w:t>US$ millions</w:t>
            </w:r>
          </w:p>
        </w:tc>
        <w:tc>
          <w:tcPr>
            <w:tcW w:w="120" w:type="dxa"/>
            <w:vAlign w:val="bottom"/>
          </w:tcPr>
          <w:p>
            <w:pPr>
              <w:spacing w:after="0"/>
              <w:rPr>
                <w:sz w:val="12"/>
                <w:szCs w:val="12"/>
                <w:color w:val="auto"/>
              </w:rPr>
            </w:pPr>
          </w:p>
        </w:tc>
        <w:tc>
          <w:tcPr>
            <w:tcW w:w="1000" w:type="dxa"/>
            <w:vAlign w:val="bottom"/>
            <w:tcBorders>
              <w:top w:val="single" w:sz="8" w:color="auto"/>
            </w:tcBorders>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3Q10</w:t>
            </w:r>
          </w:p>
        </w:tc>
        <w:tc>
          <w:tcPr>
            <w:tcW w:w="1020" w:type="dxa"/>
            <w:vAlign w:val="bottom"/>
            <w:tcBorders>
              <w:top w:val="single" w:sz="8" w:color="auto"/>
            </w:tcBorders>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2Q10</w:t>
            </w:r>
          </w:p>
        </w:tc>
        <w:tc>
          <w:tcPr>
            <w:tcW w:w="780" w:type="dxa"/>
            <w:vAlign w:val="bottom"/>
            <w:tcBorders>
              <w:top w:val="single" w:sz="8" w:color="auto"/>
            </w:tcBorders>
          </w:tcPr>
          <w:p>
            <w:pPr>
              <w:ind w:left="220"/>
              <w:spacing w:after="0" w:line="149" w:lineRule="exact"/>
              <w:rPr>
                <w:sz w:val="20"/>
                <w:szCs w:val="20"/>
                <w:color w:val="auto"/>
              </w:rPr>
            </w:pPr>
            <w:r>
              <w:rPr>
                <w:rFonts w:ascii="Arial" w:cs="Arial" w:eastAsia="Arial" w:hAnsi="Arial"/>
                <w:sz w:val="14"/>
                <w:szCs w:val="14"/>
                <w:b w:val="1"/>
                <w:bCs w:val="1"/>
                <w:color w:val="auto"/>
              </w:rPr>
              <w:t>3Q09</w:t>
            </w:r>
          </w:p>
        </w:tc>
        <w:tc>
          <w:tcPr>
            <w:tcW w:w="240" w:type="dxa"/>
            <w:vAlign w:val="bottom"/>
          </w:tcPr>
          <w:p>
            <w:pPr>
              <w:spacing w:after="0"/>
              <w:rPr>
                <w:sz w:val="12"/>
                <w:szCs w:val="12"/>
                <w:color w:val="auto"/>
              </w:rPr>
            </w:pPr>
          </w:p>
        </w:tc>
        <w:tc>
          <w:tcPr>
            <w:tcW w:w="1260" w:type="dxa"/>
            <w:vAlign w:val="bottom"/>
            <w:tcBorders>
              <w:top w:val="single" w:sz="8" w:color="auto"/>
            </w:tcBorders>
            <w:gridSpan w:val="3"/>
          </w:tcPr>
          <w:p>
            <w:pPr>
              <w:ind w:left="240"/>
              <w:spacing w:after="0" w:line="149" w:lineRule="exact"/>
              <w:rPr>
                <w:sz w:val="20"/>
                <w:szCs w:val="20"/>
                <w:color w:val="auto"/>
              </w:rPr>
            </w:pPr>
            <w:r>
              <w:rPr>
                <w:rFonts w:ascii="Arial" w:cs="Arial" w:eastAsia="Arial" w:hAnsi="Arial"/>
                <w:sz w:val="14"/>
                <w:szCs w:val="14"/>
                <w:b w:val="1"/>
                <w:bCs w:val="1"/>
                <w:color w:val="auto"/>
              </w:rPr>
              <w:t>QoQ</w:t>
            </w:r>
          </w:p>
        </w:tc>
        <w:tc>
          <w:tcPr>
            <w:tcW w:w="560" w:type="dxa"/>
            <w:vAlign w:val="bottom"/>
            <w:tcBorders>
              <w:top w:val="single" w:sz="8" w:color="auto"/>
            </w:tcBorders>
          </w:tcPr>
          <w:p>
            <w:pPr>
              <w:ind w:left="40"/>
              <w:spacing w:after="0" w:line="149" w:lineRule="exact"/>
              <w:rPr>
                <w:sz w:val="20"/>
                <w:szCs w:val="20"/>
                <w:color w:val="auto"/>
              </w:rPr>
            </w:pPr>
            <w:r>
              <w:rPr>
                <w:rFonts w:ascii="Arial" w:cs="Arial" w:eastAsia="Arial" w:hAnsi="Arial"/>
                <w:sz w:val="14"/>
                <w:szCs w:val="14"/>
                <w:b w:val="1"/>
                <w:bCs w:val="1"/>
                <w:color w:val="auto"/>
              </w:rPr>
              <w:t>YoY</w:t>
            </w:r>
          </w:p>
        </w:tc>
        <w:tc>
          <w:tcPr>
            <w:tcW w:w="260" w:type="dxa"/>
            <w:vAlign w:val="bottom"/>
          </w:tcPr>
          <w:p>
            <w:pPr>
              <w:spacing w:after="0"/>
              <w:rPr>
                <w:sz w:val="12"/>
                <w:szCs w:val="12"/>
                <w:color w:val="auto"/>
              </w:rPr>
            </w:pPr>
          </w:p>
        </w:tc>
        <w:tc>
          <w:tcPr>
            <w:tcW w:w="1000" w:type="dxa"/>
            <w:vAlign w:val="bottom"/>
            <w:tcBorders>
              <w:top w:val="single" w:sz="8" w:color="auto"/>
            </w:tcBorders>
            <w:gridSpan w:val="2"/>
          </w:tcPr>
          <w:p>
            <w:pPr>
              <w:ind w:left="180"/>
              <w:spacing w:after="0" w:line="149" w:lineRule="exact"/>
              <w:rPr>
                <w:sz w:val="20"/>
                <w:szCs w:val="20"/>
                <w:color w:val="auto"/>
              </w:rPr>
            </w:pPr>
            <w:r>
              <w:rPr>
                <w:rFonts w:ascii="Arial" w:cs="Arial" w:eastAsia="Arial" w:hAnsi="Arial"/>
                <w:sz w:val="14"/>
                <w:szCs w:val="14"/>
                <w:b w:val="1"/>
                <w:bCs w:val="1"/>
                <w:color w:val="auto"/>
              </w:rPr>
              <w:t>Sep 10</w:t>
            </w:r>
          </w:p>
        </w:tc>
        <w:tc>
          <w:tcPr>
            <w:tcW w:w="780" w:type="dxa"/>
            <w:vAlign w:val="bottom"/>
            <w:tcBorders>
              <w:top w:val="single" w:sz="8" w:color="auto"/>
            </w:tcBorders>
          </w:tcPr>
          <w:p>
            <w:pPr>
              <w:jc w:val="right"/>
              <w:ind w:right="128"/>
              <w:spacing w:after="0" w:line="149" w:lineRule="exact"/>
              <w:rPr>
                <w:sz w:val="20"/>
                <w:szCs w:val="20"/>
                <w:color w:val="auto"/>
              </w:rPr>
            </w:pPr>
            <w:r>
              <w:rPr>
                <w:rFonts w:ascii="Arial" w:cs="Arial" w:eastAsia="Arial" w:hAnsi="Arial"/>
                <w:sz w:val="14"/>
                <w:szCs w:val="14"/>
                <w:b w:val="1"/>
                <w:bCs w:val="1"/>
                <w:color w:val="auto"/>
              </w:rPr>
              <w:t>Sep 09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0"/>
              </w:rPr>
              <w:t>Sep 10 / Sep 09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Net interest income</w:t>
            </w:r>
          </w:p>
        </w:tc>
        <w:tc>
          <w:tcPr>
            <w:tcW w:w="12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8.7</w:t>
            </w:r>
          </w:p>
        </w:tc>
        <w:tc>
          <w:tcPr>
            <w:tcW w:w="220" w:type="dxa"/>
            <w:vAlign w:val="bottom"/>
            <w:shd w:val="clear" w:color="auto" w:fill="CCFFCC"/>
          </w:tcPr>
          <w:p>
            <w:pPr>
              <w:spacing w:after="0"/>
              <w:rPr>
                <w:sz w:val="12"/>
                <w:szCs w:val="12"/>
                <w:color w:val="auto"/>
              </w:rPr>
            </w:pPr>
          </w:p>
        </w:tc>
        <w:tc>
          <w:tcPr>
            <w:tcW w:w="8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8.8</w:t>
            </w:r>
          </w:p>
        </w:tc>
        <w:tc>
          <w:tcPr>
            <w:tcW w:w="22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7.5</w:t>
            </w:r>
          </w:p>
        </w:tc>
        <w:tc>
          <w:tcPr>
            <w:tcW w:w="10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-0.8%</w:t>
            </w:r>
          </w:p>
        </w:tc>
        <w:tc>
          <w:tcPr>
            <w:tcW w:w="22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16.9%</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26.7</w:t>
            </w:r>
          </w:p>
        </w:tc>
        <w:tc>
          <w:tcPr>
            <w:tcW w:w="8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20.0</w:t>
            </w:r>
          </w:p>
        </w:tc>
        <w:tc>
          <w:tcPr>
            <w:tcW w:w="1180" w:type="dxa"/>
            <w:vAlign w:val="bottom"/>
            <w:gridSpan w:val="3"/>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33.7%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rPr>
              <w:t>Dividend income</w:t>
            </w:r>
          </w:p>
        </w:tc>
        <w:tc>
          <w:tcPr>
            <w:tcW w:w="11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0.2</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0.1</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0.1</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45.4%</w:t>
            </w:r>
          </w:p>
        </w:tc>
        <w:tc>
          <w:tcPr>
            <w:tcW w:w="2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15.2%</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0.4</w:t>
            </w: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0.2</w:t>
            </w:r>
          </w:p>
        </w:tc>
        <w:tc>
          <w:tcPr>
            <w:tcW w:w="11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119.7%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Fees and commissions from services</w:t>
            </w:r>
          </w:p>
        </w:tc>
        <w:tc>
          <w:tcPr>
            <w:tcW w:w="1120" w:type="dxa"/>
            <w:vAlign w:val="bottom"/>
            <w:gridSpan w:val="3"/>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2.1</w:t>
            </w:r>
          </w:p>
        </w:tc>
        <w:tc>
          <w:tcPr>
            <w:tcW w:w="10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2.0</w:t>
            </w:r>
          </w:p>
        </w:tc>
        <w:tc>
          <w:tcPr>
            <w:tcW w:w="10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1.5</w:t>
            </w:r>
          </w:p>
        </w:tc>
        <w:tc>
          <w:tcPr>
            <w:tcW w:w="10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4.7%</w:t>
            </w:r>
          </w:p>
        </w:tc>
        <w:tc>
          <w:tcPr>
            <w:tcW w:w="22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38.1%</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6.4</w:t>
            </w:r>
          </w:p>
        </w:tc>
        <w:tc>
          <w:tcPr>
            <w:tcW w:w="8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4.0</w:t>
            </w:r>
          </w:p>
        </w:tc>
        <w:tc>
          <w:tcPr>
            <w:tcW w:w="1180" w:type="dxa"/>
            <w:vAlign w:val="bottom"/>
            <w:gridSpan w:val="3"/>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60.2%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rPr>
              <w:t>Net gains on foreign exchange transactions</w:t>
            </w:r>
          </w:p>
        </w:tc>
        <w:tc>
          <w:tcPr>
            <w:tcW w:w="11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0.0</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-0.1</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0.1</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127.8%</w:t>
            </w:r>
          </w:p>
        </w:tc>
        <w:tc>
          <w:tcPr>
            <w:tcW w:w="2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-79.3%</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-0.3</w:t>
            </w: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-0.5</w:t>
            </w:r>
          </w:p>
        </w:tc>
        <w:tc>
          <w:tcPr>
            <w:tcW w:w="11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-41.6%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Total earnings</w:t>
            </w:r>
          </w:p>
        </w:tc>
        <w:tc>
          <w:tcPr>
            <w:tcW w:w="12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11.0</w:t>
            </w:r>
          </w:p>
        </w:tc>
        <w:tc>
          <w:tcPr>
            <w:tcW w:w="220" w:type="dxa"/>
            <w:vAlign w:val="bottom"/>
            <w:shd w:val="clear" w:color="auto" w:fill="CCFFCC"/>
          </w:tcPr>
          <w:p>
            <w:pPr>
              <w:spacing w:after="0"/>
              <w:rPr>
                <w:sz w:val="12"/>
                <w:szCs w:val="12"/>
                <w:color w:val="auto"/>
              </w:rPr>
            </w:pPr>
          </w:p>
        </w:tc>
        <w:tc>
          <w:tcPr>
            <w:tcW w:w="8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10.8</w:t>
            </w:r>
          </w:p>
        </w:tc>
        <w:tc>
          <w:tcPr>
            <w:tcW w:w="22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9.3</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1.9%</w:t>
            </w:r>
          </w:p>
        </w:tc>
        <w:tc>
          <w:tcPr>
            <w:tcW w:w="22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18.9%</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33.2</w:t>
            </w:r>
          </w:p>
        </w:tc>
        <w:tc>
          <w:tcPr>
            <w:tcW w:w="8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23.7</w:t>
            </w:r>
          </w:p>
        </w:tc>
        <w:tc>
          <w:tcPr>
            <w:tcW w:w="1180" w:type="dxa"/>
            <w:vAlign w:val="bottom"/>
            <w:gridSpan w:val="3"/>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0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rPr>
              <w:t>Net Provisions</w:t>
            </w: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-1.5</w:t>
            </w: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0.0</w:t>
            </w:r>
          </w:p>
        </w:tc>
        <w:tc>
          <w:tcPr>
            <w:tcW w:w="220" w:type="dxa"/>
            <w:vAlign w:val="bottom"/>
          </w:tcPr>
          <w:p>
            <w:pPr>
              <w:spacing w:after="0"/>
              <w:rPr>
                <w:sz w:val="12"/>
                <w:szCs w:val="12"/>
                <w:color w:val="auto"/>
              </w:rPr>
            </w:pP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-0.9</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100.0%</w:t>
            </w:r>
          </w:p>
        </w:tc>
        <w:tc>
          <w:tcPr>
            <w:tcW w:w="2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58.7%</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-1.5</w:t>
            </w: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-8.4</w:t>
            </w:r>
          </w:p>
        </w:tc>
        <w:tc>
          <w:tcPr>
            <w:tcW w:w="11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-82.2%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Net gains from sale of securities</w:t>
            </w:r>
          </w:p>
        </w:tc>
        <w:tc>
          <w:tcPr>
            <w:tcW w:w="1120" w:type="dxa"/>
            <w:vAlign w:val="bottom"/>
            <w:gridSpan w:val="3"/>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3.1</w:t>
            </w:r>
          </w:p>
        </w:tc>
        <w:tc>
          <w:tcPr>
            <w:tcW w:w="10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3.7</w:t>
            </w:r>
          </w:p>
        </w:tc>
        <w:tc>
          <w:tcPr>
            <w:tcW w:w="10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1.6</w:t>
            </w:r>
          </w:p>
        </w:tc>
        <w:tc>
          <w:tcPr>
            <w:tcW w:w="10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-18.0%</w:t>
            </w:r>
          </w:p>
        </w:tc>
        <w:tc>
          <w:tcPr>
            <w:tcW w:w="22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92.9%</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10.4</w:t>
            </w:r>
          </w:p>
        </w:tc>
        <w:tc>
          <w:tcPr>
            <w:tcW w:w="8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3.3</w:t>
            </w:r>
          </w:p>
        </w:tc>
        <w:tc>
          <w:tcPr>
            <w:tcW w:w="1180" w:type="dxa"/>
            <w:vAlign w:val="bottom"/>
            <w:gridSpan w:val="3"/>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218.9%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rPr>
              <w:t>Other income</w:t>
            </w:r>
          </w:p>
        </w:tc>
        <w:tc>
          <w:tcPr>
            <w:tcW w:w="11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-0.1</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0.1</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0.5</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-180.6%</w:t>
            </w:r>
          </w:p>
        </w:tc>
        <w:tc>
          <w:tcPr>
            <w:tcW w:w="2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-117.3%</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0.3</w:t>
            </w: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2.1</w:t>
            </w:r>
          </w:p>
        </w:tc>
        <w:tc>
          <w:tcPr>
            <w:tcW w:w="11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-86.2%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Operating expenses</w:t>
            </w:r>
          </w:p>
        </w:tc>
        <w:tc>
          <w:tcPr>
            <w:tcW w:w="12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-1.9</w:t>
            </w:r>
          </w:p>
        </w:tc>
        <w:tc>
          <w:tcPr>
            <w:tcW w:w="220" w:type="dxa"/>
            <w:vAlign w:val="bottom"/>
            <w:shd w:val="clear" w:color="auto" w:fill="CCFFCC"/>
          </w:tcPr>
          <w:p>
            <w:pPr>
              <w:spacing w:after="0"/>
              <w:rPr>
                <w:sz w:val="12"/>
                <w:szCs w:val="12"/>
                <w:color w:val="auto"/>
              </w:rPr>
            </w:pPr>
          </w:p>
        </w:tc>
        <w:tc>
          <w:tcPr>
            <w:tcW w:w="8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-1.9</w:t>
            </w:r>
          </w:p>
        </w:tc>
        <w:tc>
          <w:tcPr>
            <w:tcW w:w="22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-2.0</w:t>
            </w:r>
          </w:p>
        </w:tc>
        <w:tc>
          <w:tcPr>
            <w:tcW w:w="10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-2.7%</w:t>
            </w:r>
          </w:p>
        </w:tc>
        <w:tc>
          <w:tcPr>
            <w:tcW w:w="22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5.1%</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-5.6</w:t>
            </w:r>
          </w:p>
        </w:tc>
        <w:tc>
          <w:tcPr>
            <w:tcW w:w="8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-5.6</w:t>
            </w:r>
          </w:p>
        </w:tc>
        <w:tc>
          <w:tcPr>
            <w:tcW w:w="1180" w:type="dxa"/>
            <w:vAlign w:val="bottom"/>
            <w:gridSpan w:val="3"/>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0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10.6</w:t>
            </w: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12.8</w:t>
            </w:r>
          </w:p>
        </w:tc>
        <w:tc>
          <w:tcPr>
            <w:tcW w:w="220" w:type="dxa"/>
            <w:vAlign w:val="bottom"/>
          </w:tcPr>
          <w:p>
            <w:pPr>
              <w:spacing w:after="0"/>
              <w:rPr>
                <w:sz w:val="12"/>
                <w:szCs w:val="12"/>
                <w:color w:val="auto"/>
              </w:rPr>
            </w:pP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8.4</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-17.3%</w:t>
            </w:r>
          </w:p>
        </w:tc>
        <w:tc>
          <w:tcPr>
            <w:tcW w:w="22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25.5%</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36.8</w:t>
            </w: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15.0</w:t>
            </w:r>
          </w:p>
        </w:tc>
        <w:tc>
          <w:tcPr>
            <w:tcW w:w="118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145.5%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Net income / share</w:t>
            </w:r>
          </w:p>
        </w:tc>
        <w:tc>
          <w:tcPr>
            <w:tcW w:w="12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0.1</w:t>
            </w:r>
          </w:p>
        </w:tc>
        <w:tc>
          <w:tcPr>
            <w:tcW w:w="220" w:type="dxa"/>
            <w:vAlign w:val="bottom"/>
            <w:shd w:val="clear" w:color="auto" w:fill="CCFFCC"/>
          </w:tcPr>
          <w:p>
            <w:pPr>
              <w:spacing w:after="0"/>
              <w:rPr>
                <w:sz w:val="12"/>
                <w:szCs w:val="12"/>
                <w:color w:val="auto"/>
              </w:rPr>
            </w:pPr>
          </w:p>
        </w:tc>
        <w:tc>
          <w:tcPr>
            <w:tcW w:w="8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0.1</w:t>
            </w:r>
          </w:p>
        </w:tc>
        <w:tc>
          <w:tcPr>
            <w:tcW w:w="22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0.1</w:t>
            </w:r>
          </w:p>
        </w:tc>
        <w:tc>
          <w:tcPr>
            <w:tcW w:w="10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-17.3%</w:t>
            </w:r>
          </w:p>
        </w:tc>
        <w:tc>
          <w:tcPr>
            <w:tcW w:w="22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25.5%</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0.4</w:t>
            </w:r>
          </w:p>
        </w:tc>
        <w:tc>
          <w:tcPr>
            <w:tcW w:w="8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0.2</w:t>
            </w:r>
          </w:p>
        </w:tc>
        <w:tc>
          <w:tcPr>
            <w:tcW w:w="1180" w:type="dxa"/>
            <w:vAlign w:val="bottom"/>
            <w:gridSpan w:val="3"/>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145.5%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0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b w:val="1"/>
                <w:bCs w:val="1"/>
                <w:color w:val="auto"/>
              </w:rPr>
              <w:t>Contribution to Credicorp</w:t>
            </w: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10.6</w:t>
            </w: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13.1</w:t>
            </w:r>
          </w:p>
        </w:tc>
        <w:tc>
          <w:tcPr>
            <w:tcW w:w="220" w:type="dxa"/>
            <w:vAlign w:val="bottom"/>
          </w:tcPr>
          <w:p>
            <w:pPr>
              <w:spacing w:after="0"/>
              <w:rPr>
                <w:sz w:val="12"/>
                <w:szCs w:val="12"/>
                <w:color w:val="auto"/>
              </w:rPr>
            </w:pP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8.4</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-18.9%</w:t>
            </w:r>
          </w:p>
        </w:tc>
        <w:tc>
          <w:tcPr>
            <w:tcW w:w="22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25.6%</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37.1</w:t>
            </w: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14.9</w:t>
            </w:r>
          </w:p>
        </w:tc>
        <w:tc>
          <w:tcPr>
            <w:tcW w:w="118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149.6%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Total loans</w:t>
            </w:r>
          </w:p>
        </w:tc>
        <w:tc>
          <w:tcPr>
            <w:tcW w:w="12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493.0</w:t>
            </w:r>
          </w:p>
        </w:tc>
        <w:tc>
          <w:tcPr>
            <w:tcW w:w="220" w:type="dxa"/>
            <w:vAlign w:val="bottom"/>
            <w:shd w:val="clear" w:color="auto" w:fill="CCFFCC"/>
          </w:tcPr>
          <w:p>
            <w:pPr>
              <w:spacing w:after="0"/>
              <w:rPr>
                <w:sz w:val="12"/>
                <w:szCs w:val="12"/>
                <w:color w:val="auto"/>
              </w:rPr>
            </w:pPr>
          </w:p>
        </w:tc>
        <w:tc>
          <w:tcPr>
            <w:tcW w:w="8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492.3</w:t>
            </w:r>
          </w:p>
        </w:tc>
        <w:tc>
          <w:tcPr>
            <w:tcW w:w="22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134.3</w:t>
            </w:r>
          </w:p>
        </w:tc>
        <w:tc>
          <w:tcPr>
            <w:tcW w:w="10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0.1%</w:t>
            </w:r>
          </w:p>
        </w:tc>
        <w:tc>
          <w:tcPr>
            <w:tcW w:w="22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267.2%</w:t>
            </w:r>
          </w:p>
        </w:tc>
        <w:tc>
          <w:tcPr>
            <w:tcW w:w="7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rPr>
              <w:t>Total investments available for sale</w:t>
            </w:r>
          </w:p>
        </w:tc>
        <w:tc>
          <w:tcPr>
            <w:tcW w:w="11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781.5</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714.6</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825.2</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9.4%</w:t>
            </w:r>
          </w:p>
        </w:tc>
        <w:tc>
          <w:tcPr>
            <w:tcW w:w="2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-5.3%</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Total assets</w:t>
            </w:r>
          </w:p>
        </w:tc>
        <w:tc>
          <w:tcPr>
            <w:tcW w:w="1120" w:type="dxa"/>
            <w:vAlign w:val="bottom"/>
            <w:gridSpan w:val="3"/>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1,527.2</w:t>
            </w:r>
          </w:p>
        </w:tc>
        <w:tc>
          <w:tcPr>
            <w:tcW w:w="10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1,388.6</w:t>
            </w:r>
          </w:p>
        </w:tc>
        <w:tc>
          <w:tcPr>
            <w:tcW w:w="10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1,508.4</w:t>
            </w:r>
          </w:p>
        </w:tc>
        <w:tc>
          <w:tcPr>
            <w:tcW w:w="10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10.0%</w:t>
            </w:r>
          </w:p>
        </w:tc>
        <w:tc>
          <w:tcPr>
            <w:tcW w:w="22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1.2%</w:t>
            </w:r>
          </w:p>
        </w:tc>
        <w:tc>
          <w:tcPr>
            <w:tcW w:w="7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rPr>
              <w:t>Total deposits</w:t>
            </w:r>
          </w:p>
        </w:tc>
        <w:tc>
          <w:tcPr>
            <w:tcW w:w="11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1,249.8</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1,121.7</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1,247.7</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11.4%</w:t>
            </w:r>
          </w:p>
        </w:tc>
        <w:tc>
          <w:tcPr>
            <w:tcW w:w="2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0.2%</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Net shareholder's equity</w:t>
            </w:r>
          </w:p>
        </w:tc>
        <w:tc>
          <w:tcPr>
            <w:tcW w:w="12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261.2</w:t>
            </w:r>
          </w:p>
        </w:tc>
        <w:tc>
          <w:tcPr>
            <w:tcW w:w="220" w:type="dxa"/>
            <w:vAlign w:val="bottom"/>
            <w:shd w:val="clear" w:color="auto" w:fill="CCFFCC"/>
          </w:tcPr>
          <w:p>
            <w:pPr>
              <w:spacing w:after="0"/>
              <w:rPr>
                <w:sz w:val="12"/>
                <w:szCs w:val="12"/>
                <w:color w:val="auto"/>
              </w:rPr>
            </w:pPr>
          </w:p>
        </w:tc>
        <w:tc>
          <w:tcPr>
            <w:tcW w:w="8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243.0</w:t>
            </w:r>
          </w:p>
        </w:tc>
        <w:tc>
          <w:tcPr>
            <w:tcW w:w="22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218.6</w:t>
            </w:r>
          </w:p>
        </w:tc>
        <w:tc>
          <w:tcPr>
            <w:tcW w:w="10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7.5%</w:t>
            </w:r>
          </w:p>
        </w:tc>
        <w:tc>
          <w:tcPr>
            <w:tcW w:w="22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19.5%</w:t>
            </w:r>
          </w:p>
        </w:tc>
        <w:tc>
          <w:tcPr>
            <w:tcW w:w="7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0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780" w:type="dxa"/>
            <w:vAlign w:val="bottom"/>
            <w:shd w:val="clear" w:color="auto" w:fill="CCFFCC"/>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78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920" w:type="dxa"/>
            <w:vAlign w:val="bottom"/>
            <w:shd w:val="clear" w:color="auto" w:fill="CCFFCC"/>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rPr>
              <w:t>Net interest margin</w:t>
            </w:r>
          </w:p>
        </w:tc>
        <w:tc>
          <w:tcPr>
            <w:tcW w:w="12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2.57%</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2.70%</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2.12%</w:t>
            </w: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Efficiency ratio</w:t>
            </w:r>
          </w:p>
        </w:tc>
        <w:tc>
          <w:tcPr>
            <w:tcW w:w="1120" w:type="dxa"/>
            <w:vAlign w:val="bottom"/>
            <w:gridSpan w:val="3"/>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13.6%</w:t>
            </w:r>
          </w:p>
        </w:tc>
        <w:tc>
          <w:tcPr>
            <w:tcW w:w="10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12.7%</w:t>
            </w:r>
          </w:p>
        </w:tc>
        <w:tc>
          <w:tcPr>
            <w:tcW w:w="10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17.7%</w:t>
            </w:r>
          </w:p>
        </w:tc>
        <w:tc>
          <w:tcPr>
            <w:tcW w:w="7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rPr>
              <w:t>Return on average equity</w:t>
            </w:r>
          </w:p>
        </w:tc>
        <w:tc>
          <w:tcPr>
            <w:tcW w:w="11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16.8%</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22.2%</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17.0%</w:t>
            </w: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PDL / Total loans</w:t>
            </w:r>
          </w:p>
        </w:tc>
        <w:tc>
          <w:tcPr>
            <w:tcW w:w="12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0.00</w:t>
            </w:r>
          </w:p>
        </w:tc>
        <w:tc>
          <w:tcPr>
            <w:tcW w:w="220" w:type="dxa"/>
            <w:vAlign w:val="bottom"/>
            <w:shd w:val="clear" w:color="auto" w:fill="CCFFCC"/>
          </w:tcPr>
          <w:p>
            <w:pPr>
              <w:spacing w:after="0"/>
              <w:rPr>
                <w:sz w:val="12"/>
                <w:szCs w:val="12"/>
                <w:color w:val="auto"/>
              </w:rPr>
            </w:pPr>
          </w:p>
        </w:tc>
        <w:tc>
          <w:tcPr>
            <w:tcW w:w="8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0.00</w:t>
            </w:r>
          </w:p>
        </w:tc>
        <w:tc>
          <w:tcPr>
            <w:tcW w:w="22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0.00</w:t>
            </w:r>
          </w:p>
        </w:tc>
        <w:tc>
          <w:tcPr>
            <w:tcW w:w="7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0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780" w:type="dxa"/>
            <w:vAlign w:val="bottom"/>
            <w:shd w:val="clear" w:color="auto" w:fill="CCFFCC"/>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560" w:type="dxa"/>
            <w:vAlign w:val="bottom"/>
            <w:shd w:val="clear" w:color="auto" w:fill="CCFFCC"/>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780" w:type="dxa"/>
            <w:vAlign w:val="bottom"/>
            <w:shd w:val="clear" w:color="auto" w:fill="CCFFCC"/>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78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920" w:type="dxa"/>
            <w:vAlign w:val="bottom"/>
            <w:shd w:val="clear" w:color="auto" w:fill="CCFFCC"/>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rPr>
              <w:t>Coverge ratio</w:t>
            </w:r>
          </w:p>
        </w:tc>
        <w:tc>
          <w:tcPr>
            <w:tcW w:w="12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0.2%</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0.2%</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w:t>
            </w: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BIS ratio</w:t>
            </w:r>
          </w:p>
        </w:tc>
        <w:tc>
          <w:tcPr>
            <w:tcW w:w="1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20.54%</w:t>
            </w:r>
          </w:p>
        </w:tc>
        <w:tc>
          <w:tcPr>
            <w:tcW w:w="10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20.81%</w:t>
            </w:r>
          </w:p>
        </w:tc>
        <w:tc>
          <w:tcPr>
            <w:tcW w:w="10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18.20%</w:t>
            </w:r>
          </w:p>
        </w:tc>
        <w:tc>
          <w:tcPr>
            <w:tcW w:w="7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0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780" w:type="dxa"/>
            <w:vAlign w:val="bottom"/>
            <w:shd w:val="clear" w:color="auto" w:fill="CCFFCC"/>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560" w:type="dxa"/>
            <w:vAlign w:val="bottom"/>
            <w:shd w:val="clear" w:color="auto" w:fill="CCFFCC"/>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780" w:type="dxa"/>
            <w:vAlign w:val="bottom"/>
            <w:shd w:val="clear" w:color="auto" w:fill="CCFFCC"/>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78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920" w:type="dxa"/>
            <w:vAlign w:val="bottom"/>
            <w:shd w:val="clear" w:color="auto" w:fill="CCFFCC"/>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third quarter, Atlantic Security Holding Corporation (ASHC) reported net income of US$ 10.6 million. The quarterly results reflect the very respectable evolution of ASHC’s income, which grew 1.9% QoQ and 19% YoY. Nevertheless, a 17.3% drop in earnings was evident with regard to the US$12.8 million posted in the second quarter while the YoY evolution shows an increase of 25.5%.</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decline in net earnings is primarily attributable to the US$ 1.5 million provision taken in 3Q10 and a drop in realized earnings (US$ -0.6 million). In previous quarters, no provisions had been set aside for the investment portfolio; nevertheless, the bank, in accordance with its conservative and proactive policy, decided to set aside reserves to mitigate uncertainty regarding some issuers’ recovery. Realized earnings for securities sales totaled US$ 3.1 million this quarter, which represents an 18% decline QoQ due to lower trading this quarter.</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Even more noteworthy was the evolution of ASHC’s income if we compare the total accumulated in the first 3 quarters of the year with the same period last year. Interest income grew 33.7% and fee income, the true driver of growth in the asset management business, grew an impressive 60.2% thus far this year. The impact on total income is also positive, reaching US$ 11 million in 3Q10 and US$58 million in annual accumulated terms. This reflects a 21% increase YoY, which, after including realized gains on securities sales due to market recovery, led accumulated net income to increase almost 145.5% to reach US$ 36.8 million.</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we look at quarterly performance more closely, fee income in the third quarter was US$ 2.1 million, which represents a 4.7% increase QoQ and 38.1% YoY. Fee income from trading and financial instruments in custody, which were adversely affected in the first two quarters by Peruvian tax reform in 2010, recovered progressively thanks to new loans and the favorable market valuation of funds under management. This has generated stable income in terms of fees for placement, management and custody.</w:t>
      </w:r>
    </w:p>
    <w:p>
      <w:pPr>
        <w:spacing w:after="0" w:line="21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efficiency ratio was situated at 13.6%, which was slightly higher than the 12.7% reported n 2Q10. This drop in efficiency is attributable to lower earnings given that general expenses remained stable quarter-to-quarter. A YoY comparison indicates that the efficiency ratio has improved 4.1%.</w:t>
      </w:r>
    </w:p>
    <w:p>
      <w:pPr>
        <w:spacing w:after="0" w:line="322"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6"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175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ROAE fell QoQ, settling at 16.8% 3Q10. This was due primarily to lower earnings in 2Q10 and higher average shareholder’s equity.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indicated below, interest earning assets totaled US$ 1,424 million, which represents increases of 10.8% QoQ and 1.8% YoY. A significant portion of this jump in asset volume is attributable to an increase in customer deposits.</w:t>
      </w:r>
    </w:p>
    <w:p>
      <w:pPr>
        <w:spacing w:after="0" w:line="19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most significant variation in interest earning assets is evident in the YoY figures for Cash and Banks and Loans given that until 3Q09, ASHC maintained deposits in the Banco de Credito for US$ 356 Million, which reverted to ASHC’s loan portfolio through a credit line signed by both entities in 2010.</w:t>
      </w:r>
    </w:p>
    <w:p>
      <w:pPr>
        <w:spacing w:after="0" w:line="15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Investments increased 9.6% QoQ, which reflects market opportunities to invest and reinvest cash surpluses. In comparison with the same period last year, investments fell 4.9%. This drop is attributable to the current assets structure, which includes a portion of this decline as available cash.</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Interest earning assets*</w:t>
            </w:r>
          </w:p>
        </w:tc>
        <w:tc>
          <w:tcPr>
            <w:tcW w:w="10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8"/>
                <w:szCs w:val="18"/>
                <w:b w:val="1"/>
                <w:bCs w:val="1"/>
                <w:color w:val="auto"/>
              </w:rPr>
              <w:t>Quarter</w:t>
            </w:r>
          </w:p>
        </w:tc>
        <w:tc>
          <w:tcPr>
            <w:tcW w:w="11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b w:val="1"/>
                <w:bCs w:val="1"/>
                <w:color w:val="auto"/>
                <w:w w:val="98"/>
              </w:rPr>
              <w:t>Change %</w:t>
            </w:r>
          </w:p>
        </w:tc>
        <w:tc>
          <w:tcPr>
            <w:tcW w:w="7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US$ million</w:t>
            </w:r>
          </w:p>
        </w:tc>
        <w:tc>
          <w:tcPr>
            <w:tcW w:w="100" w:type="dxa"/>
            <w:vAlign w:val="bottom"/>
          </w:tcPr>
          <w:p>
            <w:pPr>
              <w:spacing w:after="0"/>
              <w:rPr>
                <w:sz w:val="18"/>
                <w:szCs w:val="18"/>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3Q10</w:t>
            </w:r>
          </w:p>
        </w:tc>
        <w:tc>
          <w:tcPr>
            <w:tcW w:w="13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2Q10</w:t>
            </w:r>
          </w:p>
        </w:tc>
        <w:tc>
          <w:tcPr>
            <w:tcW w:w="1120" w:type="dxa"/>
            <w:vAlign w:val="bottom"/>
          </w:tcPr>
          <w:p>
            <w:pPr>
              <w:jc w:val="right"/>
              <w:ind w:right="270"/>
              <w:spacing w:after="0"/>
              <w:rPr>
                <w:sz w:val="20"/>
                <w:szCs w:val="20"/>
                <w:color w:val="auto"/>
              </w:rPr>
            </w:pPr>
            <w:r>
              <w:rPr>
                <w:rFonts w:ascii="Arial" w:cs="Arial" w:eastAsia="Arial" w:hAnsi="Arial"/>
                <w:sz w:val="18"/>
                <w:szCs w:val="18"/>
                <w:b w:val="1"/>
                <w:bCs w:val="1"/>
                <w:color w:val="auto"/>
              </w:rPr>
              <w:t>3Q09</w:t>
            </w:r>
          </w:p>
        </w:tc>
        <w:tc>
          <w:tcPr>
            <w:tcW w:w="200" w:type="dxa"/>
            <w:vAlign w:val="bottom"/>
          </w:tcPr>
          <w:p>
            <w:pPr>
              <w:spacing w:after="0"/>
              <w:rPr>
                <w:sz w:val="18"/>
                <w:szCs w:val="18"/>
                <w:color w:val="auto"/>
              </w:rPr>
            </w:pPr>
          </w:p>
        </w:tc>
        <w:tc>
          <w:tcPr>
            <w:tcW w:w="780" w:type="dxa"/>
            <w:vAlign w:val="bottom"/>
          </w:tcPr>
          <w:p>
            <w:pPr>
              <w:ind w:left="380"/>
              <w:spacing w:after="0"/>
              <w:rPr>
                <w:sz w:val="20"/>
                <w:szCs w:val="20"/>
                <w:color w:val="auto"/>
              </w:rPr>
            </w:pPr>
            <w:r>
              <w:rPr>
                <w:rFonts w:ascii="Arial" w:cs="Arial" w:eastAsia="Arial" w:hAnsi="Arial"/>
                <w:sz w:val="18"/>
                <w:szCs w:val="18"/>
                <w:b w:val="1"/>
                <w:bCs w:val="1"/>
                <w:color w:val="auto"/>
                <w:w w:val="97"/>
              </w:rPr>
              <w:t>QoQ</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ind w:left="60"/>
              <w:spacing w:after="0"/>
              <w:rPr>
                <w:sz w:val="20"/>
                <w:szCs w:val="20"/>
                <w:color w:val="auto"/>
              </w:rPr>
            </w:pPr>
            <w:r>
              <w:rPr>
                <w:rFonts w:ascii="Arial" w:cs="Arial" w:eastAsia="Arial" w:hAnsi="Arial"/>
                <w:sz w:val="18"/>
                <w:szCs w:val="18"/>
                <w:b w:val="1"/>
                <w:bCs w:val="1"/>
                <w:color w:val="auto"/>
              </w:rPr>
              <w:t>YoY</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FFCC"/>
          </w:tcPr>
          <w:p>
            <w:pPr>
              <w:spacing w:after="0"/>
              <w:rPr>
                <w:sz w:val="20"/>
                <w:szCs w:val="20"/>
                <w:color w:val="auto"/>
              </w:rPr>
            </w:pPr>
            <w:r>
              <w:rPr>
                <w:rFonts w:ascii="Arial" w:cs="Arial" w:eastAsia="Arial" w:hAnsi="Arial"/>
                <w:sz w:val="18"/>
                <w:szCs w:val="18"/>
                <w:color w:val="auto"/>
              </w:rPr>
              <w:t>Due from banks</w:t>
            </w:r>
          </w:p>
        </w:tc>
        <w:tc>
          <w:tcPr>
            <w:tcW w:w="10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164</w:t>
            </w:r>
          </w:p>
        </w:tc>
        <w:tc>
          <w:tcPr>
            <w:tcW w:w="13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93</w:t>
            </w:r>
          </w:p>
        </w:tc>
        <w:tc>
          <w:tcPr>
            <w:tcW w:w="13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458</w:t>
            </w:r>
          </w:p>
        </w:tc>
        <w:tc>
          <w:tcPr>
            <w:tcW w:w="780" w:type="dxa"/>
            <w:vAlign w:val="bottom"/>
            <w:shd w:val="clear" w:color="auto" w:fill="CCFFCC"/>
          </w:tcPr>
          <w:p>
            <w:pPr>
              <w:spacing w:after="0"/>
              <w:rPr>
                <w:sz w:val="18"/>
                <w:szCs w:val="18"/>
                <w:color w:val="auto"/>
              </w:rPr>
            </w:pPr>
          </w:p>
        </w:tc>
        <w:tc>
          <w:tcPr>
            <w:tcW w:w="6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w w:val="90"/>
              </w:rPr>
              <w:t>76.2%</w:t>
            </w:r>
          </w:p>
        </w:tc>
        <w:tc>
          <w:tcPr>
            <w:tcW w:w="32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Loans</w:t>
            </w:r>
          </w:p>
        </w:tc>
        <w:tc>
          <w:tcPr>
            <w:tcW w:w="1420" w:type="dxa"/>
            <w:vAlign w:val="bottom"/>
            <w:gridSpan w:val="3"/>
          </w:tcPr>
          <w:p>
            <w:pPr>
              <w:jc w:val="right"/>
              <w:ind w:right="220"/>
              <w:spacing w:after="0"/>
              <w:rPr>
                <w:sz w:val="20"/>
                <w:szCs w:val="20"/>
                <w:color w:val="auto"/>
              </w:rPr>
            </w:pPr>
            <w:r>
              <w:rPr>
                <w:rFonts w:ascii="Arial" w:cs="Arial" w:eastAsia="Arial" w:hAnsi="Arial"/>
                <w:sz w:val="18"/>
                <w:szCs w:val="18"/>
                <w:color w:val="auto"/>
              </w:rPr>
              <w:t>493</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492</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134</w:t>
            </w:r>
          </w:p>
        </w:tc>
        <w:tc>
          <w:tcPr>
            <w:tcW w:w="78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c>
          <w:tcPr>
            <w:tcW w:w="3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FFCC"/>
          </w:tcPr>
          <w:p>
            <w:pPr>
              <w:spacing w:after="0"/>
              <w:rPr>
                <w:sz w:val="20"/>
                <w:szCs w:val="20"/>
                <w:color w:val="auto"/>
              </w:rPr>
            </w:pPr>
            <w:r>
              <w:rPr>
                <w:rFonts w:ascii="Arial" w:cs="Arial" w:eastAsia="Arial" w:hAnsi="Arial"/>
                <w:sz w:val="18"/>
                <w:szCs w:val="18"/>
                <w:color w:val="auto"/>
              </w:rPr>
              <w:t>Investments</w:t>
            </w:r>
          </w:p>
        </w:tc>
        <w:tc>
          <w:tcPr>
            <w:tcW w:w="10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767</w:t>
            </w:r>
          </w:p>
        </w:tc>
        <w:tc>
          <w:tcPr>
            <w:tcW w:w="13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700</w:t>
            </w:r>
          </w:p>
        </w:tc>
        <w:tc>
          <w:tcPr>
            <w:tcW w:w="13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807</w:t>
            </w:r>
          </w:p>
        </w:tc>
        <w:tc>
          <w:tcPr>
            <w:tcW w:w="780" w:type="dxa"/>
            <w:vAlign w:val="bottom"/>
            <w:shd w:val="clear" w:color="auto" w:fill="CCFFCC"/>
          </w:tcPr>
          <w:p>
            <w:pPr>
              <w:spacing w:after="0"/>
              <w:rPr>
                <w:sz w:val="18"/>
                <w:szCs w:val="18"/>
                <w:color w:val="auto"/>
              </w:rPr>
            </w:pPr>
          </w:p>
        </w:tc>
        <w:tc>
          <w:tcPr>
            <w:tcW w:w="6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9.6%</w:t>
            </w:r>
          </w:p>
        </w:tc>
        <w:tc>
          <w:tcPr>
            <w:tcW w:w="32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20" w:type="dxa"/>
            <w:vAlign w:val="bottom"/>
            <w:vMerge w:val="continue"/>
          </w:tcPr>
          <w:p>
            <w:pPr>
              <w:spacing w:after="0"/>
              <w:rPr>
                <w:sz w:val="20"/>
                <w:szCs w:val="20"/>
                <w:color w:val="auto"/>
              </w:rPr>
            </w:pPr>
          </w:p>
        </w:tc>
        <w:tc>
          <w:tcPr>
            <w:tcW w:w="4400" w:type="dxa"/>
            <w:vAlign w:val="bottom"/>
          </w:tcPr>
          <w:p>
            <w:pPr>
              <w:spacing w:after="0"/>
              <w:rPr>
                <w:sz w:val="20"/>
                <w:szCs w:val="20"/>
                <w:color w:val="auto"/>
              </w:rPr>
            </w:pPr>
            <w:r>
              <w:rPr>
                <w:rFonts w:ascii="Arial" w:cs="Arial" w:eastAsia="Arial" w:hAnsi="Arial"/>
                <w:sz w:val="18"/>
                <w:szCs w:val="18"/>
                <w:b w:val="1"/>
                <w:bCs w:val="1"/>
                <w:color w:val="auto"/>
              </w:rPr>
              <w:t>Total interest-earning assets</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1,424</w:t>
            </w:r>
          </w:p>
        </w:tc>
        <w:tc>
          <w:tcPr>
            <w:tcW w:w="2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1,285</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1,399</w:t>
            </w:r>
          </w:p>
        </w:tc>
        <w:tc>
          <w:tcPr>
            <w:tcW w:w="780" w:type="dxa"/>
            <w:vAlign w:val="bottom"/>
          </w:tcPr>
          <w:p>
            <w:pPr>
              <w:spacing w:after="0"/>
              <w:rPr>
                <w:sz w:val="20"/>
                <w:szCs w:val="20"/>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7"/>
              </w:rPr>
              <w:t>10.8%</w:t>
            </w:r>
          </w:p>
        </w:tc>
        <w:tc>
          <w:tcPr>
            <w:tcW w:w="32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-10795</wp:posOffset>
            </wp:positionV>
            <wp:extent cx="411670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116705" cy="171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 Excludes investments in equities and mutual funds.</w:t>
      </w:r>
    </w:p>
    <w:p>
      <w:pPr>
        <w:spacing w:after="0" w:line="2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significant portion of the instruments are investment grade (72%), which reflects the bank’s prudent policy to concentrate portfolio investment in instruments with a good risk profile.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134620</wp:posOffset>
            </wp:positionV>
            <wp:extent cx="1861185" cy="15862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861185" cy="1586230"/>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134620</wp:posOffset>
            </wp:positionV>
            <wp:extent cx="1929765" cy="16294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929765" cy="1629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Customer deposits increased 11.4% with regard to 2Q10, going from US$ 1,121 million to US$ 1,250 million. Interest rates for deposits experienced a downward trend last year, which caused deposits to drop during the first three quarters of 2010. Nevertheless, it is important to point out that this decline was associated with a higher preference for ASHC’s investment products.</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Equity has grown sustainably, demonstrating an increase of 7.5% QoQ and 19.5% YoY (going from US$ 243 million at the end of 2Q10 to US$ 261 million at the close of 3Q10). This increase is reflected primarily in two components: quarterly net income for US$10.6 million and an increase in the market value of investments due to unrealized earnings of US$ 7.5 million, which pushed total value to US$ 32.9 million.</w:t>
      </w:r>
    </w:p>
    <w:p>
      <w:pPr>
        <w:spacing w:after="0" w:line="3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0"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175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Asset Administration</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deposits’ total and AuM include investments in proprietary mutual funds and financial instruments in custody. The total of these funds has increased 14.7% QoQ and 30.6% YoY.</w:t>
      </w:r>
    </w:p>
    <w:p>
      <w:pPr>
        <w:spacing w:after="0" w:line="19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AuM increased 16.2% QoQ. This is consistent with the increase in investment observed during the last few quarters due to overall market recovery and corresponding improvements in the market value of investments and AuM, which have driven customers to increase their positions through direct purchases. The YoY increase is also due to market recovery and an increase in purchases.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2097405</wp:posOffset>
            </wp:positionH>
            <wp:positionV relativeFrom="paragraph">
              <wp:posOffset>141605</wp:posOffset>
            </wp:positionV>
            <wp:extent cx="3061335" cy="19812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061335" cy="198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17"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175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VI. Prima AFP</w:t>
      </w:r>
    </w:p>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PRIMA’s fee income grew 4.1% QoQ to reach US$ 21.8 million and as a result operating income increased 3.8% QoQ. PRIMA’s net income in the third quarter totaled US$ 5.7 million, which represented a decline of 2.8% QoQ that was attributable to higher tax provisions and employee profit sharing.</w:t>
      </w:r>
    </w:p>
    <w:p>
      <w:pPr>
        <w:spacing w:after="0" w:line="17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PRIMA’s commercial strategy in the third quarter focused on new captures and affiliations. In this context, new affiliations were up QoQ due to an increase in the economically active population. On the other hand, transfers between AFPs remained low. At the end of the third quarter, PRIMA’s funds under management represented 30.9% of total funds managed by the system, confirming the company’s leadership in market share for this indicator. PRIMA accounted for 32.0% of the system’s total contributions collections and achieved a 43.4% share of the voluntary contributions market.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gridSpan w:val="3"/>
          </w:tcPr>
          <w:p>
            <w:pPr>
              <w:spacing w:after="0"/>
              <w:rPr>
                <w:sz w:val="20"/>
                <w:szCs w:val="20"/>
                <w:color w:val="auto"/>
              </w:rPr>
            </w:pPr>
            <w:r>
              <w:rPr>
                <w:rFonts w:ascii="Arial" w:cs="Arial" w:eastAsia="Arial" w:hAnsi="Arial"/>
                <w:sz w:val="18"/>
                <w:szCs w:val="18"/>
                <w:b w:val="1"/>
                <w:bCs w:val="1"/>
                <w:color w:val="auto"/>
                <w:w w:val="93"/>
              </w:rPr>
              <w:t>Quarterly main indicators and market share</w:t>
            </w:r>
          </w:p>
        </w:tc>
        <w:tc>
          <w:tcPr>
            <w:tcW w:w="116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PRIMA</w:t>
            </w:r>
          </w:p>
        </w:tc>
        <w:tc>
          <w:tcPr>
            <w:tcW w:w="136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84"/>
              </w:rPr>
              <w:t>System</w:t>
            </w:r>
          </w:p>
        </w:tc>
        <w:tc>
          <w:tcPr>
            <w:tcW w:w="140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4"/>
              </w:rPr>
              <w:t>Part.</w:t>
            </w:r>
          </w:p>
        </w:tc>
        <w:tc>
          <w:tcPr>
            <w:tcW w:w="1360" w:type="dxa"/>
            <w:vAlign w:val="bottom"/>
            <w:gridSpan w:val="2"/>
            <w:vMerge w:val="restart"/>
          </w:tcPr>
          <w:p>
            <w:pPr>
              <w:ind w:left="260"/>
              <w:spacing w:after="0"/>
              <w:rPr>
                <w:sz w:val="20"/>
                <w:szCs w:val="20"/>
                <w:color w:val="auto"/>
              </w:rPr>
            </w:pPr>
            <w:r>
              <w:rPr>
                <w:rFonts w:ascii="Arial" w:cs="Arial" w:eastAsia="Arial" w:hAnsi="Arial"/>
                <w:sz w:val="18"/>
                <w:szCs w:val="18"/>
                <w:b w:val="1"/>
                <w:bCs w:val="1"/>
                <w:color w:val="auto"/>
              </w:rPr>
              <w:t>PRIMA</w:t>
            </w:r>
          </w:p>
        </w:tc>
        <w:tc>
          <w:tcPr>
            <w:tcW w:w="134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87"/>
              </w:rPr>
              <w:t>System</w:t>
            </w:r>
          </w:p>
        </w:tc>
        <w:tc>
          <w:tcPr>
            <w:tcW w:w="1300" w:type="dxa"/>
            <w:vAlign w:val="bottom"/>
            <w:gridSpan w:val="2"/>
            <w:vMerge w:val="restart"/>
          </w:tcPr>
          <w:p>
            <w:pPr>
              <w:jc w:val="center"/>
              <w:ind w:right="160"/>
              <w:spacing w:after="0"/>
              <w:rPr>
                <w:sz w:val="20"/>
                <w:szCs w:val="20"/>
                <w:color w:val="auto"/>
              </w:rPr>
            </w:pPr>
            <w:r>
              <w:rPr>
                <w:rFonts w:ascii="Arial" w:cs="Arial" w:eastAsia="Arial" w:hAnsi="Arial"/>
                <w:sz w:val="18"/>
                <w:szCs w:val="18"/>
                <w:b w:val="1"/>
                <w:bCs w:val="1"/>
                <w:color w:val="auto"/>
                <w:w w:val="94"/>
              </w:rPr>
              <w:t>Part.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3Q10</w:t>
            </w:r>
          </w:p>
        </w:tc>
        <w:tc>
          <w:tcPr>
            <w:tcW w:w="2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3Q10</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3Q10 %</w:t>
            </w:r>
          </w:p>
        </w:tc>
        <w:tc>
          <w:tcPr>
            <w:tcW w:w="260" w:type="dxa"/>
            <w:vAlign w:val="bottom"/>
          </w:tcPr>
          <w:p>
            <w:pPr>
              <w:spacing w:after="0"/>
              <w:rPr>
                <w:sz w:val="20"/>
                <w:szCs w:val="20"/>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2Q10</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2Q10</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2Q10 %</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Affiliates</w:t>
            </w:r>
          </w:p>
        </w:tc>
        <w:tc>
          <w:tcPr>
            <w:tcW w:w="11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1,110,105</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4,587,455</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24.2%</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1,098,912</w:t>
            </w:r>
          </w:p>
        </w:tc>
        <w:tc>
          <w:tcPr>
            <w:tcW w:w="22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4,540,512</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New affiliations (1)</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13,592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56,112</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24.2%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12,534</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47,785</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Funds under management US$ million</w:t>
            </w:r>
          </w:p>
        </w:tc>
        <w:tc>
          <w:tcPr>
            <w:tcW w:w="11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8,911</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28,836</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30.9%</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7,657</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24,807</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Collections US$ million (1)</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147</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460</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32.0%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141</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442</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Voluntary contributions US$ million</w:t>
            </w:r>
          </w:p>
        </w:tc>
        <w:tc>
          <w:tcPr>
            <w:tcW w:w="11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101</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233</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43.4%</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86</w:t>
            </w:r>
          </w:p>
        </w:tc>
        <w:tc>
          <w:tcPr>
            <w:tcW w:w="22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203</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RAM US$ million (2)</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423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1,325</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31.9%</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407</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1,270</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60" w:hanging="252"/>
        <w:spacing w:after="0"/>
        <w:tabs>
          <w:tab w:leader="none" w:pos="26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Accumulated to the Quarter.</w:t>
      </w:r>
    </w:p>
    <w:p>
      <w:pPr>
        <w:spacing w:after="0" w:line="23" w:lineRule="exact"/>
        <w:rPr>
          <w:rFonts w:ascii="Arial" w:cs="Arial" w:eastAsia="Arial" w:hAnsi="Arial"/>
          <w:sz w:val="18"/>
          <w:szCs w:val="18"/>
          <w:i w:val="1"/>
          <w:iCs w:val="1"/>
          <w:color w:val="auto"/>
        </w:rPr>
      </w:pPr>
    </w:p>
    <w:p>
      <w:pPr>
        <w:ind w:left="260" w:hanging="252"/>
        <w:spacing w:after="0"/>
        <w:tabs>
          <w:tab w:leader="none" w:pos="26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PRIMA AFP estimates: average of aggregated income during the last 4 months excluding special collections and voluntary contribution fees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Results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3Q10, new affiliations showed an increase with regard to last quarter’s figures while the number of transfers fell slightly. In this context, there were approximately 15,900 total captures. In disaggregated terms, this represented close to 13,600 new affiliations and 2,300 transfers and was in line with the company’s commercial targets. With regards to last quarter, new affiliations increased 8.4% and transfers fell 3%. It is important to mention that net affiliations and transfers (entry and exit) were positive for PRIMA in terms of QoQ RAM evolution. RAM continues to follow an upward trend, which has helped PRIMA maintain market leadership with a 31.9% share.</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the end of the third quarter, PRIMA’s funds under management reached US$ 8,911 million, which represented 30.9% of the system total. This confirms PRIMA’s market leadership in terms of this indicator.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PRIMA’s funds under management demonstrated favorable results in the third quarter. This was reflected in an increase of its managed portfolio, which totaled US$ 8,911 million at the end of September. Profitability at twelve months (September 2010/September 2009) was 7.21%, 15.80% and 21.71% for funds 1, 2 and 3, respectively. With these results, Prima is market leader in profitability for funds 2 and 3 and is in second place in fund 1.</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Pension funds are long-term by nature and comparisons should contemplate this fact. With this in mind, annualized profitability over a five-year period (September 2010 / September 2005) for fund 2 – the only fund in the system at that time- was 15.17%, which represents the highest profitability of the system. If we extend the period of analysis to include the time period ranging from the system’s start-up (17 years ago) to present day, the private pension system has achieved an average nominal annualized yield of 14.50% and a real figure of 9.07%.</w:t>
      </w: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6"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175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The table below shows the structure of PRIMA’s managed portfolio at the end of the third quarter:</w:t>
      </w:r>
    </w:p>
    <w:p>
      <w:pPr>
        <w:spacing w:after="0" w:line="248"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5420" w:type="dxa"/>
            <w:vAlign w:val="bottom"/>
            <w:gridSpan w:val="2"/>
          </w:tcPr>
          <w:p>
            <w:pPr>
              <w:spacing w:after="0"/>
              <w:rPr>
                <w:sz w:val="20"/>
                <w:szCs w:val="20"/>
                <w:color w:val="auto"/>
              </w:rPr>
            </w:pPr>
            <w:r>
              <w:rPr>
                <w:rFonts w:ascii="Arial" w:cs="Arial" w:eastAsia="Arial" w:hAnsi="Arial"/>
                <w:sz w:val="18"/>
                <w:szCs w:val="18"/>
                <w:b w:val="1"/>
                <w:bCs w:val="1"/>
                <w:color w:val="auto"/>
              </w:rPr>
              <w:t>Funds under management as of September 2010</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400" w:type="dxa"/>
            <w:vAlign w:val="bottom"/>
          </w:tcPr>
          <w:p>
            <w:pPr>
              <w:spacing w:after="0"/>
              <w:rPr>
                <w:sz w:val="21"/>
                <w:szCs w:val="21"/>
                <w:color w:val="auto"/>
              </w:rPr>
            </w:pPr>
          </w:p>
        </w:tc>
        <w:tc>
          <w:tcPr>
            <w:tcW w:w="10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Sep 10</w:t>
            </w:r>
          </w:p>
        </w:tc>
        <w:tc>
          <w:tcPr>
            <w:tcW w:w="180" w:type="dxa"/>
            <w:vAlign w:val="bottom"/>
          </w:tcPr>
          <w:p>
            <w:pPr>
              <w:spacing w:after="0"/>
              <w:rPr>
                <w:sz w:val="21"/>
                <w:szCs w:val="21"/>
                <w:color w:val="auto"/>
              </w:rPr>
            </w:pPr>
          </w:p>
        </w:tc>
        <w:tc>
          <w:tcPr>
            <w:tcW w:w="102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Share %</w:t>
            </w:r>
          </w:p>
        </w:tc>
        <w:tc>
          <w:tcPr>
            <w:tcW w:w="260" w:type="dxa"/>
            <w:vAlign w:val="bottom"/>
          </w:tcPr>
          <w:p>
            <w:pPr>
              <w:spacing w:after="0"/>
              <w:rPr>
                <w:sz w:val="21"/>
                <w:szCs w:val="21"/>
                <w:color w:val="auto"/>
              </w:rPr>
            </w:pPr>
          </w:p>
        </w:tc>
        <w:tc>
          <w:tcPr>
            <w:tcW w:w="10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Jun 10</w:t>
            </w:r>
          </w:p>
        </w:tc>
        <w:tc>
          <w:tcPr>
            <w:tcW w:w="200" w:type="dxa"/>
            <w:vAlign w:val="bottom"/>
          </w:tcPr>
          <w:p>
            <w:pPr>
              <w:spacing w:after="0"/>
              <w:rPr>
                <w:sz w:val="21"/>
                <w:szCs w:val="21"/>
                <w:color w:val="auto"/>
              </w:rPr>
            </w:pPr>
          </w:p>
        </w:tc>
        <w:tc>
          <w:tcPr>
            <w:tcW w:w="102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Share %</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FFCC"/>
          </w:tcPr>
          <w:p>
            <w:pPr>
              <w:spacing w:after="0"/>
              <w:rPr>
                <w:sz w:val="20"/>
                <w:szCs w:val="20"/>
                <w:color w:val="auto"/>
              </w:rPr>
            </w:pPr>
            <w:r>
              <w:rPr>
                <w:rFonts w:ascii="Arial" w:cs="Arial" w:eastAsia="Arial" w:hAnsi="Arial"/>
                <w:sz w:val="18"/>
                <w:szCs w:val="18"/>
                <w:color w:val="auto"/>
              </w:rPr>
              <w:t>Fund 1</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699</w:t>
            </w:r>
          </w:p>
        </w:tc>
        <w:tc>
          <w:tcPr>
            <w:tcW w:w="146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7.8%</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658</w:t>
            </w:r>
          </w:p>
        </w:tc>
        <w:tc>
          <w:tcPr>
            <w:tcW w:w="138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Fund 2</w:t>
            </w:r>
          </w:p>
        </w:tc>
        <w:tc>
          <w:tcPr>
            <w:tcW w:w="1020" w:type="dxa"/>
            <w:vAlign w:val="bottom"/>
          </w:tcPr>
          <w:p>
            <w:pPr>
              <w:jc w:val="right"/>
              <w:spacing w:after="0"/>
              <w:rPr>
                <w:sz w:val="20"/>
                <w:szCs w:val="20"/>
                <w:color w:val="auto"/>
              </w:rPr>
            </w:pPr>
            <w:r>
              <w:rPr>
                <w:rFonts w:ascii="Arial" w:cs="Arial" w:eastAsia="Arial" w:hAnsi="Arial"/>
                <w:sz w:val="18"/>
                <w:szCs w:val="18"/>
                <w:color w:val="auto"/>
              </w:rPr>
              <w:t>5,889</w:t>
            </w:r>
          </w:p>
        </w:tc>
        <w:tc>
          <w:tcPr>
            <w:tcW w:w="1460" w:type="dxa"/>
            <w:vAlign w:val="bottom"/>
            <w:gridSpan w:val="3"/>
          </w:tcPr>
          <w:p>
            <w:pPr>
              <w:jc w:val="right"/>
              <w:ind w:right="120"/>
              <w:spacing w:after="0"/>
              <w:rPr>
                <w:sz w:val="20"/>
                <w:szCs w:val="20"/>
                <w:color w:val="auto"/>
              </w:rPr>
            </w:pPr>
            <w:r>
              <w:rPr>
                <w:rFonts w:ascii="Arial" w:cs="Arial" w:eastAsia="Arial" w:hAnsi="Arial"/>
                <w:sz w:val="18"/>
                <w:szCs w:val="18"/>
                <w:color w:val="auto"/>
              </w:rPr>
              <w:t>66.1%</w:t>
            </w:r>
          </w:p>
        </w:tc>
        <w:tc>
          <w:tcPr>
            <w:tcW w:w="1000" w:type="dxa"/>
            <w:vAlign w:val="bottom"/>
          </w:tcPr>
          <w:p>
            <w:pPr>
              <w:jc w:val="right"/>
              <w:spacing w:after="0"/>
              <w:rPr>
                <w:sz w:val="20"/>
                <w:szCs w:val="20"/>
                <w:color w:val="auto"/>
              </w:rPr>
            </w:pPr>
            <w:r>
              <w:rPr>
                <w:rFonts w:ascii="Arial" w:cs="Arial" w:eastAsia="Arial" w:hAnsi="Arial"/>
                <w:sz w:val="18"/>
                <w:szCs w:val="18"/>
                <w:color w:val="auto"/>
              </w:rPr>
              <w:t>5,122</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FFCC"/>
          </w:tcPr>
          <w:p>
            <w:pPr>
              <w:spacing w:after="0"/>
              <w:rPr>
                <w:sz w:val="20"/>
                <w:szCs w:val="20"/>
                <w:color w:val="auto"/>
              </w:rPr>
            </w:pPr>
            <w:r>
              <w:rPr>
                <w:rFonts w:ascii="Arial" w:cs="Arial" w:eastAsia="Arial" w:hAnsi="Arial"/>
                <w:sz w:val="18"/>
                <w:szCs w:val="18"/>
                <w:color w:val="auto"/>
              </w:rPr>
              <w:t>Fund 3</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2,323</w:t>
            </w:r>
          </w:p>
        </w:tc>
        <w:tc>
          <w:tcPr>
            <w:tcW w:w="18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26.1%</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1,877</w:t>
            </w:r>
          </w:p>
        </w:tc>
        <w:tc>
          <w:tcPr>
            <w:tcW w:w="138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00" w:type="dxa"/>
            <w:vAlign w:val="bottom"/>
            <w:shd w:val="clear" w:color="auto" w:fill="CCFFCC"/>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Total US$ millon</w:t>
            </w:r>
          </w:p>
        </w:tc>
        <w:tc>
          <w:tcPr>
            <w:tcW w:w="1020" w:type="dxa"/>
            <w:vAlign w:val="bottom"/>
          </w:tcPr>
          <w:p>
            <w:pPr>
              <w:jc w:val="right"/>
              <w:spacing w:after="0"/>
              <w:rPr>
                <w:sz w:val="20"/>
                <w:szCs w:val="20"/>
                <w:color w:val="auto"/>
              </w:rPr>
            </w:pPr>
            <w:r>
              <w:rPr>
                <w:rFonts w:ascii="Arial" w:cs="Arial" w:eastAsia="Arial" w:hAnsi="Arial"/>
                <w:sz w:val="18"/>
                <w:szCs w:val="18"/>
                <w:color w:val="auto"/>
              </w:rPr>
              <w:t>8,911</w:t>
            </w:r>
          </w:p>
        </w:tc>
        <w:tc>
          <w:tcPr>
            <w:tcW w:w="18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1000" w:type="dxa"/>
            <w:vAlign w:val="bottom"/>
          </w:tcPr>
          <w:p>
            <w:pPr>
              <w:jc w:val="right"/>
              <w:spacing w:after="0"/>
              <w:rPr>
                <w:sz w:val="20"/>
                <w:szCs w:val="20"/>
                <w:color w:val="auto"/>
              </w:rPr>
            </w:pPr>
            <w:r>
              <w:rPr>
                <w:rFonts w:ascii="Arial" w:cs="Arial" w:eastAsia="Arial" w:hAnsi="Arial"/>
                <w:sz w:val="18"/>
                <w:szCs w:val="18"/>
                <w:color w:val="auto"/>
              </w:rPr>
              <w:t>7,657</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i w:val="1"/>
                <w:iCs w:val="1"/>
                <w:color w:val="auto"/>
              </w:rPr>
              <w:t>Source: Superintendencia de Banca, Seguros y AFP</w:t>
            </w:r>
          </w:p>
        </w:tc>
        <w:tc>
          <w:tcPr>
            <w:tcW w:w="10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Results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PRIMA’s net earnings in the third quarter were US$ 5.7 million, which represents a 2.8% decline QoQ. This is attributable to higher tax provisions and employee profit sharing this quarter rather than operating income, which increased 3.8% QoQ. Operating income is backed by a solid income generation (monthly insured wages), an appreciation in local currency and the company’s conservative approach to operating expenses. Nevertheless, total operating expenses increased QoQ due to a seasonality effect attributable to higher advertising and marketing expenses this quarter.</w:t>
      </w:r>
    </w:p>
    <w:p>
      <w:pPr>
        <w:spacing w:after="0" w:line="19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With regard to YoY results, operating income increased 24.6% and net income remained virtually unchanged (+0.6%) due to the fact that in 3Q09, reversals were taken in the tax and employee profit sharing account that generated differences in the YoY comparison.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third quarter of 2010, PRIMA reported fee income of US$ 21.8 million, which represented 4.1% growth QoQ. This increase in income was due to adequate commercial management and the domestic economy’s good evolution as well as an appreciation in local currency.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favorable effect on income is also evident in the YoY comparison, which indicates an increase of 15.0%.</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terms of RAM volume, which indicates aggregate salaries of system affiliates and represents each company’s income base, PRIMA has maintained a solid market position with a RAM base of US$ 423 million at the end of September 2010.</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0" w:type="dxa"/>
            <w:vAlign w:val="bottom"/>
            <w:gridSpan w:val="2"/>
          </w:tcPr>
          <w:p>
            <w:pPr>
              <w:spacing w:after="0"/>
              <w:rPr>
                <w:sz w:val="20"/>
                <w:szCs w:val="20"/>
                <w:color w:val="auto"/>
              </w:rPr>
            </w:pPr>
            <w:r>
              <w:rPr>
                <w:rFonts w:ascii="Arial" w:cs="Arial" w:eastAsia="Arial" w:hAnsi="Arial"/>
                <w:sz w:val="18"/>
                <w:szCs w:val="18"/>
                <w:b w:val="1"/>
                <w:bCs w:val="1"/>
                <w:color w:val="auto"/>
              </w:rPr>
              <w:t>Estimate of base to calculate earnings - US$ million</w:t>
            </w:r>
          </w:p>
        </w:tc>
        <w:tc>
          <w:tcPr>
            <w:tcW w:w="80" w:type="dxa"/>
            <w:vAlign w:val="bottom"/>
            <w:vMerge w:val="restart"/>
          </w:tcPr>
          <w:p>
            <w:pPr>
              <w:spacing w:after="0"/>
              <w:rPr>
                <w:sz w:val="20"/>
                <w:szCs w:val="20"/>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3"/>
              </w:rPr>
              <w:t>PRIMA - Sep 2010</w:t>
            </w:r>
          </w:p>
        </w:tc>
        <w:tc>
          <w:tcPr>
            <w:tcW w:w="260" w:type="dxa"/>
            <w:vAlign w:val="bottom"/>
            <w:vMerge w:val="restart"/>
          </w:tcPr>
          <w:p>
            <w:pPr>
              <w:spacing w:after="0"/>
              <w:rPr>
                <w:sz w:val="20"/>
                <w:szCs w:val="20"/>
                <w:color w:val="auto"/>
              </w:rPr>
            </w:pPr>
          </w:p>
        </w:tc>
        <w:tc>
          <w:tcPr>
            <w:tcW w:w="156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w w:val="86"/>
              </w:rPr>
              <w:t>System - Sep 2010</w:t>
            </w:r>
          </w:p>
        </w:tc>
        <w:tc>
          <w:tcPr>
            <w:tcW w:w="1140" w:type="dxa"/>
            <w:vAlign w:val="bottom"/>
            <w:gridSpan w:val="2"/>
            <w:vMerge w:val="restart"/>
          </w:tcPr>
          <w:p>
            <w:pPr>
              <w:jc w:val="right"/>
              <w:ind w:right="320"/>
              <w:spacing w:after="0"/>
              <w:rPr>
                <w:sz w:val="20"/>
                <w:szCs w:val="20"/>
                <w:color w:val="auto"/>
              </w:rPr>
            </w:pPr>
            <w:r>
              <w:rPr>
                <w:rFonts w:ascii="Arial" w:cs="Arial" w:eastAsia="Arial" w:hAnsi="Arial"/>
                <w:sz w:val="18"/>
                <w:szCs w:val="18"/>
                <w:b w:val="1"/>
                <w:bCs w:val="1"/>
                <w:color w:val="auto"/>
              </w:rPr>
              <w:t>Share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80" w:type="dxa"/>
            <w:vAlign w:val="bottom"/>
            <w:vMerge w:val="continue"/>
          </w:tcPr>
          <w:p>
            <w:pPr>
              <w:spacing w:after="0"/>
              <w:rPr>
                <w:sz w:val="18"/>
                <w:szCs w:val="18"/>
                <w:color w:val="auto"/>
              </w:rPr>
            </w:pPr>
          </w:p>
        </w:tc>
        <w:tc>
          <w:tcPr>
            <w:tcW w:w="1440" w:type="dxa"/>
            <w:vAlign w:val="bottom"/>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1560" w:type="dxa"/>
            <w:vAlign w:val="bottom"/>
            <w:gridSpan w:val="2"/>
            <w:vMerge w:val="continue"/>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FFCC"/>
          </w:tcPr>
          <w:p>
            <w:pPr>
              <w:spacing w:after="0"/>
              <w:rPr>
                <w:sz w:val="20"/>
                <w:szCs w:val="20"/>
                <w:color w:val="auto"/>
              </w:rPr>
            </w:pPr>
            <w:r>
              <w:rPr>
                <w:rFonts w:ascii="Arial" w:cs="Arial" w:eastAsia="Arial" w:hAnsi="Arial"/>
                <w:sz w:val="18"/>
                <w:szCs w:val="18"/>
                <w:color w:val="auto"/>
              </w:rPr>
              <w:t>Income (1)</w:t>
            </w:r>
          </w:p>
        </w:tc>
        <w:tc>
          <w:tcPr>
            <w:tcW w:w="80" w:type="dxa"/>
            <w:vAlign w:val="bottom"/>
            <w:shd w:val="clear" w:color="auto" w:fill="CCFFCC"/>
          </w:tcPr>
          <w:p>
            <w:pPr>
              <w:spacing w:after="0"/>
              <w:rPr>
                <w:sz w:val="18"/>
                <w:szCs w:val="18"/>
                <w:color w:val="auto"/>
              </w:rPr>
            </w:pPr>
          </w:p>
        </w:tc>
        <w:tc>
          <w:tcPr>
            <w:tcW w:w="1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7.4</w:t>
            </w:r>
          </w:p>
        </w:tc>
        <w:tc>
          <w:tcPr>
            <w:tcW w:w="260" w:type="dxa"/>
            <w:vAlign w:val="bottom"/>
            <w:shd w:val="clear" w:color="auto" w:fill="CCFFCC"/>
          </w:tcPr>
          <w:p>
            <w:pPr>
              <w:spacing w:after="0"/>
              <w:rPr>
                <w:sz w:val="18"/>
                <w:szCs w:val="18"/>
                <w:color w:val="auto"/>
              </w:rPr>
            </w:pPr>
          </w:p>
        </w:tc>
        <w:tc>
          <w:tcPr>
            <w:tcW w:w="15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25.1</w:t>
            </w:r>
          </w:p>
        </w:tc>
        <w:tc>
          <w:tcPr>
            <w:tcW w:w="11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Administrative fees</w:t>
            </w:r>
          </w:p>
        </w:tc>
        <w:tc>
          <w:tcPr>
            <w:tcW w:w="1780" w:type="dxa"/>
            <w:vAlign w:val="bottom"/>
            <w:gridSpan w:val="3"/>
          </w:tcPr>
          <w:p>
            <w:pPr>
              <w:jc w:val="right"/>
              <w:ind w:right="120"/>
              <w:spacing w:after="0"/>
              <w:rPr>
                <w:sz w:val="20"/>
                <w:szCs w:val="20"/>
                <w:color w:val="auto"/>
              </w:rPr>
            </w:pPr>
            <w:r>
              <w:rPr>
                <w:rFonts w:ascii="Arial" w:cs="Arial" w:eastAsia="Arial" w:hAnsi="Arial"/>
                <w:sz w:val="18"/>
                <w:szCs w:val="18"/>
                <w:color w:val="auto"/>
              </w:rPr>
              <w:t>1.75%</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FFCC"/>
          </w:tcPr>
          <w:p>
            <w:pPr>
              <w:spacing w:after="0"/>
              <w:rPr>
                <w:sz w:val="20"/>
                <w:szCs w:val="20"/>
                <w:color w:val="auto"/>
              </w:rPr>
            </w:pPr>
            <w:r>
              <w:rPr>
                <w:rFonts w:ascii="Arial" w:cs="Arial" w:eastAsia="Arial" w:hAnsi="Arial"/>
                <w:sz w:val="18"/>
                <w:szCs w:val="18"/>
                <w:color w:val="auto"/>
              </w:rPr>
              <w:t>RAM base (2)</w:t>
            </w:r>
          </w:p>
        </w:tc>
        <w:tc>
          <w:tcPr>
            <w:tcW w:w="1780" w:type="dxa"/>
            <w:vAlign w:val="bottom"/>
            <w:gridSpan w:val="3"/>
            <w:shd w:val="clear" w:color="auto" w:fill="CCFFCC"/>
          </w:tcPr>
          <w:p>
            <w:pPr>
              <w:jc w:val="right"/>
              <w:ind w:right="260"/>
              <w:spacing w:after="0"/>
              <w:rPr>
                <w:sz w:val="20"/>
                <w:szCs w:val="20"/>
                <w:color w:val="auto"/>
              </w:rPr>
            </w:pPr>
            <w:r>
              <w:rPr>
                <w:rFonts w:ascii="Arial" w:cs="Arial" w:eastAsia="Arial" w:hAnsi="Arial"/>
                <w:sz w:val="18"/>
                <w:szCs w:val="18"/>
                <w:color w:val="auto"/>
              </w:rPr>
              <w:t>423</w:t>
            </w:r>
          </w:p>
        </w:tc>
        <w:tc>
          <w:tcPr>
            <w:tcW w:w="15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1,325</w:t>
            </w:r>
          </w:p>
        </w:tc>
        <w:tc>
          <w:tcPr>
            <w:tcW w:w="11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i w:val="1"/>
                <w:iCs w:val="1"/>
                <w:color w:val="auto"/>
                <w:w w:val="93"/>
              </w:rPr>
              <w:t>PRIMA AFP estimates. In accordance to local public infomation, (CONASEV)</w:t>
            </w: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260" w:hanging="252"/>
        <w:spacing w:after="0"/>
        <w:tabs>
          <w:tab w:leader="none" w:pos="26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Average income from the last four months, excluding special collections and voluntary contribution fees</w:t>
      </w:r>
    </w:p>
    <w:p>
      <w:pPr>
        <w:spacing w:after="0" w:line="7" w:lineRule="exact"/>
        <w:rPr>
          <w:rFonts w:ascii="Arial" w:cs="Arial" w:eastAsia="Arial" w:hAnsi="Arial"/>
          <w:sz w:val="18"/>
          <w:szCs w:val="18"/>
          <w:i w:val="1"/>
          <w:iCs w:val="1"/>
          <w:color w:val="auto"/>
        </w:rPr>
      </w:pPr>
    </w:p>
    <w:p>
      <w:pPr>
        <w:ind w:left="260" w:hanging="252"/>
        <w:spacing w:after="0"/>
        <w:tabs>
          <w:tab w:leader="none" w:pos="26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RAM: average of aggregated income during the last 4 months excluding special collections </w:t>
      </w:r>
      <w:r>
        <w:rPr>
          <w:rFonts w:ascii="Arial" w:cs="Arial" w:eastAsia="Arial" w:hAnsi="Arial"/>
          <w:sz w:val="18"/>
          <w:szCs w:val="18"/>
          <w:color w:val="auto"/>
        </w:rPr>
        <w:t>and voluntary contributions fees.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Expenditures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the third quarter of 2010, PRIMA’s operating expenses demonstrated an increase of 5.9% with regard to the previous quarter due to higher provisions for personnel expenses and charges for third party services (investment management and advertising/marketing).</w:t>
      </w:r>
    </w:p>
    <w:p>
      <w:pPr>
        <w:spacing w:after="0" w:line="3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0" w:right="239" w:bottom="1440" w:gutter="0" w:footer="0" w:header="0"/>
        </w:sectPr>
      </w:pPr>
    </w:p>
    <w:bookmarkStart w:id="28" w:name="page29"/>
    <w:bookmarkEnd w:id="28"/>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175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Nevertheless, thanks to higher earnings this quarter, operating income increased 3.8% QoQ. It is important to point out that expenses for depreciation and amortization totaled US$ 2.4 million, which includes charges for intangible asset amortization (obtained due to the merger with Unión Vida), as well as depreciation and amortization on real estate, equipment and systems.</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Provisions associated with income tax payments and employee profit sharing increased in the third quarter, resulting in charges for US$ 3.8 million. Local currency appreciation in 3Q10 led to a translation loss and deferred liability adjustment for -US$ 88 thousand, which was primarily attributable to the exchange rate’s effect on liabilities denominated in Nuevos Soles.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Finally, PRIMA’s net income in the third quarter totaled US$ 5.7 million, which represented a slight decrease with regard to 2Q10’s results.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the end of September 2010, PRIMA reported an assets level of US$ 260.2 million. Shareholders’ equity reached US$ 169.2 million and liabilities totaled US$ 91.0 million.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details on the financial results: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7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 xml:space="preserve">Main financial indicators </w:t>
            </w:r>
            <w:r>
              <w:rPr>
                <w:rFonts w:ascii="Arial" w:cs="Arial" w:eastAsia="Arial" w:hAnsi="Arial"/>
                <w:sz w:val="14"/>
                <w:szCs w:val="14"/>
                <w:b w:val="1"/>
                <w:bCs w:val="1"/>
                <w:u w:val="single" w:color="auto"/>
                <w:color w:val="auto"/>
                <w:w w:val="93"/>
              </w:rPr>
              <w:t>(US</w:t>
            </w:r>
            <w:r>
              <w:rPr>
                <w:rFonts w:ascii="Arial" w:cs="Arial" w:eastAsia="Arial" w:hAnsi="Arial"/>
                <w:sz w:val="14"/>
                <w:szCs w:val="14"/>
                <w:b w:val="1"/>
                <w:bCs w:val="1"/>
                <w:color w:val="auto"/>
                <w:w w:val="93"/>
              </w:rPr>
              <w:t>$ thousand) (1)</w:t>
            </w:r>
          </w:p>
        </w:tc>
        <w:tc>
          <w:tcPr>
            <w:tcW w:w="80" w:type="dxa"/>
            <w:vAlign w:val="bottom"/>
          </w:tcPr>
          <w:p>
            <w:pPr>
              <w:spacing w:after="0"/>
              <w:rPr>
                <w:sz w:val="15"/>
                <w:szCs w:val="15"/>
                <w:color w:val="auto"/>
              </w:rPr>
            </w:pPr>
          </w:p>
        </w:tc>
        <w:tc>
          <w:tcPr>
            <w:tcW w:w="104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3Q10</w:t>
            </w:r>
          </w:p>
        </w:tc>
        <w:tc>
          <w:tcPr>
            <w:tcW w:w="108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2Q10</w:t>
            </w: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3Q09</w:t>
            </w:r>
          </w:p>
        </w:tc>
        <w:tc>
          <w:tcPr>
            <w:tcW w:w="1320" w:type="dxa"/>
            <w:vAlign w:val="bottom"/>
            <w:gridSpan w:val="3"/>
          </w:tcPr>
          <w:p>
            <w:pPr>
              <w:ind w:left="640"/>
              <w:spacing w:after="0"/>
              <w:rPr>
                <w:sz w:val="20"/>
                <w:szCs w:val="20"/>
                <w:color w:val="auto"/>
              </w:rPr>
            </w:pPr>
            <w:r>
              <w:rPr>
                <w:rFonts w:ascii="Arial" w:cs="Arial" w:eastAsia="Arial" w:hAnsi="Arial"/>
                <w:sz w:val="14"/>
                <w:szCs w:val="14"/>
                <w:b w:val="1"/>
                <w:bCs w:val="1"/>
                <w:color w:val="auto"/>
                <w:w w:val="97"/>
              </w:rPr>
              <w:t>Change %</w:t>
            </w: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0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Year to date</w:t>
            </w:r>
          </w:p>
        </w:tc>
        <w:tc>
          <w:tcPr>
            <w:tcW w:w="80" w:type="dxa"/>
            <w:vAlign w:val="bottom"/>
          </w:tcPr>
          <w:p>
            <w:pPr>
              <w:spacing w:after="0"/>
              <w:rPr>
                <w:sz w:val="15"/>
                <w:szCs w:val="15"/>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Change %</w:t>
            </w:r>
          </w:p>
        </w:tc>
        <w:tc>
          <w:tcPr>
            <w:tcW w:w="0" w:type="dxa"/>
            <w:vAlign w:val="bottom"/>
          </w:tcPr>
          <w:p>
            <w:pPr>
              <w:spacing w:after="0"/>
              <w:rPr>
                <w:sz w:val="1"/>
                <w:szCs w:val="1"/>
                <w:color w:val="auto"/>
              </w:rPr>
            </w:pPr>
          </w:p>
        </w:tc>
      </w:tr>
      <w:tr>
        <w:trPr>
          <w:trHeight w:val="149"/>
        </w:trPr>
        <w:tc>
          <w:tcPr>
            <w:tcW w:w="27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320" w:type="dxa"/>
            <w:vAlign w:val="bottom"/>
            <w:tcBorders>
              <w:top w:val="single" w:sz="8" w:color="auto"/>
            </w:tcBorders>
            <w:gridSpan w:val="3"/>
          </w:tcPr>
          <w:p>
            <w:pPr>
              <w:ind w:left="260"/>
              <w:spacing w:after="0" w:line="149" w:lineRule="exact"/>
              <w:rPr>
                <w:sz w:val="20"/>
                <w:szCs w:val="20"/>
                <w:color w:val="auto"/>
              </w:rPr>
            </w:pPr>
            <w:r>
              <w:rPr>
                <w:rFonts w:ascii="Arial" w:cs="Arial" w:eastAsia="Arial" w:hAnsi="Arial"/>
                <w:sz w:val="14"/>
                <w:szCs w:val="14"/>
                <w:b w:val="1"/>
                <w:bCs w:val="1"/>
                <w:color w:val="auto"/>
              </w:rPr>
              <w:t>QoQ</w:t>
            </w:r>
          </w:p>
        </w:tc>
        <w:tc>
          <w:tcPr>
            <w:tcW w:w="600" w:type="dxa"/>
            <w:vAlign w:val="bottom"/>
            <w:tcBorders>
              <w:top w:val="single" w:sz="8" w:color="auto"/>
            </w:tcBorders>
          </w:tcPr>
          <w:p>
            <w:pPr>
              <w:ind w:left="40"/>
              <w:spacing w:after="0" w:line="149" w:lineRule="exact"/>
              <w:rPr>
                <w:sz w:val="20"/>
                <w:szCs w:val="20"/>
                <w:color w:val="auto"/>
              </w:rPr>
            </w:pPr>
            <w:r>
              <w:rPr>
                <w:rFonts w:ascii="Arial" w:cs="Arial" w:eastAsia="Arial" w:hAnsi="Arial"/>
                <w:sz w:val="14"/>
                <w:szCs w:val="14"/>
                <w:b w:val="1"/>
                <w:bCs w:val="1"/>
                <w:color w:val="auto"/>
              </w:rPr>
              <w:t>YoY</w:t>
            </w:r>
          </w:p>
        </w:tc>
        <w:tc>
          <w:tcPr>
            <w:tcW w:w="240" w:type="dxa"/>
            <w:vAlign w:val="bottom"/>
          </w:tcPr>
          <w:p>
            <w:pPr>
              <w:spacing w:after="0"/>
              <w:rPr>
                <w:sz w:val="12"/>
                <w:szCs w:val="12"/>
                <w:color w:val="auto"/>
              </w:rPr>
            </w:pPr>
          </w:p>
        </w:tc>
        <w:tc>
          <w:tcPr>
            <w:tcW w:w="1080" w:type="dxa"/>
            <w:vAlign w:val="bottom"/>
            <w:tcBorders>
              <w:top w:val="single" w:sz="8" w:color="auto"/>
            </w:tcBorders>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Sep 10</w:t>
            </w:r>
          </w:p>
        </w:tc>
        <w:tc>
          <w:tcPr>
            <w:tcW w:w="880" w:type="dxa"/>
            <w:vAlign w:val="bottom"/>
            <w:tcBorders>
              <w:top w:val="single" w:sz="8" w:color="auto"/>
            </w:tcBorders>
          </w:tcPr>
          <w:p>
            <w:pPr>
              <w:jc w:val="right"/>
              <w:ind w:right="168"/>
              <w:spacing w:after="0" w:line="149" w:lineRule="exact"/>
              <w:rPr>
                <w:sz w:val="20"/>
                <w:szCs w:val="20"/>
                <w:color w:val="auto"/>
              </w:rPr>
            </w:pPr>
            <w:r>
              <w:rPr>
                <w:rFonts w:ascii="Arial" w:cs="Arial" w:eastAsia="Arial" w:hAnsi="Arial"/>
                <w:sz w:val="14"/>
                <w:szCs w:val="14"/>
                <w:b w:val="1"/>
                <w:bCs w:val="1"/>
                <w:color w:val="auto"/>
              </w:rPr>
              <w:t>Sep 09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0"/>
              </w:rPr>
              <w:t>Sep 10 / Sep 09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Income from commissions</w:t>
            </w:r>
          </w:p>
        </w:tc>
        <w:tc>
          <w:tcPr>
            <w:tcW w:w="80" w:type="dxa"/>
            <w:vAlign w:val="bottom"/>
            <w:shd w:val="clear" w:color="auto" w:fill="CCFFCC"/>
          </w:tcPr>
          <w:p>
            <w:pPr>
              <w:spacing w:after="0"/>
              <w:rPr>
                <w:sz w:val="12"/>
                <w:szCs w:val="12"/>
                <w:color w:val="auto"/>
              </w:rPr>
            </w:pPr>
          </w:p>
        </w:tc>
        <w:tc>
          <w:tcPr>
            <w:tcW w:w="8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21,812</w:t>
            </w:r>
          </w:p>
        </w:tc>
        <w:tc>
          <w:tcPr>
            <w:tcW w:w="220" w:type="dxa"/>
            <w:vAlign w:val="bottom"/>
            <w:shd w:val="clear" w:color="auto" w:fill="CCFFCC"/>
          </w:tcPr>
          <w:p>
            <w:pPr>
              <w:spacing w:after="0"/>
              <w:rPr>
                <w:sz w:val="12"/>
                <w:szCs w:val="12"/>
                <w:color w:val="auto"/>
              </w:rPr>
            </w:pPr>
          </w:p>
        </w:tc>
        <w:tc>
          <w:tcPr>
            <w:tcW w:w="8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20,943</w:t>
            </w:r>
          </w:p>
        </w:tc>
        <w:tc>
          <w:tcPr>
            <w:tcW w:w="220" w:type="dxa"/>
            <w:vAlign w:val="bottom"/>
            <w:shd w:val="clear" w:color="auto" w:fill="CCFFCC"/>
          </w:tcPr>
          <w:p>
            <w:pPr>
              <w:spacing w:after="0"/>
              <w:rPr>
                <w:sz w:val="12"/>
                <w:szCs w:val="12"/>
                <w:color w:val="auto"/>
              </w:rPr>
            </w:pPr>
          </w:p>
        </w:tc>
        <w:tc>
          <w:tcPr>
            <w:tcW w:w="8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18,972</w:t>
            </w:r>
          </w:p>
        </w:tc>
        <w:tc>
          <w:tcPr>
            <w:tcW w:w="220" w:type="dxa"/>
            <w:vAlign w:val="bottom"/>
            <w:shd w:val="clear" w:color="auto" w:fill="CCFFCC"/>
          </w:tcPr>
          <w:p>
            <w:pPr>
              <w:spacing w:after="0"/>
              <w:rPr>
                <w:sz w:val="12"/>
                <w:szCs w:val="12"/>
                <w:color w:val="auto"/>
              </w:rPr>
            </w:pPr>
          </w:p>
        </w:tc>
        <w:tc>
          <w:tcPr>
            <w:tcW w:w="10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4.1%</w:t>
            </w:r>
          </w:p>
        </w:tc>
        <w:tc>
          <w:tcPr>
            <w:tcW w:w="240" w:type="dxa"/>
            <w:vAlign w:val="bottom"/>
            <w:shd w:val="clear" w:color="auto" w:fill="CCFFCC"/>
          </w:tcPr>
          <w:p>
            <w:pPr>
              <w:spacing w:after="0"/>
              <w:rPr>
                <w:sz w:val="12"/>
                <w:szCs w:val="12"/>
                <w:color w:val="auto"/>
              </w:rPr>
            </w:pPr>
          </w:p>
        </w:tc>
        <w:tc>
          <w:tcPr>
            <w:tcW w:w="8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15.0%</w:t>
            </w:r>
          </w:p>
        </w:tc>
        <w:tc>
          <w:tcPr>
            <w:tcW w:w="10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63,249</w:t>
            </w:r>
          </w:p>
        </w:tc>
        <w:tc>
          <w:tcPr>
            <w:tcW w:w="10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58,887</w:t>
            </w:r>
          </w:p>
        </w:tc>
        <w:tc>
          <w:tcPr>
            <w:tcW w:w="1120" w:type="dxa"/>
            <w:vAlign w:val="bottom"/>
            <w:gridSpan w:val="3"/>
            <w:shd w:val="clear" w:color="auto" w:fill="CCFFCC"/>
          </w:tcPr>
          <w:p>
            <w:pPr>
              <w:jc w:val="right"/>
              <w:spacing w:after="0" w:line="149" w:lineRule="exact"/>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line="149" w:lineRule="exact"/>
              <w:rPr>
                <w:sz w:val="20"/>
                <w:szCs w:val="20"/>
                <w:color w:val="auto"/>
              </w:rPr>
            </w:pPr>
            <w:r>
              <w:rPr>
                <w:rFonts w:ascii="Arial" w:cs="Arial" w:eastAsia="Arial" w:hAnsi="Arial"/>
                <w:sz w:val="14"/>
                <w:szCs w:val="14"/>
                <w:color w:val="auto"/>
              </w:rPr>
              <w:t>Administrative and sale expenses</w:t>
            </w:r>
          </w:p>
        </w:tc>
        <w:tc>
          <w:tcPr>
            <w:tcW w:w="11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(9,516)</w:t>
            </w:r>
          </w:p>
        </w:tc>
        <w:tc>
          <w:tcPr>
            <w:tcW w:w="10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(8,984)</w:t>
            </w:r>
          </w:p>
        </w:tc>
        <w:tc>
          <w:tcPr>
            <w:tcW w:w="10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(8,718)</w:t>
            </w:r>
          </w:p>
        </w:tc>
        <w:tc>
          <w:tcPr>
            <w:tcW w:w="10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5.9%</w:t>
            </w:r>
          </w:p>
        </w:tc>
        <w:tc>
          <w:tcPr>
            <w:tcW w:w="24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9.2%</w:t>
            </w:r>
          </w:p>
        </w:tc>
        <w:tc>
          <w:tcPr>
            <w:tcW w:w="10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(27,327)</w:t>
            </w:r>
          </w:p>
        </w:tc>
        <w:tc>
          <w:tcPr>
            <w:tcW w:w="10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(25,497)</w:t>
            </w:r>
          </w:p>
        </w:tc>
        <w:tc>
          <w:tcPr>
            <w:tcW w:w="11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1120" w:type="dxa"/>
            <w:vAlign w:val="bottom"/>
            <w:gridSpan w:val="3"/>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(2,443)</w:t>
            </w:r>
          </w:p>
        </w:tc>
        <w:tc>
          <w:tcPr>
            <w:tcW w:w="108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(2,465)</w:t>
            </w:r>
          </w:p>
        </w:tc>
        <w:tc>
          <w:tcPr>
            <w:tcW w:w="108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(2,344)</w:t>
            </w:r>
          </w:p>
        </w:tc>
        <w:tc>
          <w:tcPr>
            <w:tcW w:w="10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-0.9%</w:t>
            </w:r>
          </w:p>
        </w:tc>
        <w:tc>
          <w:tcPr>
            <w:tcW w:w="240" w:type="dxa"/>
            <w:vAlign w:val="bottom"/>
            <w:shd w:val="clear" w:color="auto" w:fill="CCFFCC"/>
          </w:tcPr>
          <w:p>
            <w:pPr>
              <w:spacing w:after="0"/>
              <w:rPr>
                <w:sz w:val="12"/>
                <w:szCs w:val="12"/>
                <w:color w:val="auto"/>
              </w:rPr>
            </w:pPr>
          </w:p>
        </w:tc>
        <w:tc>
          <w:tcPr>
            <w:tcW w:w="8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4.2%</w:t>
            </w:r>
          </w:p>
        </w:tc>
        <w:tc>
          <w:tcPr>
            <w:tcW w:w="108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(7,375)</w:t>
            </w:r>
          </w:p>
        </w:tc>
        <w:tc>
          <w:tcPr>
            <w:tcW w:w="102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(6,967)</w:t>
            </w:r>
          </w:p>
        </w:tc>
        <w:tc>
          <w:tcPr>
            <w:tcW w:w="1120" w:type="dxa"/>
            <w:vAlign w:val="bottom"/>
            <w:gridSpan w:val="3"/>
            <w:shd w:val="clear" w:color="auto" w:fill="CCFFCC"/>
          </w:tcPr>
          <w:p>
            <w:pPr>
              <w:jc w:val="right"/>
              <w:spacing w:after="0" w:line="149" w:lineRule="exact"/>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line="149" w:lineRule="exact"/>
              <w:rPr>
                <w:sz w:val="20"/>
                <w:szCs w:val="20"/>
                <w:color w:val="auto"/>
              </w:rPr>
            </w:pPr>
            <w:r>
              <w:rPr>
                <w:rFonts w:ascii="Arial" w:cs="Arial" w:eastAsia="Arial" w:hAnsi="Arial"/>
                <w:sz w:val="14"/>
                <w:szCs w:val="14"/>
                <w:b w:val="1"/>
                <w:bCs w:val="1"/>
                <w:color w:val="auto"/>
              </w:rPr>
              <w:t>Operating income</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9,853</w:t>
            </w:r>
          </w:p>
        </w:tc>
        <w:tc>
          <w:tcPr>
            <w:tcW w:w="22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9,494</w:t>
            </w:r>
          </w:p>
        </w:tc>
        <w:tc>
          <w:tcPr>
            <w:tcW w:w="10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7,910</w:t>
            </w:r>
          </w:p>
        </w:tc>
        <w:tc>
          <w:tcPr>
            <w:tcW w:w="10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3.8%</w:t>
            </w:r>
          </w:p>
        </w:tc>
        <w:tc>
          <w:tcPr>
            <w:tcW w:w="24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24.6%</w:t>
            </w: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28,548</w:t>
            </w:r>
          </w:p>
        </w:tc>
        <w:tc>
          <w:tcPr>
            <w:tcW w:w="102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26,424</w:t>
            </w:r>
          </w:p>
        </w:tc>
        <w:tc>
          <w:tcPr>
            <w:tcW w:w="11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Other income and expenses, net</w:t>
            </w:r>
          </w:p>
        </w:tc>
        <w:tc>
          <w:tcPr>
            <w:tcW w:w="1120" w:type="dxa"/>
            <w:vAlign w:val="bottom"/>
            <w:gridSpan w:val="3"/>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(298)</w:t>
            </w:r>
          </w:p>
        </w:tc>
        <w:tc>
          <w:tcPr>
            <w:tcW w:w="108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(736)</w:t>
            </w:r>
          </w:p>
        </w:tc>
        <w:tc>
          <w:tcPr>
            <w:tcW w:w="108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(1,035)</w:t>
            </w:r>
          </w:p>
        </w:tc>
        <w:tc>
          <w:tcPr>
            <w:tcW w:w="10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-59.6%</w:t>
            </w:r>
          </w:p>
        </w:tc>
        <w:tc>
          <w:tcPr>
            <w:tcW w:w="240" w:type="dxa"/>
            <w:vAlign w:val="bottom"/>
            <w:shd w:val="clear" w:color="auto" w:fill="CCFFCC"/>
          </w:tcPr>
          <w:p>
            <w:pPr>
              <w:spacing w:after="0"/>
              <w:rPr>
                <w:sz w:val="12"/>
                <w:szCs w:val="12"/>
                <w:color w:val="auto"/>
              </w:rPr>
            </w:pPr>
          </w:p>
        </w:tc>
        <w:tc>
          <w:tcPr>
            <w:tcW w:w="8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-71.2%</w:t>
            </w:r>
          </w:p>
        </w:tc>
        <w:tc>
          <w:tcPr>
            <w:tcW w:w="108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(1,663)</w:t>
            </w:r>
          </w:p>
        </w:tc>
        <w:tc>
          <w:tcPr>
            <w:tcW w:w="102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(2,472)</w:t>
            </w:r>
          </w:p>
        </w:tc>
        <w:tc>
          <w:tcPr>
            <w:tcW w:w="1120" w:type="dxa"/>
            <w:vAlign w:val="bottom"/>
            <w:gridSpan w:val="3"/>
            <w:shd w:val="clear" w:color="auto" w:fill="CCFFCC"/>
          </w:tcPr>
          <w:p>
            <w:pPr>
              <w:jc w:val="right"/>
              <w:spacing w:after="0" w:line="149" w:lineRule="exact"/>
              <w:rPr>
                <w:sz w:val="20"/>
                <w:szCs w:val="20"/>
                <w:color w:val="auto"/>
              </w:rPr>
            </w:pPr>
            <w:r>
              <w:rPr>
                <w:rFonts w:ascii="Arial" w:cs="Arial" w:eastAsia="Arial" w:hAnsi="Arial"/>
                <w:sz w:val="14"/>
                <w:szCs w:val="14"/>
                <w:color w:val="auto"/>
              </w:rPr>
              <w:t>-32.7%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line="149" w:lineRule="exact"/>
              <w:rPr>
                <w:sz w:val="20"/>
                <w:szCs w:val="20"/>
                <w:color w:val="auto"/>
              </w:rPr>
            </w:pPr>
            <w:r>
              <w:rPr>
                <w:rFonts w:ascii="Arial" w:cs="Arial" w:eastAsia="Arial" w:hAnsi="Arial"/>
                <w:sz w:val="14"/>
                <w:szCs w:val="14"/>
                <w:color w:val="auto"/>
              </w:rPr>
              <w:t>Employee profit sharing and income tax</w:t>
            </w:r>
          </w:p>
        </w:tc>
        <w:tc>
          <w:tcPr>
            <w:tcW w:w="11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(3,771)</w:t>
            </w:r>
          </w:p>
        </w:tc>
        <w:tc>
          <w:tcPr>
            <w:tcW w:w="10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(2,826)</w:t>
            </w:r>
          </w:p>
        </w:tc>
        <w:tc>
          <w:tcPr>
            <w:tcW w:w="10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(749)</w:t>
            </w:r>
          </w:p>
        </w:tc>
        <w:tc>
          <w:tcPr>
            <w:tcW w:w="10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33.4%</w:t>
            </w:r>
          </w:p>
        </w:tc>
        <w:tc>
          <w:tcPr>
            <w:tcW w:w="24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403.5%</w:t>
            </w:r>
          </w:p>
        </w:tc>
        <w:tc>
          <w:tcPr>
            <w:tcW w:w="10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(9,003)</w:t>
            </w:r>
          </w:p>
        </w:tc>
        <w:tc>
          <w:tcPr>
            <w:tcW w:w="10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(6,517)</w:t>
            </w:r>
          </w:p>
        </w:tc>
        <w:tc>
          <w:tcPr>
            <w:tcW w:w="11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Net income before translation results</w:t>
            </w:r>
          </w:p>
        </w:tc>
        <w:tc>
          <w:tcPr>
            <w:tcW w:w="9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5,784</w:t>
            </w:r>
          </w:p>
        </w:tc>
        <w:tc>
          <w:tcPr>
            <w:tcW w:w="220" w:type="dxa"/>
            <w:vAlign w:val="bottom"/>
            <w:shd w:val="clear" w:color="auto" w:fill="CCFFCC"/>
          </w:tcPr>
          <w:p>
            <w:pPr>
              <w:spacing w:after="0"/>
              <w:rPr>
                <w:sz w:val="12"/>
                <w:szCs w:val="12"/>
                <w:color w:val="auto"/>
              </w:rPr>
            </w:pPr>
          </w:p>
        </w:tc>
        <w:tc>
          <w:tcPr>
            <w:tcW w:w="10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5,932</w:t>
            </w:r>
          </w:p>
        </w:tc>
        <w:tc>
          <w:tcPr>
            <w:tcW w:w="10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6,126</w:t>
            </w:r>
          </w:p>
        </w:tc>
        <w:tc>
          <w:tcPr>
            <w:tcW w:w="10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-2.5%</w:t>
            </w:r>
          </w:p>
        </w:tc>
        <w:tc>
          <w:tcPr>
            <w:tcW w:w="240" w:type="dxa"/>
            <w:vAlign w:val="bottom"/>
            <w:shd w:val="clear" w:color="auto" w:fill="CCFFCC"/>
          </w:tcPr>
          <w:p>
            <w:pPr>
              <w:spacing w:after="0"/>
              <w:rPr>
                <w:sz w:val="12"/>
                <w:szCs w:val="12"/>
                <w:color w:val="auto"/>
              </w:rPr>
            </w:pPr>
          </w:p>
        </w:tc>
        <w:tc>
          <w:tcPr>
            <w:tcW w:w="8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-5.6%</w:t>
            </w:r>
          </w:p>
        </w:tc>
        <w:tc>
          <w:tcPr>
            <w:tcW w:w="10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17,882</w:t>
            </w:r>
          </w:p>
        </w:tc>
        <w:tc>
          <w:tcPr>
            <w:tcW w:w="10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b w:val="1"/>
                <w:bCs w:val="1"/>
                <w:color w:val="auto"/>
              </w:rPr>
              <w:t>17,434</w:t>
            </w:r>
          </w:p>
        </w:tc>
        <w:tc>
          <w:tcPr>
            <w:tcW w:w="1120" w:type="dxa"/>
            <w:vAlign w:val="bottom"/>
            <w:gridSpan w:val="3"/>
            <w:shd w:val="clear" w:color="auto" w:fill="CCFFCC"/>
          </w:tcPr>
          <w:p>
            <w:pPr>
              <w:jc w:val="right"/>
              <w:spacing w:after="0" w:line="149" w:lineRule="exact"/>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line="149" w:lineRule="exact"/>
              <w:rPr>
                <w:sz w:val="20"/>
                <w:szCs w:val="20"/>
                <w:color w:val="auto"/>
              </w:rPr>
            </w:pPr>
            <w:r>
              <w:rPr>
                <w:rFonts w:ascii="Arial" w:cs="Arial" w:eastAsia="Arial" w:hAnsi="Arial"/>
                <w:sz w:val="14"/>
                <w:szCs w:val="14"/>
                <w:color w:val="auto"/>
              </w:rPr>
              <w:t>Translations results and deferred liabilities</w:t>
            </w:r>
          </w:p>
        </w:tc>
        <w:tc>
          <w:tcPr>
            <w:tcW w:w="11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(88)</w:t>
            </w:r>
          </w:p>
        </w:tc>
        <w:tc>
          <w:tcPr>
            <w:tcW w:w="10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(75)</w:t>
            </w:r>
          </w:p>
        </w:tc>
        <w:tc>
          <w:tcPr>
            <w:tcW w:w="10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(462)</w:t>
            </w:r>
          </w:p>
        </w:tc>
        <w:tc>
          <w:tcPr>
            <w:tcW w:w="10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17.3%</w:t>
            </w:r>
          </w:p>
        </w:tc>
        <w:tc>
          <w:tcPr>
            <w:tcW w:w="24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-80.9%</w:t>
            </w:r>
          </w:p>
        </w:tc>
        <w:tc>
          <w:tcPr>
            <w:tcW w:w="10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(383)</w:t>
            </w:r>
          </w:p>
        </w:tc>
        <w:tc>
          <w:tcPr>
            <w:tcW w:w="10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(860)</w:t>
            </w:r>
          </w:p>
        </w:tc>
        <w:tc>
          <w:tcPr>
            <w:tcW w:w="11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-55.4%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80" w:type="dxa"/>
            <w:vAlign w:val="bottom"/>
            <w:shd w:val="clear" w:color="auto" w:fill="CCFFCC"/>
          </w:tcPr>
          <w:p>
            <w:pPr>
              <w:spacing w:after="0"/>
              <w:rPr>
                <w:sz w:val="12"/>
                <w:szCs w:val="12"/>
                <w:color w:val="auto"/>
              </w:rPr>
            </w:pPr>
          </w:p>
        </w:tc>
        <w:tc>
          <w:tcPr>
            <w:tcW w:w="8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5,696</w:t>
            </w:r>
          </w:p>
        </w:tc>
        <w:tc>
          <w:tcPr>
            <w:tcW w:w="220" w:type="dxa"/>
            <w:vAlign w:val="bottom"/>
            <w:shd w:val="clear" w:color="auto" w:fill="CCFFCC"/>
          </w:tcPr>
          <w:p>
            <w:pPr>
              <w:spacing w:after="0"/>
              <w:rPr>
                <w:sz w:val="12"/>
                <w:szCs w:val="12"/>
                <w:color w:val="auto"/>
              </w:rPr>
            </w:pPr>
          </w:p>
        </w:tc>
        <w:tc>
          <w:tcPr>
            <w:tcW w:w="8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5,857</w:t>
            </w:r>
          </w:p>
        </w:tc>
        <w:tc>
          <w:tcPr>
            <w:tcW w:w="220" w:type="dxa"/>
            <w:vAlign w:val="bottom"/>
            <w:shd w:val="clear" w:color="auto" w:fill="CCFFCC"/>
          </w:tcPr>
          <w:p>
            <w:pPr>
              <w:spacing w:after="0"/>
              <w:rPr>
                <w:sz w:val="12"/>
                <w:szCs w:val="12"/>
                <w:color w:val="auto"/>
              </w:rPr>
            </w:pPr>
          </w:p>
        </w:tc>
        <w:tc>
          <w:tcPr>
            <w:tcW w:w="8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5,664</w:t>
            </w:r>
          </w:p>
        </w:tc>
        <w:tc>
          <w:tcPr>
            <w:tcW w:w="220" w:type="dxa"/>
            <w:vAlign w:val="bottom"/>
            <w:shd w:val="clear" w:color="auto" w:fill="CCFFCC"/>
          </w:tcPr>
          <w:p>
            <w:pPr>
              <w:spacing w:after="0"/>
              <w:rPr>
                <w:sz w:val="12"/>
                <w:szCs w:val="12"/>
                <w:color w:val="auto"/>
              </w:rPr>
            </w:pPr>
          </w:p>
        </w:tc>
        <w:tc>
          <w:tcPr>
            <w:tcW w:w="10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-2.7%</w:t>
            </w:r>
          </w:p>
        </w:tc>
        <w:tc>
          <w:tcPr>
            <w:tcW w:w="240" w:type="dxa"/>
            <w:vAlign w:val="bottom"/>
            <w:shd w:val="clear" w:color="auto" w:fill="CCFFCC"/>
          </w:tcPr>
          <w:p>
            <w:pPr>
              <w:spacing w:after="0"/>
              <w:rPr>
                <w:sz w:val="12"/>
                <w:szCs w:val="12"/>
                <w:color w:val="auto"/>
              </w:rPr>
            </w:pPr>
          </w:p>
        </w:tc>
        <w:tc>
          <w:tcPr>
            <w:tcW w:w="8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0.6%</w:t>
            </w:r>
          </w:p>
        </w:tc>
        <w:tc>
          <w:tcPr>
            <w:tcW w:w="10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17,499</w:t>
            </w:r>
          </w:p>
        </w:tc>
        <w:tc>
          <w:tcPr>
            <w:tcW w:w="10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b w:val="1"/>
                <w:bCs w:val="1"/>
                <w:color w:val="auto"/>
              </w:rPr>
              <w:t>16,574</w:t>
            </w:r>
          </w:p>
        </w:tc>
        <w:tc>
          <w:tcPr>
            <w:tcW w:w="1120" w:type="dxa"/>
            <w:vAlign w:val="bottom"/>
            <w:gridSpan w:val="3"/>
            <w:shd w:val="clear" w:color="auto" w:fill="CCFFCC"/>
          </w:tcPr>
          <w:p>
            <w:pPr>
              <w:jc w:val="right"/>
              <w:spacing w:after="0" w:line="149" w:lineRule="exact"/>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7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40" w:type="dxa"/>
            <w:vAlign w:val="bottom"/>
          </w:tcPr>
          <w:p>
            <w:pPr>
              <w:spacing w:after="0" w:line="149" w:lineRule="exact"/>
              <w:rPr>
                <w:sz w:val="20"/>
                <w:szCs w:val="20"/>
                <w:color w:val="auto"/>
              </w:rPr>
            </w:pPr>
            <w:r>
              <w:rPr>
                <w:rFonts w:ascii="Arial" w:cs="Arial" w:eastAsia="Arial" w:hAnsi="Arial"/>
                <w:sz w:val="14"/>
                <w:szCs w:val="14"/>
                <w:color w:val="auto"/>
              </w:rPr>
              <w:t>Total assets</w:t>
            </w: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260,186</w:t>
            </w:r>
          </w:p>
        </w:tc>
        <w:tc>
          <w:tcPr>
            <w:tcW w:w="2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242,363</w:t>
            </w:r>
          </w:p>
        </w:tc>
        <w:tc>
          <w:tcPr>
            <w:tcW w:w="2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241,161</w:t>
            </w:r>
          </w:p>
        </w:tc>
        <w:tc>
          <w:tcPr>
            <w:tcW w:w="220" w:type="dxa"/>
            <w:vAlign w:val="bottom"/>
          </w:tcPr>
          <w:p>
            <w:pPr>
              <w:spacing w:after="0"/>
              <w:rPr>
                <w:sz w:val="12"/>
                <w:szCs w:val="12"/>
                <w:color w:val="auto"/>
              </w:rPr>
            </w:pPr>
          </w:p>
        </w:tc>
        <w:tc>
          <w:tcPr>
            <w:tcW w:w="10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7.4%</w:t>
            </w:r>
          </w:p>
        </w:tc>
        <w:tc>
          <w:tcPr>
            <w:tcW w:w="24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7.9%</w:t>
            </w: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Total liabilities</w:t>
            </w:r>
          </w:p>
        </w:tc>
        <w:tc>
          <w:tcPr>
            <w:tcW w:w="9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91,002</w:t>
            </w:r>
          </w:p>
        </w:tc>
        <w:tc>
          <w:tcPr>
            <w:tcW w:w="220" w:type="dxa"/>
            <w:vAlign w:val="bottom"/>
            <w:shd w:val="clear" w:color="auto" w:fill="CCFFCC"/>
          </w:tcPr>
          <w:p>
            <w:pPr>
              <w:spacing w:after="0"/>
              <w:rPr>
                <w:sz w:val="12"/>
                <w:szCs w:val="12"/>
                <w:color w:val="auto"/>
              </w:rPr>
            </w:pPr>
          </w:p>
        </w:tc>
        <w:tc>
          <w:tcPr>
            <w:tcW w:w="10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86,417</w:t>
            </w:r>
          </w:p>
        </w:tc>
        <w:tc>
          <w:tcPr>
            <w:tcW w:w="10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86,011</w:t>
            </w:r>
          </w:p>
        </w:tc>
        <w:tc>
          <w:tcPr>
            <w:tcW w:w="10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5.3%</w:t>
            </w:r>
          </w:p>
        </w:tc>
        <w:tc>
          <w:tcPr>
            <w:tcW w:w="240" w:type="dxa"/>
            <w:vAlign w:val="bottom"/>
            <w:shd w:val="clear" w:color="auto" w:fill="CCFFCC"/>
          </w:tcPr>
          <w:p>
            <w:pPr>
              <w:spacing w:after="0"/>
              <w:rPr>
                <w:sz w:val="12"/>
                <w:szCs w:val="12"/>
                <w:color w:val="auto"/>
              </w:rPr>
            </w:pPr>
          </w:p>
        </w:tc>
        <w:tc>
          <w:tcPr>
            <w:tcW w:w="8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5.8%</w:t>
            </w:r>
          </w:p>
        </w:tc>
        <w:tc>
          <w:tcPr>
            <w:tcW w:w="88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8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line="149" w:lineRule="exact"/>
              <w:rPr>
                <w:sz w:val="20"/>
                <w:szCs w:val="20"/>
                <w:color w:val="auto"/>
              </w:rPr>
            </w:pPr>
            <w:r>
              <w:rPr>
                <w:rFonts w:ascii="Arial" w:cs="Arial" w:eastAsia="Arial" w:hAnsi="Arial"/>
                <w:sz w:val="14"/>
                <w:szCs w:val="14"/>
                <w:color w:val="auto"/>
              </w:rPr>
              <w:t>Net shareholders' equity</w:t>
            </w: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169,184</w:t>
            </w:r>
          </w:p>
        </w:tc>
        <w:tc>
          <w:tcPr>
            <w:tcW w:w="2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155,945</w:t>
            </w:r>
          </w:p>
        </w:tc>
        <w:tc>
          <w:tcPr>
            <w:tcW w:w="2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155,150</w:t>
            </w:r>
          </w:p>
        </w:tc>
        <w:tc>
          <w:tcPr>
            <w:tcW w:w="220" w:type="dxa"/>
            <w:vAlign w:val="bottom"/>
          </w:tcPr>
          <w:p>
            <w:pPr>
              <w:spacing w:after="0"/>
              <w:rPr>
                <w:sz w:val="12"/>
                <w:szCs w:val="12"/>
                <w:color w:val="auto"/>
              </w:rPr>
            </w:pPr>
          </w:p>
        </w:tc>
        <w:tc>
          <w:tcPr>
            <w:tcW w:w="10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8.5%</w:t>
            </w:r>
          </w:p>
        </w:tc>
        <w:tc>
          <w:tcPr>
            <w:tcW w:w="24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9.0%</w:t>
            </w: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i w:val="1"/>
          <w:iCs w:val="1"/>
          <w:color w:val="auto"/>
        </w:rPr>
        <w:t>(1) IFRS</w:t>
      </w:r>
    </w:p>
    <w:p>
      <w:pPr>
        <w:spacing w:after="0" w:line="386"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0"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175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VII. El Pacífico Peruano Suiza and Subsidiaries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Grupo Pacifico</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Pacífico Insurance Group, which is comprised of general insurance (PPS), life insurance (PV) and health insurance (EPS), demonstrated a significant increase in premiums across its business lines; significant growth in net financial income; and a stable loss ratio, which is reflected in net income of US$ 13.7 million in 3Q10. This figure, although lower than the US$ 16.5 million posted in 2Q10, tops 3Q09's net income of US$ 13.3 million. The significant increase in premiums in the property and casualty business is attributable to an increase in policies with the State and the construction sector. Many of these contracts are ceded to the facultative market, while the increase in premiums in the life segment is due to higher sales of pension products.</w:t>
      </w:r>
    </w:p>
    <w:p>
      <w:pPr>
        <w:spacing w:after="0" w:line="20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underwriting result in 3Q10 totaled US$ 24.2 million, which represents a 12.8% decrease with regard to the US$ 27.8 million obtained in 2Q10. This is primarily attributable to the life insurance business (PV), which reported: i) higher sales for retirement plans in 3Q10, which led to higher underwriting reserves and subsequently lower net earned premiums this quarter (US$ 35.9 million in 3Q10 vs. US$ 39.8 million in 2Q10); ii) higher acquisition costs, which went from US$ 11.4MM in 2Q10 to US$ 12.9MM in 3Q10; and iii) a higher loss ratio of 70.2% vs. 60.4% in 2Q10.</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financial income reported earnings of US$ 25.3 million. This represented a 20.8% increase with regard to the US$ 20.9 million reported in 2Q10 and was mainly attributable to the life insurance business (PV).</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General expenses rose to US$ 29.4 million in 3Q10 vs. US$ 25.1 million in 2Q10, due primarily to: i) an increase in third party services associated with consultancy and ii) higher provisions for uncollectible reinsurance reserves, both in the general insurance business (PPS).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Finally, the company’s contribution to Credicorp in 3Q10 was US$ 10.4 million, which is 16.6% lower than 2Q10’s figure but represents a 3.5% increase of US$ 10.1 million in terms of 3Q09’s level.</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this scenario, Pacifico Insurance Group reported net income of US$ 42.3 million accumulated to the end of September, which represents an increase of 28.6% with regard to the US$ 32.9 million obtained during the same period last year. The aforementioned is the result of higher turnover in all business lines, and a significant drop in claims in general and life insurance businesses.</w:t>
      </w:r>
    </w:p>
    <w:p>
      <w:pPr>
        <w:spacing w:after="0" w:line="204" w:lineRule="exact"/>
        <w:rPr>
          <w:sz w:val="20"/>
          <w:szCs w:val="20"/>
          <w:color w:val="auto"/>
        </w:rPr>
      </w:pPr>
    </w:p>
    <w:tbl>
      <w:tblPr>
        <w:tblLayout w:type="fixed"/>
        <w:tblInd w:w="180" w:type="dxa"/>
        <w:tblCellMar>
          <w:top w:w="0" w:type="dxa"/>
          <w:left w:w="0" w:type="dxa"/>
          <w:bottom w:w="0" w:type="dxa"/>
          <w:right w:w="0" w:type="dxa"/>
        </w:tblCellMar>
      </w:tblPr>
      <w:tr>
        <w:trPr>
          <w:trHeight w:val="241"/>
        </w:trPr>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US$ Thousand</w:t>
            </w:r>
          </w:p>
        </w:tc>
        <w:tc>
          <w:tcPr>
            <w:tcW w:w="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ind w:left="720"/>
              <w:spacing w:after="0"/>
              <w:rPr>
                <w:sz w:val="20"/>
                <w:szCs w:val="20"/>
                <w:color w:val="auto"/>
              </w:rPr>
            </w:pPr>
            <w:r>
              <w:rPr>
                <w:rFonts w:ascii="Arial" w:cs="Arial" w:eastAsia="Arial" w:hAnsi="Arial"/>
                <w:sz w:val="18"/>
                <w:szCs w:val="18"/>
                <w:b w:val="1"/>
                <w:bCs w:val="1"/>
                <w:color w:val="auto"/>
                <w:w w:val="88"/>
              </w:rPr>
              <w:t>Net income</w:t>
            </w:r>
          </w:p>
        </w:tc>
        <w:tc>
          <w:tcPr>
            <w:tcW w:w="6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0"/>
              </w:rPr>
              <w:t>Adjustment for</w:t>
            </w: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r>
      <w:tr>
        <w:trPr>
          <w:trHeight w:val="223"/>
        </w:trPr>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Period</w:t>
            </w:r>
          </w:p>
        </w:tc>
        <w:tc>
          <w:tcPr>
            <w:tcW w:w="80" w:type="dxa"/>
            <w:vAlign w:val="bottom"/>
          </w:tcPr>
          <w:p>
            <w:pPr>
              <w:spacing w:after="0"/>
              <w:rPr>
                <w:sz w:val="19"/>
                <w:szCs w:val="19"/>
                <w:color w:val="auto"/>
              </w:rPr>
            </w:pPr>
          </w:p>
        </w:tc>
        <w:tc>
          <w:tcPr>
            <w:tcW w:w="102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PPS</w:t>
            </w:r>
          </w:p>
        </w:tc>
        <w:tc>
          <w:tcPr>
            <w:tcW w:w="260" w:type="dxa"/>
            <w:vAlign w:val="bottom"/>
          </w:tcPr>
          <w:p>
            <w:pPr>
              <w:spacing w:after="0"/>
              <w:rPr>
                <w:sz w:val="19"/>
                <w:szCs w:val="19"/>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PV*</w:t>
            </w:r>
          </w:p>
        </w:tc>
        <w:tc>
          <w:tcPr>
            <w:tcW w:w="2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88"/>
              </w:rPr>
              <w:t>EPS</w:t>
            </w:r>
          </w:p>
        </w:tc>
        <w:tc>
          <w:tcPr>
            <w:tcW w:w="260" w:type="dxa"/>
            <w:vAlign w:val="bottom"/>
          </w:tcPr>
          <w:p>
            <w:pPr>
              <w:spacing w:after="0"/>
              <w:rPr>
                <w:sz w:val="19"/>
                <w:szCs w:val="19"/>
                <w:color w:val="auto"/>
              </w:rPr>
            </w:pPr>
          </w:p>
        </w:tc>
        <w:tc>
          <w:tcPr>
            <w:tcW w:w="102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PGA*</w:t>
            </w:r>
          </w:p>
        </w:tc>
        <w:tc>
          <w:tcPr>
            <w:tcW w:w="26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Consolidation</w:t>
            </w:r>
          </w:p>
        </w:tc>
        <w:tc>
          <w:tcPr>
            <w:tcW w:w="18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Contribution</w:t>
            </w:r>
          </w:p>
        </w:tc>
        <w:tc>
          <w:tcPr>
            <w:tcW w:w="160" w:type="dxa"/>
            <w:vAlign w:val="bottom"/>
          </w:tcPr>
          <w:p>
            <w:pPr>
              <w:spacing w:after="0"/>
              <w:rPr>
                <w:sz w:val="19"/>
                <w:szCs w:val="19"/>
                <w:color w:val="auto"/>
              </w:rPr>
            </w:pPr>
          </w:p>
        </w:tc>
      </w:tr>
      <w:tr>
        <w:trPr>
          <w:trHeight w:val="216"/>
        </w:trPr>
        <w:tc>
          <w:tcPr>
            <w:tcW w:w="28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3Q09</w:t>
            </w:r>
          </w:p>
        </w:tc>
        <w:tc>
          <w:tcPr>
            <w:tcW w:w="1360" w:type="dxa"/>
            <w:vAlign w:val="bottom"/>
            <w:gridSpan w:val="3"/>
            <w:shd w:val="clear" w:color="auto" w:fill="CCFFCC"/>
          </w:tcPr>
          <w:p>
            <w:pPr>
              <w:jc w:val="right"/>
              <w:ind w:right="260"/>
              <w:spacing w:after="0"/>
              <w:rPr>
                <w:sz w:val="20"/>
                <w:szCs w:val="20"/>
                <w:color w:val="auto"/>
              </w:rPr>
            </w:pPr>
            <w:r>
              <w:rPr>
                <w:rFonts w:ascii="Arial" w:cs="Arial" w:eastAsia="Arial" w:hAnsi="Arial"/>
                <w:sz w:val="18"/>
                <w:szCs w:val="18"/>
                <w:color w:val="auto"/>
              </w:rPr>
              <w:t>9,555</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4,263</w:t>
            </w:r>
          </w:p>
        </w:tc>
        <w:tc>
          <w:tcPr>
            <w:tcW w:w="26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(540)</w:t>
            </w:r>
          </w:p>
        </w:tc>
        <w:tc>
          <w:tcPr>
            <w:tcW w:w="12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13,277</w:t>
            </w:r>
          </w:p>
        </w:tc>
        <w:tc>
          <w:tcPr>
            <w:tcW w:w="13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(3,189)</w:t>
            </w:r>
          </w:p>
        </w:tc>
        <w:tc>
          <w:tcPr>
            <w:tcW w:w="12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10,088</w:t>
            </w:r>
          </w:p>
        </w:tc>
      </w:tr>
      <w:tr>
        <w:trPr>
          <w:trHeight w:val="216"/>
        </w:trPr>
        <w:tc>
          <w:tcPr>
            <w:tcW w:w="2820" w:type="dxa"/>
            <w:vAlign w:val="bottom"/>
          </w:tcPr>
          <w:p>
            <w:pPr>
              <w:spacing w:after="0"/>
              <w:rPr>
                <w:sz w:val="20"/>
                <w:szCs w:val="20"/>
                <w:color w:val="auto"/>
              </w:rPr>
            </w:pPr>
            <w:r>
              <w:rPr>
                <w:rFonts w:ascii="Arial" w:cs="Arial" w:eastAsia="Arial" w:hAnsi="Arial"/>
                <w:sz w:val="18"/>
                <w:szCs w:val="18"/>
                <w:b w:val="1"/>
                <w:bCs w:val="1"/>
                <w:color w:val="auto"/>
              </w:rPr>
              <w:t>4Q09</w:t>
            </w:r>
          </w:p>
        </w:tc>
        <w:tc>
          <w:tcPr>
            <w:tcW w:w="1360" w:type="dxa"/>
            <w:vAlign w:val="bottom"/>
            <w:gridSpan w:val="3"/>
          </w:tcPr>
          <w:p>
            <w:pPr>
              <w:jc w:val="right"/>
              <w:ind w:right="260"/>
              <w:spacing w:after="0"/>
              <w:rPr>
                <w:sz w:val="20"/>
                <w:szCs w:val="20"/>
                <w:color w:val="auto"/>
              </w:rPr>
            </w:pPr>
            <w:r>
              <w:rPr>
                <w:rFonts w:ascii="Arial" w:cs="Arial" w:eastAsia="Arial" w:hAnsi="Arial"/>
                <w:sz w:val="18"/>
                <w:szCs w:val="18"/>
                <w:color w:val="auto"/>
              </w:rPr>
              <w:t>9,004</w:t>
            </w:r>
          </w:p>
        </w:tc>
        <w:tc>
          <w:tcPr>
            <w:tcW w:w="1000" w:type="dxa"/>
            <w:vAlign w:val="bottom"/>
          </w:tcPr>
          <w:p>
            <w:pPr>
              <w:jc w:val="right"/>
              <w:spacing w:after="0"/>
              <w:rPr>
                <w:sz w:val="20"/>
                <w:szCs w:val="20"/>
                <w:color w:val="auto"/>
              </w:rPr>
            </w:pPr>
            <w:r>
              <w:rPr>
                <w:rFonts w:ascii="Arial" w:cs="Arial" w:eastAsia="Arial" w:hAnsi="Arial"/>
                <w:sz w:val="18"/>
                <w:szCs w:val="18"/>
                <w:color w:val="auto"/>
              </w:rPr>
              <w:t>6,495</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788</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16,288</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(3,917)</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12,372</w:t>
            </w:r>
          </w:p>
        </w:tc>
      </w:tr>
      <w:tr>
        <w:trPr>
          <w:trHeight w:val="216"/>
        </w:trPr>
        <w:tc>
          <w:tcPr>
            <w:tcW w:w="28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1Q10</w:t>
            </w:r>
          </w:p>
        </w:tc>
        <w:tc>
          <w:tcPr>
            <w:tcW w:w="1360" w:type="dxa"/>
            <w:vAlign w:val="bottom"/>
            <w:gridSpan w:val="3"/>
            <w:shd w:val="clear" w:color="auto" w:fill="CCFFCC"/>
          </w:tcPr>
          <w:p>
            <w:pPr>
              <w:jc w:val="right"/>
              <w:ind w:right="260"/>
              <w:spacing w:after="0"/>
              <w:rPr>
                <w:sz w:val="20"/>
                <w:szCs w:val="20"/>
                <w:color w:val="auto"/>
              </w:rPr>
            </w:pPr>
            <w:r>
              <w:rPr>
                <w:rFonts w:ascii="Arial" w:cs="Arial" w:eastAsia="Arial" w:hAnsi="Arial"/>
                <w:sz w:val="18"/>
                <w:szCs w:val="18"/>
                <w:color w:val="auto"/>
              </w:rPr>
              <w:t>5,626</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4,810</w:t>
            </w:r>
          </w:p>
        </w:tc>
        <w:tc>
          <w:tcPr>
            <w:tcW w:w="26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1,658</w:t>
            </w:r>
          </w:p>
        </w:tc>
        <w:tc>
          <w:tcPr>
            <w:tcW w:w="12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12,095</w:t>
            </w:r>
          </w:p>
        </w:tc>
        <w:tc>
          <w:tcPr>
            <w:tcW w:w="13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(3,603)</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8,492</w:t>
            </w:r>
          </w:p>
        </w:tc>
        <w:tc>
          <w:tcPr>
            <w:tcW w:w="160" w:type="dxa"/>
            <w:vAlign w:val="bottom"/>
            <w:shd w:val="clear" w:color="auto" w:fill="CCFFCC"/>
          </w:tcPr>
          <w:p>
            <w:pPr>
              <w:spacing w:after="0"/>
              <w:rPr>
                <w:sz w:val="18"/>
                <w:szCs w:val="18"/>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b w:val="1"/>
                <w:bCs w:val="1"/>
                <w:color w:val="auto"/>
              </w:rPr>
              <w:t>2Q10</w:t>
            </w:r>
          </w:p>
        </w:tc>
        <w:tc>
          <w:tcPr>
            <w:tcW w:w="1360" w:type="dxa"/>
            <w:vAlign w:val="bottom"/>
            <w:gridSpan w:val="3"/>
          </w:tcPr>
          <w:p>
            <w:pPr>
              <w:jc w:val="right"/>
              <w:ind w:right="260"/>
              <w:spacing w:after="0"/>
              <w:rPr>
                <w:sz w:val="20"/>
                <w:szCs w:val="20"/>
                <w:color w:val="auto"/>
              </w:rPr>
            </w:pPr>
            <w:r>
              <w:rPr>
                <w:rFonts w:ascii="Arial" w:cs="Arial" w:eastAsia="Arial" w:hAnsi="Arial"/>
                <w:sz w:val="18"/>
                <w:szCs w:val="18"/>
                <w:color w:val="auto"/>
              </w:rPr>
              <w:t>8,101</w:t>
            </w:r>
          </w:p>
        </w:tc>
        <w:tc>
          <w:tcPr>
            <w:tcW w:w="1000" w:type="dxa"/>
            <w:vAlign w:val="bottom"/>
          </w:tcPr>
          <w:p>
            <w:pPr>
              <w:jc w:val="right"/>
              <w:spacing w:after="0"/>
              <w:rPr>
                <w:sz w:val="20"/>
                <w:szCs w:val="20"/>
                <w:color w:val="auto"/>
              </w:rPr>
            </w:pPr>
            <w:r>
              <w:rPr>
                <w:rFonts w:ascii="Arial" w:cs="Arial" w:eastAsia="Arial" w:hAnsi="Arial"/>
                <w:sz w:val="18"/>
                <w:szCs w:val="18"/>
                <w:color w:val="auto"/>
              </w:rPr>
              <w:t>6,502</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1,872</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16,475</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(3,957)</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12,518</w:t>
            </w:r>
          </w:p>
        </w:tc>
      </w:tr>
      <w:tr>
        <w:trPr>
          <w:trHeight w:val="216"/>
        </w:trPr>
        <w:tc>
          <w:tcPr>
            <w:tcW w:w="28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3Q10</w:t>
            </w:r>
          </w:p>
        </w:tc>
        <w:tc>
          <w:tcPr>
            <w:tcW w:w="8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7,665</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4,316</w:t>
            </w:r>
          </w:p>
        </w:tc>
        <w:tc>
          <w:tcPr>
            <w:tcW w:w="26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1,760</w:t>
            </w:r>
          </w:p>
        </w:tc>
        <w:tc>
          <w:tcPr>
            <w:tcW w:w="12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13,741</w:t>
            </w:r>
          </w:p>
        </w:tc>
        <w:tc>
          <w:tcPr>
            <w:tcW w:w="13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(3,302)</w:t>
            </w:r>
          </w:p>
        </w:tc>
        <w:tc>
          <w:tcPr>
            <w:tcW w:w="12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10,439</w:t>
            </w:r>
          </w:p>
        </w:tc>
      </w:tr>
      <w:tr>
        <w:trPr>
          <w:trHeight w:val="27"/>
        </w:trPr>
        <w:tc>
          <w:tcPr>
            <w:tcW w:w="282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shd w:val="clear" w:color="auto" w:fill="CCFFCC"/>
          </w:tcPr>
          <w:p>
            <w:pPr>
              <w:spacing w:after="0"/>
              <w:rPr>
                <w:sz w:val="2"/>
                <w:szCs w:val="2"/>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b w:val="1"/>
                <w:bCs w:val="1"/>
                <w:color w:val="auto"/>
              </w:rPr>
              <w:t>QoQ</w:t>
            </w:r>
          </w:p>
        </w:tc>
        <w:tc>
          <w:tcPr>
            <w:tcW w:w="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-33.6%</w:t>
            </w:r>
          </w:p>
        </w:tc>
        <w:tc>
          <w:tcPr>
            <w:tcW w:w="3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-6.0%</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-16.6%</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-16.6%</w:t>
            </w:r>
          </w:p>
        </w:tc>
      </w:tr>
      <w:tr>
        <w:trPr>
          <w:trHeight w:val="27"/>
        </w:trPr>
        <w:tc>
          <w:tcPr>
            <w:tcW w:w="2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28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YoY</w:t>
            </w:r>
          </w:p>
        </w:tc>
        <w:tc>
          <w:tcPr>
            <w:tcW w:w="8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-19.8%</w:t>
            </w: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w:t>
            </w:r>
          </w:p>
        </w:tc>
        <w:tc>
          <w:tcPr>
            <w:tcW w:w="34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425.7%</w:t>
            </w: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3.5%</w:t>
            </w: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282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shd w:val="clear" w:color="auto" w:fill="CCFFCC"/>
          </w:tcPr>
          <w:p>
            <w:pPr>
              <w:spacing w:after="0"/>
              <w:rPr>
                <w:sz w:val="2"/>
                <w:szCs w:val="2"/>
                <w:color w:val="auto"/>
              </w:rPr>
            </w:pPr>
          </w:p>
        </w:tc>
      </w:tr>
    </w:tbl>
    <w:p>
      <w:pPr>
        <w:ind w:right="8780" w:firstLine="170"/>
        <w:spacing w:after="0" w:line="589" w:lineRule="auto"/>
        <w:tabs>
          <w:tab w:leader="none" w:pos="294" w:val="left"/>
        </w:tabs>
        <w:numPr>
          <w:ilvl w:val="0"/>
          <w:numId w:val="14"/>
        </w:numPr>
        <w:rPr>
          <w:rFonts w:ascii="Arial" w:cs="Arial" w:eastAsia="Arial" w:hAnsi="Arial"/>
          <w:sz w:val="16"/>
          <w:szCs w:val="16"/>
          <w:i w:val="1"/>
          <w:iCs w:val="1"/>
          <w:color w:val="auto"/>
        </w:rPr>
      </w:pPr>
      <w:r>
        <w:rPr>
          <w:rFonts w:ascii="Arial" w:cs="Arial" w:eastAsia="Arial" w:hAnsi="Arial"/>
          <w:sz w:val="16"/>
          <w:szCs w:val="16"/>
          <w:i w:val="1"/>
          <w:iCs w:val="1"/>
          <w:color w:val="auto"/>
        </w:rPr>
        <w:t>After deducting minority interest Pacífico General Insurance (PPS)</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PPS’s net income in 3Q10 was US$ 7.7 million, which was lower than the US$ 8.1 million reported in 2Q10 and the US$ 9.6 million posted in 3Q09. Nevertheless, net income of US$ 21.4 million accumulated to the end of September, represents an increase of 25.0% with regard to the same period last year. It is important to emphasize that the underwriting result reflects a significant increase of 12.9% with regard to 2Q10 due to a considerable decline in net claims in property and casualty (P &amp; C).</w:t>
      </w: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6" w:right="239" w:bottom="1440" w:gutter="0" w:footer="0" w:header="0"/>
        </w:sectPr>
      </w:pPr>
    </w:p>
    <w:bookmarkStart w:id="30" w:name="page31"/>
    <w:bookmarkEnd w:id="30"/>
    <w:p>
      <w:pPr>
        <w:jc w:val="both"/>
        <w:ind w:right="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175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The difference in net income with regard to 2Q10 is primarily attributable to: i) lower financial income, which fell 12.3% QoQ from US$ 6.6 million in 2Q10 to US$ 5.8 million in 3Q10 due to a drop in dividends payments this quarter; and ii) an increase in general expenses, which went from US$ 13.3 million in 2Q10 to US$ 17.0 million in 3Q10 due to an increase in third party consultancy services and provisions for uncollectible reinsurance reserves.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Technical Results by Business Unit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3"/>
          </w:tcPr>
          <w:p>
            <w:pPr>
              <w:ind w:left="540"/>
              <w:spacing w:after="0"/>
              <w:rPr>
                <w:sz w:val="20"/>
                <w:szCs w:val="20"/>
                <w:color w:val="auto"/>
              </w:rPr>
            </w:pPr>
            <w:r>
              <w:rPr>
                <w:rFonts w:ascii="Arial" w:cs="Arial" w:eastAsia="Arial" w:hAnsi="Arial"/>
                <w:sz w:val="13"/>
                <w:szCs w:val="13"/>
                <w:b w:val="1"/>
                <w:bCs w:val="1"/>
                <w:color w:val="auto"/>
              </w:rPr>
              <w:t>3Q10</w:t>
            </w:r>
          </w:p>
        </w:tc>
        <w:tc>
          <w:tcPr>
            <w:tcW w:w="5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3"/>
          </w:tcPr>
          <w:p>
            <w:pPr>
              <w:ind w:left="520"/>
              <w:spacing w:after="0"/>
              <w:rPr>
                <w:sz w:val="20"/>
                <w:szCs w:val="20"/>
                <w:color w:val="auto"/>
              </w:rPr>
            </w:pPr>
            <w:r>
              <w:rPr>
                <w:rFonts w:ascii="Arial" w:cs="Arial" w:eastAsia="Arial" w:hAnsi="Arial"/>
                <w:sz w:val="13"/>
                <w:szCs w:val="13"/>
                <w:b w:val="1"/>
                <w:bCs w:val="1"/>
                <w:color w:val="auto"/>
              </w:rPr>
              <w:t>2Q10</w:t>
            </w:r>
          </w:p>
        </w:tc>
        <w:tc>
          <w:tcPr>
            <w:tcW w:w="4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3"/>
          </w:tcPr>
          <w:p>
            <w:pPr>
              <w:ind w:left="500"/>
              <w:spacing w:after="0"/>
              <w:rPr>
                <w:sz w:val="20"/>
                <w:szCs w:val="20"/>
                <w:color w:val="auto"/>
              </w:rPr>
            </w:pPr>
            <w:r>
              <w:rPr>
                <w:rFonts w:ascii="Arial" w:cs="Arial" w:eastAsia="Arial" w:hAnsi="Arial"/>
                <w:sz w:val="13"/>
                <w:szCs w:val="13"/>
                <w:b w:val="1"/>
                <w:bCs w:val="1"/>
                <w:color w:val="auto"/>
              </w:rPr>
              <w:t>3Q09</w:t>
            </w:r>
          </w:p>
        </w:tc>
        <w:tc>
          <w:tcPr>
            <w:tcW w:w="4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tcPr>
          <w:p>
            <w:pPr>
              <w:jc w:val="center"/>
              <w:ind w:right="240"/>
              <w:spacing w:after="0" w:line="117" w:lineRule="exact"/>
              <w:rPr>
                <w:sz w:val="20"/>
                <w:szCs w:val="20"/>
                <w:color w:val="auto"/>
              </w:rPr>
            </w:pPr>
            <w:r>
              <w:rPr>
                <w:rFonts w:ascii="Arial" w:cs="Arial" w:eastAsia="Arial" w:hAnsi="Arial"/>
                <w:sz w:val="13"/>
                <w:szCs w:val="13"/>
                <w:b w:val="1"/>
                <w:bCs w:val="1"/>
                <w:color w:val="auto"/>
                <w:w w:val="87"/>
              </w:rPr>
              <w:t>Vehicle</w:t>
            </w:r>
          </w:p>
        </w:tc>
        <w:tc>
          <w:tcPr>
            <w:tcW w:w="900" w:type="dxa"/>
            <w:vAlign w:val="bottom"/>
            <w:gridSpan w:val="3"/>
          </w:tcPr>
          <w:p>
            <w:pPr>
              <w:ind w:left="80"/>
              <w:spacing w:after="0" w:line="117" w:lineRule="exact"/>
              <w:rPr>
                <w:sz w:val="20"/>
                <w:szCs w:val="20"/>
                <w:color w:val="auto"/>
              </w:rPr>
            </w:pPr>
            <w:r>
              <w:rPr>
                <w:rFonts w:ascii="Arial" w:cs="Arial" w:eastAsia="Arial" w:hAnsi="Arial"/>
                <w:sz w:val="13"/>
                <w:szCs w:val="13"/>
                <w:b w:val="1"/>
                <w:bCs w:val="1"/>
                <w:color w:val="auto"/>
              </w:rPr>
              <w:t>Private</w:t>
            </w: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ind w:left="80"/>
              <w:spacing w:after="0" w:line="117" w:lineRule="exact"/>
              <w:rPr>
                <w:sz w:val="20"/>
                <w:szCs w:val="20"/>
                <w:color w:val="auto"/>
              </w:rPr>
            </w:pPr>
            <w:r>
              <w:rPr>
                <w:rFonts w:ascii="Arial" w:cs="Arial" w:eastAsia="Arial" w:hAnsi="Arial"/>
                <w:sz w:val="13"/>
                <w:szCs w:val="13"/>
                <w:b w:val="1"/>
                <w:bCs w:val="1"/>
                <w:color w:val="auto"/>
              </w:rPr>
              <w:t>TOTAL</w:t>
            </w:r>
          </w:p>
        </w:tc>
        <w:tc>
          <w:tcPr>
            <w:tcW w:w="260" w:type="dxa"/>
            <w:vAlign w:val="bottom"/>
          </w:tcPr>
          <w:p>
            <w:pPr>
              <w:spacing w:after="0"/>
              <w:rPr>
                <w:sz w:val="10"/>
                <w:szCs w:val="10"/>
                <w:color w:val="auto"/>
              </w:rPr>
            </w:pPr>
          </w:p>
        </w:tc>
        <w:tc>
          <w:tcPr>
            <w:tcW w:w="800" w:type="dxa"/>
            <w:vAlign w:val="bottom"/>
            <w:gridSpan w:val="2"/>
          </w:tcPr>
          <w:p>
            <w:pPr>
              <w:jc w:val="right"/>
              <w:ind w:right="300"/>
              <w:spacing w:after="0" w:line="117" w:lineRule="exact"/>
              <w:rPr>
                <w:sz w:val="20"/>
                <w:szCs w:val="20"/>
                <w:color w:val="auto"/>
              </w:rPr>
            </w:pPr>
            <w:r>
              <w:rPr>
                <w:rFonts w:ascii="Arial" w:cs="Arial" w:eastAsia="Arial" w:hAnsi="Arial"/>
                <w:sz w:val="13"/>
                <w:szCs w:val="13"/>
                <w:b w:val="1"/>
                <w:bCs w:val="1"/>
                <w:color w:val="auto"/>
              </w:rPr>
              <w:t>Vehicle</w:t>
            </w:r>
          </w:p>
        </w:tc>
        <w:tc>
          <w:tcPr>
            <w:tcW w:w="860" w:type="dxa"/>
            <w:vAlign w:val="bottom"/>
            <w:gridSpan w:val="3"/>
          </w:tcPr>
          <w:p>
            <w:pPr>
              <w:ind w:left="80"/>
              <w:spacing w:after="0" w:line="117" w:lineRule="exact"/>
              <w:rPr>
                <w:sz w:val="20"/>
                <w:szCs w:val="20"/>
                <w:color w:val="auto"/>
              </w:rPr>
            </w:pPr>
            <w:r>
              <w:rPr>
                <w:rFonts w:ascii="Arial" w:cs="Arial" w:eastAsia="Arial" w:hAnsi="Arial"/>
                <w:sz w:val="13"/>
                <w:szCs w:val="13"/>
                <w:b w:val="1"/>
                <w:bCs w:val="1"/>
                <w:color w:val="auto"/>
              </w:rPr>
              <w:t>Private</w:t>
            </w: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ind w:left="60"/>
              <w:spacing w:after="0" w:line="117" w:lineRule="exact"/>
              <w:rPr>
                <w:sz w:val="20"/>
                <w:szCs w:val="20"/>
                <w:color w:val="auto"/>
              </w:rPr>
            </w:pPr>
            <w:r>
              <w:rPr>
                <w:rFonts w:ascii="Arial" w:cs="Arial" w:eastAsia="Arial" w:hAnsi="Arial"/>
                <w:sz w:val="13"/>
                <w:szCs w:val="13"/>
                <w:b w:val="1"/>
                <w:bCs w:val="1"/>
                <w:color w:val="auto"/>
              </w:rPr>
              <w:t>TOTAL</w:t>
            </w:r>
          </w:p>
        </w:tc>
        <w:tc>
          <w:tcPr>
            <w:tcW w:w="240" w:type="dxa"/>
            <w:vAlign w:val="bottom"/>
          </w:tcPr>
          <w:p>
            <w:pPr>
              <w:spacing w:after="0"/>
              <w:rPr>
                <w:sz w:val="10"/>
                <w:szCs w:val="10"/>
                <w:color w:val="auto"/>
              </w:rPr>
            </w:pPr>
          </w:p>
        </w:tc>
        <w:tc>
          <w:tcPr>
            <w:tcW w:w="780" w:type="dxa"/>
            <w:vAlign w:val="bottom"/>
            <w:gridSpan w:val="2"/>
          </w:tcPr>
          <w:p>
            <w:pPr>
              <w:jc w:val="right"/>
              <w:ind w:right="300"/>
              <w:spacing w:after="0" w:line="117" w:lineRule="exact"/>
              <w:rPr>
                <w:sz w:val="20"/>
                <w:szCs w:val="20"/>
                <w:color w:val="auto"/>
              </w:rPr>
            </w:pPr>
            <w:r>
              <w:rPr>
                <w:rFonts w:ascii="Arial" w:cs="Arial" w:eastAsia="Arial" w:hAnsi="Arial"/>
                <w:sz w:val="13"/>
                <w:szCs w:val="13"/>
                <w:b w:val="1"/>
                <w:bCs w:val="1"/>
                <w:color w:val="auto"/>
              </w:rPr>
              <w:t>Vehicle</w:t>
            </w:r>
          </w:p>
        </w:tc>
        <w:tc>
          <w:tcPr>
            <w:tcW w:w="840" w:type="dxa"/>
            <w:vAlign w:val="bottom"/>
            <w:gridSpan w:val="3"/>
          </w:tcPr>
          <w:p>
            <w:pPr>
              <w:ind w:left="80"/>
              <w:spacing w:after="0" w:line="117" w:lineRule="exact"/>
              <w:rPr>
                <w:sz w:val="20"/>
                <w:szCs w:val="20"/>
                <w:color w:val="auto"/>
              </w:rPr>
            </w:pPr>
            <w:r>
              <w:rPr>
                <w:rFonts w:ascii="Arial" w:cs="Arial" w:eastAsia="Arial" w:hAnsi="Arial"/>
                <w:sz w:val="13"/>
                <w:szCs w:val="13"/>
                <w:b w:val="1"/>
                <w:bCs w:val="1"/>
                <w:color w:val="auto"/>
              </w:rPr>
              <w:t>Private</w:t>
            </w: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ind w:left="60"/>
              <w:spacing w:after="0" w:line="117" w:lineRule="exact"/>
              <w:rPr>
                <w:sz w:val="20"/>
                <w:szCs w:val="20"/>
                <w:color w:val="auto"/>
              </w:rPr>
            </w:pPr>
            <w:r>
              <w:rPr>
                <w:rFonts w:ascii="Arial" w:cs="Arial" w:eastAsia="Arial" w:hAnsi="Arial"/>
                <w:sz w:val="13"/>
                <w:szCs w:val="13"/>
                <w:b w:val="1"/>
                <w:bCs w:val="1"/>
                <w:color w:val="auto"/>
              </w:rPr>
              <w:t>TOTAL</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960" w:type="dxa"/>
            <w:vAlign w:val="bottom"/>
            <w:gridSpan w:val="3"/>
          </w:tcPr>
          <w:p>
            <w:pPr>
              <w:spacing w:after="0"/>
              <w:rPr>
                <w:sz w:val="20"/>
                <w:szCs w:val="20"/>
                <w:color w:val="auto"/>
              </w:rPr>
            </w:pPr>
            <w:r>
              <w:rPr>
                <w:rFonts w:ascii="Arial" w:cs="Arial" w:eastAsia="Arial" w:hAnsi="Arial"/>
                <w:sz w:val="13"/>
                <w:szCs w:val="13"/>
                <w:b w:val="1"/>
                <w:bCs w:val="1"/>
                <w:color w:val="auto"/>
              </w:rPr>
              <w:t>US$ millon</w:t>
            </w:r>
          </w:p>
        </w:tc>
        <w:tc>
          <w:tcPr>
            <w:tcW w:w="8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Insurance</w:t>
            </w:r>
          </w:p>
        </w:tc>
        <w:tc>
          <w:tcPr>
            <w:tcW w:w="900" w:type="dxa"/>
            <w:vAlign w:val="bottom"/>
            <w:gridSpan w:val="3"/>
          </w:tcPr>
          <w:p>
            <w:pPr>
              <w:ind w:left="100"/>
              <w:spacing w:after="0"/>
              <w:rPr>
                <w:sz w:val="20"/>
                <w:szCs w:val="20"/>
                <w:color w:val="auto"/>
              </w:rPr>
            </w:pPr>
            <w:r>
              <w:rPr>
                <w:rFonts w:ascii="Arial" w:cs="Arial" w:eastAsia="Arial" w:hAnsi="Arial"/>
                <w:sz w:val="13"/>
                <w:szCs w:val="13"/>
                <w:b w:val="1"/>
                <w:bCs w:val="1"/>
                <w:color w:val="auto"/>
              </w:rPr>
              <w:t>Health</w:t>
            </w:r>
          </w:p>
        </w:tc>
        <w:tc>
          <w:tcPr>
            <w:tcW w:w="74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P&amp;C</w:t>
            </w:r>
          </w:p>
        </w:tc>
        <w:tc>
          <w:tcPr>
            <w:tcW w:w="840" w:type="dxa"/>
            <w:vAlign w:val="bottom"/>
            <w:gridSpan w:val="2"/>
          </w:tcPr>
          <w:p>
            <w:pPr>
              <w:ind w:left="180"/>
              <w:spacing w:after="0"/>
              <w:rPr>
                <w:sz w:val="20"/>
                <w:szCs w:val="20"/>
                <w:color w:val="auto"/>
              </w:rPr>
            </w:pPr>
            <w:r>
              <w:rPr>
                <w:rFonts w:ascii="Arial" w:cs="Arial" w:eastAsia="Arial" w:hAnsi="Arial"/>
                <w:sz w:val="13"/>
                <w:szCs w:val="13"/>
                <w:b w:val="1"/>
                <w:bCs w:val="1"/>
                <w:color w:val="auto"/>
              </w:rPr>
              <w:t>PPS</w:t>
            </w:r>
          </w:p>
        </w:tc>
        <w:tc>
          <w:tcPr>
            <w:tcW w:w="8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87"/>
              </w:rPr>
              <w:t>Insurance</w:t>
            </w:r>
          </w:p>
        </w:tc>
        <w:tc>
          <w:tcPr>
            <w:tcW w:w="860" w:type="dxa"/>
            <w:vAlign w:val="bottom"/>
            <w:gridSpan w:val="3"/>
          </w:tcPr>
          <w:p>
            <w:pPr>
              <w:ind w:left="100"/>
              <w:spacing w:after="0"/>
              <w:rPr>
                <w:sz w:val="20"/>
                <w:szCs w:val="20"/>
                <w:color w:val="auto"/>
              </w:rPr>
            </w:pPr>
            <w:r>
              <w:rPr>
                <w:rFonts w:ascii="Arial" w:cs="Arial" w:eastAsia="Arial" w:hAnsi="Arial"/>
                <w:sz w:val="13"/>
                <w:szCs w:val="13"/>
                <w:b w:val="1"/>
                <w:bCs w:val="1"/>
                <w:color w:val="auto"/>
              </w:rPr>
              <w:t>Health</w:t>
            </w:r>
          </w:p>
        </w:tc>
        <w:tc>
          <w:tcPr>
            <w:tcW w:w="68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P&amp;C</w:t>
            </w:r>
          </w:p>
        </w:tc>
        <w:tc>
          <w:tcPr>
            <w:tcW w:w="800" w:type="dxa"/>
            <w:vAlign w:val="bottom"/>
            <w:gridSpan w:val="2"/>
          </w:tcPr>
          <w:p>
            <w:pPr>
              <w:ind w:left="160"/>
              <w:spacing w:after="0"/>
              <w:rPr>
                <w:sz w:val="20"/>
                <w:szCs w:val="20"/>
                <w:color w:val="auto"/>
              </w:rPr>
            </w:pPr>
            <w:r>
              <w:rPr>
                <w:rFonts w:ascii="Arial" w:cs="Arial" w:eastAsia="Arial" w:hAnsi="Arial"/>
                <w:sz w:val="13"/>
                <w:szCs w:val="13"/>
                <w:b w:val="1"/>
                <w:bCs w:val="1"/>
                <w:color w:val="auto"/>
              </w:rPr>
              <w:t>PPS</w:t>
            </w:r>
          </w:p>
        </w:tc>
        <w:tc>
          <w:tcPr>
            <w:tcW w:w="7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84"/>
              </w:rPr>
              <w:t>Insurance</w:t>
            </w:r>
          </w:p>
        </w:tc>
        <w:tc>
          <w:tcPr>
            <w:tcW w:w="840" w:type="dxa"/>
            <w:vAlign w:val="bottom"/>
            <w:gridSpan w:val="3"/>
          </w:tcPr>
          <w:p>
            <w:pPr>
              <w:ind w:left="80"/>
              <w:spacing w:after="0"/>
              <w:rPr>
                <w:sz w:val="20"/>
                <w:szCs w:val="20"/>
                <w:color w:val="auto"/>
              </w:rPr>
            </w:pPr>
            <w:r>
              <w:rPr>
                <w:rFonts w:ascii="Arial" w:cs="Arial" w:eastAsia="Arial" w:hAnsi="Arial"/>
                <w:sz w:val="13"/>
                <w:szCs w:val="13"/>
                <w:b w:val="1"/>
                <w:bCs w:val="1"/>
                <w:color w:val="auto"/>
              </w:rPr>
              <w:t>Health</w:t>
            </w:r>
          </w:p>
        </w:tc>
        <w:tc>
          <w:tcPr>
            <w:tcW w:w="70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P&amp;C</w:t>
            </w:r>
          </w:p>
        </w:tc>
        <w:tc>
          <w:tcPr>
            <w:tcW w:w="680" w:type="dxa"/>
            <w:vAlign w:val="bottom"/>
            <w:gridSpan w:val="2"/>
          </w:tcPr>
          <w:p>
            <w:pPr>
              <w:ind w:left="160"/>
              <w:spacing w:after="0"/>
              <w:rPr>
                <w:sz w:val="20"/>
                <w:szCs w:val="20"/>
                <w:color w:val="auto"/>
              </w:rPr>
            </w:pPr>
            <w:r>
              <w:rPr>
                <w:rFonts w:ascii="Arial" w:cs="Arial" w:eastAsia="Arial" w:hAnsi="Arial"/>
                <w:sz w:val="13"/>
                <w:szCs w:val="13"/>
                <w:b w:val="1"/>
                <w:bCs w:val="1"/>
                <w:color w:val="auto"/>
              </w:rPr>
              <w:t>PPS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1820" w:type="dxa"/>
            <w:vAlign w:val="bottom"/>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Net earned premiums</w:t>
            </w:r>
          </w:p>
        </w:tc>
        <w:tc>
          <w:tcPr>
            <w:tcW w:w="120" w:type="dxa"/>
            <w:vAlign w:val="bottom"/>
            <w:shd w:val="clear" w:color="auto" w:fill="CCFFCC"/>
          </w:tcPr>
          <w:p>
            <w:pPr>
              <w:spacing w:after="0"/>
              <w:rPr>
                <w:sz w:val="11"/>
                <w:szCs w:val="11"/>
                <w:color w:val="auto"/>
              </w:rPr>
            </w:pPr>
          </w:p>
        </w:tc>
        <w:tc>
          <w:tcPr>
            <w:tcW w:w="840" w:type="dxa"/>
            <w:vAlign w:val="bottom"/>
            <w:gridSpan w:val="2"/>
            <w:shd w:val="clear" w:color="auto" w:fill="CCFFCC"/>
          </w:tcPr>
          <w:p>
            <w:pPr>
              <w:ind w:left="360"/>
              <w:spacing w:after="0" w:line="135" w:lineRule="exact"/>
              <w:rPr>
                <w:sz w:val="20"/>
                <w:szCs w:val="20"/>
                <w:color w:val="auto"/>
              </w:rPr>
            </w:pPr>
            <w:r>
              <w:rPr>
                <w:rFonts w:ascii="Arial" w:cs="Arial" w:eastAsia="Arial" w:hAnsi="Arial"/>
                <w:sz w:val="13"/>
                <w:szCs w:val="13"/>
                <w:color w:val="auto"/>
              </w:rPr>
              <w:t>20.8</w:t>
            </w:r>
          </w:p>
        </w:tc>
        <w:tc>
          <w:tcPr>
            <w:tcW w:w="8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16.0</w:t>
            </w:r>
          </w:p>
        </w:tc>
        <w:tc>
          <w:tcPr>
            <w:tcW w:w="8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14.3</w:t>
            </w:r>
          </w:p>
        </w:tc>
        <w:tc>
          <w:tcPr>
            <w:tcW w:w="840" w:type="dxa"/>
            <w:vAlign w:val="bottom"/>
            <w:gridSpan w:val="2"/>
            <w:shd w:val="clear" w:color="auto" w:fill="CCFFCC"/>
          </w:tcPr>
          <w:p>
            <w:pPr>
              <w:ind w:left="360"/>
              <w:spacing w:after="0" w:line="135" w:lineRule="exact"/>
              <w:rPr>
                <w:sz w:val="20"/>
                <w:szCs w:val="20"/>
                <w:color w:val="auto"/>
              </w:rPr>
            </w:pPr>
            <w:r>
              <w:rPr>
                <w:rFonts w:ascii="Arial" w:cs="Arial" w:eastAsia="Arial" w:hAnsi="Arial"/>
                <w:sz w:val="13"/>
                <w:szCs w:val="13"/>
                <w:b w:val="1"/>
                <w:bCs w:val="1"/>
                <w:color w:val="auto"/>
              </w:rPr>
              <w:t>51.1</w:t>
            </w:r>
          </w:p>
        </w:tc>
        <w:tc>
          <w:tcPr>
            <w:tcW w:w="8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20.6</w:t>
            </w:r>
          </w:p>
        </w:tc>
        <w:tc>
          <w:tcPr>
            <w:tcW w:w="7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15.2</w:t>
            </w:r>
          </w:p>
        </w:tc>
        <w:tc>
          <w:tcPr>
            <w:tcW w:w="80" w:type="dxa"/>
            <w:vAlign w:val="bottom"/>
            <w:shd w:val="clear" w:color="auto" w:fill="CCFFCC"/>
          </w:tcPr>
          <w:p>
            <w:pPr>
              <w:spacing w:after="0"/>
              <w:rPr>
                <w:sz w:val="11"/>
                <w:szCs w:val="11"/>
                <w:color w:val="auto"/>
              </w:rPr>
            </w:pPr>
          </w:p>
        </w:tc>
        <w:tc>
          <w:tcPr>
            <w:tcW w:w="6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15.3</w:t>
            </w:r>
          </w:p>
        </w:tc>
        <w:tc>
          <w:tcPr>
            <w:tcW w:w="800" w:type="dxa"/>
            <w:vAlign w:val="bottom"/>
            <w:gridSpan w:val="2"/>
            <w:shd w:val="clear" w:color="auto" w:fill="CCFFCC"/>
          </w:tcPr>
          <w:p>
            <w:pPr>
              <w:ind w:left="340"/>
              <w:spacing w:after="0" w:line="135" w:lineRule="exact"/>
              <w:rPr>
                <w:sz w:val="20"/>
                <w:szCs w:val="20"/>
                <w:color w:val="auto"/>
              </w:rPr>
            </w:pPr>
            <w:r>
              <w:rPr>
                <w:rFonts w:ascii="Arial" w:cs="Arial" w:eastAsia="Arial" w:hAnsi="Arial"/>
                <w:sz w:val="13"/>
                <w:szCs w:val="13"/>
                <w:b w:val="1"/>
                <w:bCs w:val="1"/>
                <w:color w:val="auto"/>
              </w:rPr>
              <w:t>51.1</w:t>
            </w:r>
          </w:p>
        </w:tc>
        <w:tc>
          <w:tcPr>
            <w:tcW w:w="7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20.3</w:t>
            </w:r>
          </w:p>
        </w:tc>
        <w:tc>
          <w:tcPr>
            <w:tcW w:w="7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13.8</w:t>
            </w:r>
          </w:p>
        </w:tc>
        <w:tc>
          <w:tcPr>
            <w:tcW w:w="80" w:type="dxa"/>
            <w:vAlign w:val="bottom"/>
            <w:shd w:val="clear" w:color="auto" w:fill="CCFFCC"/>
          </w:tcPr>
          <w:p>
            <w:pPr>
              <w:spacing w:after="0"/>
              <w:rPr>
                <w:sz w:val="11"/>
                <w:szCs w:val="11"/>
                <w:color w:val="auto"/>
              </w:rPr>
            </w:pPr>
          </w:p>
        </w:tc>
        <w:tc>
          <w:tcPr>
            <w:tcW w:w="7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16.2</w:t>
            </w:r>
          </w:p>
        </w:tc>
        <w:tc>
          <w:tcPr>
            <w:tcW w:w="680" w:type="dxa"/>
            <w:vAlign w:val="bottom"/>
            <w:gridSpan w:val="2"/>
            <w:shd w:val="clear" w:color="auto" w:fill="CCFFCC"/>
          </w:tcPr>
          <w:p>
            <w:pPr>
              <w:ind w:left="320"/>
              <w:spacing w:after="0" w:line="135" w:lineRule="exact"/>
              <w:rPr>
                <w:sz w:val="20"/>
                <w:szCs w:val="20"/>
                <w:color w:val="auto"/>
              </w:rPr>
            </w:pPr>
            <w:r>
              <w:rPr>
                <w:rFonts w:ascii="Arial" w:cs="Arial" w:eastAsia="Arial" w:hAnsi="Arial"/>
                <w:sz w:val="13"/>
                <w:szCs w:val="13"/>
                <w:b w:val="1"/>
                <w:bCs w:val="1"/>
                <w:color w:val="auto"/>
              </w:rPr>
              <w:t>50.3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4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Underwriting results</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7.3</w:t>
            </w:r>
          </w:p>
        </w:tc>
        <w:tc>
          <w:tcPr>
            <w:tcW w:w="260" w:type="dxa"/>
            <w:vAlign w:val="bottom"/>
          </w:tcPr>
          <w:p>
            <w:pPr>
              <w:spacing w:after="0"/>
              <w:rPr>
                <w:sz w:val="11"/>
                <w:szCs w:val="11"/>
                <w:color w:val="auto"/>
              </w:rPr>
            </w:pPr>
          </w:p>
        </w:tc>
        <w:tc>
          <w:tcPr>
            <w:tcW w:w="8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3.3</w:t>
            </w:r>
          </w:p>
        </w:tc>
        <w:tc>
          <w:tcPr>
            <w:tcW w:w="80" w:type="dxa"/>
            <w:vAlign w:val="bottom"/>
          </w:tcPr>
          <w:p>
            <w:pPr>
              <w:spacing w:after="0"/>
              <w:rPr>
                <w:sz w:val="11"/>
                <w:szCs w:val="11"/>
                <w:color w:val="auto"/>
              </w:rPr>
            </w:pPr>
          </w:p>
        </w:tc>
        <w:tc>
          <w:tcPr>
            <w:tcW w:w="7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9.9</w:t>
            </w:r>
          </w:p>
        </w:tc>
        <w:tc>
          <w:tcPr>
            <w:tcW w:w="840" w:type="dxa"/>
            <w:vAlign w:val="bottom"/>
            <w:gridSpan w:val="2"/>
          </w:tcPr>
          <w:p>
            <w:pPr>
              <w:ind w:left="360"/>
              <w:spacing w:after="0" w:line="135" w:lineRule="exact"/>
              <w:rPr>
                <w:sz w:val="20"/>
                <w:szCs w:val="20"/>
                <w:color w:val="auto"/>
              </w:rPr>
            </w:pPr>
            <w:r>
              <w:rPr>
                <w:rFonts w:ascii="Arial" w:cs="Arial" w:eastAsia="Arial" w:hAnsi="Arial"/>
                <w:sz w:val="13"/>
                <w:szCs w:val="13"/>
                <w:b w:val="1"/>
                <w:bCs w:val="1"/>
                <w:color w:val="auto"/>
              </w:rPr>
              <w:t>20.5</w:t>
            </w: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7.7</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3.9</w:t>
            </w:r>
          </w:p>
        </w:tc>
        <w:tc>
          <w:tcPr>
            <w:tcW w:w="80" w:type="dxa"/>
            <w:vAlign w:val="bottom"/>
          </w:tcPr>
          <w:p>
            <w:pPr>
              <w:spacing w:after="0"/>
              <w:rPr>
                <w:sz w:val="11"/>
                <w:szCs w:val="11"/>
                <w:color w:val="auto"/>
              </w:rPr>
            </w:pPr>
          </w:p>
        </w:tc>
        <w:tc>
          <w:tcPr>
            <w:tcW w:w="6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6.5</w:t>
            </w:r>
          </w:p>
        </w:tc>
        <w:tc>
          <w:tcPr>
            <w:tcW w:w="800" w:type="dxa"/>
            <w:vAlign w:val="bottom"/>
            <w:gridSpan w:val="2"/>
          </w:tcPr>
          <w:p>
            <w:pPr>
              <w:ind w:left="340"/>
              <w:spacing w:after="0" w:line="135" w:lineRule="exact"/>
              <w:rPr>
                <w:sz w:val="20"/>
                <w:szCs w:val="20"/>
                <w:color w:val="auto"/>
              </w:rPr>
            </w:pPr>
            <w:r>
              <w:rPr>
                <w:rFonts w:ascii="Arial" w:cs="Arial" w:eastAsia="Arial" w:hAnsi="Arial"/>
                <w:sz w:val="13"/>
                <w:szCs w:val="13"/>
                <w:b w:val="1"/>
                <w:bCs w:val="1"/>
                <w:color w:val="auto"/>
              </w:rPr>
              <w:t>18.1</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7.3</w:t>
            </w:r>
          </w:p>
        </w:tc>
        <w:tc>
          <w:tcPr>
            <w:tcW w:w="7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1.5</w:t>
            </w:r>
          </w:p>
        </w:tc>
        <w:tc>
          <w:tcPr>
            <w:tcW w:w="80" w:type="dxa"/>
            <w:vAlign w:val="bottom"/>
          </w:tcPr>
          <w:p>
            <w:pPr>
              <w:spacing w:after="0"/>
              <w:rPr>
                <w:sz w:val="11"/>
                <w:szCs w:val="11"/>
                <w:color w:val="auto"/>
              </w:rPr>
            </w:pPr>
          </w:p>
        </w:tc>
        <w:tc>
          <w:tcPr>
            <w:tcW w:w="7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9.3</w:t>
            </w:r>
          </w:p>
        </w:tc>
        <w:tc>
          <w:tcPr>
            <w:tcW w:w="680" w:type="dxa"/>
            <w:vAlign w:val="bottom"/>
            <w:gridSpan w:val="2"/>
          </w:tcPr>
          <w:p>
            <w:pPr>
              <w:ind w:left="320"/>
              <w:spacing w:after="0" w:line="135" w:lineRule="exact"/>
              <w:rPr>
                <w:sz w:val="20"/>
                <w:szCs w:val="20"/>
                <w:color w:val="auto"/>
              </w:rPr>
            </w:pPr>
            <w:r>
              <w:rPr>
                <w:rFonts w:ascii="Arial" w:cs="Arial" w:eastAsia="Arial" w:hAnsi="Arial"/>
                <w:sz w:val="13"/>
                <w:szCs w:val="13"/>
                <w:b w:val="1"/>
                <w:bCs w:val="1"/>
                <w:color w:val="auto"/>
              </w:rPr>
              <w:t>18.1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4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Loss ratio</w:t>
            </w:r>
          </w:p>
        </w:tc>
        <w:tc>
          <w:tcPr>
            <w:tcW w:w="840" w:type="dxa"/>
            <w:vAlign w:val="bottom"/>
            <w:gridSpan w:val="2"/>
            <w:shd w:val="clear" w:color="auto" w:fill="CCFFCC"/>
          </w:tcPr>
          <w:p>
            <w:pPr>
              <w:ind w:left="360"/>
              <w:spacing w:after="0" w:line="135" w:lineRule="exact"/>
              <w:rPr>
                <w:sz w:val="20"/>
                <w:szCs w:val="20"/>
                <w:color w:val="auto"/>
              </w:rPr>
            </w:pPr>
            <w:r>
              <w:rPr>
                <w:rFonts w:ascii="Arial" w:cs="Arial" w:eastAsia="Arial" w:hAnsi="Arial"/>
                <w:sz w:val="13"/>
                <w:szCs w:val="13"/>
                <w:color w:val="auto"/>
              </w:rPr>
              <w:t>42.5%</w:t>
            </w:r>
          </w:p>
        </w:tc>
        <w:tc>
          <w:tcPr>
            <w:tcW w:w="8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70.8%</w:t>
            </w:r>
          </w:p>
        </w:tc>
        <w:tc>
          <w:tcPr>
            <w:tcW w:w="8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16.1%</w:t>
            </w:r>
          </w:p>
        </w:tc>
        <w:tc>
          <w:tcPr>
            <w:tcW w:w="840" w:type="dxa"/>
            <w:vAlign w:val="bottom"/>
            <w:gridSpan w:val="2"/>
            <w:shd w:val="clear" w:color="auto" w:fill="CCFFCC"/>
          </w:tcPr>
          <w:p>
            <w:pPr>
              <w:ind w:left="360"/>
              <w:spacing w:after="0" w:line="135" w:lineRule="exact"/>
              <w:rPr>
                <w:sz w:val="20"/>
                <w:szCs w:val="20"/>
                <w:color w:val="auto"/>
              </w:rPr>
            </w:pPr>
            <w:r>
              <w:rPr>
                <w:rFonts w:ascii="Arial" w:cs="Arial" w:eastAsia="Arial" w:hAnsi="Arial"/>
                <w:sz w:val="13"/>
                <w:szCs w:val="13"/>
                <w:b w:val="1"/>
                <w:bCs w:val="1"/>
                <w:color w:val="auto"/>
              </w:rPr>
              <w:t>44.0%</w:t>
            </w:r>
          </w:p>
        </w:tc>
        <w:tc>
          <w:tcPr>
            <w:tcW w:w="80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41.8%</w:t>
            </w:r>
          </w:p>
        </w:tc>
        <w:tc>
          <w:tcPr>
            <w:tcW w:w="78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66.2%</w:t>
            </w:r>
          </w:p>
        </w:tc>
        <w:tc>
          <w:tcPr>
            <w:tcW w:w="80" w:type="dxa"/>
            <w:vAlign w:val="bottom"/>
            <w:shd w:val="clear" w:color="auto" w:fill="CCFFCC"/>
          </w:tcPr>
          <w:p>
            <w:pPr>
              <w:spacing w:after="0"/>
              <w:rPr>
                <w:sz w:val="11"/>
                <w:szCs w:val="11"/>
                <w:color w:val="auto"/>
              </w:rPr>
            </w:pPr>
          </w:p>
        </w:tc>
        <w:tc>
          <w:tcPr>
            <w:tcW w:w="68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41.8%</w:t>
            </w:r>
          </w:p>
        </w:tc>
        <w:tc>
          <w:tcPr>
            <w:tcW w:w="800" w:type="dxa"/>
            <w:vAlign w:val="bottom"/>
            <w:gridSpan w:val="2"/>
            <w:shd w:val="clear" w:color="auto" w:fill="CCFFCC"/>
          </w:tcPr>
          <w:p>
            <w:pPr>
              <w:ind w:left="340"/>
              <w:spacing w:after="0" w:line="135" w:lineRule="exact"/>
              <w:rPr>
                <w:sz w:val="20"/>
                <w:szCs w:val="20"/>
                <w:color w:val="auto"/>
              </w:rPr>
            </w:pPr>
            <w:r>
              <w:rPr>
                <w:rFonts w:ascii="Arial" w:cs="Arial" w:eastAsia="Arial" w:hAnsi="Arial"/>
                <w:sz w:val="13"/>
                <w:szCs w:val="13"/>
                <w:b w:val="1"/>
                <w:bCs w:val="1"/>
                <w:color w:val="auto"/>
              </w:rPr>
              <w:t>49.0%</w:t>
            </w:r>
          </w:p>
        </w:tc>
        <w:tc>
          <w:tcPr>
            <w:tcW w:w="78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45.5%</w:t>
            </w:r>
          </w:p>
        </w:tc>
        <w:tc>
          <w:tcPr>
            <w:tcW w:w="76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81.2%</w:t>
            </w:r>
          </w:p>
        </w:tc>
        <w:tc>
          <w:tcPr>
            <w:tcW w:w="80" w:type="dxa"/>
            <w:vAlign w:val="bottom"/>
            <w:shd w:val="clear" w:color="auto" w:fill="CCFFCC"/>
          </w:tcPr>
          <w:p>
            <w:pPr>
              <w:spacing w:after="0"/>
              <w:rPr>
                <w:sz w:val="11"/>
                <w:szCs w:val="11"/>
                <w:color w:val="auto"/>
              </w:rPr>
            </w:pPr>
          </w:p>
        </w:tc>
        <w:tc>
          <w:tcPr>
            <w:tcW w:w="7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32.9%</w:t>
            </w:r>
          </w:p>
        </w:tc>
        <w:tc>
          <w:tcPr>
            <w:tcW w:w="680" w:type="dxa"/>
            <w:vAlign w:val="bottom"/>
            <w:gridSpan w:val="2"/>
            <w:shd w:val="clear" w:color="auto" w:fill="CCFFCC"/>
          </w:tcPr>
          <w:p>
            <w:pPr>
              <w:ind w:left="320"/>
              <w:spacing w:after="0" w:line="135" w:lineRule="exact"/>
              <w:rPr>
                <w:sz w:val="20"/>
                <w:szCs w:val="20"/>
                <w:color w:val="auto"/>
              </w:rPr>
            </w:pPr>
            <w:r>
              <w:rPr>
                <w:rFonts w:ascii="Arial" w:cs="Arial" w:eastAsia="Arial" w:hAnsi="Arial"/>
                <w:sz w:val="13"/>
                <w:szCs w:val="13"/>
                <w:b w:val="1"/>
                <w:bCs w:val="1"/>
                <w:color w:val="auto"/>
                <w:w w:val="92"/>
              </w:rPr>
              <w:t>51.2%</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940" w:type="dxa"/>
            <w:vAlign w:val="bottom"/>
            <w:gridSpan w:val="2"/>
          </w:tcPr>
          <w:p>
            <w:pPr>
              <w:spacing w:after="0" w:line="117" w:lineRule="exact"/>
              <w:rPr>
                <w:sz w:val="20"/>
                <w:szCs w:val="20"/>
                <w:color w:val="auto"/>
              </w:rPr>
            </w:pPr>
            <w:r>
              <w:rPr>
                <w:rFonts w:ascii="Arial" w:cs="Arial" w:eastAsia="Arial" w:hAnsi="Arial"/>
                <w:sz w:val="13"/>
                <w:szCs w:val="13"/>
                <w:b w:val="1"/>
                <w:bCs w:val="1"/>
                <w:color w:val="auto"/>
                <w:w w:val="94"/>
              </w:rPr>
              <w:t>Underwriting results / net earned</w:t>
            </w: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1960" w:type="dxa"/>
            <w:vAlign w:val="bottom"/>
            <w:gridSpan w:val="3"/>
          </w:tcPr>
          <w:p>
            <w:pPr>
              <w:spacing w:after="0"/>
              <w:rPr>
                <w:sz w:val="20"/>
                <w:szCs w:val="20"/>
                <w:color w:val="auto"/>
              </w:rPr>
            </w:pPr>
            <w:r>
              <w:rPr>
                <w:rFonts w:ascii="Arial" w:cs="Arial" w:eastAsia="Arial" w:hAnsi="Arial"/>
                <w:sz w:val="13"/>
                <w:szCs w:val="13"/>
                <w:b w:val="1"/>
                <w:bCs w:val="1"/>
                <w:color w:val="auto"/>
              </w:rPr>
              <w:t>premiums</w:t>
            </w:r>
          </w:p>
        </w:tc>
        <w:tc>
          <w:tcPr>
            <w:tcW w:w="840" w:type="dxa"/>
            <w:vAlign w:val="bottom"/>
            <w:gridSpan w:val="2"/>
          </w:tcPr>
          <w:p>
            <w:pPr>
              <w:ind w:left="360"/>
              <w:spacing w:after="0"/>
              <w:rPr>
                <w:sz w:val="20"/>
                <w:szCs w:val="20"/>
                <w:color w:val="auto"/>
              </w:rPr>
            </w:pPr>
            <w:r>
              <w:rPr>
                <w:rFonts w:ascii="Arial" w:cs="Arial" w:eastAsia="Arial" w:hAnsi="Arial"/>
                <w:sz w:val="13"/>
                <w:szCs w:val="13"/>
                <w:color w:val="auto"/>
              </w:rPr>
              <w:t>35.1%</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20.6%</w:t>
            </w:r>
          </w:p>
        </w:tc>
        <w:tc>
          <w:tcPr>
            <w:tcW w:w="8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69.1%</w:t>
            </w:r>
          </w:p>
        </w:tc>
        <w:tc>
          <w:tcPr>
            <w:tcW w:w="840" w:type="dxa"/>
            <w:vAlign w:val="bottom"/>
            <w:gridSpan w:val="2"/>
          </w:tcPr>
          <w:p>
            <w:pPr>
              <w:ind w:left="360"/>
              <w:spacing w:after="0"/>
              <w:rPr>
                <w:sz w:val="20"/>
                <w:szCs w:val="20"/>
                <w:color w:val="auto"/>
              </w:rPr>
            </w:pPr>
            <w:r>
              <w:rPr>
                <w:rFonts w:ascii="Arial" w:cs="Arial" w:eastAsia="Arial" w:hAnsi="Arial"/>
                <w:sz w:val="13"/>
                <w:szCs w:val="13"/>
                <w:b w:val="1"/>
                <w:bCs w:val="1"/>
                <w:color w:val="auto"/>
              </w:rPr>
              <w:t>40.1%</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37.5%</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25.5%</w:t>
            </w:r>
          </w:p>
        </w:tc>
        <w:tc>
          <w:tcPr>
            <w:tcW w:w="8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42.6%</w:t>
            </w:r>
          </w:p>
        </w:tc>
        <w:tc>
          <w:tcPr>
            <w:tcW w:w="800" w:type="dxa"/>
            <w:vAlign w:val="bottom"/>
            <w:gridSpan w:val="2"/>
          </w:tcPr>
          <w:p>
            <w:pPr>
              <w:ind w:left="340"/>
              <w:spacing w:after="0"/>
              <w:rPr>
                <w:sz w:val="20"/>
                <w:szCs w:val="20"/>
                <w:color w:val="auto"/>
              </w:rPr>
            </w:pPr>
            <w:r>
              <w:rPr>
                <w:rFonts w:ascii="Arial" w:cs="Arial" w:eastAsia="Arial" w:hAnsi="Arial"/>
                <w:sz w:val="13"/>
                <w:szCs w:val="13"/>
                <w:b w:val="1"/>
                <w:bCs w:val="1"/>
                <w:color w:val="auto"/>
              </w:rPr>
              <w:t>35.5%</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36.2%</w:t>
            </w: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10.7%</w:t>
            </w:r>
          </w:p>
        </w:tc>
        <w:tc>
          <w:tcPr>
            <w:tcW w:w="8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57.1%</w:t>
            </w:r>
          </w:p>
        </w:tc>
        <w:tc>
          <w:tcPr>
            <w:tcW w:w="680" w:type="dxa"/>
            <w:vAlign w:val="bottom"/>
            <w:gridSpan w:val="2"/>
          </w:tcPr>
          <w:p>
            <w:pPr>
              <w:ind w:left="320"/>
              <w:spacing w:after="0"/>
              <w:rPr>
                <w:sz w:val="20"/>
                <w:szCs w:val="20"/>
                <w:color w:val="auto"/>
              </w:rPr>
            </w:pPr>
            <w:r>
              <w:rPr>
                <w:rFonts w:ascii="Arial" w:cs="Arial" w:eastAsia="Arial" w:hAnsi="Arial"/>
                <w:sz w:val="13"/>
                <w:szCs w:val="13"/>
                <w:b w:val="1"/>
                <w:bCs w:val="1"/>
                <w:color w:val="auto"/>
                <w:w w:val="92"/>
              </w:rPr>
              <w:t>36.0%</w:t>
            </w:r>
          </w:p>
        </w:tc>
        <w:tc>
          <w:tcPr>
            <w:tcW w:w="0" w:type="dxa"/>
            <w:vAlign w:val="bottom"/>
          </w:tcPr>
          <w:p>
            <w:pPr>
              <w:spacing w:after="0"/>
              <w:rPr>
                <w:sz w:val="1"/>
                <w:szCs w:val="1"/>
                <w:color w:val="auto"/>
              </w:rPr>
            </w:pPr>
          </w:p>
        </w:tc>
      </w:tr>
    </w:tbl>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PPS’s underwriting result was US$ 20.5 million. This 12.9% increase is due primarily to the Property and Casualty Line (P &amp; C), which report a lower loss ratio and an increase in net earned premiums. In the paragraphs below, we provide details on this business line’s evolution.</w:t>
      </w:r>
    </w:p>
    <w:p>
      <w:pPr>
        <w:spacing w:after="0" w:line="197" w:lineRule="exact"/>
        <w:rPr>
          <w:sz w:val="20"/>
          <w:szCs w:val="20"/>
          <w:color w:val="auto"/>
        </w:rPr>
      </w:pPr>
    </w:p>
    <w:p>
      <w:pPr>
        <w:jc w:val="both"/>
        <w:ind w:left="660" w:hanging="328"/>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Property and Casualty business’s technical result increased US$ 3.3 million QoQ given that the overall loss ratio fell from 41.8% in2Q10 to 16.1% in 3Q10. This considerable decline is due to claims reversals from previous quarters as well as adequate risk selection and pricing. Additionally, net earned premiums reported 7% growth QoQ.</w:t>
      </w:r>
    </w:p>
    <w:p>
      <w:pPr>
        <w:spacing w:after="0" w:line="208" w:lineRule="exact"/>
        <w:rPr>
          <w:rFonts w:ascii="Arial" w:cs="Arial" w:eastAsia="Arial" w:hAnsi="Arial"/>
          <w:sz w:val="18"/>
          <w:szCs w:val="18"/>
          <w:color w:val="auto"/>
        </w:rPr>
      </w:pPr>
    </w:p>
    <w:p>
      <w:pPr>
        <w:jc w:val="both"/>
        <w:ind w:left="660" w:right="20" w:hanging="328"/>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underwriting result for Vehicle Insurance was US$ 7.3 million in 3Q10, dropping from US$ 7.7 million in 2Q10. This is attributable to lower underwriting results in both the Auto as well as the Statutory Auto Liability line (SOAT). Nevertheless, it is important to emphasize that in both lines exposure has increased and have effectively controlled net claims throughout the year.</w:t>
      </w:r>
    </w:p>
    <w:p>
      <w:pPr>
        <w:spacing w:after="0" w:line="208" w:lineRule="exact"/>
        <w:rPr>
          <w:rFonts w:ascii="Arial" w:cs="Arial" w:eastAsia="Arial" w:hAnsi="Arial"/>
          <w:sz w:val="18"/>
          <w:szCs w:val="18"/>
          <w:color w:val="auto"/>
        </w:rPr>
      </w:pPr>
    </w:p>
    <w:p>
      <w:pPr>
        <w:ind w:left="660"/>
        <w:spacing w:after="0" w:line="277" w:lineRule="auto"/>
        <w:rPr>
          <w:rFonts w:ascii="Arial" w:cs="Arial" w:eastAsia="Arial" w:hAnsi="Arial"/>
          <w:sz w:val="18"/>
          <w:szCs w:val="18"/>
          <w:color w:val="auto"/>
        </w:rPr>
      </w:pPr>
      <w:r>
        <w:rPr>
          <w:rFonts w:ascii="Arial" w:cs="Arial" w:eastAsia="Arial" w:hAnsi="Arial"/>
          <w:sz w:val="18"/>
          <w:szCs w:val="18"/>
          <w:color w:val="auto"/>
        </w:rPr>
        <w:t>The underwriting result for the Auto line was US$ 6.4 million in 3Q10, which falls below 2Q10’s figure and was due to an increase in net fees, which rose 11.2% QoQ.</w:t>
      </w:r>
    </w:p>
    <w:p>
      <w:pPr>
        <w:spacing w:after="0" w:line="197" w:lineRule="exact"/>
        <w:rPr>
          <w:rFonts w:ascii="Arial" w:cs="Arial" w:eastAsia="Arial" w:hAnsi="Arial"/>
          <w:sz w:val="18"/>
          <w:szCs w:val="18"/>
          <w:color w:val="auto"/>
        </w:rPr>
      </w:pPr>
    </w:p>
    <w:p>
      <w:pPr>
        <w:ind w:left="660"/>
        <w:spacing w:after="0" w:line="277" w:lineRule="auto"/>
        <w:rPr>
          <w:rFonts w:ascii="Arial" w:cs="Arial" w:eastAsia="Arial" w:hAnsi="Arial"/>
          <w:sz w:val="18"/>
          <w:szCs w:val="18"/>
          <w:color w:val="auto"/>
        </w:rPr>
      </w:pPr>
      <w:r>
        <w:rPr>
          <w:rFonts w:ascii="Arial" w:cs="Arial" w:eastAsia="Arial" w:hAnsi="Arial"/>
          <w:sz w:val="18"/>
          <w:szCs w:val="18"/>
          <w:color w:val="auto"/>
        </w:rPr>
        <w:t>The Statutory Auto Liability Line (SOAT) reported an underwriting result of US$ 0.9 million in 3Q10, which fell below the earnings of US$ 1.3 million registered in 2Q10. This is due primarily to higher net claims for severe incidents this quarter.</w:t>
      </w:r>
    </w:p>
    <w:p>
      <w:pPr>
        <w:spacing w:after="0" w:line="197"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 3Q10, the Private Health Insurance line obtained an underwriting result of US$ 3.3 million, which falls below the US$ 3.9 million reported in 2Q10. This was attributable to a higher loss ratio this quarter, which increased to 70.8% in 3Q10 (compared to 66.2% in 2Q10) due to an increase in claims typical in winter months. This situation was partially offset by higher net earned premiums, which grew 5% QoQ.</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 regard to results in the general insurance segment in 3Q10 (PPS), it is important to mention the following: (i) income for net insurance premiums was US$ 51.1 million while (ii) total operating costs reached US$ 17.0 million. With these results, we obtain a (iii) combined ratio this quarter of 93.3%, 44.0 points of which correspond to losses and loss adjustment expenses, 16.0 points to business acquisition costs and 33.3 points to general or administrative expenses.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Pacífico Vida (PV)</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Pacifico Vida obtained net income before minority interest of US$ 7.0 million in 3Q10, which is lower than the US$ 10.5 million obtained in 2Q10 and is attributable to the underwriting loss registered this quarter. Nevertheless, this result was offset by a significant increase in sales of pension products due to the Early Retirement Regimen recently implemented in the Peruvian market.</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0" w:right="239" w:bottom="1440" w:gutter="0" w:footer="0" w:header="0"/>
        </w:sectPr>
      </w:pPr>
    </w:p>
    <w:bookmarkStart w:id="31" w:name="page32"/>
    <w:bookmarkEnd w:id="31"/>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6263640</wp:posOffset>
            </wp:positionH>
            <wp:positionV relativeFrom="page">
              <wp:posOffset>243205</wp:posOffset>
            </wp:positionV>
            <wp:extent cx="1140460" cy="3175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The underwriting result in 3Q10 of US$ (2.2) million is due primarily to: i) lower net earned premiums of US$ 35.9 million in 3Q10 vs. US$ 39.8 million in 2Q10 due to an increase in sales of pension products, which in turn required more underwriting reserves, ii) higher net claims in the third quarter of the year, which went from US$ 24.1 million in 2Q10 to US$ 25.2 million in 3Q10 and iii) higher acquisition costs due to an increase in fees, which totaled US$ 10.6 million in 3Q10 vs. US$ 9.4 million in 2Q10.</w:t>
      </w:r>
    </w:p>
    <w:p>
      <w:pPr>
        <w:spacing w:after="0" w:line="210"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20" w:type="dxa"/>
            <w:vAlign w:val="bottom"/>
            <w:gridSpan w:val="4"/>
          </w:tcPr>
          <w:p>
            <w:pPr>
              <w:ind w:left="460"/>
              <w:spacing w:after="0"/>
              <w:rPr>
                <w:sz w:val="20"/>
                <w:szCs w:val="20"/>
                <w:color w:val="auto"/>
              </w:rPr>
            </w:pPr>
            <w:r>
              <w:rPr>
                <w:rFonts w:ascii="Arial" w:cs="Arial" w:eastAsia="Arial" w:hAnsi="Arial"/>
                <w:sz w:val="18"/>
                <w:szCs w:val="18"/>
                <w:b w:val="1"/>
                <w:bCs w:val="1"/>
                <w:color w:val="auto"/>
              </w:rPr>
              <w:t>Pacífico Vida</w:t>
            </w: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4160" w:type="dxa"/>
            <w:vAlign w:val="bottom"/>
            <w:gridSpan w:val="3"/>
          </w:tcPr>
          <w:p>
            <w:pPr>
              <w:spacing w:after="0"/>
              <w:rPr>
                <w:sz w:val="20"/>
                <w:szCs w:val="20"/>
                <w:color w:val="auto"/>
              </w:rPr>
            </w:pPr>
            <w:r>
              <w:rPr>
                <w:rFonts w:ascii="Arial" w:cs="Arial" w:eastAsia="Arial" w:hAnsi="Arial"/>
                <w:sz w:val="18"/>
                <w:szCs w:val="18"/>
                <w:b w:val="1"/>
                <w:bCs w:val="1"/>
                <w:color w:val="auto"/>
              </w:rPr>
              <w:t>Products</w:t>
            </w:r>
          </w:p>
        </w:tc>
        <w:tc>
          <w:tcPr>
            <w:tcW w:w="10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b w:val="1"/>
                <w:bCs w:val="1"/>
                <w:color w:val="auto"/>
                <w:w w:val="90"/>
              </w:rPr>
              <w:t>Total Premiums</w:t>
            </w:r>
          </w:p>
        </w:tc>
        <w:tc>
          <w:tcPr>
            <w:tcW w:w="10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Borders>
              <w:bottom w:val="single" w:sz="8" w:color="auto"/>
            </w:tcBorders>
            <w:gridSpan w:val="3"/>
          </w:tcPr>
          <w:p>
            <w:pPr>
              <w:ind w:left="740"/>
              <w:spacing w:after="0"/>
              <w:rPr>
                <w:sz w:val="20"/>
                <w:szCs w:val="20"/>
                <w:color w:val="auto"/>
              </w:rPr>
            </w:pPr>
            <w:r>
              <w:rPr>
                <w:rFonts w:ascii="Arial" w:cs="Arial" w:eastAsia="Arial" w:hAnsi="Arial"/>
                <w:sz w:val="18"/>
                <w:szCs w:val="18"/>
                <w:b w:val="1"/>
                <w:bCs w:val="1"/>
                <w:color w:val="auto"/>
                <w:w w:val="94"/>
              </w:rPr>
              <w:t>Change %</w:t>
            </w:r>
          </w:p>
        </w:tc>
        <w:tc>
          <w:tcPr>
            <w:tcW w:w="7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160" w:type="dxa"/>
            <w:vAlign w:val="bottom"/>
            <w:gridSpan w:val="3"/>
          </w:tcPr>
          <w:p>
            <w:pPr>
              <w:spacing w:after="0"/>
              <w:rPr>
                <w:sz w:val="20"/>
                <w:szCs w:val="20"/>
                <w:color w:val="auto"/>
              </w:rPr>
            </w:pPr>
            <w:r>
              <w:rPr>
                <w:rFonts w:ascii="Arial" w:cs="Arial" w:eastAsia="Arial" w:hAnsi="Arial"/>
                <w:sz w:val="18"/>
                <w:szCs w:val="18"/>
                <w:b w:val="1"/>
                <w:bCs w:val="1"/>
                <w:color w:val="auto"/>
              </w:rPr>
              <w:t>US$ million</w:t>
            </w:r>
          </w:p>
        </w:tc>
        <w:tc>
          <w:tcPr>
            <w:tcW w:w="1020" w:type="dxa"/>
            <w:vAlign w:val="bottom"/>
          </w:tcPr>
          <w:p>
            <w:pPr>
              <w:jc w:val="right"/>
              <w:ind w:right="210"/>
              <w:spacing w:after="0"/>
              <w:rPr>
                <w:sz w:val="20"/>
                <w:szCs w:val="20"/>
                <w:color w:val="auto"/>
              </w:rPr>
            </w:pPr>
            <w:r>
              <w:rPr>
                <w:rFonts w:ascii="Arial" w:cs="Arial" w:eastAsia="Arial" w:hAnsi="Arial"/>
                <w:sz w:val="18"/>
                <w:szCs w:val="18"/>
                <w:b w:val="1"/>
                <w:bCs w:val="1"/>
                <w:color w:val="auto"/>
              </w:rPr>
              <w:t>3Q10</w:t>
            </w:r>
          </w:p>
        </w:tc>
        <w:tc>
          <w:tcPr>
            <w:tcW w:w="20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2Q10</w:t>
            </w:r>
          </w:p>
        </w:tc>
        <w:tc>
          <w:tcPr>
            <w:tcW w:w="1000" w:type="dxa"/>
            <w:vAlign w:val="bottom"/>
          </w:tcPr>
          <w:p>
            <w:pPr>
              <w:jc w:val="right"/>
              <w:ind w:right="210"/>
              <w:spacing w:after="0"/>
              <w:rPr>
                <w:sz w:val="20"/>
                <w:szCs w:val="20"/>
                <w:color w:val="auto"/>
              </w:rPr>
            </w:pPr>
            <w:r>
              <w:rPr>
                <w:rFonts w:ascii="Arial" w:cs="Arial" w:eastAsia="Arial" w:hAnsi="Arial"/>
                <w:sz w:val="18"/>
                <w:szCs w:val="18"/>
                <w:b w:val="1"/>
                <w:bCs w:val="1"/>
                <w:color w:val="auto"/>
              </w:rPr>
              <w:t>3Q09</w:t>
            </w:r>
          </w:p>
        </w:tc>
        <w:tc>
          <w:tcPr>
            <w:tcW w:w="200" w:type="dxa"/>
            <w:vAlign w:val="bottom"/>
          </w:tcPr>
          <w:p>
            <w:pPr>
              <w:spacing w:after="0"/>
              <w:rPr>
                <w:sz w:val="18"/>
                <w:szCs w:val="18"/>
                <w:color w:val="auto"/>
              </w:rPr>
            </w:pPr>
          </w:p>
        </w:tc>
        <w:tc>
          <w:tcPr>
            <w:tcW w:w="1580" w:type="dxa"/>
            <w:vAlign w:val="bottom"/>
            <w:gridSpan w:val="3"/>
          </w:tcPr>
          <w:p>
            <w:pPr>
              <w:ind w:left="300"/>
              <w:spacing w:after="0"/>
              <w:rPr>
                <w:sz w:val="20"/>
                <w:szCs w:val="20"/>
                <w:color w:val="auto"/>
              </w:rPr>
            </w:pPr>
            <w:r>
              <w:rPr>
                <w:rFonts w:ascii="Arial" w:cs="Arial" w:eastAsia="Arial" w:hAnsi="Arial"/>
                <w:sz w:val="18"/>
                <w:szCs w:val="18"/>
                <w:b w:val="1"/>
                <w:bCs w:val="1"/>
                <w:color w:val="auto"/>
              </w:rPr>
              <w:t>QoQ</w:t>
            </w:r>
          </w:p>
        </w:tc>
        <w:tc>
          <w:tcPr>
            <w:tcW w:w="720" w:type="dxa"/>
            <w:vAlign w:val="bottom"/>
          </w:tcPr>
          <w:p>
            <w:pPr>
              <w:ind w:left="40"/>
              <w:spacing w:after="0"/>
              <w:rPr>
                <w:sz w:val="20"/>
                <w:szCs w:val="20"/>
                <w:color w:val="auto"/>
              </w:rPr>
            </w:pPr>
            <w:r>
              <w:rPr>
                <w:rFonts w:ascii="Arial" w:cs="Arial" w:eastAsia="Arial" w:hAnsi="Arial"/>
                <w:sz w:val="18"/>
                <w:szCs w:val="18"/>
                <w:b w:val="1"/>
                <w:bCs w:val="1"/>
                <w:color w:val="auto"/>
              </w:rPr>
              <w:t>YoY</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FFCC"/>
          </w:tcPr>
          <w:p>
            <w:pPr>
              <w:spacing w:after="0"/>
              <w:rPr>
                <w:sz w:val="20"/>
                <w:szCs w:val="20"/>
                <w:color w:val="auto"/>
              </w:rPr>
            </w:pPr>
            <w:r>
              <w:rPr>
                <w:rFonts w:ascii="Arial" w:cs="Arial" w:eastAsia="Arial" w:hAnsi="Arial"/>
                <w:sz w:val="18"/>
                <w:szCs w:val="18"/>
                <w:color w:val="auto"/>
              </w:rPr>
              <w:t>Individual life</w:t>
            </w:r>
          </w:p>
        </w:tc>
        <w:tc>
          <w:tcPr>
            <w:tcW w:w="8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14.8</w:t>
            </w:r>
          </w:p>
        </w:tc>
        <w:tc>
          <w:tcPr>
            <w:tcW w:w="20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14.0</w:t>
            </w:r>
          </w:p>
        </w:tc>
        <w:tc>
          <w:tcPr>
            <w:tcW w:w="20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12.7</w:t>
            </w:r>
          </w:p>
        </w:tc>
        <w:tc>
          <w:tcPr>
            <w:tcW w:w="20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5.8%</w:t>
            </w:r>
          </w:p>
        </w:tc>
        <w:tc>
          <w:tcPr>
            <w:tcW w:w="28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Individual annuity</w:t>
            </w:r>
          </w:p>
        </w:tc>
        <w:tc>
          <w:tcPr>
            <w:tcW w:w="1020" w:type="dxa"/>
            <w:vAlign w:val="bottom"/>
          </w:tcPr>
          <w:p>
            <w:pPr>
              <w:jc w:val="right"/>
              <w:spacing w:after="0"/>
              <w:rPr>
                <w:sz w:val="20"/>
                <w:szCs w:val="20"/>
                <w:color w:val="auto"/>
              </w:rPr>
            </w:pPr>
            <w:r>
              <w:rPr>
                <w:rFonts w:ascii="Arial" w:cs="Arial" w:eastAsia="Arial" w:hAnsi="Arial"/>
                <w:sz w:val="18"/>
                <w:szCs w:val="18"/>
                <w:color w:val="auto"/>
              </w:rPr>
              <w:t>29.0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12.9</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10.3</w:t>
            </w:r>
          </w:p>
        </w:tc>
        <w:tc>
          <w:tcPr>
            <w:tcW w:w="1500" w:type="dxa"/>
            <w:vAlign w:val="bottom"/>
            <w:gridSpan w:val="3"/>
          </w:tcPr>
          <w:p>
            <w:pPr>
              <w:jc w:val="right"/>
              <w:ind w:right="140"/>
              <w:spacing w:after="0"/>
              <w:rPr>
                <w:sz w:val="20"/>
                <w:szCs w:val="20"/>
                <w:color w:val="auto"/>
              </w:rPr>
            </w:pPr>
            <w:r>
              <w:rPr>
                <w:rFonts w:ascii="Arial" w:cs="Arial" w:eastAsia="Arial" w:hAnsi="Arial"/>
                <w:sz w:val="18"/>
                <w:szCs w:val="18"/>
                <w:color w:val="auto"/>
              </w:rPr>
              <w:t>124.9%</w:t>
            </w:r>
          </w:p>
        </w:tc>
        <w:tc>
          <w:tcPr>
            <w:tcW w:w="2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Disability &amp; survivor (Pension)</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11.5</w:t>
            </w:r>
          </w:p>
        </w:tc>
        <w:tc>
          <w:tcPr>
            <w:tcW w:w="1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11.3</w:t>
            </w:r>
          </w:p>
        </w:tc>
        <w:tc>
          <w:tcPr>
            <w:tcW w:w="20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8.2</w:t>
            </w:r>
          </w:p>
        </w:tc>
        <w:tc>
          <w:tcPr>
            <w:tcW w:w="150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Credit Life</w:t>
            </w:r>
          </w:p>
        </w:tc>
        <w:tc>
          <w:tcPr>
            <w:tcW w:w="1020" w:type="dxa"/>
            <w:vAlign w:val="bottom"/>
          </w:tcPr>
          <w:p>
            <w:pPr>
              <w:jc w:val="right"/>
              <w:spacing w:after="0"/>
              <w:rPr>
                <w:sz w:val="20"/>
                <w:szCs w:val="20"/>
                <w:color w:val="auto"/>
              </w:rPr>
            </w:pPr>
            <w:r>
              <w:rPr>
                <w:rFonts w:ascii="Arial" w:cs="Arial" w:eastAsia="Arial" w:hAnsi="Arial"/>
                <w:sz w:val="18"/>
                <w:szCs w:val="18"/>
                <w:color w:val="auto"/>
              </w:rPr>
              <w:t>9.0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w:t>
            </w:r>
          </w:p>
        </w:tc>
        <w:tc>
          <w:tcPr>
            <w:tcW w:w="1500" w:type="dxa"/>
            <w:vAlign w:val="bottom"/>
            <w:gridSpan w:val="3"/>
          </w:tcPr>
          <w:p>
            <w:pPr>
              <w:jc w:val="right"/>
              <w:ind w:right="140"/>
              <w:spacing w:after="0"/>
              <w:rPr>
                <w:sz w:val="20"/>
                <w:szCs w:val="20"/>
                <w:color w:val="auto"/>
              </w:rPr>
            </w:pPr>
            <w:r>
              <w:rPr>
                <w:rFonts w:ascii="Arial" w:cs="Arial" w:eastAsia="Arial" w:hAnsi="Arial"/>
                <w:sz w:val="18"/>
                <w:szCs w:val="18"/>
                <w:color w:val="auto"/>
              </w:rPr>
              <w:t>24.1%</w:t>
            </w:r>
          </w:p>
        </w:tc>
        <w:tc>
          <w:tcPr>
            <w:tcW w:w="2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Personal accidents</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3.0</w:t>
            </w:r>
          </w:p>
        </w:tc>
        <w:tc>
          <w:tcPr>
            <w:tcW w:w="1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w:t>
            </w:r>
          </w:p>
        </w:tc>
        <w:tc>
          <w:tcPr>
            <w:tcW w:w="150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3.5%</w:t>
            </w:r>
          </w:p>
        </w:tc>
        <w:tc>
          <w:tcPr>
            <w:tcW w:w="28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Group life (Law)</w:t>
            </w:r>
          </w:p>
        </w:tc>
        <w:tc>
          <w:tcPr>
            <w:tcW w:w="1020" w:type="dxa"/>
            <w:vAlign w:val="bottom"/>
          </w:tcPr>
          <w:p>
            <w:pPr>
              <w:jc w:val="right"/>
              <w:spacing w:after="0"/>
              <w:rPr>
                <w:sz w:val="20"/>
                <w:szCs w:val="20"/>
                <w:color w:val="auto"/>
              </w:rPr>
            </w:pPr>
            <w:r>
              <w:rPr>
                <w:rFonts w:ascii="Arial" w:cs="Arial" w:eastAsia="Arial" w:hAnsi="Arial"/>
                <w:sz w:val="18"/>
                <w:szCs w:val="18"/>
                <w:color w:val="auto"/>
              </w:rPr>
              <w:t>2.4</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w:t>
            </w:r>
          </w:p>
        </w:tc>
        <w:tc>
          <w:tcPr>
            <w:tcW w:w="1500" w:type="dxa"/>
            <w:vAlign w:val="bottom"/>
            <w:gridSpan w:val="3"/>
          </w:tcPr>
          <w:p>
            <w:pPr>
              <w:jc w:val="right"/>
              <w:ind w:right="140"/>
              <w:spacing w:after="0"/>
              <w:rPr>
                <w:sz w:val="20"/>
                <w:szCs w:val="20"/>
                <w:color w:val="auto"/>
              </w:rPr>
            </w:pPr>
            <w:r>
              <w:rPr>
                <w:rFonts w:ascii="Arial" w:cs="Arial" w:eastAsia="Arial" w:hAnsi="Arial"/>
                <w:sz w:val="18"/>
                <w:szCs w:val="18"/>
                <w:color w:val="auto"/>
              </w:rPr>
              <w:t>2.4%</w:t>
            </w:r>
          </w:p>
        </w:tc>
        <w:tc>
          <w:tcPr>
            <w:tcW w:w="2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Group life</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w:t>
            </w:r>
          </w:p>
        </w:tc>
        <w:tc>
          <w:tcPr>
            <w:tcW w:w="1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4.3</w:t>
            </w:r>
          </w:p>
        </w:tc>
        <w:tc>
          <w:tcPr>
            <w:tcW w:w="20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w:t>
            </w:r>
          </w:p>
        </w:tc>
        <w:tc>
          <w:tcPr>
            <w:tcW w:w="150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-36.3%</w:t>
            </w:r>
          </w:p>
        </w:tc>
        <w:tc>
          <w:tcPr>
            <w:tcW w:w="28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Limited workers compensation</w:t>
            </w:r>
          </w:p>
        </w:tc>
        <w:tc>
          <w:tcPr>
            <w:tcW w:w="1020" w:type="dxa"/>
            <w:vAlign w:val="bottom"/>
          </w:tcPr>
          <w:p>
            <w:pPr>
              <w:jc w:val="right"/>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36.3%</w:t>
            </w:r>
          </w:p>
        </w:tc>
        <w:tc>
          <w:tcPr>
            <w:tcW w:w="2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75.9</w:t>
            </w:r>
          </w:p>
        </w:tc>
        <w:tc>
          <w:tcPr>
            <w:tcW w:w="20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57.6</w:t>
            </w:r>
          </w:p>
        </w:tc>
        <w:tc>
          <w:tcPr>
            <w:tcW w:w="20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47.8</w:t>
            </w:r>
          </w:p>
        </w:tc>
        <w:tc>
          <w:tcPr>
            <w:tcW w:w="20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31.7%</w:t>
            </w:r>
          </w:p>
        </w:tc>
        <w:tc>
          <w:tcPr>
            <w:tcW w:w="28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58.9%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6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in net financial income of US$19.2 million this quarter, compared to the US$ 14.4 million obtained in 2Q10, is primarily attributable to higher earnings on sales of real estate and securities.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General expenses in 3Q10 fell slightly (0.6%) with regard to 2Q10, reaching a total of US$8.8 million.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After excluding Alico’s minority interest of US$ 2.6 million, net income in the life segment totaled US$ 4.3 million in 3Q10.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Pacífico Salud (EPS)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Pacifico Salud reported net income of US$ 1.8 million in 3Q10, which is similar to the US$ 1.9 million registered last quarter. It is important to mention that EPS’s YoY evolution is very satisfactory since it represented a loss of US$ 0.5 million in 3Q09.</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EPS achieved an underwriting result of US$ 6.1 million, which tops the US$ 5.3 million obtained in 2Q10. In 3Q10, net earned premiums totaled US$ 37.7 million, which represents 8.5% growth QoQ. The loss ratio fell this quarter, dropping from 78.4% in 2Q10 to 77.4% in 3Q10. Nevertheless the higher operating expenses led to net earnings of US$ 1.8 million in 3Q10.</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extraordinary QoQ results achieved in terms of premium growth and underwriting results, which were 9.2% and 14.7% respectively, as well as solid accumulated growth in earnings during a seasonal period that is usually characterized by high claims, are proof that the company manages claims and continuous negotiation efficiently while optimizing the supply of health providers.</w:t>
      </w:r>
    </w:p>
    <w:p>
      <w:pPr>
        <w:spacing w:after="0" w:line="3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11"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175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VIII. Economic Outlook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Economic Activity</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According to estimates, during 3Q10, the economy grew at an annual rate that was slightly higher than 8.5%, which, when compared with growth in 2Q10, reflects a slowdown in the pace of growth. This is in line with the policies implemented by the Central Bank since May, which are directed at keeping growth moderate due to the inflationary risk implicit in rapid expansion that is differentiated by sectors.</w:t>
      </w:r>
    </w:p>
    <w:p>
      <w:pPr>
        <w:spacing w:after="0" w:line="20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economy’s dynamism is not homogeneous across sectors. Similar to the last quarter, non-primary sectors, particularly construction and manufacturing, led growth. This contrasts with the situation of primary sectors, which lagged behind and even reported negative growth. It is important to point out that part of the upturn in growth is attributable to higher dynamism in tax collections for imported products, given that taxes are considered as a component of GDP.</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terms of spending type, private investment continues to be a pillar of growth. This will more than likely continue throughout the electoral process due to expectations linked to mining project execution. Exports have grown very little in comparison to last year while imports demonstrate considerable dynamism. In light of its recent evolution, the economy is expected to grow 7.8% in 2010. This forecast may be revised upward while growth for next year is expected to hit 6.3%</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With regard to fiscal policy, the role that public spending has had in growth is unclear. Public spending appears to have slowed down since May, particularly in terms of investment, but public spending in August reported significant growth, driven by manufacturing activity associated with the purchase of buses for the Metropolitan 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2363470</wp:posOffset>
            </wp:positionH>
            <wp:positionV relativeFrom="paragraph">
              <wp:posOffset>141605</wp:posOffset>
            </wp:positionV>
            <wp:extent cx="2529840" cy="18954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529840" cy="189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External Sector</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According to estimates, in 2Q10, the trade balance registered a surplus of approximately US$ 1,200 MM, which is lower than the US$ 1,500 MM reported in previous quarters. This is primarily attributable to the fact that imports have bounced back in a context of a recovery in internal demand, reporting levels above those reported for exports, which have grown month on month throughout the year.</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evolution of exports is primarily the result of dynamism in traditional exports, which has benefited from higher international prices for gold in a context of uncertainty regarding the direction the global economy is taking. Non-traditional exports grew at a slower pace due to developed economies’ sluggish performance.</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Imports have bounced back considerably. In this scenario, consumer goods were the most dynamic and although capital goods (+44.1%) grew less than any other component, they expanded at a faster rate than the most dynamic group of exports (traditional, 28.5%).</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6" w:right="239" w:bottom="1440" w:gutter="0" w:footer="0" w:header="0"/>
        </w:sectPr>
      </w:pPr>
    </w:p>
    <w:bookmarkStart w:id="33" w:name="page34"/>
    <w:bookmarkEnd w:id="33"/>
    <w:p>
      <w:pPr>
        <w:jc w:val="both"/>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6263640</wp:posOffset>
            </wp:positionH>
            <wp:positionV relativeFrom="page">
              <wp:posOffset>243205</wp:posOffset>
            </wp:positionV>
            <wp:extent cx="1140460" cy="3175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The trade balance continues to drop, which coupled with a recovery in the earnings that foreign mining companies send to their headquarters, has led to a negative current account balance. Nevertheless, investment flows to emerging countries have benefited from an additional round of monetary stimuli in developed countries, which means that the net entry of capital on the financial side will more than compensate for the negative balance. In this context, a significant increase in BCR’s international reserves has been reported (US$ 10,260 MM since the beginning of the year until the first week of October, which brought the balance to US$ 43,395 MM) as the bank has stepped up its efforts to buy dollars in the foreign exchange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2492375</wp:posOffset>
            </wp:positionH>
            <wp:positionV relativeFrom="paragraph">
              <wp:posOffset>135890</wp:posOffset>
            </wp:positionV>
            <wp:extent cx="2272665" cy="18522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272665" cy="1852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Prices and Exchange Rate</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the end of 3Q10, annual inflation was situated at 2.4%, which reflects a slightly upward trend but remains within the target range set by the Central Bank (2% +/- 1pp). Expectations for the coming months indicate that the situation will remain stable.</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effect, core inflation has stabilized at approximately 1.8% over the last few months. This is due to the fact that although growth in the food and beverages segment has begun to slow down in comparison to the levels seen in the first few months of 2010, it continues to report the highest growth rate thus far this year. Figures for fuels have been revised downward, so one of the main sources of the increase in inflation during the first few months of the year appears to be under control.</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the end of the year, inflation will be situated in the upper end of the target range, bolstered by moderate increases in food prices and the fact that fuel prices have experienced almost no changes.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exchange rate will maintain its downward pressure, situating at S/. 2.78 at year-end with a moderate downward bias, which will depend on the magnitude of the Central Bank’s interventions. Nevertheless, the issuing entity tends to actively intervene in the foreign exchange market due to the fact that in relative terms, Peru’s dollarization is high. BCR’s interventions have caused the Nuevo Sol to depreciate in real terms against the currencies of other Latin American countries, which has created a favorable competitive context.</w:t>
      </w: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11"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Consumer Price Index</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(Annual percentage variation)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2160905" cy="15690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160905" cy="15690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Exchange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2491740</wp:posOffset>
            </wp:positionH>
            <wp:positionV relativeFrom="paragraph">
              <wp:posOffset>-590550</wp:posOffset>
            </wp:positionV>
            <wp:extent cx="1140460" cy="3175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140460" cy="31750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(Nuevos Soles for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174625</wp:posOffset>
            </wp:positionV>
            <wp:extent cx="2280920" cy="144907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280920" cy="14490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80" w:space="720"/>
            <w:col w:w="5720"/>
          </w:cols>
          <w:pgMar w:left="240" w:top="110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Sector</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August, transactions in the non-financial public sector continued to reflect growth in tax income. This was in turn attributable to more dynamism in indirect taxes, driven primarily by the ISC (associated with the evolution of imports).</w:t>
      </w:r>
    </w:p>
    <w:p>
      <w:pPr>
        <w:spacing w:after="0" w:line="19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the last few months, total tax collections have grown at an annual rate of 13.7%, which is the highest figure recorded since July 2008. A 50.9% increase in import tax collections was reported in August and internal Added-value tax rose 45.6%. In this context, the economic result for the month of August was S/. 270 MM compared to the S/. 670 MM deficit reported for the same month last year when a slight adjustment was evident in public spending.</w:t>
      </w:r>
    </w:p>
    <w:p>
      <w:pPr>
        <w:spacing w:after="0" w:line="1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fiscal goal for the end of this year is to reach a deficit equivalent to 1.5% of GDP. The recently appointed Minister of Economy has said that his priority will be to ensure that the deficit is closer to 1.0% of GDP. This will generate a margin for fiscal maneuvering if the global macroeconomic environment deteriorates.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07" w:right="2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175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Banking System</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According to BCR’s figures for August, banking system loans to the private sector fell 0.2% MoM, which was the first drop since September of last year. This result was attributable to the evolution of loans denominated in foreign currency (which fell 0.6% in dollars) given that loans denominated in local currency, which slowed down slightly, continued to grow. In annual terms, loans increased 14.1% in August, maintaining an upward trend that began in February. This occurred despite the evolution of exchange rate given that loans would have grown at an annual rate of 16.9% if the exchange rate had remained steady.</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Loan dollarization at entities authorized by the regulating entity to capture public deposits has continued a downward trend to settle at 44.8% in August, which is the lowest level recorded for this indicator in history. This is in line with the Central Bank’s intention to ensure that Peru is the first country in the world in which de-dollarization has been achieved without a shove from the issuing entity.</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Finally, the downward trend for interest rates in soles was interrupted by BCR’s increases in reference rate, which began in May and were complemented by higher reserve requirements for both national and foreign currencies.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this context, TAMN reached 18.3% at the end of 3Q10, which although lower than the figure recorded at the end of 2Q10 (19.1%), reflects an increase over August’s figure (18.1%). Along the same lines, TIPMN went from 1.4% at the end of 2Q10 to 1.7% in the month of September. The increase in rates for time deposits and CTS were particularly noteworthy.</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In terms of rates in dollars, TAMEX increased from 8.0% in 2Q10 to 3.7% in 3Q10 despite a considerable drop in the cost of loans for micro businesses.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TIPMEX went from 0.7% to 0.9% this quarter and similar to local currency, the increase in rates for time deposits and CTS stood out.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60" w:type="dxa"/>
            <w:vAlign w:val="bottom"/>
            <w:gridSpan w:val="6"/>
          </w:tcPr>
          <w:p>
            <w:pPr>
              <w:jc w:val="right"/>
              <w:ind w:right="820"/>
              <w:spacing w:after="0"/>
              <w:rPr>
                <w:sz w:val="20"/>
                <w:szCs w:val="20"/>
                <w:color w:val="auto"/>
              </w:rPr>
            </w:pPr>
            <w:r>
              <w:rPr>
                <w:rFonts w:ascii="Arial" w:cs="Arial" w:eastAsia="Arial" w:hAnsi="Arial"/>
                <w:sz w:val="18"/>
                <w:szCs w:val="18"/>
                <w:b w:val="1"/>
                <w:bCs w:val="1"/>
                <w:color w:val="auto"/>
              </w:rPr>
              <w:t>Main Financial Indicators</w:t>
            </w: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b w:val="1"/>
                <w:bCs w:val="1"/>
                <w:color w:val="auto"/>
              </w:rPr>
              <w:t>2008</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2010</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Year</w:t>
            </w:r>
          </w:p>
        </w:tc>
        <w:tc>
          <w:tcPr>
            <w:tcW w:w="1060" w:type="dxa"/>
            <w:vAlign w:val="bottom"/>
            <w:gridSpan w:val="2"/>
          </w:tcPr>
          <w:p>
            <w:pPr>
              <w:ind w:left="300"/>
              <w:spacing w:after="0"/>
              <w:rPr>
                <w:sz w:val="20"/>
                <w:szCs w:val="20"/>
                <w:color w:val="auto"/>
              </w:rPr>
            </w:pPr>
            <w:r>
              <w:rPr>
                <w:rFonts w:ascii="Arial" w:cs="Arial" w:eastAsia="Arial" w:hAnsi="Arial"/>
                <w:sz w:val="18"/>
                <w:szCs w:val="18"/>
                <w:b w:val="1"/>
                <w:bCs w:val="1"/>
                <w:color w:val="auto"/>
              </w:rPr>
              <w:t>IQ</w:t>
            </w:r>
          </w:p>
        </w:tc>
        <w:tc>
          <w:tcPr>
            <w:tcW w:w="10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IIQ</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IIIQ</w:t>
            </w:r>
          </w:p>
        </w:tc>
        <w:tc>
          <w:tcPr>
            <w:tcW w:w="980" w:type="dxa"/>
            <w:vAlign w:val="bottom"/>
            <w:gridSpan w:val="2"/>
          </w:tcPr>
          <w:p>
            <w:pPr>
              <w:ind w:left="220"/>
              <w:spacing w:after="0"/>
              <w:rPr>
                <w:sz w:val="20"/>
                <w:szCs w:val="20"/>
                <w:color w:val="auto"/>
              </w:rPr>
            </w:pPr>
            <w:r>
              <w:rPr>
                <w:rFonts w:ascii="Arial" w:cs="Arial" w:eastAsia="Arial" w:hAnsi="Arial"/>
                <w:sz w:val="18"/>
                <w:szCs w:val="18"/>
                <w:b w:val="1"/>
                <w:bCs w:val="1"/>
                <w:color w:val="auto"/>
              </w:rPr>
              <w:t>IVQ</w:t>
            </w:r>
          </w:p>
        </w:tc>
        <w:tc>
          <w:tcPr>
            <w:tcW w:w="1000" w:type="dxa"/>
            <w:vAlign w:val="bottom"/>
            <w:gridSpan w:val="2"/>
          </w:tcPr>
          <w:p>
            <w:pPr>
              <w:ind w:left="220"/>
              <w:spacing w:after="0"/>
              <w:rPr>
                <w:sz w:val="20"/>
                <w:szCs w:val="20"/>
                <w:color w:val="auto"/>
              </w:rPr>
            </w:pPr>
            <w:r>
              <w:rPr>
                <w:rFonts w:ascii="Arial" w:cs="Arial" w:eastAsia="Arial" w:hAnsi="Arial"/>
                <w:sz w:val="18"/>
                <w:szCs w:val="18"/>
                <w:b w:val="1"/>
                <w:bCs w:val="1"/>
                <w:color w:val="auto"/>
              </w:rPr>
              <w:t>Year</w:t>
            </w:r>
          </w:p>
        </w:tc>
        <w:tc>
          <w:tcPr>
            <w:tcW w:w="1180" w:type="dxa"/>
            <w:vAlign w:val="bottom"/>
            <w:gridSpan w:val="3"/>
          </w:tcPr>
          <w:p>
            <w:pPr>
              <w:jc w:val="right"/>
              <w:ind w:right="680"/>
              <w:spacing w:after="0"/>
              <w:rPr>
                <w:sz w:val="20"/>
                <w:szCs w:val="20"/>
                <w:color w:val="auto"/>
              </w:rPr>
            </w:pPr>
            <w:r>
              <w:rPr>
                <w:rFonts w:ascii="Arial" w:cs="Arial" w:eastAsia="Arial" w:hAnsi="Arial"/>
                <w:sz w:val="18"/>
                <w:szCs w:val="18"/>
                <w:b w:val="1"/>
                <w:bCs w:val="1"/>
                <w:color w:val="auto"/>
              </w:rPr>
              <w:t>IQ</w:t>
            </w:r>
          </w:p>
        </w:tc>
        <w:tc>
          <w:tcPr>
            <w:tcW w:w="720" w:type="dxa"/>
            <w:vAlign w:val="bottom"/>
            <w:gridSpan w:val="2"/>
          </w:tcPr>
          <w:p>
            <w:pPr>
              <w:ind w:left="80"/>
              <w:spacing w:after="0"/>
              <w:rPr>
                <w:sz w:val="20"/>
                <w:szCs w:val="20"/>
                <w:color w:val="auto"/>
              </w:rPr>
            </w:pPr>
            <w:r>
              <w:rPr>
                <w:rFonts w:ascii="Arial" w:cs="Arial" w:eastAsia="Arial" w:hAnsi="Arial"/>
                <w:sz w:val="18"/>
                <w:szCs w:val="18"/>
                <w:b w:val="1"/>
                <w:bCs w:val="1"/>
                <w:color w:val="auto"/>
              </w:rPr>
              <w:t>IIQ</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FFCC"/>
          </w:tcPr>
          <w:p>
            <w:pPr>
              <w:spacing w:after="0"/>
              <w:rPr>
                <w:sz w:val="20"/>
                <w:szCs w:val="20"/>
                <w:color w:val="auto"/>
              </w:rPr>
            </w:pPr>
            <w:r>
              <w:rPr>
                <w:rFonts w:ascii="Arial" w:cs="Arial" w:eastAsia="Arial" w:hAnsi="Arial"/>
                <w:sz w:val="18"/>
                <w:szCs w:val="18"/>
                <w:color w:val="auto"/>
              </w:rPr>
              <w:t>GDP (US$ MM)</w:t>
            </w:r>
          </w:p>
        </w:tc>
        <w:tc>
          <w:tcPr>
            <w:tcW w:w="104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b w:val="1"/>
                <w:bCs w:val="1"/>
                <w:color w:val="auto"/>
              </w:rPr>
              <w:t>127,643</w:t>
            </w:r>
          </w:p>
        </w:tc>
        <w:tc>
          <w:tcPr>
            <w:tcW w:w="106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27,914</w:t>
            </w:r>
          </w:p>
        </w:tc>
        <w:tc>
          <w:tcPr>
            <w:tcW w:w="10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31,927</w:t>
            </w:r>
          </w:p>
        </w:tc>
        <w:tc>
          <w:tcPr>
            <w:tcW w:w="104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32,010</w:t>
            </w:r>
          </w:p>
        </w:tc>
        <w:tc>
          <w:tcPr>
            <w:tcW w:w="9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35,302</w:t>
            </w:r>
          </w:p>
        </w:tc>
        <w:tc>
          <w:tcPr>
            <w:tcW w:w="10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127,153</w:t>
            </w:r>
          </w:p>
        </w:tc>
        <w:tc>
          <w:tcPr>
            <w:tcW w:w="10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35,222</w:t>
            </w:r>
          </w:p>
        </w:tc>
        <w:tc>
          <w:tcPr>
            <w:tcW w:w="180" w:type="dxa"/>
            <w:vAlign w:val="bottom"/>
            <w:shd w:val="clear" w:color="auto" w:fill="CCFFCC"/>
          </w:tcPr>
          <w:p>
            <w:pPr>
              <w:spacing w:after="0"/>
              <w:rPr>
                <w:sz w:val="18"/>
                <w:szCs w:val="18"/>
                <w:color w:val="auto"/>
              </w:rPr>
            </w:pPr>
          </w:p>
        </w:tc>
        <w:tc>
          <w:tcPr>
            <w:tcW w:w="7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38,880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Real GDP (var. %)</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9.8</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1.9</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-1.2</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-0.6</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3.4</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0.9</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6.1</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FFCC"/>
          </w:tcPr>
          <w:p>
            <w:pPr>
              <w:spacing w:after="0"/>
              <w:rPr>
                <w:sz w:val="20"/>
                <w:szCs w:val="20"/>
                <w:color w:val="auto"/>
              </w:rPr>
            </w:pPr>
            <w:r>
              <w:rPr>
                <w:rFonts w:ascii="Arial" w:cs="Arial" w:eastAsia="Arial" w:hAnsi="Arial"/>
                <w:sz w:val="18"/>
                <w:szCs w:val="18"/>
                <w:color w:val="auto"/>
              </w:rPr>
              <w:t>GDP per-capita (US$)</w:t>
            </w:r>
          </w:p>
        </w:tc>
        <w:tc>
          <w:tcPr>
            <w:tcW w:w="104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b w:val="1"/>
                <w:bCs w:val="1"/>
                <w:color w:val="auto"/>
              </w:rPr>
              <w:t>4,532</w:t>
            </w:r>
          </w:p>
        </w:tc>
        <w:tc>
          <w:tcPr>
            <w:tcW w:w="106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3,888</w:t>
            </w:r>
          </w:p>
        </w:tc>
        <w:tc>
          <w:tcPr>
            <w:tcW w:w="10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4,407</w:t>
            </w:r>
          </w:p>
        </w:tc>
        <w:tc>
          <w:tcPr>
            <w:tcW w:w="104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4,379</w:t>
            </w:r>
          </w:p>
        </w:tc>
        <w:tc>
          <w:tcPr>
            <w:tcW w:w="9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4,786</w:t>
            </w:r>
          </w:p>
        </w:tc>
        <w:tc>
          <w:tcPr>
            <w:tcW w:w="10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4,365</w:t>
            </w:r>
          </w:p>
        </w:tc>
        <w:tc>
          <w:tcPr>
            <w:tcW w:w="10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4,733</w:t>
            </w:r>
          </w:p>
        </w:tc>
        <w:tc>
          <w:tcPr>
            <w:tcW w:w="180" w:type="dxa"/>
            <w:vAlign w:val="bottom"/>
            <w:shd w:val="clear" w:color="auto" w:fill="CCFFCC"/>
          </w:tcPr>
          <w:p>
            <w:pPr>
              <w:spacing w:after="0"/>
              <w:rPr>
                <w:sz w:val="18"/>
                <w:szCs w:val="18"/>
                <w:color w:val="auto"/>
              </w:rPr>
            </w:pPr>
          </w:p>
        </w:tc>
        <w:tc>
          <w:tcPr>
            <w:tcW w:w="7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Domestic demand (var. %)</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12.1</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-0.8</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-5.8</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-5.0</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0.4</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-2.9</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8.1</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Consumption (var. %)</w:t>
            </w:r>
          </w:p>
        </w:tc>
        <w:tc>
          <w:tcPr>
            <w:tcW w:w="104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b w:val="1"/>
                <w:bCs w:val="1"/>
                <w:color w:val="auto"/>
              </w:rPr>
              <w:t>8.7</w:t>
            </w:r>
          </w:p>
        </w:tc>
        <w:tc>
          <w:tcPr>
            <w:tcW w:w="106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4.1</w:t>
            </w:r>
          </w:p>
        </w:tc>
        <w:tc>
          <w:tcPr>
            <w:tcW w:w="10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1.6</w:t>
            </w:r>
          </w:p>
        </w:tc>
        <w:tc>
          <w:tcPr>
            <w:tcW w:w="104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1.0</w:t>
            </w:r>
          </w:p>
        </w:tc>
        <w:tc>
          <w:tcPr>
            <w:tcW w:w="9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2.8</w:t>
            </w:r>
          </w:p>
        </w:tc>
        <w:tc>
          <w:tcPr>
            <w:tcW w:w="10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2.4</w:t>
            </w:r>
          </w:p>
        </w:tc>
        <w:tc>
          <w:tcPr>
            <w:tcW w:w="10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5.4</w:t>
            </w:r>
          </w:p>
        </w:tc>
        <w:tc>
          <w:tcPr>
            <w:tcW w:w="180" w:type="dxa"/>
            <w:vAlign w:val="bottom"/>
            <w:shd w:val="clear" w:color="auto" w:fill="CCFFCC"/>
          </w:tcPr>
          <w:p>
            <w:pPr>
              <w:spacing w:after="0"/>
              <w:rPr>
                <w:sz w:val="18"/>
                <w:szCs w:val="18"/>
                <w:color w:val="auto"/>
              </w:rPr>
            </w:pPr>
          </w:p>
        </w:tc>
        <w:tc>
          <w:tcPr>
            <w:tcW w:w="7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Private Investment (var. %)</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28.3</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4.3</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-16.0</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-14.6</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-5.9</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-8.6</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12.2</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FFCC"/>
          </w:tcPr>
          <w:p>
            <w:pPr>
              <w:spacing w:after="0"/>
              <w:rPr>
                <w:sz w:val="20"/>
                <w:szCs w:val="20"/>
                <w:color w:val="auto"/>
              </w:rPr>
            </w:pPr>
            <w:r>
              <w:rPr>
                <w:rFonts w:ascii="Arial" w:cs="Arial" w:eastAsia="Arial" w:hAnsi="Arial"/>
                <w:sz w:val="18"/>
                <w:szCs w:val="18"/>
                <w:color w:val="auto"/>
              </w:rPr>
              <w:t>CPI (annual change, %)</w:t>
            </w:r>
          </w:p>
        </w:tc>
        <w:tc>
          <w:tcPr>
            <w:tcW w:w="104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b w:val="1"/>
                <w:bCs w:val="1"/>
                <w:color w:val="auto"/>
              </w:rPr>
              <w:t>6.7</w:t>
            </w:r>
          </w:p>
        </w:tc>
        <w:tc>
          <w:tcPr>
            <w:tcW w:w="106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4.8</w:t>
            </w:r>
          </w:p>
        </w:tc>
        <w:tc>
          <w:tcPr>
            <w:tcW w:w="10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3.1</w:t>
            </w:r>
          </w:p>
        </w:tc>
        <w:tc>
          <w:tcPr>
            <w:tcW w:w="104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1.2</w:t>
            </w:r>
          </w:p>
        </w:tc>
        <w:tc>
          <w:tcPr>
            <w:tcW w:w="9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0.3</w:t>
            </w:r>
          </w:p>
        </w:tc>
        <w:tc>
          <w:tcPr>
            <w:tcW w:w="10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0.3</w:t>
            </w:r>
          </w:p>
        </w:tc>
        <w:tc>
          <w:tcPr>
            <w:tcW w:w="10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0.8</w:t>
            </w:r>
          </w:p>
        </w:tc>
        <w:tc>
          <w:tcPr>
            <w:tcW w:w="180" w:type="dxa"/>
            <w:vAlign w:val="bottom"/>
            <w:shd w:val="clear" w:color="auto" w:fill="CCFFCC"/>
          </w:tcPr>
          <w:p>
            <w:pPr>
              <w:spacing w:after="0"/>
              <w:rPr>
                <w:sz w:val="18"/>
                <w:szCs w:val="18"/>
                <w:color w:val="auto"/>
              </w:rPr>
            </w:pPr>
          </w:p>
        </w:tc>
        <w:tc>
          <w:tcPr>
            <w:tcW w:w="7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Exchange rate, eop (S/. per US$)</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3.14</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3.16</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3.01</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2.88</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2.89</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2.89</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2.84</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FFCC"/>
          </w:tcPr>
          <w:p>
            <w:pPr>
              <w:spacing w:after="0"/>
              <w:rPr>
                <w:sz w:val="20"/>
                <w:szCs w:val="20"/>
                <w:color w:val="auto"/>
              </w:rPr>
            </w:pPr>
            <w:r>
              <w:rPr>
                <w:rFonts w:ascii="Arial" w:cs="Arial" w:eastAsia="Arial" w:hAnsi="Arial"/>
                <w:sz w:val="18"/>
                <w:szCs w:val="18"/>
                <w:color w:val="auto"/>
              </w:rPr>
              <w:t>Devaluation (annual change, %)</w:t>
            </w:r>
          </w:p>
        </w:tc>
        <w:tc>
          <w:tcPr>
            <w:tcW w:w="104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b w:val="1"/>
                <w:bCs w:val="1"/>
                <w:color w:val="auto"/>
              </w:rPr>
              <w:t>4.7</w:t>
            </w:r>
          </w:p>
        </w:tc>
        <w:tc>
          <w:tcPr>
            <w:tcW w:w="106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15.2</w:t>
            </w:r>
          </w:p>
        </w:tc>
        <w:tc>
          <w:tcPr>
            <w:tcW w:w="10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1.5</w:t>
            </w:r>
          </w:p>
        </w:tc>
        <w:tc>
          <w:tcPr>
            <w:tcW w:w="104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-3.1</w:t>
            </w:r>
          </w:p>
        </w:tc>
        <w:tc>
          <w:tcPr>
            <w:tcW w:w="9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-8.0</w:t>
            </w:r>
          </w:p>
        </w:tc>
        <w:tc>
          <w:tcPr>
            <w:tcW w:w="10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-8.0</w:t>
            </w:r>
          </w:p>
        </w:tc>
        <w:tc>
          <w:tcPr>
            <w:tcW w:w="10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-10.2</w:t>
            </w:r>
          </w:p>
        </w:tc>
        <w:tc>
          <w:tcPr>
            <w:tcW w:w="180" w:type="dxa"/>
            <w:vAlign w:val="bottom"/>
            <w:shd w:val="clear" w:color="auto" w:fill="CCFFCC"/>
          </w:tcPr>
          <w:p>
            <w:pPr>
              <w:spacing w:after="0"/>
              <w:rPr>
                <w:sz w:val="18"/>
                <w:szCs w:val="18"/>
                <w:color w:val="auto"/>
              </w:rPr>
            </w:pPr>
          </w:p>
        </w:tc>
        <w:tc>
          <w:tcPr>
            <w:tcW w:w="7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Exchange rate, average (S/. per US$)</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2.92</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3.18</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3.02</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2.96</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2.89</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3.01</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2.84</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FFCC"/>
          </w:tcPr>
          <w:p>
            <w:pPr>
              <w:spacing w:after="0"/>
              <w:rPr>
                <w:sz w:val="20"/>
                <w:szCs w:val="20"/>
                <w:color w:val="auto"/>
              </w:rPr>
            </w:pPr>
            <w:r>
              <w:rPr>
                <w:rFonts w:ascii="Arial" w:cs="Arial" w:eastAsia="Arial" w:hAnsi="Arial"/>
                <w:sz w:val="18"/>
                <w:szCs w:val="18"/>
                <w:color w:val="auto"/>
              </w:rPr>
              <w:t>Non-Financial Public Sector (% of GDP)</w:t>
            </w:r>
          </w:p>
        </w:tc>
        <w:tc>
          <w:tcPr>
            <w:tcW w:w="104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b w:val="1"/>
                <w:bCs w:val="1"/>
                <w:color w:val="auto"/>
              </w:rPr>
              <w:t>2.1</w:t>
            </w:r>
          </w:p>
        </w:tc>
        <w:tc>
          <w:tcPr>
            <w:tcW w:w="106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2.6</w:t>
            </w:r>
          </w:p>
        </w:tc>
        <w:tc>
          <w:tcPr>
            <w:tcW w:w="10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1.8</w:t>
            </w:r>
          </w:p>
        </w:tc>
        <w:tc>
          <w:tcPr>
            <w:tcW w:w="104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-3.2</w:t>
            </w:r>
          </w:p>
        </w:tc>
        <w:tc>
          <w:tcPr>
            <w:tcW w:w="9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-8.2</w:t>
            </w:r>
          </w:p>
        </w:tc>
        <w:tc>
          <w:tcPr>
            <w:tcW w:w="10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-1.9</w:t>
            </w:r>
          </w:p>
        </w:tc>
        <w:tc>
          <w:tcPr>
            <w:tcW w:w="10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CFFCC"/>
          </w:tcPr>
          <w:p>
            <w:pPr>
              <w:spacing w:after="0"/>
              <w:rPr>
                <w:sz w:val="18"/>
                <w:szCs w:val="18"/>
                <w:color w:val="auto"/>
              </w:rPr>
            </w:pPr>
          </w:p>
        </w:tc>
        <w:tc>
          <w:tcPr>
            <w:tcW w:w="7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ind w:left="160"/>
              <w:spacing w:after="0" w:line="201" w:lineRule="exact"/>
              <w:rPr>
                <w:sz w:val="20"/>
                <w:szCs w:val="20"/>
                <w:color w:val="auto"/>
              </w:rPr>
            </w:pPr>
            <w:r>
              <w:rPr>
                <w:rFonts w:ascii="Arial" w:cs="Arial" w:eastAsia="Arial" w:hAnsi="Arial"/>
                <w:sz w:val="18"/>
                <w:szCs w:val="18"/>
                <w:color w:val="auto"/>
                <w:w w:val="96"/>
              </w:rPr>
              <w:t>Central government current revenues (%</w:t>
            </w:r>
          </w:p>
        </w:tc>
        <w:tc>
          <w:tcPr>
            <w:tcW w:w="1040" w:type="dxa"/>
            <w:vAlign w:val="bottom"/>
            <w:gridSpan w:val="2"/>
            <w:vMerge w:val="restart"/>
          </w:tcPr>
          <w:p>
            <w:pPr>
              <w:jc w:val="right"/>
              <w:ind w:right="240"/>
              <w:spacing w:after="0"/>
              <w:rPr>
                <w:sz w:val="20"/>
                <w:szCs w:val="20"/>
                <w:color w:val="auto"/>
              </w:rPr>
            </w:pPr>
            <w:r>
              <w:rPr>
                <w:rFonts w:ascii="Arial" w:cs="Arial" w:eastAsia="Arial" w:hAnsi="Arial"/>
                <w:sz w:val="18"/>
                <w:szCs w:val="18"/>
                <w:b w:val="1"/>
                <w:bCs w:val="1"/>
                <w:color w:val="auto"/>
              </w:rPr>
              <w:t>18.2</w:t>
            </w: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rPr>
              <w:t>15.9</w:t>
            </w: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of GDP)</w:t>
            </w:r>
          </w:p>
        </w:tc>
        <w:tc>
          <w:tcPr>
            <w:tcW w:w="1040" w:type="dxa"/>
            <w:vAlign w:val="bottom"/>
            <w:gridSpan w:val="2"/>
            <w:vMerge w:val="continue"/>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16.5</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16.7</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15.3</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15.2</w:t>
            </w:r>
          </w:p>
        </w:tc>
        <w:tc>
          <w:tcPr>
            <w:tcW w:w="1000" w:type="dxa"/>
            <w:vAlign w:val="bottom"/>
            <w:gridSpan w:val="2"/>
            <w:vMerge w:val="continue"/>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18.2</w:t>
            </w:r>
          </w:p>
        </w:tc>
        <w:tc>
          <w:tcPr>
            <w:tcW w:w="18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Tax Income (% of GDP)</w:t>
            </w:r>
          </w:p>
        </w:tc>
        <w:tc>
          <w:tcPr>
            <w:tcW w:w="104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b w:val="1"/>
                <w:bCs w:val="1"/>
                <w:color w:val="auto"/>
              </w:rPr>
              <w:t>15.6</w:t>
            </w:r>
          </w:p>
        </w:tc>
        <w:tc>
          <w:tcPr>
            <w:tcW w:w="106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14.6</w:t>
            </w:r>
          </w:p>
        </w:tc>
        <w:tc>
          <w:tcPr>
            <w:tcW w:w="10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14.1</w:t>
            </w:r>
          </w:p>
        </w:tc>
        <w:tc>
          <w:tcPr>
            <w:tcW w:w="104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13.0</w:t>
            </w:r>
          </w:p>
        </w:tc>
        <w:tc>
          <w:tcPr>
            <w:tcW w:w="9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13.4</w:t>
            </w:r>
          </w:p>
        </w:tc>
        <w:tc>
          <w:tcPr>
            <w:tcW w:w="10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13.8</w:t>
            </w:r>
          </w:p>
        </w:tc>
        <w:tc>
          <w:tcPr>
            <w:tcW w:w="10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15.4</w:t>
            </w:r>
          </w:p>
        </w:tc>
        <w:tc>
          <w:tcPr>
            <w:tcW w:w="180" w:type="dxa"/>
            <w:vAlign w:val="bottom"/>
            <w:shd w:val="clear" w:color="auto" w:fill="CCFFCC"/>
          </w:tcPr>
          <w:p>
            <w:pPr>
              <w:spacing w:after="0"/>
              <w:rPr>
                <w:sz w:val="18"/>
                <w:szCs w:val="18"/>
                <w:color w:val="auto"/>
              </w:rPr>
            </w:pPr>
          </w:p>
        </w:tc>
        <w:tc>
          <w:tcPr>
            <w:tcW w:w="7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Non Tax Income (% of GDP)</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2.6</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1.9</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2.6</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2.2</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1.8</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2.1</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Current expenditures (% of GDP)</w:t>
            </w:r>
          </w:p>
        </w:tc>
        <w:tc>
          <w:tcPr>
            <w:tcW w:w="104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b w:val="1"/>
                <w:bCs w:val="1"/>
                <w:color w:val="auto"/>
              </w:rPr>
              <w:t>12.4</w:t>
            </w: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11.8</w:t>
            </w:r>
          </w:p>
        </w:tc>
        <w:tc>
          <w:tcPr>
            <w:tcW w:w="2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10.7</w:t>
            </w:r>
          </w:p>
        </w:tc>
        <w:tc>
          <w:tcPr>
            <w:tcW w:w="104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14.8</w:t>
            </w:r>
          </w:p>
        </w:tc>
        <w:tc>
          <w:tcPr>
            <w:tcW w:w="9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13.5</w:t>
            </w:r>
          </w:p>
        </w:tc>
        <w:tc>
          <w:tcPr>
            <w:tcW w:w="10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12.7</w:t>
            </w:r>
          </w:p>
        </w:tc>
        <w:tc>
          <w:tcPr>
            <w:tcW w:w="10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11.3</w:t>
            </w:r>
          </w:p>
        </w:tc>
        <w:tc>
          <w:tcPr>
            <w:tcW w:w="180" w:type="dxa"/>
            <w:vAlign w:val="bottom"/>
            <w:shd w:val="clear" w:color="auto" w:fill="CCFFCC"/>
          </w:tcPr>
          <w:p>
            <w:pPr>
              <w:spacing w:after="0"/>
              <w:rPr>
                <w:sz w:val="18"/>
                <w:szCs w:val="18"/>
                <w:color w:val="auto"/>
              </w:rPr>
            </w:pPr>
          </w:p>
        </w:tc>
        <w:tc>
          <w:tcPr>
            <w:tcW w:w="7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Capital expenditures (% of GDP)</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4.4</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3.5</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4.5</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6.1</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10.1</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6.1</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FFCC"/>
          </w:tcPr>
          <w:p>
            <w:pPr>
              <w:spacing w:after="0"/>
              <w:rPr>
                <w:sz w:val="20"/>
                <w:szCs w:val="20"/>
                <w:color w:val="auto"/>
              </w:rPr>
            </w:pPr>
            <w:r>
              <w:rPr>
                <w:rFonts w:ascii="Arial" w:cs="Arial" w:eastAsia="Arial" w:hAnsi="Arial"/>
                <w:sz w:val="18"/>
                <w:szCs w:val="18"/>
                <w:color w:val="auto"/>
              </w:rPr>
              <w:t>Trade Balance (US$ MM)</w:t>
            </w:r>
          </w:p>
        </w:tc>
        <w:tc>
          <w:tcPr>
            <w:tcW w:w="104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b w:val="1"/>
                <w:bCs w:val="1"/>
                <w:color w:val="auto"/>
              </w:rPr>
              <w:t>3,090</w:t>
            </w:r>
          </w:p>
        </w:tc>
        <w:tc>
          <w:tcPr>
            <w:tcW w:w="106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513</w:t>
            </w:r>
          </w:p>
        </w:tc>
        <w:tc>
          <w:tcPr>
            <w:tcW w:w="10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1,335</w:t>
            </w:r>
          </w:p>
        </w:tc>
        <w:tc>
          <w:tcPr>
            <w:tcW w:w="104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1,838</w:t>
            </w:r>
          </w:p>
        </w:tc>
        <w:tc>
          <w:tcPr>
            <w:tcW w:w="9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2,188</w:t>
            </w:r>
          </w:p>
        </w:tc>
        <w:tc>
          <w:tcPr>
            <w:tcW w:w="10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5,873</w:t>
            </w:r>
          </w:p>
        </w:tc>
        <w:tc>
          <w:tcPr>
            <w:tcW w:w="10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1,570</w:t>
            </w:r>
          </w:p>
        </w:tc>
        <w:tc>
          <w:tcPr>
            <w:tcW w:w="180" w:type="dxa"/>
            <w:vAlign w:val="bottom"/>
            <w:shd w:val="clear" w:color="auto" w:fill="CCFFCC"/>
          </w:tcPr>
          <w:p>
            <w:pPr>
              <w:spacing w:after="0"/>
              <w:rPr>
                <w:sz w:val="18"/>
                <w:szCs w:val="18"/>
                <w:color w:val="auto"/>
              </w:rPr>
            </w:pPr>
          </w:p>
        </w:tc>
        <w:tc>
          <w:tcPr>
            <w:tcW w:w="7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Exports (US$ MM)</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31,529</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5,396</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6,161</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7,169</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8,159</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26,885</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7,905</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8,126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Imports (US$ MM)</w:t>
            </w:r>
          </w:p>
        </w:tc>
        <w:tc>
          <w:tcPr>
            <w:tcW w:w="104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b w:val="1"/>
                <w:bCs w:val="1"/>
                <w:color w:val="auto"/>
              </w:rPr>
              <w:t>28,439</w:t>
            </w:r>
          </w:p>
        </w:tc>
        <w:tc>
          <w:tcPr>
            <w:tcW w:w="106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4,883</w:t>
            </w:r>
          </w:p>
        </w:tc>
        <w:tc>
          <w:tcPr>
            <w:tcW w:w="10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4,827</w:t>
            </w:r>
          </w:p>
        </w:tc>
        <w:tc>
          <w:tcPr>
            <w:tcW w:w="104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5,330</w:t>
            </w:r>
          </w:p>
        </w:tc>
        <w:tc>
          <w:tcPr>
            <w:tcW w:w="9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5,971</w:t>
            </w:r>
          </w:p>
        </w:tc>
        <w:tc>
          <w:tcPr>
            <w:tcW w:w="10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21,011</w:t>
            </w:r>
          </w:p>
        </w:tc>
        <w:tc>
          <w:tcPr>
            <w:tcW w:w="10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6,335</w:t>
            </w:r>
          </w:p>
        </w:tc>
        <w:tc>
          <w:tcPr>
            <w:tcW w:w="180" w:type="dxa"/>
            <w:vAlign w:val="bottom"/>
            <w:shd w:val="clear" w:color="auto" w:fill="CCFFCC"/>
          </w:tcPr>
          <w:p>
            <w:pPr>
              <w:spacing w:after="0"/>
              <w:rPr>
                <w:sz w:val="18"/>
                <w:szCs w:val="18"/>
                <w:color w:val="auto"/>
              </w:rPr>
            </w:pPr>
          </w:p>
        </w:tc>
        <w:tc>
          <w:tcPr>
            <w:tcW w:w="7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Current Account Balance (US$ MM)</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-4,723</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-391</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106</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264</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267</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247</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-460</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Current Account Balance (% of GDP)</w:t>
            </w:r>
          </w:p>
        </w:tc>
        <w:tc>
          <w:tcPr>
            <w:tcW w:w="104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b w:val="1"/>
                <w:bCs w:val="1"/>
                <w:color w:val="auto"/>
              </w:rPr>
              <w:t>-3.7</w:t>
            </w:r>
          </w:p>
        </w:tc>
        <w:tc>
          <w:tcPr>
            <w:tcW w:w="106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-1.4</w:t>
            </w:r>
          </w:p>
        </w:tc>
        <w:tc>
          <w:tcPr>
            <w:tcW w:w="10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0.3</w:t>
            </w:r>
          </w:p>
        </w:tc>
        <w:tc>
          <w:tcPr>
            <w:tcW w:w="104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0.8</w:t>
            </w:r>
          </w:p>
        </w:tc>
        <w:tc>
          <w:tcPr>
            <w:tcW w:w="9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0.8</w:t>
            </w:r>
          </w:p>
        </w:tc>
        <w:tc>
          <w:tcPr>
            <w:tcW w:w="10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0.2</w:t>
            </w:r>
          </w:p>
        </w:tc>
        <w:tc>
          <w:tcPr>
            <w:tcW w:w="10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FFCC"/>
          </w:tcPr>
          <w:p>
            <w:pPr>
              <w:spacing w:after="0"/>
              <w:rPr>
                <w:sz w:val="18"/>
                <w:szCs w:val="18"/>
                <w:color w:val="auto"/>
              </w:rPr>
            </w:pPr>
          </w:p>
        </w:tc>
        <w:tc>
          <w:tcPr>
            <w:tcW w:w="7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40"/>
              <w:spacing w:after="0"/>
              <w:rPr>
                <w:sz w:val="20"/>
                <w:szCs w:val="20"/>
                <w:color w:val="auto"/>
              </w:rPr>
            </w:pPr>
            <w:r>
              <w:rPr>
                <w:rFonts w:ascii="Arial" w:cs="Arial" w:eastAsia="Arial" w:hAnsi="Arial"/>
                <w:sz w:val="18"/>
                <w:szCs w:val="18"/>
                <w:i w:val="1"/>
                <w:iCs w:val="1"/>
                <w:color w:val="auto"/>
              </w:rPr>
              <w:t>Source: BCR, INEI, Estimated by BCP</w:t>
            </w: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0"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175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Company Description:</w:t>
      </w:r>
    </w:p>
    <w:p>
      <w:pPr>
        <w:spacing w:after="0" w:line="25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Credicorp Ltd. (NYSE: BAP) is the leading financial services holding company in Peru. It primarily operates via its four principal Subsidiaries: Banco de Credito del Peru (BCP), Atlantic Security Holding Corporation (ASHC), El Pacífico-Peruano Suiza Compañía de Seguros y Reaseguros (PPS) and Grupo Credito. Credicorp is engaged principally in commercial banking (including trade finance, corporate finance and leasing services), insurance (including commercial property, transportation and marine hull, automobile, life, health and pension fund underwriting insurance) and investment banking (including brokerage services, asset management, trust, custody and securitization services, trading and investment). BCP is the Company's primary subsidiary.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Safe Harbor for Forward-Looking Statements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material includes “forward-looking statements” within the meaning of Section 21E of the Securities Exchange Act of 1934. All statements other than statements of historical information provided herein are forward-looking and may contain information about financial results, economic conditions, trends and known uncertainties.</w:t>
      </w:r>
    </w:p>
    <w:p>
      <w:pPr>
        <w:spacing w:after="0" w:line="20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cautions readers that actual results could differ materially from those expected by the Company, depending on the outcome of certain factors, including, without limitation: (1) adverse changes in the Peruvian economy with respect to the rates of inflation, economic growth, currency devaluation, and other factors, (2) adverse changes in the Peruvian political situation, including, without limitation, the reversal of market-oriented reforms and economic recovery measures, or the failure of such measures and reforms to achieve their goals, and (3) adverse changes in the markets in which the Company operates, including increased competition, decreased demand for financial services, and other factors. Readers are cautioned not to place undue reliance on these forward-looking statements, which speak only as of the date hereof.</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undertakes no obligation to release publicly the result of any revisions to these forward-looking statements which may be made to reflect events or circumstances after the date hereof, including, without limitation, changes in the Company’s business strategy or planned capital expenditures, or to reflect the occurrence of unanticipated events.</w:t>
      </w:r>
    </w:p>
    <w:p>
      <w:pPr>
        <w:spacing w:after="0" w:line="3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0"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175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CREDICORP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thousand, IFRS)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As of</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3"/>
          </w:tcPr>
          <w:p>
            <w:pPr>
              <w:ind w:left="660"/>
              <w:spacing w:after="0"/>
              <w:rPr>
                <w:sz w:val="20"/>
                <w:szCs w:val="20"/>
                <w:color w:val="auto"/>
              </w:rPr>
            </w:pPr>
            <w:r>
              <w:rPr>
                <w:rFonts w:ascii="Arial" w:cs="Arial" w:eastAsia="Arial" w:hAnsi="Arial"/>
                <w:sz w:val="18"/>
                <w:szCs w:val="18"/>
                <w:b w:val="1"/>
                <w:bCs w:val="1"/>
                <w:color w:val="auto"/>
                <w:w w:val="91"/>
              </w:rPr>
              <w:t>Change %</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Sep 10</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Jun 10</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Sep 09</w:t>
            </w:r>
          </w:p>
        </w:tc>
        <w:tc>
          <w:tcPr>
            <w:tcW w:w="1480" w:type="dxa"/>
            <w:vAlign w:val="bottom"/>
            <w:gridSpan w:val="3"/>
          </w:tcPr>
          <w:p>
            <w:pPr>
              <w:ind w:left="280"/>
              <w:spacing w:after="0"/>
              <w:rPr>
                <w:sz w:val="20"/>
                <w:szCs w:val="20"/>
                <w:color w:val="auto"/>
              </w:rPr>
            </w:pPr>
            <w:r>
              <w:rPr>
                <w:rFonts w:ascii="Arial" w:cs="Arial" w:eastAsia="Arial" w:hAnsi="Arial"/>
                <w:sz w:val="18"/>
                <w:szCs w:val="18"/>
                <w:b w:val="1"/>
                <w:bCs w:val="1"/>
                <w:color w:val="auto"/>
              </w:rPr>
              <w:t>QoQ</w:t>
            </w:r>
          </w:p>
        </w:tc>
        <w:tc>
          <w:tcPr>
            <w:tcW w:w="8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1"/>
              </w:rPr>
              <w:t>YoY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jc w:val="center"/>
              <w:ind w:right="30"/>
              <w:spacing w:after="0"/>
              <w:rPr>
                <w:sz w:val="20"/>
                <w:szCs w:val="20"/>
                <w:color w:val="auto"/>
              </w:rPr>
            </w:pPr>
            <w:r>
              <w:rPr>
                <w:rFonts w:ascii="Arial" w:cs="Arial" w:eastAsia="Arial" w:hAnsi="Arial"/>
                <w:sz w:val="18"/>
                <w:szCs w:val="18"/>
                <w:b w:val="1"/>
                <w:bCs w:val="1"/>
                <w:color w:val="auto"/>
                <w:w w:val="91"/>
              </w:rPr>
              <w:t>ASSETS</w:t>
            </w: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b w:val="1"/>
                <w:bCs w:val="1"/>
                <w:color w:val="auto"/>
              </w:rPr>
              <w:t>Cash and due from banks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Non-interest bearing</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961,902</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859,446</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754,875</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11.9%</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320"/>
              <w:spacing w:after="0"/>
              <w:rPr>
                <w:sz w:val="20"/>
                <w:szCs w:val="20"/>
                <w:color w:val="auto"/>
              </w:rPr>
            </w:pPr>
            <w:r>
              <w:rPr>
                <w:rFonts w:ascii="Arial" w:cs="Arial" w:eastAsia="Arial" w:hAnsi="Arial"/>
                <w:sz w:val="18"/>
                <w:szCs w:val="18"/>
                <w:color w:val="auto"/>
              </w:rPr>
              <w:t>Interest bearing</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2,906,126</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2,563,266</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2,732,677</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13.4%</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ind w:left="640"/>
              <w:spacing w:after="0"/>
              <w:rPr>
                <w:sz w:val="20"/>
                <w:szCs w:val="20"/>
                <w:color w:val="auto"/>
              </w:rPr>
            </w:pPr>
            <w:r>
              <w:rPr>
                <w:rFonts w:ascii="Arial" w:cs="Arial" w:eastAsia="Arial" w:hAnsi="Arial"/>
                <w:sz w:val="18"/>
                <w:szCs w:val="18"/>
                <w:b w:val="1"/>
                <w:bCs w:val="1"/>
                <w:color w:val="auto"/>
              </w:rPr>
              <w:t>Total cash and due from banks</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3,868,028</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3,422,712</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3,487,551</w:t>
            </w: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13.0%</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Marketable securities, net</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73,986</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60,037</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89,718</w:t>
            </w: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23.2%</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Loans</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w w:val="99"/>
              </w:rPr>
              <w:t>13,409,258</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w w:val="99"/>
              </w:rPr>
              <w:t>12,697,597</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w w:val="99"/>
              </w:rPr>
              <w:t>10,675,462</w:t>
            </w: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5.6%</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320"/>
              <w:spacing w:after="0"/>
              <w:rPr>
                <w:sz w:val="20"/>
                <w:szCs w:val="20"/>
                <w:color w:val="auto"/>
              </w:rPr>
            </w:pPr>
            <w:r>
              <w:rPr>
                <w:rFonts w:ascii="Arial" w:cs="Arial" w:eastAsia="Arial" w:hAnsi="Arial"/>
                <w:sz w:val="18"/>
                <w:szCs w:val="18"/>
                <w:color w:val="auto"/>
              </w:rPr>
              <w:t>Current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13,195,983</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12,481,727</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10,509,564</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5.7%</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Past due</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213,275</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215,871</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165,898</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-1.2%</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320"/>
              <w:spacing w:after="0"/>
              <w:rPr>
                <w:sz w:val="20"/>
                <w:szCs w:val="20"/>
                <w:color w:val="auto"/>
              </w:rPr>
            </w:pPr>
            <w:r>
              <w:rPr>
                <w:rFonts w:ascii="Arial" w:cs="Arial" w:eastAsia="Arial" w:hAnsi="Arial"/>
                <w:sz w:val="18"/>
                <w:szCs w:val="18"/>
                <w:color w:val="auto"/>
              </w:rPr>
              <w:t>Less - net provisions for possible loan losses</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(411,736)</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(387,078)</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(318,094)</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6.4%</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Loans, net</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w w:val="99"/>
              </w:rPr>
              <w:t>12,997,522</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w w:val="99"/>
              </w:rPr>
              <w:t>12,310,519</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w w:val="99"/>
              </w:rPr>
              <w:t>10,357,368</w:t>
            </w: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5.6%</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25.5%</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b w:val="1"/>
                <w:bCs w:val="1"/>
                <w:color w:val="auto"/>
              </w:rPr>
              <w:t>Investments securities available for sale</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7,630,494</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5,889,725</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4,828,806</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29.6%</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Reinsurance assets</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145,945</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150,364</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135,688</w:t>
            </w: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-2.9%</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b w:val="1"/>
                <w:bCs w:val="1"/>
                <w:color w:val="auto"/>
              </w:rPr>
              <w:t>Premiums and other policy holder receivables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122,643</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105,183</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109,669</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16.6%</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359,687</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352,193</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323,233</w:t>
            </w: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2.1%</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b w:val="1"/>
                <w:bCs w:val="1"/>
                <w:color w:val="auto"/>
              </w:rPr>
              <w:t>Due from customers on acceptances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57,901</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63,351</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63,901</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-8.6%</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Other assets</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1,343,867</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1,475,428</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1,376,525</w:t>
            </w: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-8.9%</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jc w:val="center"/>
              <w:ind w:right="30"/>
              <w:spacing w:after="0"/>
              <w:rPr>
                <w:sz w:val="20"/>
                <w:szCs w:val="20"/>
                <w:color w:val="auto"/>
              </w:rPr>
            </w:pPr>
            <w:r>
              <w:rPr>
                <w:rFonts w:ascii="Arial" w:cs="Arial" w:eastAsia="Arial" w:hAnsi="Arial"/>
                <w:sz w:val="18"/>
                <w:szCs w:val="18"/>
                <w:b w:val="1"/>
                <w:bCs w:val="1"/>
                <w:color w:val="auto"/>
                <w:w w:val="82"/>
              </w:rPr>
              <w:t>Total assets</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w w:val="99"/>
              </w:rPr>
              <w:t>26,600,072</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w w:val="99"/>
              </w:rPr>
              <w:t>23,829,513</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w w:val="99"/>
              </w:rPr>
              <w:t>20,772,459</w:t>
            </w: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11.6%</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jc w:val="center"/>
              <w:ind w:right="30"/>
              <w:spacing w:after="0" w:line="207" w:lineRule="exact"/>
              <w:rPr>
                <w:sz w:val="20"/>
                <w:szCs w:val="20"/>
                <w:color w:val="auto"/>
              </w:rPr>
            </w:pPr>
            <w:r>
              <w:rPr>
                <w:rFonts w:ascii="Arial" w:cs="Arial" w:eastAsia="Arial" w:hAnsi="Arial"/>
                <w:sz w:val="18"/>
                <w:szCs w:val="18"/>
                <w:b w:val="1"/>
                <w:bCs w:val="1"/>
                <w:color w:val="auto"/>
              </w:rPr>
              <w:t>LIABILITIES AND NET SHAREHOLDERS</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EQUITY</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Deposits and Obligations</w:t>
            </w: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320"/>
              <w:spacing w:after="0"/>
              <w:rPr>
                <w:sz w:val="20"/>
                <w:szCs w:val="20"/>
                <w:color w:val="auto"/>
              </w:rPr>
            </w:pPr>
            <w:r>
              <w:rPr>
                <w:rFonts w:ascii="Arial" w:cs="Arial" w:eastAsia="Arial" w:hAnsi="Arial"/>
                <w:sz w:val="18"/>
                <w:szCs w:val="18"/>
                <w:color w:val="auto"/>
              </w:rPr>
              <w:t>Non-interest bearing</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4,062,688</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4,136,614</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3,462,195</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Interest bearing</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9"/>
              </w:rPr>
              <w:t>12,589,321</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w w:val="99"/>
              </w:rPr>
              <w:t>11,120,428</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9"/>
              </w:rPr>
              <w:t>10,210,091</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13.2%</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320"/>
              <w:spacing w:after="0"/>
              <w:rPr>
                <w:sz w:val="20"/>
                <w:szCs w:val="20"/>
                <w:color w:val="auto"/>
              </w:rPr>
            </w:pPr>
            <w:r>
              <w:rPr>
                <w:rFonts w:ascii="Arial" w:cs="Arial" w:eastAsia="Arial" w:hAnsi="Arial"/>
                <w:sz w:val="18"/>
                <w:szCs w:val="18"/>
                <w:b w:val="1"/>
                <w:bCs w:val="1"/>
                <w:color w:val="auto"/>
              </w:rPr>
              <w:t>Total deposits and Obligations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16,652,009</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9"/>
              </w:rPr>
              <w:t>15,257,042</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13,672,287</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9.1%</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21.8%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b w:val="1"/>
                <w:bCs w:val="1"/>
                <w:color w:val="auto"/>
              </w:rPr>
              <w:t>Due to banks and correspondents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1,719,880</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1,605,168</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1,713,177</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7.1%</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Acceptances outstanding</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57,901</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63,351</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63,901</w:t>
            </w: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-8.6%</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b w:val="1"/>
                <w:bCs w:val="1"/>
                <w:color w:val="auto"/>
              </w:rPr>
              <w:t>Reserves for property and casualty claims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962,422</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929,135</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874,243</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3.6%</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Reserve for unearned premiums</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163,362</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150,045</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140,907</w:t>
            </w: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8.9%</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b w:val="1"/>
                <w:bCs w:val="1"/>
                <w:color w:val="auto"/>
              </w:rPr>
              <w:t>Reinsurance payable</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65,112</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53,566</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38,832</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21.6%</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Bonds and subordinated debt</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3,067,395</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2,292,080</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915,091</w:t>
            </w: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33.8%</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235.2%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b w:val="1"/>
                <w:bCs w:val="1"/>
                <w:color w:val="auto"/>
              </w:rPr>
              <w:t>Other liabilities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992,131</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850,999</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1,052,250</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16.6%</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Minority interest</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230,546</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195,061</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171,670</w:t>
            </w: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18.2%</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Total liabilities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23,910,758</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9"/>
              </w:rPr>
              <w:t>21,396,447</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18,642,357</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11.8%</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28.3%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Capital stock</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471,912</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471,912</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471,912</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spacing w:after="0"/>
              <w:rPr>
                <w:sz w:val="20"/>
                <w:szCs w:val="20"/>
                <w:color w:val="auto"/>
              </w:rPr>
            </w:pPr>
            <w:r>
              <w:rPr>
                <w:rFonts w:ascii="Arial" w:cs="Arial" w:eastAsia="Arial" w:hAnsi="Arial"/>
                <w:sz w:val="18"/>
                <w:szCs w:val="18"/>
                <w:color w:val="auto"/>
              </w:rPr>
              <w:t>Treasury stock</w:t>
            </w: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(74,712)</w:t>
            </w:r>
          </w:p>
        </w:tc>
        <w:tc>
          <w:tcPr>
            <w:tcW w:w="11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(74,712)</w:t>
            </w: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(74,242)</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0.0%</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Capital surplus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119,637</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119,637</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130,341</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spacing w:after="0"/>
              <w:rPr>
                <w:sz w:val="20"/>
                <w:szCs w:val="20"/>
                <w:color w:val="auto"/>
              </w:rPr>
            </w:pPr>
            <w:r>
              <w:rPr>
                <w:rFonts w:ascii="Arial" w:cs="Arial" w:eastAsia="Arial" w:hAnsi="Arial"/>
                <w:sz w:val="18"/>
                <w:szCs w:val="18"/>
                <w:color w:val="auto"/>
              </w:rPr>
              <w:t>Reserves</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1,385,098</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1,385,098</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1,053,494</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0.0%</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Unrealized gains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327,666</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220,480</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179,179</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48.6%</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spacing w:after="0"/>
              <w:rPr>
                <w:sz w:val="20"/>
                <w:szCs w:val="20"/>
                <w:color w:val="auto"/>
              </w:rPr>
            </w:pPr>
            <w:r>
              <w:rPr>
                <w:rFonts w:ascii="Arial" w:cs="Arial" w:eastAsia="Arial" w:hAnsi="Arial"/>
                <w:sz w:val="18"/>
                <w:szCs w:val="18"/>
                <w:color w:val="auto"/>
              </w:rPr>
              <w:t>Retained earnings</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459,713</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310,649</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369,418</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48.0%</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Net shareholders' equity</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2,689,315</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2,433,065</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2,130,102</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10.5%</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Total liabilities and net shareholders' equity</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26,600,072</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9"/>
              </w:rPr>
              <w:t>23,829,513</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20,772,459</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11.6%</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28.1%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Contingent credits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9,222,042</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2,984,977</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7,752,352</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208.9%</w:t>
            </w:r>
          </w:p>
        </w:tc>
        <w:tc>
          <w:tcPr>
            <w:tcW w:w="28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593"/>
        </w:trPr>
        <w:tc>
          <w:tcPr>
            <w:tcW w:w="2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7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6"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175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CREDICORP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INCOME STATEMENT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thousand, IFRS)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0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3Q10</w:t>
            </w:r>
          </w:p>
        </w:tc>
        <w:tc>
          <w:tcPr>
            <w:tcW w:w="10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Quarter</w:t>
            </w:r>
          </w:p>
        </w:tc>
        <w:tc>
          <w:tcPr>
            <w:tcW w:w="10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3Q09</w:t>
            </w:r>
          </w:p>
        </w:tc>
        <w:tc>
          <w:tcPr>
            <w:tcW w:w="1260" w:type="dxa"/>
            <w:vAlign w:val="bottom"/>
            <w:gridSpan w:val="3"/>
          </w:tcPr>
          <w:p>
            <w:pPr>
              <w:ind w:left="580"/>
              <w:spacing w:after="0"/>
              <w:rPr>
                <w:sz w:val="20"/>
                <w:szCs w:val="20"/>
                <w:color w:val="auto"/>
              </w:rPr>
            </w:pPr>
            <w:r>
              <w:rPr>
                <w:rFonts w:ascii="Arial" w:cs="Arial" w:eastAsia="Arial" w:hAnsi="Arial"/>
                <w:sz w:val="14"/>
                <w:szCs w:val="14"/>
                <w:b w:val="1"/>
                <w:bCs w:val="1"/>
                <w:color w:val="auto"/>
                <w:w w:val="97"/>
              </w:rPr>
              <w:t>Change %</w:t>
            </w:r>
          </w:p>
        </w:tc>
        <w:tc>
          <w:tcPr>
            <w:tcW w:w="82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YoY</w:t>
            </w:r>
          </w:p>
        </w:tc>
        <w:tc>
          <w:tcPr>
            <w:tcW w:w="190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Year to date</w:t>
            </w:r>
          </w:p>
        </w:tc>
        <w:tc>
          <w:tcPr>
            <w:tcW w:w="100" w:type="dxa"/>
            <w:vAlign w:val="bottom"/>
          </w:tcPr>
          <w:p>
            <w:pPr>
              <w:spacing w:after="0"/>
              <w:rPr>
                <w:sz w:val="14"/>
                <w:szCs w:val="1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Change %</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2Q10</w:t>
            </w:r>
          </w:p>
        </w:tc>
        <w:tc>
          <w:tcPr>
            <w:tcW w:w="1000" w:type="dxa"/>
            <w:vAlign w:val="bottom"/>
            <w:gridSpan w:val="2"/>
            <w:vMerge w:val="continue"/>
          </w:tcPr>
          <w:p>
            <w:pPr>
              <w:spacing w:after="0"/>
              <w:rPr>
                <w:sz w:val="15"/>
                <w:szCs w:val="15"/>
                <w:color w:val="auto"/>
              </w:rPr>
            </w:pPr>
          </w:p>
        </w:tc>
        <w:tc>
          <w:tcPr>
            <w:tcW w:w="1260" w:type="dxa"/>
            <w:vAlign w:val="bottom"/>
            <w:gridSpan w:val="3"/>
          </w:tcPr>
          <w:p>
            <w:pPr>
              <w:ind w:left="240"/>
              <w:spacing w:after="0"/>
              <w:rPr>
                <w:sz w:val="20"/>
                <w:szCs w:val="20"/>
                <w:color w:val="auto"/>
              </w:rPr>
            </w:pPr>
            <w:r>
              <w:rPr>
                <w:rFonts w:ascii="Arial" w:cs="Arial" w:eastAsia="Arial" w:hAnsi="Arial"/>
                <w:sz w:val="14"/>
                <w:szCs w:val="14"/>
                <w:b w:val="1"/>
                <w:bCs w:val="1"/>
                <w:color w:val="auto"/>
              </w:rPr>
              <w:t>QoQ</w:t>
            </w:r>
          </w:p>
        </w:tc>
        <w:tc>
          <w:tcPr>
            <w:tcW w:w="820" w:type="dxa"/>
            <w:vAlign w:val="bottom"/>
            <w:gridSpan w:val="2"/>
            <w:vMerge w:val="continue"/>
          </w:tcPr>
          <w:p>
            <w:pPr>
              <w:spacing w:after="0"/>
              <w:rPr>
                <w:sz w:val="15"/>
                <w:szCs w:val="15"/>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Sep 10</w:t>
            </w:r>
          </w:p>
        </w:tc>
        <w:tc>
          <w:tcPr>
            <w:tcW w:w="9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Sep 09</w:t>
            </w:r>
          </w:p>
        </w:tc>
        <w:tc>
          <w:tcPr>
            <w:tcW w:w="11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8"/>
              </w:rPr>
              <w:t>Sep 10 / Sep 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Interest income and expense</w:t>
            </w:r>
          </w:p>
        </w:tc>
        <w:tc>
          <w:tcPr>
            <w:tcW w:w="780" w:type="dxa"/>
            <w:vAlign w:val="bottom"/>
            <w:tcBorders>
              <w:top w:val="single" w:sz="8" w:color="auto"/>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780" w:type="dxa"/>
            <w:vAlign w:val="bottom"/>
            <w:tcBorders>
              <w:top w:val="single" w:sz="8" w:color="auto"/>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780" w:type="dxa"/>
            <w:vAlign w:val="bottom"/>
            <w:tcBorders>
              <w:top w:val="single" w:sz="8" w:color="auto"/>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780" w:type="dxa"/>
            <w:vAlign w:val="bottom"/>
            <w:tcBorders>
              <w:top w:val="single" w:sz="8" w:color="auto"/>
            </w:tcBorders>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20" w:type="dxa"/>
            <w:vAlign w:val="bottom"/>
            <w:tcBorders>
              <w:top w:val="single" w:sz="8" w:color="auto"/>
            </w:tcBorders>
            <w:shd w:val="clear" w:color="auto" w:fill="CCFFCC"/>
          </w:tcPr>
          <w:p>
            <w:pPr>
              <w:spacing w:after="0"/>
              <w:rPr>
                <w:sz w:val="12"/>
                <w:szCs w:val="12"/>
                <w:color w:val="auto"/>
              </w:rPr>
            </w:pPr>
          </w:p>
        </w:tc>
        <w:tc>
          <w:tcPr>
            <w:tcW w:w="560" w:type="dxa"/>
            <w:vAlign w:val="bottom"/>
            <w:tcBorders>
              <w:top w:val="single" w:sz="8" w:color="auto"/>
            </w:tcBorders>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780" w:type="dxa"/>
            <w:vAlign w:val="bottom"/>
            <w:tcBorders>
              <w:top w:val="single" w:sz="8" w:color="auto"/>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780" w:type="dxa"/>
            <w:vAlign w:val="bottom"/>
            <w:tcBorders>
              <w:top w:val="single" w:sz="8" w:color="auto"/>
            </w:tcBorders>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20" w:type="dxa"/>
            <w:vAlign w:val="bottom"/>
            <w:tcBorders>
              <w:top w:val="single" w:sz="8" w:color="auto"/>
            </w:tcBorders>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ind w:left="320"/>
              <w:spacing w:after="0" w:line="149" w:lineRule="exact"/>
              <w:rPr>
                <w:sz w:val="20"/>
                <w:szCs w:val="20"/>
                <w:color w:val="auto"/>
              </w:rPr>
            </w:pPr>
            <w:r>
              <w:rPr>
                <w:rFonts w:ascii="Arial" w:cs="Arial" w:eastAsia="Arial" w:hAnsi="Arial"/>
                <w:sz w:val="14"/>
                <w:szCs w:val="14"/>
                <w:color w:val="auto"/>
              </w:rPr>
              <w:t>Interest and dividend income</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374,572</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344,100</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313,956</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8.9%</w:t>
            </w:r>
          </w:p>
        </w:tc>
        <w:tc>
          <w:tcPr>
            <w:tcW w:w="2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19.3%</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1,051,410</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982,895</w:t>
            </w:r>
          </w:p>
        </w:tc>
        <w:tc>
          <w:tcPr>
            <w:tcW w:w="116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FFCC"/>
          </w:tcPr>
          <w:p>
            <w:pPr>
              <w:ind w:left="320"/>
              <w:spacing w:after="0" w:line="149" w:lineRule="exact"/>
              <w:rPr>
                <w:sz w:val="20"/>
                <w:szCs w:val="20"/>
                <w:color w:val="auto"/>
              </w:rPr>
            </w:pPr>
            <w:r>
              <w:rPr>
                <w:rFonts w:ascii="Arial" w:cs="Arial" w:eastAsia="Arial" w:hAnsi="Arial"/>
                <w:sz w:val="14"/>
                <w:szCs w:val="14"/>
                <w:color w:val="auto"/>
              </w:rPr>
              <w:t>Interest expense</w:t>
            </w:r>
          </w:p>
        </w:tc>
        <w:tc>
          <w:tcPr>
            <w:tcW w:w="10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(103,134)</w:t>
            </w:r>
          </w:p>
        </w:tc>
        <w:tc>
          <w:tcPr>
            <w:tcW w:w="10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(85,666)</w:t>
            </w:r>
          </w:p>
        </w:tc>
        <w:tc>
          <w:tcPr>
            <w:tcW w:w="10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(99,409)</w:t>
            </w:r>
          </w:p>
        </w:tc>
        <w:tc>
          <w:tcPr>
            <w:tcW w:w="10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20.4%</w:t>
            </w:r>
          </w:p>
        </w:tc>
        <w:tc>
          <w:tcPr>
            <w:tcW w:w="22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3.7%</w:t>
            </w:r>
          </w:p>
        </w:tc>
        <w:tc>
          <w:tcPr>
            <w:tcW w:w="10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(275,953)</w:t>
            </w:r>
          </w:p>
        </w:tc>
        <w:tc>
          <w:tcPr>
            <w:tcW w:w="90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(328,940)</w:t>
            </w:r>
          </w:p>
        </w:tc>
        <w:tc>
          <w:tcPr>
            <w:tcW w:w="1160" w:type="dxa"/>
            <w:vAlign w:val="bottom"/>
            <w:gridSpan w:val="3"/>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ind w:left="480"/>
              <w:spacing w:after="0" w:line="149" w:lineRule="exact"/>
              <w:rPr>
                <w:sz w:val="20"/>
                <w:szCs w:val="20"/>
                <w:color w:val="auto"/>
              </w:rPr>
            </w:pPr>
            <w:r>
              <w:rPr>
                <w:rFonts w:ascii="Arial" w:cs="Arial" w:eastAsia="Arial" w:hAnsi="Arial"/>
                <w:sz w:val="14"/>
                <w:szCs w:val="14"/>
                <w:b w:val="1"/>
                <w:bCs w:val="1"/>
                <w:color w:val="auto"/>
              </w:rPr>
              <w:t>Net interest income</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271,438</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258,434</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214,547</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5.0%</w:t>
            </w:r>
          </w:p>
        </w:tc>
        <w:tc>
          <w:tcPr>
            <w:tcW w:w="22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26.5%</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775,457</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653,955</w:t>
            </w:r>
          </w:p>
        </w:tc>
        <w:tc>
          <w:tcPr>
            <w:tcW w:w="116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18.6%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26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60" w:type="dxa"/>
            <w:vAlign w:val="bottom"/>
          </w:tcPr>
          <w:p>
            <w:pPr>
              <w:spacing w:after="0" w:line="149" w:lineRule="exact"/>
              <w:rPr>
                <w:sz w:val="20"/>
                <w:szCs w:val="20"/>
                <w:color w:val="auto"/>
              </w:rPr>
            </w:pPr>
            <w:r>
              <w:rPr>
                <w:rFonts w:ascii="Arial" w:cs="Arial" w:eastAsia="Arial" w:hAnsi="Arial"/>
                <w:sz w:val="14"/>
                <w:szCs w:val="14"/>
                <w:b w:val="1"/>
                <w:bCs w:val="1"/>
                <w:color w:val="auto"/>
              </w:rPr>
              <w:t>Net provisions for loan losses</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(52,303)</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(30,895)</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(38,216)</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69.3%</w:t>
            </w:r>
          </w:p>
        </w:tc>
        <w:tc>
          <w:tcPr>
            <w:tcW w:w="22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36.9%</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(126,379)</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(119,348)</w:t>
            </w:r>
          </w:p>
        </w:tc>
        <w:tc>
          <w:tcPr>
            <w:tcW w:w="116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5.9%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26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60" w:type="dxa"/>
            <w:vAlign w:val="bottom"/>
          </w:tcPr>
          <w:p>
            <w:pPr>
              <w:spacing w:after="0" w:line="149" w:lineRule="exact"/>
              <w:rPr>
                <w:sz w:val="20"/>
                <w:szCs w:val="20"/>
                <w:color w:val="auto"/>
              </w:rPr>
            </w:pPr>
            <w:r>
              <w:rPr>
                <w:rFonts w:ascii="Arial" w:cs="Arial" w:eastAsia="Arial" w:hAnsi="Arial"/>
                <w:sz w:val="14"/>
                <w:szCs w:val="14"/>
                <w:b w:val="1"/>
                <w:bCs w:val="1"/>
                <w:color w:val="auto"/>
              </w:rPr>
              <w:t>Non financial income</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FFCC"/>
          </w:tcPr>
          <w:p>
            <w:pPr>
              <w:ind w:left="320"/>
              <w:spacing w:after="0" w:line="149" w:lineRule="exact"/>
              <w:rPr>
                <w:sz w:val="20"/>
                <w:szCs w:val="20"/>
                <w:color w:val="auto"/>
              </w:rPr>
            </w:pPr>
            <w:r>
              <w:rPr>
                <w:rFonts w:ascii="Arial" w:cs="Arial" w:eastAsia="Arial" w:hAnsi="Arial"/>
                <w:sz w:val="14"/>
                <w:szCs w:val="14"/>
                <w:color w:val="auto"/>
              </w:rPr>
              <w:t>Fee income</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134,813</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128,506</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110,460</w:t>
            </w:r>
          </w:p>
        </w:tc>
        <w:tc>
          <w:tcPr>
            <w:tcW w:w="10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4.9%</w:t>
            </w:r>
          </w:p>
        </w:tc>
        <w:tc>
          <w:tcPr>
            <w:tcW w:w="22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22.0%</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388,749</w:t>
            </w:r>
          </w:p>
        </w:tc>
        <w:tc>
          <w:tcPr>
            <w:tcW w:w="9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310,656</w:t>
            </w:r>
          </w:p>
        </w:tc>
        <w:tc>
          <w:tcPr>
            <w:tcW w:w="1160" w:type="dxa"/>
            <w:vAlign w:val="bottom"/>
            <w:gridSpan w:val="3"/>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ind w:left="320"/>
              <w:spacing w:after="0" w:line="149" w:lineRule="exact"/>
              <w:rPr>
                <w:sz w:val="20"/>
                <w:szCs w:val="20"/>
                <w:color w:val="auto"/>
              </w:rPr>
            </w:pPr>
            <w:r>
              <w:rPr>
                <w:rFonts w:ascii="Arial" w:cs="Arial" w:eastAsia="Arial" w:hAnsi="Arial"/>
                <w:sz w:val="14"/>
                <w:szCs w:val="14"/>
                <w:color w:val="auto"/>
              </w:rPr>
              <w:t>Net gain on foreign exchange transactions</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26,211</w:t>
            </w:r>
          </w:p>
        </w:tc>
        <w:tc>
          <w:tcPr>
            <w:tcW w:w="22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23,612</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29,957</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11.0%</w:t>
            </w:r>
          </w:p>
        </w:tc>
        <w:tc>
          <w:tcPr>
            <w:tcW w:w="2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-12.5%</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75,262</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69,133</w:t>
            </w:r>
          </w:p>
        </w:tc>
        <w:tc>
          <w:tcPr>
            <w:tcW w:w="116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FFCC"/>
          </w:tcPr>
          <w:p>
            <w:pPr>
              <w:ind w:left="320"/>
              <w:spacing w:after="0" w:line="149" w:lineRule="exact"/>
              <w:rPr>
                <w:sz w:val="20"/>
                <w:szCs w:val="20"/>
                <w:color w:val="auto"/>
              </w:rPr>
            </w:pPr>
            <w:r>
              <w:rPr>
                <w:rFonts w:ascii="Arial" w:cs="Arial" w:eastAsia="Arial" w:hAnsi="Arial"/>
                <w:sz w:val="14"/>
                <w:szCs w:val="14"/>
                <w:color w:val="auto"/>
              </w:rPr>
              <w:t>Net gain on sales of securities</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27,894</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37,803</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16,276</w:t>
            </w:r>
          </w:p>
        </w:tc>
        <w:tc>
          <w:tcPr>
            <w:tcW w:w="10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-26.2%</w:t>
            </w:r>
          </w:p>
        </w:tc>
        <w:tc>
          <w:tcPr>
            <w:tcW w:w="22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71.4%</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72,719</w:t>
            </w:r>
          </w:p>
        </w:tc>
        <w:tc>
          <w:tcPr>
            <w:tcW w:w="9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100,150</w:t>
            </w:r>
          </w:p>
        </w:tc>
        <w:tc>
          <w:tcPr>
            <w:tcW w:w="1160" w:type="dxa"/>
            <w:vAlign w:val="bottom"/>
            <w:gridSpan w:val="3"/>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ind w:left="320"/>
              <w:spacing w:after="0" w:line="149" w:lineRule="exact"/>
              <w:rPr>
                <w:sz w:val="20"/>
                <w:szCs w:val="20"/>
                <w:color w:val="auto"/>
              </w:rPr>
            </w:pPr>
            <w:r>
              <w:rPr>
                <w:rFonts w:ascii="Arial" w:cs="Arial" w:eastAsia="Arial" w:hAnsi="Arial"/>
                <w:sz w:val="14"/>
                <w:szCs w:val="14"/>
                <w:color w:val="auto"/>
              </w:rPr>
              <w:t>Other</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5,069</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6,633</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5,903</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-23.6%</w:t>
            </w:r>
          </w:p>
        </w:tc>
        <w:tc>
          <w:tcPr>
            <w:tcW w:w="2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-14.1%</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21,619</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26,802</w:t>
            </w:r>
          </w:p>
        </w:tc>
        <w:tc>
          <w:tcPr>
            <w:tcW w:w="116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FFCC"/>
          </w:tcPr>
          <w:p>
            <w:pPr>
              <w:ind w:left="480"/>
              <w:spacing w:after="0" w:line="149" w:lineRule="exact"/>
              <w:rPr>
                <w:sz w:val="20"/>
                <w:szCs w:val="20"/>
                <w:color w:val="auto"/>
              </w:rPr>
            </w:pPr>
            <w:r>
              <w:rPr>
                <w:rFonts w:ascii="Arial" w:cs="Arial" w:eastAsia="Arial" w:hAnsi="Arial"/>
                <w:sz w:val="14"/>
                <w:szCs w:val="14"/>
                <w:b w:val="1"/>
                <w:bCs w:val="1"/>
                <w:color w:val="auto"/>
              </w:rPr>
              <w:t>Total non financial income, net</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193,987</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196,554</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162,596</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-1.3%</w:t>
            </w:r>
          </w:p>
        </w:tc>
        <w:tc>
          <w:tcPr>
            <w:tcW w:w="22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19.3%</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558,349</w:t>
            </w:r>
          </w:p>
        </w:tc>
        <w:tc>
          <w:tcPr>
            <w:tcW w:w="9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506,741</w:t>
            </w:r>
          </w:p>
        </w:tc>
        <w:tc>
          <w:tcPr>
            <w:tcW w:w="1160" w:type="dxa"/>
            <w:vAlign w:val="bottom"/>
            <w:gridSpan w:val="3"/>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Arial" w:cs="Arial" w:eastAsia="Arial" w:hAnsi="Arial"/>
                <w:sz w:val="14"/>
                <w:szCs w:val="14"/>
                <w:b w:val="1"/>
                <w:bCs w:val="1"/>
                <w:color w:val="auto"/>
              </w:rPr>
              <w:t>Insurance premiums and claims</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FFCC"/>
          </w:tcPr>
          <w:p>
            <w:pPr>
              <w:ind w:left="320"/>
              <w:spacing w:after="0" w:line="149" w:lineRule="exact"/>
              <w:rPr>
                <w:sz w:val="20"/>
                <w:szCs w:val="20"/>
                <w:color w:val="auto"/>
              </w:rPr>
            </w:pPr>
            <w:r>
              <w:rPr>
                <w:rFonts w:ascii="Arial" w:cs="Arial" w:eastAsia="Arial" w:hAnsi="Arial"/>
                <w:sz w:val="14"/>
                <w:szCs w:val="14"/>
                <w:color w:val="auto"/>
              </w:rPr>
              <w:t>Net premiums earned</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120,702</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121,575</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108,965</w:t>
            </w:r>
          </w:p>
        </w:tc>
        <w:tc>
          <w:tcPr>
            <w:tcW w:w="10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-0.7%</w:t>
            </w:r>
          </w:p>
        </w:tc>
        <w:tc>
          <w:tcPr>
            <w:tcW w:w="22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10.8%</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353,307</w:t>
            </w:r>
          </w:p>
        </w:tc>
        <w:tc>
          <w:tcPr>
            <w:tcW w:w="9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309,575</w:t>
            </w:r>
          </w:p>
        </w:tc>
        <w:tc>
          <w:tcPr>
            <w:tcW w:w="1160" w:type="dxa"/>
            <w:vAlign w:val="bottom"/>
            <w:gridSpan w:val="3"/>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ind w:left="320"/>
              <w:spacing w:after="0" w:line="149" w:lineRule="exact"/>
              <w:rPr>
                <w:sz w:val="20"/>
                <w:szCs w:val="20"/>
                <w:color w:val="auto"/>
              </w:rPr>
            </w:pPr>
            <w:r>
              <w:rPr>
                <w:rFonts w:ascii="Arial" w:cs="Arial" w:eastAsia="Arial" w:hAnsi="Arial"/>
                <w:sz w:val="14"/>
                <w:szCs w:val="14"/>
                <w:color w:val="auto"/>
              </w:rPr>
              <w:t>Net claims incurred</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(10,690)</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(13,950)</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(13,522)</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-23.4%</w:t>
            </w:r>
          </w:p>
        </w:tc>
        <w:tc>
          <w:tcPr>
            <w:tcW w:w="2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-20.9%</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(38,264)</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(51,281)</w:t>
            </w:r>
          </w:p>
        </w:tc>
        <w:tc>
          <w:tcPr>
            <w:tcW w:w="116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FFCC"/>
          </w:tcPr>
          <w:p>
            <w:pPr>
              <w:ind w:left="320"/>
              <w:spacing w:after="0" w:line="149" w:lineRule="exact"/>
              <w:rPr>
                <w:sz w:val="20"/>
                <w:szCs w:val="20"/>
                <w:color w:val="auto"/>
              </w:rPr>
            </w:pPr>
            <w:r>
              <w:rPr>
                <w:rFonts w:ascii="Arial" w:cs="Arial" w:eastAsia="Arial" w:hAnsi="Arial"/>
                <w:sz w:val="14"/>
                <w:szCs w:val="14"/>
                <w:color w:val="auto"/>
              </w:rPr>
              <w:t>Increase in cost for life and health policies</w:t>
            </w:r>
          </w:p>
        </w:tc>
        <w:tc>
          <w:tcPr>
            <w:tcW w:w="10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(65,793)</w:t>
            </w:r>
          </w:p>
        </w:tc>
        <w:tc>
          <w:tcPr>
            <w:tcW w:w="10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(62,108)</w:t>
            </w:r>
          </w:p>
        </w:tc>
        <w:tc>
          <w:tcPr>
            <w:tcW w:w="10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(59,425)</w:t>
            </w:r>
          </w:p>
        </w:tc>
        <w:tc>
          <w:tcPr>
            <w:tcW w:w="10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5.9%</w:t>
            </w:r>
          </w:p>
        </w:tc>
        <w:tc>
          <w:tcPr>
            <w:tcW w:w="22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10.7%</w:t>
            </w:r>
          </w:p>
        </w:tc>
        <w:tc>
          <w:tcPr>
            <w:tcW w:w="10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(192,820)</w:t>
            </w:r>
          </w:p>
        </w:tc>
        <w:tc>
          <w:tcPr>
            <w:tcW w:w="90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(165,099)</w:t>
            </w:r>
          </w:p>
        </w:tc>
        <w:tc>
          <w:tcPr>
            <w:tcW w:w="1160" w:type="dxa"/>
            <w:vAlign w:val="bottom"/>
            <w:gridSpan w:val="3"/>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ind w:left="480"/>
              <w:spacing w:after="0" w:line="149" w:lineRule="exact"/>
              <w:rPr>
                <w:sz w:val="20"/>
                <w:szCs w:val="20"/>
                <w:color w:val="auto"/>
              </w:rPr>
            </w:pPr>
            <w:r>
              <w:rPr>
                <w:rFonts w:ascii="Arial" w:cs="Arial" w:eastAsia="Arial" w:hAnsi="Arial"/>
                <w:sz w:val="14"/>
                <w:szCs w:val="14"/>
                <w:b w:val="1"/>
                <w:bCs w:val="1"/>
                <w:color w:val="auto"/>
              </w:rPr>
              <w:t>Total other operating income, net</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44,220</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45,517</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36,018</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-2.9%</w:t>
            </w:r>
          </w:p>
        </w:tc>
        <w:tc>
          <w:tcPr>
            <w:tcW w:w="22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22.8%</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122,224</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93,195</w:t>
            </w:r>
          </w:p>
        </w:tc>
        <w:tc>
          <w:tcPr>
            <w:tcW w:w="116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31.1%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Operating expenses</w:t>
            </w:r>
          </w:p>
        </w:tc>
        <w:tc>
          <w:tcPr>
            <w:tcW w:w="7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ind w:left="320"/>
              <w:spacing w:after="0" w:line="149" w:lineRule="exact"/>
              <w:rPr>
                <w:sz w:val="20"/>
                <w:szCs w:val="20"/>
                <w:color w:val="auto"/>
              </w:rPr>
            </w:pPr>
            <w:r>
              <w:rPr>
                <w:rFonts w:ascii="Arial" w:cs="Arial" w:eastAsia="Arial" w:hAnsi="Arial"/>
                <w:sz w:val="14"/>
                <w:szCs w:val="14"/>
                <w:color w:val="auto"/>
              </w:rPr>
              <w:t>Salaries and employees benefits</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(115,235)</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(109,137)</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(95,765)</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5.6%</w:t>
            </w:r>
          </w:p>
        </w:tc>
        <w:tc>
          <w:tcPr>
            <w:tcW w:w="2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20.3%</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(339,567)</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(284,062)</w:t>
            </w:r>
          </w:p>
        </w:tc>
        <w:tc>
          <w:tcPr>
            <w:tcW w:w="116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FFCC"/>
          </w:tcPr>
          <w:p>
            <w:pPr>
              <w:ind w:left="320"/>
              <w:spacing w:after="0" w:line="149" w:lineRule="exact"/>
              <w:rPr>
                <w:sz w:val="20"/>
                <w:szCs w:val="20"/>
                <w:color w:val="auto"/>
              </w:rPr>
            </w:pPr>
            <w:r>
              <w:rPr>
                <w:rFonts w:ascii="Arial" w:cs="Arial" w:eastAsia="Arial" w:hAnsi="Arial"/>
                <w:sz w:val="14"/>
                <w:szCs w:val="14"/>
                <w:color w:val="auto"/>
              </w:rPr>
              <w:t>Administrative, general and tax expenses</w:t>
            </w:r>
          </w:p>
        </w:tc>
        <w:tc>
          <w:tcPr>
            <w:tcW w:w="10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(81,463)</w:t>
            </w:r>
          </w:p>
        </w:tc>
        <w:tc>
          <w:tcPr>
            <w:tcW w:w="10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(80,465)</w:t>
            </w:r>
          </w:p>
        </w:tc>
        <w:tc>
          <w:tcPr>
            <w:tcW w:w="10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(70,436)</w:t>
            </w:r>
          </w:p>
        </w:tc>
        <w:tc>
          <w:tcPr>
            <w:tcW w:w="10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1.2%</w:t>
            </w:r>
          </w:p>
        </w:tc>
        <w:tc>
          <w:tcPr>
            <w:tcW w:w="22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15.7%</w:t>
            </w:r>
          </w:p>
        </w:tc>
        <w:tc>
          <w:tcPr>
            <w:tcW w:w="10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(239,928)</w:t>
            </w:r>
          </w:p>
        </w:tc>
        <w:tc>
          <w:tcPr>
            <w:tcW w:w="90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(219,104)</w:t>
            </w:r>
          </w:p>
        </w:tc>
        <w:tc>
          <w:tcPr>
            <w:tcW w:w="1160" w:type="dxa"/>
            <w:vAlign w:val="bottom"/>
            <w:gridSpan w:val="3"/>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ind w:left="320"/>
              <w:spacing w:after="0" w:line="149" w:lineRule="exact"/>
              <w:rPr>
                <w:sz w:val="20"/>
                <w:szCs w:val="20"/>
                <w:color w:val="auto"/>
              </w:rPr>
            </w:pPr>
            <w:r>
              <w:rPr>
                <w:rFonts w:ascii="Arial" w:cs="Arial" w:eastAsia="Arial" w:hAnsi="Arial"/>
                <w:sz w:val="14"/>
                <w:szCs w:val="14"/>
                <w:color w:val="auto"/>
              </w:rPr>
              <w:t>Depreciation and amortization</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(21,469)</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(20,889)</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(18,343)</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2.8%</w:t>
            </w:r>
          </w:p>
        </w:tc>
        <w:tc>
          <w:tcPr>
            <w:tcW w:w="2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17.0%</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(62,865)</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(53,332)</w:t>
            </w:r>
          </w:p>
        </w:tc>
        <w:tc>
          <w:tcPr>
            <w:tcW w:w="116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FFCC"/>
          </w:tcPr>
          <w:p>
            <w:pPr>
              <w:ind w:left="320"/>
              <w:spacing w:after="0" w:line="149" w:lineRule="exact"/>
              <w:rPr>
                <w:sz w:val="20"/>
                <w:szCs w:val="20"/>
                <w:color w:val="auto"/>
              </w:rPr>
            </w:pPr>
            <w:r>
              <w:rPr>
                <w:rFonts w:ascii="Arial" w:cs="Arial" w:eastAsia="Arial" w:hAnsi="Arial"/>
                <w:sz w:val="14"/>
                <w:szCs w:val="14"/>
                <w:color w:val="auto"/>
              </w:rPr>
              <w:t>Merger expenses</w:t>
            </w:r>
          </w:p>
        </w:tc>
        <w:tc>
          <w:tcPr>
            <w:tcW w:w="7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100.0%</w:t>
            </w:r>
          </w:p>
        </w:tc>
        <w:tc>
          <w:tcPr>
            <w:tcW w:w="22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100.0%</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ind w:left="320"/>
              <w:spacing w:after="0" w:line="149" w:lineRule="exact"/>
              <w:rPr>
                <w:sz w:val="20"/>
                <w:szCs w:val="20"/>
                <w:color w:val="auto"/>
              </w:rPr>
            </w:pPr>
            <w:r>
              <w:rPr>
                <w:rFonts w:ascii="Arial" w:cs="Arial" w:eastAsia="Arial" w:hAnsi="Arial"/>
                <w:sz w:val="14"/>
                <w:szCs w:val="14"/>
                <w:color w:val="auto"/>
              </w:rPr>
              <w:t>Other</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(25,115)</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(24,830)</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(27,025)</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w:t>
            </w:r>
          </w:p>
        </w:tc>
        <w:tc>
          <w:tcPr>
            <w:tcW w:w="2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-7.1%</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(73,939)</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(82,078)</w:t>
            </w:r>
          </w:p>
        </w:tc>
        <w:tc>
          <w:tcPr>
            <w:tcW w:w="116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FFCC"/>
          </w:tcPr>
          <w:p>
            <w:pPr>
              <w:ind w:left="480"/>
              <w:spacing w:after="0" w:line="149" w:lineRule="exact"/>
              <w:rPr>
                <w:sz w:val="20"/>
                <w:szCs w:val="20"/>
                <w:color w:val="auto"/>
              </w:rPr>
            </w:pPr>
            <w:r>
              <w:rPr>
                <w:rFonts w:ascii="Arial" w:cs="Arial" w:eastAsia="Arial" w:hAnsi="Arial"/>
                <w:sz w:val="14"/>
                <w:szCs w:val="14"/>
                <w:b w:val="1"/>
                <w:bCs w:val="1"/>
                <w:color w:val="auto"/>
              </w:rPr>
              <w:t>Total operating expenses</w:t>
            </w:r>
          </w:p>
        </w:tc>
        <w:tc>
          <w:tcPr>
            <w:tcW w:w="10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b w:val="1"/>
                <w:bCs w:val="1"/>
                <w:color w:val="auto"/>
              </w:rPr>
              <w:t>(243,281)</w:t>
            </w:r>
          </w:p>
        </w:tc>
        <w:tc>
          <w:tcPr>
            <w:tcW w:w="10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b w:val="1"/>
                <w:bCs w:val="1"/>
                <w:color w:val="auto"/>
              </w:rPr>
              <w:t>(235,321)</w:t>
            </w:r>
          </w:p>
        </w:tc>
        <w:tc>
          <w:tcPr>
            <w:tcW w:w="10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b w:val="1"/>
                <w:bCs w:val="1"/>
                <w:color w:val="auto"/>
              </w:rPr>
              <w:t>(211,568)</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3.4%</w:t>
            </w:r>
          </w:p>
        </w:tc>
        <w:tc>
          <w:tcPr>
            <w:tcW w:w="22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15.0%</w:t>
            </w:r>
          </w:p>
        </w:tc>
        <w:tc>
          <w:tcPr>
            <w:tcW w:w="10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b w:val="1"/>
                <w:bCs w:val="1"/>
                <w:color w:val="auto"/>
              </w:rPr>
              <w:t>(716,300)</w:t>
            </w:r>
          </w:p>
        </w:tc>
        <w:tc>
          <w:tcPr>
            <w:tcW w:w="90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b w:val="1"/>
                <w:bCs w:val="1"/>
                <w:color w:val="auto"/>
              </w:rPr>
              <w:t>(638,575)</w:t>
            </w:r>
          </w:p>
        </w:tc>
        <w:tc>
          <w:tcPr>
            <w:tcW w:w="1160" w:type="dxa"/>
            <w:vAlign w:val="bottom"/>
            <w:gridSpan w:val="3"/>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12.2%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6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Operating income</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214,060</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234,289</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163,377</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-8.6%</w:t>
            </w:r>
          </w:p>
        </w:tc>
        <w:tc>
          <w:tcPr>
            <w:tcW w:w="22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31.0%</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613,350</w:t>
            </w:r>
          </w:p>
        </w:tc>
        <w:tc>
          <w:tcPr>
            <w:tcW w:w="9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495,968</w:t>
            </w:r>
          </w:p>
        </w:tc>
        <w:tc>
          <w:tcPr>
            <w:tcW w:w="1160" w:type="dxa"/>
            <w:vAlign w:val="bottom"/>
            <w:gridSpan w:val="3"/>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ind w:left="320"/>
              <w:spacing w:after="0" w:line="149" w:lineRule="exact"/>
              <w:rPr>
                <w:sz w:val="20"/>
                <w:szCs w:val="20"/>
                <w:color w:val="auto"/>
              </w:rPr>
            </w:pPr>
            <w:r>
              <w:rPr>
                <w:rFonts w:ascii="Arial" w:cs="Arial" w:eastAsia="Arial" w:hAnsi="Arial"/>
                <w:sz w:val="14"/>
                <w:szCs w:val="14"/>
                <w:color w:val="auto"/>
              </w:rPr>
              <w:t>Translation result</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14,467</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4,675</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12,046</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209.4%</w:t>
            </w:r>
          </w:p>
        </w:tc>
        <w:tc>
          <w:tcPr>
            <w:tcW w:w="2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20.1%</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31,202</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11,296</w:t>
            </w:r>
          </w:p>
        </w:tc>
        <w:tc>
          <w:tcPr>
            <w:tcW w:w="116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176.2%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FFCC"/>
          </w:tcPr>
          <w:p>
            <w:pPr>
              <w:ind w:left="320"/>
              <w:spacing w:after="0" w:line="149" w:lineRule="exact"/>
              <w:rPr>
                <w:sz w:val="20"/>
                <w:szCs w:val="20"/>
                <w:color w:val="auto"/>
              </w:rPr>
            </w:pPr>
            <w:r>
              <w:rPr>
                <w:rFonts w:ascii="Arial" w:cs="Arial" w:eastAsia="Arial" w:hAnsi="Arial"/>
                <w:sz w:val="14"/>
                <w:szCs w:val="14"/>
                <w:color w:val="auto"/>
              </w:rPr>
              <w:t>Workers’ profit sharing</w:t>
            </w:r>
          </w:p>
        </w:tc>
        <w:tc>
          <w:tcPr>
            <w:tcW w:w="10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(8,039)</w:t>
            </w:r>
          </w:p>
        </w:tc>
        <w:tc>
          <w:tcPr>
            <w:tcW w:w="10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(8,620)</w:t>
            </w:r>
          </w:p>
        </w:tc>
        <w:tc>
          <w:tcPr>
            <w:tcW w:w="10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(5,747)</w:t>
            </w:r>
          </w:p>
        </w:tc>
        <w:tc>
          <w:tcPr>
            <w:tcW w:w="10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-6.7%</w:t>
            </w:r>
          </w:p>
        </w:tc>
        <w:tc>
          <w:tcPr>
            <w:tcW w:w="22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39.9%</w:t>
            </w:r>
          </w:p>
        </w:tc>
        <w:tc>
          <w:tcPr>
            <w:tcW w:w="10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(22,132)</w:t>
            </w:r>
          </w:p>
        </w:tc>
        <w:tc>
          <w:tcPr>
            <w:tcW w:w="90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(16,678)</w:t>
            </w:r>
          </w:p>
        </w:tc>
        <w:tc>
          <w:tcPr>
            <w:tcW w:w="1160" w:type="dxa"/>
            <w:vAlign w:val="bottom"/>
            <w:gridSpan w:val="3"/>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32.7%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ind w:left="320"/>
              <w:spacing w:after="0" w:line="149" w:lineRule="exact"/>
              <w:rPr>
                <w:sz w:val="20"/>
                <w:szCs w:val="20"/>
                <w:color w:val="auto"/>
              </w:rPr>
            </w:pPr>
            <w:r>
              <w:rPr>
                <w:rFonts w:ascii="Arial" w:cs="Arial" w:eastAsia="Arial" w:hAnsi="Arial"/>
                <w:sz w:val="14"/>
                <w:szCs w:val="14"/>
                <w:color w:val="auto"/>
              </w:rPr>
              <w:t>Income taxes</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(54,902)</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(56,991)</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(39,538)</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-3.7%</w:t>
            </w:r>
          </w:p>
        </w:tc>
        <w:tc>
          <w:tcPr>
            <w:tcW w:w="2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38.9%</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(151,322)</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(119,123)</w:t>
            </w:r>
          </w:p>
        </w:tc>
        <w:tc>
          <w:tcPr>
            <w:tcW w:w="116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165,586</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173,353</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130,139</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-4.5%</w:t>
            </w:r>
          </w:p>
        </w:tc>
        <w:tc>
          <w:tcPr>
            <w:tcW w:w="22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27.2%</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471,098</w:t>
            </w:r>
          </w:p>
        </w:tc>
        <w:tc>
          <w:tcPr>
            <w:tcW w:w="9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371,463</w:t>
            </w:r>
          </w:p>
        </w:tc>
        <w:tc>
          <w:tcPr>
            <w:tcW w:w="1160" w:type="dxa"/>
            <w:vAlign w:val="bottom"/>
            <w:gridSpan w:val="3"/>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Arial" w:cs="Arial" w:eastAsia="Arial" w:hAnsi="Arial"/>
                <w:sz w:val="14"/>
                <w:szCs w:val="14"/>
                <w:color w:val="auto"/>
              </w:rPr>
              <w:t>Minority interest</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9,360</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11,429</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8,432</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-18.1%</w:t>
            </w:r>
          </w:p>
        </w:tc>
        <w:tc>
          <w:tcPr>
            <w:tcW w:w="2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11.0%</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29,078</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23,976</w:t>
            </w:r>
          </w:p>
        </w:tc>
        <w:tc>
          <w:tcPr>
            <w:tcW w:w="116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Net income attributed to Credicorp</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156,226</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161,924</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121,707</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-3.5%</w:t>
            </w:r>
          </w:p>
        </w:tc>
        <w:tc>
          <w:tcPr>
            <w:tcW w:w="22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28.4%</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442,020</w:t>
            </w:r>
          </w:p>
        </w:tc>
        <w:tc>
          <w:tcPr>
            <w:tcW w:w="9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347,487</w:t>
            </w:r>
          </w:p>
        </w:tc>
        <w:tc>
          <w:tcPr>
            <w:tcW w:w="1160" w:type="dxa"/>
            <w:vAlign w:val="bottom"/>
            <w:gridSpan w:val="3"/>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27.2%</w:t>
            </w: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26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6" w:right="239" w:bottom="1440" w:gutter="0" w:footer="0" w:header="0"/>
        </w:sectPr>
      </w:pPr>
    </w:p>
    <w:bookmarkStart w:id="39" w:name="page40"/>
    <w:bookmarkEnd w:id="39"/>
    <w:p>
      <w:pPr>
        <w:ind w:left="40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175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CREDICORP LTD. AND SUBSIDIARIES</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SELECTED FINANCIAL INDICATORS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Quarter</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40" w:type="dxa"/>
            <w:vAlign w:val="bottom"/>
            <w:gridSpan w:val="4"/>
          </w:tcPr>
          <w:p>
            <w:pPr>
              <w:jc w:val="right"/>
              <w:ind w:right="740"/>
              <w:spacing w:after="0"/>
              <w:rPr>
                <w:sz w:val="20"/>
                <w:szCs w:val="20"/>
                <w:color w:val="auto"/>
              </w:rPr>
            </w:pPr>
            <w:r>
              <w:rPr>
                <w:rFonts w:ascii="Arial" w:cs="Arial" w:eastAsia="Arial" w:hAnsi="Arial"/>
                <w:sz w:val="18"/>
                <w:szCs w:val="18"/>
                <w:b w:val="1"/>
                <w:bCs w:val="1"/>
                <w:color w:val="auto"/>
              </w:rPr>
              <w:t>Year to date</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3Q10</w:t>
            </w:r>
          </w:p>
        </w:tc>
        <w:tc>
          <w:tcPr>
            <w:tcW w:w="11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2Q10</w:t>
            </w:r>
          </w:p>
        </w:tc>
        <w:tc>
          <w:tcPr>
            <w:tcW w:w="11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3Q09</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Sep 10</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Sep 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Profitability</w:t>
            </w:r>
          </w:p>
        </w:tc>
        <w:tc>
          <w:tcPr>
            <w:tcW w:w="120" w:type="dxa"/>
            <w:vAlign w:val="bottom"/>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20" w:type="dxa"/>
            <w:vAlign w:val="bottom"/>
            <w:tcBorders>
              <w:top w:val="single" w:sz="8" w:color="auto"/>
            </w:tcBorders>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Net income per common share (US$ per share)(1)</w:t>
            </w:r>
          </w:p>
        </w:tc>
        <w:tc>
          <w:tcPr>
            <w:tcW w:w="1280" w:type="dxa"/>
            <w:vAlign w:val="bottom"/>
            <w:gridSpan w:val="3"/>
          </w:tcPr>
          <w:p>
            <w:pPr>
              <w:jc w:val="right"/>
              <w:ind w:right="260"/>
              <w:spacing w:after="0"/>
              <w:rPr>
                <w:sz w:val="20"/>
                <w:szCs w:val="20"/>
                <w:color w:val="auto"/>
              </w:rPr>
            </w:pPr>
            <w:r>
              <w:rPr>
                <w:rFonts w:ascii="Arial" w:cs="Arial" w:eastAsia="Arial" w:hAnsi="Arial"/>
                <w:sz w:val="18"/>
                <w:szCs w:val="18"/>
                <w:color w:val="auto"/>
              </w:rPr>
              <w:t>1.96</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2.03</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1.53</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5.54</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Net interest margin on interest earning assets (2)</w:t>
            </w:r>
          </w:p>
        </w:tc>
        <w:tc>
          <w:tcPr>
            <w:tcW w:w="128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4.85%</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4.99%</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4.72%</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5.05%</w:t>
            </w: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Return on average total assets (2)(3)</w:t>
            </w:r>
          </w:p>
        </w:tc>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2.5%</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2.7%</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Return on average shareholders' equity (2)(3)(6)</w:t>
            </w:r>
          </w:p>
        </w:tc>
        <w:tc>
          <w:tcPr>
            <w:tcW w:w="128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24.4%</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27.5%</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24.0%</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24.2%</w:t>
            </w: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No. of outstanding shares (millions)(4)</w:t>
            </w:r>
          </w:p>
        </w:tc>
        <w:tc>
          <w:tcPr>
            <w:tcW w:w="1280" w:type="dxa"/>
            <w:vAlign w:val="bottom"/>
            <w:gridSpan w:val="3"/>
          </w:tcPr>
          <w:p>
            <w:pPr>
              <w:jc w:val="right"/>
              <w:ind w:right="260"/>
              <w:spacing w:after="0"/>
              <w:rPr>
                <w:sz w:val="20"/>
                <w:szCs w:val="20"/>
                <w:color w:val="auto"/>
              </w:rPr>
            </w:pPr>
            <w:r>
              <w:rPr>
                <w:rFonts w:ascii="Arial" w:cs="Arial" w:eastAsia="Arial" w:hAnsi="Arial"/>
                <w:sz w:val="18"/>
                <w:szCs w:val="18"/>
                <w:color w:val="auto"/>
              </w:rPr>
              <w:t>79.76</w:t>
            </w:r>
          </w:p>
        </w:tc>
        <w:tc>
          <w:tcPr>
            <w:tcW w:w="920" w:type="dxa"/>
            <w:vAlign w:val="bottom"/>
          </w:tcPr>
          <w:p>
            <w:pPr>
              <w:jc w:val="right"/>
              <w:spacing w:after="0"/>
              <w:rPr>
                <w:sz w:val="20"/>
                <w:szCs w:val="20"/>
                <w:color w:val="auto"/>
              </w:rPr>
            </w:pPr>
            <w:r>
              <w:rPr>
                <w:rFonts w:ascii="Arial" w:cs="Arial" w:eastAsia="Arial" w:hAnsi="Arial"/>
                <w:sz w:val="18"/>
                <w:szCs w:val="18"/>
                <w:color w:val="auto"/>
              </w:rPr>
              <w:t>79.76</w:t>
            </w:r>
          </w:p>
        </w:tc>
        <w:tc>
          <w:tcPr>
            <w:tcW w:w="2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79.76</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79.76</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79.76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b w:val="1"/>
                <w:bCs w:val="1"/>
                <w:color w:val="auto"/>
              </w:rPr>
              <w:t>Quality of loan portfolio</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Past due loans as a percentage of total loans</w:t>
            </w:r>
          </w:p>
        </w:tc>
        <w:tc>
          <w:tcPr>
            <w:tcW w:w="128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1.59%</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1.70%</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1.55%</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1.59%</w:t>
            </w: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20" w:type="dxa"/>
            <w:vAlign w:val="bottom"/>
          </w:tcPr>
          <w:p>
            <w:pPr>
              <w:ind w:left="160"/>
              <w:spacing w:after="0" w:line="201" w:lineRule="exact"/>
              <w:rPr>
                <w:sz w:val="20"/>
                <w:szCs w:val="20"/>
                <w:color w:val="auto"/>
              </w:rPr>
            </w:pPr>
            <w:r>
              <w:rPr>
                <w:rFonts w:ascii="Arial" w:cs="Arial" w:eastAsia="Arial" w:hAnsi="Arial"/>
                <w:sz w:val="18"/>
                <w:szCs w:val="18"/>
                <w:color w:val="auto"/>
              </w:rPr>
              <w:t>Reserves for loan losses as a percentage of</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20" w:type="dxa"/>
            <w:vAlign w:val="bottom"/>
          </w:tcPr>
          <w:p>
            <w:pPr>
              <w:ind w:left="320"/>
              <w:spacing w:after="0"/>
              <w:rPr>
                <w:sz w:val="20"/>
                <w:szCs w:val="20"/>
                <w:color w:val="auto"/>
              </w:rPr>
            </w:pPr>
            <w:r>
              <w:rPr>
                <w:rFonts w:ascii="Arial" w:cs="Arial" w:eastAsia="Arial" w:hAnsi="Arial"/>
                <w:sz w:val="18"/>
                <w:szCs w:val="18"/>
                <w:color w:val="auto"/>
              </w:rPr>
              <w:t>total past due loans</w:t>
            </w:r>
          </w:p>
        </w:tc>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193.1%</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179.3%</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191.7%</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193.1%</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Reserves for loan losses as a percentage of</w:t>
            </w:r>
          </w:p>
        </w:tc>
        <w:tc>
          <w:tcPr>
            <w:tcW w:w="1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FFCC"/>
          </w:tcPr>
          <w:p>
            <w:pPr>
              <w:ind w:left="320"/>
              <w:spacing w:after="0"/>
              <w:rPr>
                <w:sz w:val="20"/>
                <w:szCs w:val="20"/>
                <w:color w:val="auto"/>
              </w:rPr>
            </w:pPr>
            <w:r>
              <w:rPr>
                <w:rFonts w:ascii="Arial" w:cs="Arial" w:eastAsia="Arial" w:hAnsi="Arial"/>
                <w:sz w:val="18"/>
                <w:szCs w:val="18"/>
                <w:color w:val="auto"/>
              </w:rPr>
              <w:t>total loans</w:t>
            </w:r>
          </w:p>
        </w:tc>
        <w:tc>
          <w:tcPr>
            <w:tcW w:w="128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3.1%</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3.0%</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3.0%</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3.1%</w:t>
            </w: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Operating efficiency</w:t>
            </w:r>
          </w:p>
        </w:tc>
        <w:tc>
          <w:tcPr>
            <w:tcW w:w="1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Oper. expenses as a percent. of total income (5)</w:t>
            </w:r>
          </w:p>
        </w:tc>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39.4%</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39.6%</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39.8%</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40.3%</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Oper. expenses as a percent. of av. tot. assets(2)(3)(5)</w:t>
            </w:r>
          </w:p>
        </w:tc>
        <w:tc>
          <w:tcPr>
            <w:tcW w:w="128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3.5%</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3.6%</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3.5%</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3.6%</w:t>
            </w: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Average balances (US$ million) (3)</w:t>
            </w:r>
          </w:p>
        </w:tc>
        <w:tc>
          <w:tcPr>
            <w:tcW w:w="1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Interest earning assets</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22,400.67</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20,720.69</w:t>
            </w:r>
          </w:p>
        </w:tc>
        <w:tc>
          <w:tcPr>
            <w:tcW w:w="2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18,172.09</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20,468.68</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18,245.46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Total assets</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25,214.79</w:t>
            </w:r>
          </w:p>
        </w:tc>
        <w:tc>
          <w:tcPr>
            <w:tcW w:w="26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23,655.49</w:t>
            </w:r>
          </w:p>
        </w:tc>
        <w:tc>
          <w:tcPr>
            <w:tcW w:w="26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20,835.65</w:t>
            </w:r>
          </w:p>
        </w:tc>
        <w:tc>
          <w:tcPr>
            <w:tcW w:w="11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23,984.79</w:t>
            </w: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20,891.12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Net shareholder´s equity</w:t>
            </w:r>
          </w:p>
        </w:tc>
        <w:tc>
          <w:tcPr>
            <w:tcW w:w="1280" w:type="dxa"/>
            <w:vAlign w:val="bottom"/>
            <w:gridSpan w:val="3"/>
          </w:tcPr>
          <w:p>
            <w:pPr>
              <w:jc w:val="right"/>
              <w:ind w:right="260"/>
              <w:spacing w:after="0"/>
              <w:rPr>
                <w:sz w:val="20"/>
                <w:szCs w:val="20"/>
                <w:color w:val="auto"/>
              </w:rPr>
            </w:pPr>
            <w:r>
              <w:rPr>
                <w:rFonts w:ascii="Arial" w:cs="Arial" w:eastAsia="Arial" w:hAnsi="Arial"/>
                <w:sz w:val="18"/>
                <w:szCs w:val="18"/>
                <w:color w:val="auto"/>
              </w:rPr>
              <w:t>2,561.19</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2,358.81</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2,031.43</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2,430.95</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1,855.05</w:t>
            </w:r>
          </w:p>
        </w:tc>
        <w:tc>
          <w:tcPr>
            <w:tcW w:w="0" w:type="dxa"/>
            <w:vAlign w:val="bottom"/>
          </w:tcPr>
          <w:p>
            <w:pPr>
              <w:spacing w:after="0"/>
              <w:rPr>
                <w:sz w:val="1"/>
                <w:szCs w:val="1"/>
                <w:color w:val="auto"/>
              </w:rPr>
            </w:pPr>
          </w:p>
        </w:tc>
      </w:tr>
    </w:tbl>
    <w:p>
      <w:pPr>
        <w:ind w:left="260" w:hanging="252"/>
        <w:spacing w:after="0"/>
        <w:tabs>
          <w:tab w:leader="none" w:pos="26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Based on Net Income attributed to BAP. Number of shares outstanding of 79.8 million in all periods.</w:t>
      </w:r>
    </w:p>
    <w:p>
      <w:pPr>
        <w:spacing w:after="0" w:line="7" w:lineRule="exact"/>
        <w:rPr>
          <w:rFonts w:ascii="Arial" w:cs="Arial" w:eastAsia="Arial" w:hAnsi="Arial"/>
          <w:sz w:val="18"/>
          <w:szCs w:val="18"/>
          <w:i w:val="1"/>
          <w:iCs w:val="1"/>
          <w:color w:val="auto"/>
        </w:rPr>
      </w:pPr>
    </w:p>
    <w:p>
      <w:pPr>
        <w:ind w:left="260" w:hanging="252"/>
        <w:spacing w:after="0"/>
        <w:tabs>
          <w:tab w:leader="none" w:pos="26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Ratios are annualized.</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Averages are determined as the average of period-beginning and period-ending balances.</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Net of treasury shares. The total number of shares was of 94.38 million.</w:t>
      </w:r>
    </w:p>
    <w:p>
      <w:pPr>
        <w:spacing w:after="0" w:line="9" w:lineRule="exact"/>
        <w:rPr>
          <w:rFonts w:ascii="Arial" w:cs="Arial" w:eastAsia="Arial" w:hAnsi="Arial"/>
          <w:sz w:val="18"/>
          <w:szCs w:val="18"/>
          <w:i w:val="1"/>
          <w:iCs w:val="1"/>
          <w:color w:val="auto"/>
        </w:rPr>
      </w:pPr>
    </w:p>
    <w:p>
      <w:pPr>
        <w:ind w:right="300" w:firstLine="8"/>
        <w:spacing w:after="0" w:line="250" w:lineRule="auto"/>
        <w:tabs>
          <w:tab w:leader="none" w:pos="255"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Total income includes net interest income, fee income, net gain on foreign exchange transactions and net premiums earned. Operating expenses do not include other expenses.</w:t>
      </w:r>
    </w:p>
    <w:p>
      <w:pPr>
        <w:ind w:left="260" w:hanging="252"/>
        <w:spacing w:after="0"/>
        <w:tabs>
          <w:tab w:leader="none" w:pos="26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ROAE (jan-sep): (Acumulated net income / average monthly equity (from dec. to date))/(number of months)*12</w:t>
      </w:r>
    </w:p>
    <w:p>
      <w:pPr>
        <w:spacing w:after="0" w:line="3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6"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175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BANCO DE CREDITO DEL PERU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thousand, IFRS)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8"/>
                <w:szCs w:val="18"/>
                <w:b w:val="1"/>
                <w:bCs w:val="1"/>
                <w:color w:val="auto"/>
              </w:rPr>
              <w:t>As of</w:t>
            </w:r>
          </w:p>
        </w:tc>
        <w:tc>
          <w:tcPr>
            <w:tcW w:w="9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Borders>
              <w:bottom w:val="single" w:sz="8" w:color="auto"/>
            </w:tcBorders>
            <w:gridSpan w:val="3"/>
          </w:tcPr>
          <w:p>
            <w:pPr>
              <w:ind w:left="660"/>
              <w:spacing w:after="0"/>
              <w:rPr>
                <w:sz w:val="20"/>
                <w:szCs w:val="20"/>
                <w:color w:val="auto"/>
              </w:rPr>
            </w:pPr>
            <w:r>
              <w:rPr>
                <w:rFonts w:ascii="Arial" w:cs="Arial" w:eastAsia="Arial" w:hAnsi="Arial"/>
                <w:sz w:val="18"/>
                <w:szCs w:val="18"/>
                <w:b w:val="1"/>
                <w:bCs w:val="1"/>
                <w:color w:val="auto"/>
                <w:w w:val="91"/>
              </w:rPr>
              <w:t>Change %</w:t>
            </w:r>
          </w:p>
        </w:tc>
        <w:tc>
          <w:tcPr>
            <w:tcW w:w="6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tcPr>
          <w:p>
            <w:pPr>
              <w:spacing w:after="0"/>
              <w:rPr>
                <w:sz w:val="19"/>
                <w:szCs w:val="19"/>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Sep 10</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Jun 10</w:t>
            </w:r>
          </w:p>
        </w:tc>
        <w:tc>
          <w:tcPr>
            <w:tcW w:w="920" w:type="dxa"/>
            <w:vAlign w:val="bottom"/>
          </w:tcPr>
          <w:p>
            <w:pPr>
              <w:ind w:left="220"/>
              <w:spacing w:after="0"/>
              <w:rPr>
                <w:sz w:val="20"/>
                <w:szCs w:val="20"/>
                <w:color w:val="auto"/>
              </w:rPr>
            </w:pPr>
            <w:r>
              <w:rPr>
                <w:rFonts w:ascii="Arial" w:cs="Arial" w:eastAsia="Arial" w:hAnsi="Arial"/>
                <w:sz w:val="18"/>
                <w:szCs w:val="18"/>
                <w:b w:val="1"/>
                <w:bCs w:val="1"/>
                <w:color w:val="auto"/>
              </w:rPr>
              <w:t>Sep 09</w:t>
            </w:r>
          </w:p>
        </w:tc>
        <w:tc>
          <w:tcPr>
            <w:tcW w:w="220" w:type="dxa"/>
            <w:vAlign w:val="bottom"/>
          </w:tcPr>
          <w:p>
            <w:pPr>
              <w:spacing w:after="0"/>
              <w:rPr>
                <w:sz w:val="19"/>
                <w:szCs w:val="19"/>
                <w:color w:val="auto"/>
              </w:rPr>
            </w:pPr>
          </w:p>
        </w:tc>
        <w:tc>
          <w:tcPr>
            <w:tcW w:w="1480" w:type="dxa"/>
            <w:vAlign w:val="bottom"/>
            <w:gridSpan w:val="3"/>
          </w:tcPr>
          <w:p>
            <w:pPr>
              <w:ind w:left="280"/>
              <w:spacing w:after="0"/>
              <w:rPr>
                <w:sz w:val="20"/>
                <w:szCs w:val="20"/>
                <w:color w:val="auto"/>
              </w:rPr>
            </w:pPr>
            <w:r>
              <w:rPr>
                <w:rFonts w:ascii="Arial" w:cs="Arial" w:eastAsia="Arial" w:hAnsi="Arial"/>
                <w:sz w:val="18"/>
                <w:szCs w:val="18"/>
                <w:b w:val="1"/>
                <w:bCs w:val="1"/>
                <w:color w:val="auto"/>
              </w:rPr>
              <w:t>QoQ</w:t>
            </w:r>
          </w:p>
        </w:tc>
        <w:tc>
          <w:tcPr>
            <w:tcW w:w="640" w:type="dxa"/>
            <w:vAlign w:val="bottom"/>
          </w:tcPr>
          <w:p>
            <w:pPr>
              <w:ind w:left="20"/>
              <w:spacing w:after="0"/>
              <w:rPr>
                <w:sz w:val="20"/>
                <w:szCs w:val="20"/>
                <w:color w:val="auto"/>
              </w:rPr>
            </w:pPr>
            <w:r>
              <w:rPr>
                <w:rFonts w:ascii="Arial" w:cs="Arial" w:eastAsia="Arial" w:hAnsi="Arial"/>
                <w:sz w:val="18"/>
                <w:szCs w:val="18"/>
                <w:b w:val="1"/>
                <w:bCs w:val="1"/>
                <w:color w:val="auto"/>
              </w:rPr>
              <w:t>YoY</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jc w:val="center"/>
              <w:ind w:right="30"/>
              <w:spacing w:after="0"/>
              <w:rPr>
                <w:sz w:val="20"/>
                <w:szCs w:val="20"/>
                <w:color w:val="auto"/>
              </w:rPr>
            </w:pPr>
            <w:r>
              <w:rPr>
                <w:rFonts w:ascii="Arial" w:cs="Arial" w:eastAsia="Arial" w:hAnsi="Arial"/>
                <w:sz w:val="18"/>
                <w:szCs w:val="18"/>
                <w:b w:val="1"/>
                <w:bCs w:val="1"/>
                <w:color w:val="auto"/>
                <w:w w:val="91"/>
              </w:rPr>
              <w:t>ASSETS</w:t>
            </w:r>
          </w:p>
        </w:tc>
        <w:tc>
          <w:tcPr>
            <w:tcW w:w="92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2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2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64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b w:val="1"/>
                <w:bCs w:val="1"/>
                <w:color w:val="auto"/>
              </w:rPr>
              <w:t>Cash and due from banks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3,720,491</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3,342,067</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3,368,733</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11.3%</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Cash and BCRP</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3,196,863</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2,931,107</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2,757,898</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9.1%</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Deposits in other Banks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523,098</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409,977</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540,877</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27.6%</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Interbanks</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68,132</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0.0%</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Accrued interest on cash and due from banks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530</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983</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1,826</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-46.1%</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b w:val="1"/>
                <w:bCs w:val="1"/>
                <w:color w:val="auto"/>
              </w:rPr>
              <w:t>Marketable securities, net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73,986</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60,037</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89,718</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23.2%</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-17.5%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b w:val="1"/>
                <w:bCs w:val="1"/>
                <w:color w:val="auto"/>
              </w:rPr>
              <w:t>Loans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13,326,601</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9"/>
              </w:rPr>
              <w:t>12,611,066</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10,572,063</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5.7%</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Current</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9"/>
              </w:rPr>
              <w:t>13,114,103</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w w:val="99"/>
              </w:rPr>
              <w:t>12,395,974</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9"/>
              </w:rPr>
              <w:t>10,406,954</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5.8%</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Past Due</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212,498</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215,092</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165,109</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Less - net provisions for possible loan losses</w:t>
            </w: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(410,814)</w:t>
            </w:r>
          </w:p>
        </w:tc>
        <w:tc>
          <w:tcPr>
            <w:tcW w:w="11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(386,148)</w:t>
            </w: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(316,718)</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6.4%</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b w:val="1"/>
                <w:bCs w:val="1"/>
                <w:color w:val="auto"/>
              </w:rPr>
              <w:t>Loans, net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12,915,787</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9"/>
              </w:rPr>
              <w:t>12,224,918</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10,255,345</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5.7%</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25.9%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b w:val="1"/>
                <w:bCs w:val="1"/>
                <w:color w:val="auto"/>
              </w:rPr>
              <w:t>Investment securities available for sale</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5,336,436</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3,707,331</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2,793,015</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43.9%</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294,873</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287,204</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257,201</w:t>
            </w: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2.7%</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b w:val="1"/>
                <w:bCs w:val="1"/>
                <w:color w:val="auto"/>
              </w:rPr>
              <w:t>Due from customers acceptances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57,901</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63,351</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63,901</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-8.6%</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Other assets</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1,074,535</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1,184,152</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1,052,317</w:t>
            </w: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-9.3%</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jc w:val="center"/>
              <w:ind w:right="30"/>
              <w:spacing w:after="0"/>
              <w:rPr>
                <w:sz w:val="20"/>
                <w:szCs w:val="20"/>
                <w:color w:val="auto"/>
              </w:rPr>
            </w:pPr>
            <w:r>
              <w:rPr>
                <w:rFonts w:ascii="Arial" w:cs="Arial" w:eastAsia="Arial" w:hAnsi="Arial"/>
                <w:sz w:val="18"/>
                <w:szCs w:val="18"/>
                <w:b w:val="1"/>
                <w:bCs w:val="1"/>
                <w:color w:val="auto"/>
                <w:w w:val="82"/>
              </w:rPr>
              <w:t>Total assets</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w w:val="99"/>
              </w:rPr>
              <w:t>23,474,009</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w w:val="99"/>
              </w:rPr>
              <w:t>20,869,060</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w w:val="99"/>
              </w:rPr>
              <w:t>17,880,230</w:t>
            </w: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12.5%</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jc w:val="center"/>
              <w:ind w:right="30"/>
              <w:spacing w:after="0"/>
              <w:rPr>
                <w:sz w:val="20"/>
                <w:szCs w:val="20"/>
                <w:color w:val="auto"/>
              </w:rPr>
            </w:pPr>
            <w:r>
              <w:rPr>
                <w:rFonts w:ascii="Arial" w:cs="Arial" w:eastAsia="Arial" w:hAnsi="Arial"/>
                <w:sz w:val="18"/>
                <w:szCs w:val="18"/>
                <w:b w:val="1"/>
                <w:bCs w:val="1"/>
                <w:color w:val="auto"/>
              </w:rPr>
              <w:t>LIABILITIES AND NET SHAREHOLDERS' EQUITY</w:t>
            </w: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Deposits and obligations</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w w:val="99"/>
              </w:rPr>
              <w:t>15,642,366</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w w:val="99"/>
              </w:rPr>
              <w:t>14,209,963</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w w:val="99"/>
              </w:rPr>
              <w:t>13,946,714</w:t>
            </w: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10.1%</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Demand deposits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5,257,055</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5,059,051</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4,298,914</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3.9%</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Saving deposits</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3,953,997</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3,702,869</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3,387,339</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6.8%</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Time deposits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5,267,355</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4,242,721</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5,179,047</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24.2%</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Severance indemnity deposits (CTS)</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1,127,933</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1,176,925</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1,012,534</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-4.2%</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Interest payable</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36,026</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28,397</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68,880</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26.9%</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b w:val="1"/>
                <w:bCs w:val="1"/>
                <w:color w:val="auto"/>
              </w:rPr>
              <w:t>Due to banks and correspondents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3,181,057</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3,110,545</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603,152</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2.3%</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427.4%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Bonds and subordinated debt</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2,004,124</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1,202,434</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941,027</w:t>
            </w: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66.7%</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b w:val="1"/>
                <w:bCs w:val="1"/>
                <w:color w:val="auto"/>
              </w:rPr>
              <w:t>Acceptances outstanding</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57,901</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63,351</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63,901</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-8.6%</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Other liabilities</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720,209</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599,269</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765,086</w:t>
            </w: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20.2%</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jc w:val="center"/>
              <w:ind w:right="30"/>
              <w:spacing w:after="0"/>
              <w:rPr>
                <w:sz w:val="20"/>
                <w:szCs w:val="20"/>
                <w:color w:val="auto"/>
              </w:rPr>
            </w:pPr>
            <w:r>
              <w:rPr>
                <w:rFonts w:ascii="Arial" w:cs="Arial" w:eastAsia="Arial" w:hAnsi="Arial"/>
                <w:sz w:val="18"/>
                <w:szCs w:val="18"/>
                <w:b w:val="1"/>
                <w:bCs w:val="1"/>
                <w:color w:val="auto"/>
                <w:w w:val="91"/>
              </w:rPr>
              <w:t>Total liabilities</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w w:val="99"/>
              </w:rPr>
              <w:t>21,605,657</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w w:val="99"/>
              </w:rPr>
              <w:t>19,185,562</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w w:val="99"/>
              </w:rPr>
              <w:t>16,319,880</w:t>
            </w: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12.6%</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32.4%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shareholders' equity</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1,864,471</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1,679,754</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1,556,224</w:t>
            </w: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11.0%</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Capital stock</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783,213</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783,213</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667,250</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Reserves</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388,309</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388,309</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388,275</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0.0%</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Unrealized Gains and Losses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131,056</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84,959</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94,797</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54.3%</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Retained Earnings</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187,143</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187,143</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115,922</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0.0%</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Income for the year</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374,750</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236,130</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289,980</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58.7%</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Minority interest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3,881</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3,744</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4,126</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3.7%</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b w:val="1"/>
                <w:bCs w:val="1"/>
                <w:color w:val="auto"/>
              </w:rPr>
              <w:t>Total liabilities and net shareholders' equity</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23,474,009</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9"/>
              </w:rPr>
              <w:t>20,869,060</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17,880,230</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12.5%</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31.3%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Contingent credits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9,210,482</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8,998,223</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7,713,584</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2.4%</w:t>
            </w:r>
          </w:p>
        </w:tc>
        <w:tc>
          <w:tcPr>
            <w:tcW w:w="28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593"/>
        </w:trPr>
        <w:tc>
          <w:tcPr>
            <w:tcW w:w="2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7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6"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175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BANCO DE CREDITO DEL PERU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INCOME STATEMENT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thousand, IFRS)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Quarter</w:t>
            </w: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3"/>
          </w:tcPr>
          <w:p>
            <w:pPr>
              <w:ind w:left="580"/>
              <w:spacing w:after="0"/>
              <w:rPr>
                <w:sz w:val="20"/>
                <w:szCs w:val="20"/>
                <w:color w:val="auto"/>
              </w:rPr>
            </w:pPr>
            <w:r>
              <w:rPr>
                <w:rFonts w:ascii="Arial" w:cs="Arial" w:eastAsia="Arial" w:hAnsi="Arial"/>
                <w:sz w:val="14"/>
                <w:szCs w:val="14"/>
                <w:b w:val="1"/>
                <w:bCs w:val="1"/>
                <w:color w:val="auto"/>
                <w:w w:val="97"/>
              </w:rPr>
              <w:t>Change %</w:t>
            </w: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0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Year to date</w:t>
            </w:r>
          </w:p>
        </w:tc>
        <w:tc>
          <w:tcPr>
            <w:tcW w:w="100" w:type="dxa"/>
            <w:vAlign w:val="bottom"/>
          </w:tcPr>
          <w:p>
            <w:pPr>
              <w:spacing w:after="0"/>
              <w:rPr>
                <w:sz w:val="15"/>
                <w:szCs w:val="15"/>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Change %</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1000" w:type="dxa"/>
            <w:vAlign w:val="bottom"/>
            <w:tcBorders>
              <w:top w:val="single" w:sz="8" w:color="auto"/>
            </w:tcBorders>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3Q10</w:t>
            </w:r>
          </w:p>
        </w:tc>
        <w:tc>
          <w:tcPr>
            <w:tcW w:w="1000" w:type="dxa"/>
            <w:vAlign w:val="bottom"/>
            <w:tcBorders>
              <w:top w:val="single" w:sz="8" w:color="auto"/>
            </w:tcBorders>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2Q10</w:t>
            </w:r>
          </w:p>
        </w:tc>
        <w:tc>
          <w:tcPr>
            <w:tcW w:w="780" w:type="dxa"/>
            <w:vAlign w:val="bottom"/>
            <w:tcBorders>
              <w:top w:val="single" w:sz="8" w:color="auto"/>
            </w:tcBorders>
          </w:tcPr>
          <w:p>
            <w:pPr>
              <w:jc w:val="right"/>
              <w:ind w:right="148"/>
              <w:spacing w:after="0" w:line="149" w:lineRule="exact"/>
              <w:rPr>
                <w:sz w:val="20"/>
                <w:szCs w:val="20"/>
                <w:color w:val="auto"/>
              </w:rPr>
            </w:pPr>
            <w:r>
              <w:rPr>
                <w:rFonts w:ascii="Arial" w:cs="Arial" w:eastAsia="Arial" w:hAnsi="Arial"/>
                <w:sz w:val="14"/>
                <w:szCs w:val="14"/>
                <w:b w:val="1"/>
                <w:bCs w:val="1"/>
                <w:color w:val="auto"/>
              </w:rPr>
              <w:t>3Q09</w:t>
            </w:r>
          </w:p>
        </w:tc>
        <w:tc>
          <w:tcPr>
            <w:tcW w:w="220" w:type="dxa"/>
            <w:vAlign w:val="bottom"/>
          </w:tcPr>
          <w:p>
            <w:pPr>
              <w:spacing w:after="0"/>
              <w:rPr>
                <w:sz w:val="13"/>
                <w:szCs w:val="13"/>
                <w:color w:val="auto"/>
              </w:rPr>
            </w:pPr>
          </w:p>
        </w:tc>
        <w:tc>
          <w:tcPr>
            <w:tcW w:w="1260" w:type="dxa"/>
            <w:vAlign w:val="bottom"/>
            <w:tcBorders>
              <w:top w:val="single" w:sz="8" w:color="auto"/>
            </w:tcBorders>
            <w:gridSpan w:val="3"/>
          </w:tcPr>
          <w:p>
            <w:pPr>
              <w:ind w:left="240"/>
              <w:spacing w:after="0" w:line="149" w:lineRule="exact"/>
              <w:rPr>
                <w:sz w:val="20"/>
                <w:szCs w:val="20"/>
                <w:color w:val="auto"/>
              </w:rPr>
            </w:pPr>
            <w:r>
              <w:rPr>
                <w:rFonts w:ascii="Arial" w:cs="Arial" w:eastAsia="Arial" w:hAnsi="Arial"/>
                <w:sz w:val="14"/>
                <w:szCs w:val="14"/>
                <w:b w:val="1"/>
                <w:bCs w:val="1"/>
                <w:color w:val="auto"/>
              </w:rPr>
              <w:t>QoQ</w:t>
            </w:r>
          </w:p>
        </w:tc>
        <w:tc>
          <w:tcPr>
            <w:tcW w:w="560" w:type="dxa"/>
            <w:vAlign w:val="bottom"/>
            <w:tcBorders>
              <w:top w:val="single" w:sz="8" w:color="auto"/>
            </w:tcBorders>
          </w:tcPr>
          <w:p>
            <w:pPr>
              <w:ind w:left="40"/>
              <w:spacing w:after="0" w:line="149" w:lineRule="exact"/>
              <w:rPr>
                <w:sz w:val="20"/>
                <w:szCs w:val="20"/>
                <w:color w:val="auto"/>
              </w:rPr>
            </w:pPr>
            <w:r>
              <w:rPr>
                <w:rFonts w:ascii="Arial" w:cs="Arial" w:eastAsia="Arial" w:hAnsi="Arial"/>
                <w:sz w:val="14"/>
                <w:szCs w:val="14"/>
                <w:b w:val="1"/>
                <w:bCs w:val="1"/>
                <w:color w:val="auto"/>
              </w:rPr>
              <w:t>YoY</w:t>
            </w:r>
          </w:p>
        </w:tc>
        <w:tc>
          <w:tcPr>
            <w:tcW w:w="260" w:type="dxa"/>
            <w:vAlign w:val="bottom"/>
          </w:tcPr>
          <w:p>
            <w:pPr>
              <w:spacing w:after="0"/>
              <w:rPr>
                <w:sz w:val="13"/>
                <w:szCs w:val="13"/>
                <w:color w:val="auto"/>
              </w:rPr>
            </w:pPr>
          </w:p>
        </w:tc>
        <w:tc>
          <w:tcPr>
            <w:tcW w:w="1000" w:type="dxa"/>
            <w:vAlign w:val="bottom"/>
            <w:tcBorders>
              <w:top w:val="single" w:sz="8" w:color="auto"/>
            </w:tcBorders>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Sep 10</w:t>
            </w:r>
          </w:p>
        </w:tc>
        <w:tc>
          <w:tcPr>
            <w:tcW w:w="780" w:type="dxa"/>
            <w:vAlign w:val="bottom"/>
            <w:tcBorders>
              <w:top w:val="single" w:sz="8" w:color="auto"/>
            </w:tcBorders>
          </w:tcPr>
          <w:p>
            <w:pPr>
              <w:jc w:val="right"/>
              <w:ind w:right="128"/>
              <w:spacing w:after="0" w:line="149" w:lineRule="exact"/>
              <w:rPr>
                <w:sz w:val="20"/>
                <w:szCs w:val="20"/>
                <w:color w:val="auto"/>
              </w:rPr>
            </w:pPr>
            <w:r>
              <w:rPr>
                <w:rFonts w:ascii="Arial" w:cs="Arial" w:eastAsia="Arial" w:hAnsi="Arial"/>
                <w:sz w:val="14"/>
                <w:szCs w:val="14"/>
                <w:b w:val="1"/>
                <w:bCs w:val="1"/>
                <w:color w:val="auto"/>
              </w:rPr>
              <w:t>Sep 09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0"/>
              </w:rPr>
              <w:t>Sep 10 / Sep 09</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Interest income and expense</w:t>
            </w:r>
          </w:p>
        </w:tc>
        <w:tc>
          <w:tcPr>
            <w:tcW w:w="780" w:type="dxa"/>
            <w:vAlign w:val="bottom"/>
            <w:tcBorders>
              <w:top w:val="single" w:sz="8" w:color="auto"/>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780" w:type="dxa"/>
            <w:vAlign w:val="bottom"/>
            <w:tcBorders>
              <w:top w:val="single" w:sz="8" w:color="auto"/>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780" w:type="dxa"/>
            <w:vAlign w:val="bottom"/>
            <w:tcBorders>
              <w:top w:val="single" w:sz="8" w:color="auto"/>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780" w:type="dxa"/>
            <w:vAlign w:val="bottom"/>
            <w:tcBorders>
              <w:top w:val="single" w:sz="8" w:color="auto"/>
            </w:tcBorders>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20" w:type="dxa"/>
            <w:vAlign w:val="bottom"/>
            <w:tcBorders>
              <w:top w:val="single" w:sz="8" w:color="auto"/>
            </w:tcBorders>
            <w:shd w:val="clear" w:color="auto" w:fill="CCFFCC"/>
          </w:tcPr>
          <w:p>
            <w:pPr>
              <w:spacing w:after="0"/>
              <w:rPr>
                <w:sz w:val="12"/>
                <w:szCs w:val="12"/>
                <w:color w:val="auto"/>
              </w:rPr>
            </w:pPr>
          </w:p>
        </w:tc>
        <w:tc>
          <w:tcPr>
            <w:tcW w:w="560" w:type="dxa"/>
            <w:vAlign w:val="bottom"/>
            <w:tcBorders>
              <w:top w:val="single" w:sz="8" w:color="auto"/>
            </w:tcBorders>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780" w:type="dxa"/>
            <w:vAlign w:val="bottom"/>
            <w:tcBorders>
              <w:top w:val="single" w:sz="8" w:color="auto"/>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780" w:type="dxa"/>
            <w:vAlign w:val="bottom"/>
            <w:tcBorders>
              <w:top w:val="single" w:sz="8" w:color="auto"/>
            </w:tcBorders>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20" w:type="dxa"/>
            <w:vAlign w:val="bottom"/>
            <w:tcBorders>
              <w:top w:val="single" w:sz="8" w:color="auto"/>
            </w:tcBorders>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ind w:left="320"/>
              <w:spacing w:after="0" w:line="149" w:lineRule="exact"/>
              <w:rPr>
                <w:sz w:val="20"/>
                <w:szCs w:val="20"/>
                <w:color w:val="auto"/>
              </w:rPr>
            </w:pPr>
            <w:r>
              <w:rPr>
                <w:rFonts w:ascii="Arial" w:cs="Arial" w:eastAsia="Arial" w:hAnsi="Arial"/>
                <w:sz w:val="14"/>
                <w:szCs w:val="14"/>
                <w:color w:val="auto"/>
              </w:rPr>
              <w:t>Interest and dividend income</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345,937</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311,548</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292,292</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11.0%</w:t>
            </w:r>
          </w:p>
        </w:tc>
        <w:tc>
          <w:tcPr>
            <w:tcW w:w="2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18.4%</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963,407</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909,494</w:t>
            </w:r>
          </w:p>
        </w:tc>
        <w:tc>
          <w:tcPr>
            <w:tcW w:w="116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FFCC"/>
          </w:tcPr>
          <w:p>
            <w:pPr>
              <w:ind w:left="320"/>
              <w:spacing w:after="0" w:line="149" w:lineRule="exact"/>
              <w:rPr>
                <w:sz w:val="20"/>
                <w:szCs w:val="20"/>
                <w:color w:val="auto"/>
              </w:rPr>
            </w:pPr>
            <w:r>
              <w:rPr>
                <w:rFonts w:ascii="Arial" w:cs="Arial" w:eastAsia="Arial" w:hAnsi="Arial"/>
                <w:sz w:val="14"/>
                <w:szCs w:val="14"/>
                <w:color w:val="auto"/>
              </w:rPr>
              <w:t>Interest expense</w:t>
            </w:r>
          </w:p>
        </w:tc>
        <w:tc>
          <w:tcPr>
            <w:tcW w:w="10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(103,663)</w:t>
            </w:r>
          </w:p>
        </w:tc>
        <w:tc>
          <w:tcPr>
            <w:tcW w:w="10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(82,896)</w:t>
            </w:r>
          </w:p>
        </w:tc>
        <w:tc>
          <w:tcPr>
            <w:tcW w:w="10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(95,030)</w:t>
            </w:r>
          </w:p>
        </w:tc>
        <w:tc>
          <w:tcPr>
            <w:tcW w:w="10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25.1%</w:t>
            </w:r>
          </w:p>
        </w:tc>
        <w:tc>
          <w:tcPr>
            <w:tcW w:w="22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9.1%</w:t>
            </w:r>
          </w:p>
        </w:tc>
        <w:tc>
          <w:tcPr>
            <w:tcW w:w="10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(273,306)</w:t>
            </w:r>
          </w:p>
        </w:tc>
        <w:tc>
          <w:tcPr>
            <w:tcW w:w="90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(316,611)</w:t>
            </w:r>
          </w:p>
        </w:tc>
        <w:tc>
          <w:tcPr>
            <w:tcW w:w="1160" w:type="dxa"/>
            <w:vAlign w:val="bottom"/>
            <w:gridSpan w:val="3"/>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ind w:left="320"/>
              <w:spacing w:after="0" w:line="149" w:lineRule="exact"/>
              <w:rPr>
                <w:sz w:val="20"/>
                <w:szCs w:val="20"/>
                <w:color w:val="auto"/>
              </w:rPr>
            </w:pPr>
            <w:r>
              <w:rPr>
                <w:rFonts w:ascii="Arial" w:cs="Arial" w:eastAsia="Arial" w:hAnsi="Arial"/>
                <w:sz w:val="14"/>
                <w:szCs w:val="14"/>
                <w:b w:val="1"/>
                <w:bCs w:val="1"/>
                <w:color w:val="auto"/>
              </w:rPr>
              <w:t>Net interest and dividend income</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242,274</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228,652</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197,262</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6.0%</w:t>
            </w:r>
          </w:p>
        </w:tc>
        <w:tc>
          <w:tcPr>
            <w:tcW w:w="22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22.8%</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690,101</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592,883</w:t>
            </w:r>
          </w:p>
        </w:tc>
        <w:tc>
          <w:tcPr>
            <w:tcW w:w="116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16.4%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Net provision for loan losses</w:t>
            </w:r>
          </w:p>
        </w:tc>
        <w:tc>
          <w:tcPr>
            <w:tcW w:w="10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b w:val="1"/>
                <w:bCs w:val="1"/>
                <w:color w:val="auto"/>
              </w:rPr>
              <w:t>(52,614)</w:t>
            </w:r>
          </w:p>
        </w:tc>
        <w:tc>
          <w:tcPr>
            <w:tcW w:w="10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b w:val="1"/>
                <w:bCs w:val="1"/>
                <w:color w:val="auto"/>
              </w:rPr>
              <w:t>(31,183)</w:t>
            </w:r>
          </w:p>
        </w:tc>
        <w:tc>
          <w:tcPr>
            <w:tcW w:w="10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b w:val="1"/>
                <w:bCs w:val="1"/>
                <w:color w:val="auto"/>
              </w:rPr>
              <w:t>(38,917)</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68.7%</w:t>
            </w:r>
          </w:p>
        </w:tc>
        <w:tc>
          <w:tcPr>
            <w:tcW w:w="22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35.2%</w:t>
            </w:r>
          </w:p>
        </w:tc>
        <w:tc>
          <w:tcPr>
            <w:tcW w:w="10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b w:val="1"/>
                <w:bCs w:val="1"/>
                <w:color w:val="auto"/>
              </w:rPr>
              <w:t>(127,242)</w:t>
            </w:r>
          </w:p>
        </w:tc>
        <w:tc>
          <w:tcPr>
            <w:tcW w:w="90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b w:val="1"/>
                <w:bCs w:val="1"/>
                <w:color w:val="auto"/>
              </w:rPr>
              <w:t>(120,171)</w:t>
            </w:r>
          </w:p>
        </w:tc>
        <w:tc>
          <w:tcPr>
            <w:tcW w:w="1160" w:type="dxa"/>
            <w:vAlign w:val="bottom"/>
            <w:gridSpan w:val="3"/>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5.9%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6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Non financial income</w:t>
            </w:r>
          </w:p>
        </w:tc>
        <w:tc>
          <w:tcPr>
            <w:tcW w:w="7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ind w:left="320"/>
              <w:spacing w:after="0" w:line="149" w:lineRule="exact"/>
              <w:rPr>
                <w:sz w:val="20"/>
                <w:szCs w:val="20"/>
                <w:color w:val="auto"/>
              </w:rPr>
            </w:pPr>
            <w:r>
              <w:rPr>
                <w:rFonts w:ascii="Arial" w:cs="Arial" w:eastAsia="Arial" w:hAnsi="Arial"/>
                <w:sz w:val="14"/>
                <w:szCs w:val="14"/>
                <w:color w:val="auto"/>
              </w:rPr>
              <w:t>Banking services commissions</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120,839</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113,577</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93,348</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6.4%</w:t>
            </w:r>
          </w:p>
        </w:tc>
        <w:tc>
          <w:tcPr>
            <w:tcW w:w="2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29.5%</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341,639</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258,521</w:t>
            </w:r>
          </w:p>
        </w:tc>
        <w:tc>
          <w:tcPr>
            <w:tcW w:w="116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32.2%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FFCC"/>
          </w:tcPr>
          <w:p>
            <w:pPr>
              <w:ind w:left="320"/>
              <w:spacing w:after="0" w:line="149" w:lineRule="exact"/>
              <w:rPr>
                <w:sz w:val="20"/>
                <w:szCs w:val="20"/>
                <w:color w:val="auto"/>
              </w:rPr>
            </w:pPr>
            <w:r>
              <w:rPr>
                <w:rFonts w:ascii="Arial" w:cs="Arial" w:eastAsia="Arial" w:hAnsi="Arial"/>
                <w:sz w:val="14"/>
                <w:szCs w:val="14"/>
                <w:color w:val="auto"/>
              </w:rPr>
              <w:t>Net gain on foreign exchange transactions</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26,354</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23,595</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25,559</w:t>
            </w:r>
          </w:p>
        </w:tc>
        <w:tc>
          <w:tcPr>
            <w:tcW w:w="10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11.7%</w:t>
            </w:r>
          </w:p>
        </w:tc>
        <w:tc>
          <w:tcPr>
            <w:tcW w:w="22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3.1%</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75,452</w:t>
            </w:r>
          </w:p>
        </w:tc>
        <w:tc>
          <w:tcPr>
            <w:tcW w:w="9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65,587</w:t>
            </w:r>
          </w:p>
        </w:tc>
        <w:tc>
          <w:tcPr>
            <w:tcW w:w="1160" w:type="dxa"/>
            <w:vAlign w:val="bottom"/>
            <w:gridSpan w:val="3"/>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ind w:left="320"/>
              <w:spacing w:after="0" w:line="149" w:lineRule="exact"/>
              <w:rPr>
                <w:sz w:val="20"/>
                <w:szCs w:val="20"/>
                <w:color w:val="auto"/>
              </w:rPr>
            </w:pPr>
            <w:r>
              <w:rPr>
                <w:rFonts w:ascii="Arial" w:cs="Arial" w:eastAsia="Arial" w:hAnsi="Arial"/>
                <w:sz w:val="14"/>
                <w:szCs w:val="14"/>
                <w:color w:val="auto"/>
              </w:rPr>
              <w:t>Net gain on sales of securities</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18,987</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29,727</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9,890</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-36.1%</w:t>
            </w:r>
          </w:p>
        </w:tc>
        <w:tc>
          <w:tcPr>
            <w:tcW w:w="2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92.0%</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48,875</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92,164</w:t>
            </w:r>
          </w:p>
        </w:tc>
        <w:tc>
          <w:tcPr>
            <w:tcW w:w="116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-47.0%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FFCC"/>
          </w:tcPr>
          <w:p>
            <w:pPr>
              <w:ind w:left="320"/>
              <w:spacing w:after="0" w:line="149" w:lineRule="exact"/>
              <w:rPr>
                <w:sz w:val="20"/>
                <w:szCs w:val="20"/>
                <w:color w:val="auto"/>
              </w:rPr>
            </w:pPr>
            <w:r>
              <w:rPr>
                <w:rFonts w:ascii="Arial" w:cs="Arial" w:eastAsia="Arial" w:hAnsi="Arial"/>
                <w:sz w:val="14"/>
                <w:szCs w:val="14"/>
                <w:color w:val="auto"/>
              </w:rPr>
              <w:t>Other</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1,168</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2,642</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892</w:t>
            </w:r>
          </w:p>
        </w:tc>
        <w:tc>
          <w:tcPr>
            <w:tcW w:w="10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-55.8%</w:t>
            </w:r>
          </w:p>
        </w:tc>
        <w:tc>
          <w:tcPr>
            <w:tcW w:w="22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30.9%</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8,764</w:t>
            </w:r>
          </w:p>
        </w:tc>
        <w:tc>
          <w:tcPr>
            <w:tcW w:w="9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12,251</w:t>
            </w:r>
          </w:p>
        </w:tc>
        <w:tc>
          <w:tcPr>
            <w:tcW w:w="1160" w:type="dxa"/>
            <w:vAlign w:val="bottom"/>
            <w:gridSpan w:val="3"/>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ind w:left="320"/>
              <w:spacing w:after="0" w:line="149" w:lineRule="exact"/>
              <w:rPr>
                <w:sz w:val="20"/>
                <w:szCs w:val="20"/>
                <w:color w:val="auto"/>
              </w:rPr>
            </w:pPr>
            <w:r>
              <w:rPr>
                <w:rFonts w:ascii="Arial" w:cs="Arial" w:eastAsia="Arial" w:hAnsi="Arial"/>
                <w:sz w:val="14"/>
                <w:szCs w:val="14"/>
                <w:b w:val="1"/>
                <w:bCs w:val="1"/>
                <w:color w:val="auto"/>
              </w:rPr>
              <w:t>Total non financial income,net</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167,348</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169,541</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129,689</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-1.3%</w:t>
            </w:r>
          </w:p>
        </w:tc>
        <w:tc>
          <w:tcPr>
            <w:tcW w:w="22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29.0%</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474,730</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428,523</w:t>
            </w:r>
          </w:p>
        </w:tc>
        <w:tc>
          <w:tcPr>
            <w:tcW w:w="116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10.8%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26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60" w:type="dxa"/>
            <w:vAlign w:val="bottom"/>
          </w:tcPr>
          <w:p>
            <w:pPr>
              <w:spacing w:after="0" w:line="149" w:lineRule="exact"/>
              <w:rPr>
                <w:sz w:val="20"/>
                <w:szCs w:val="20"/>
                <w:color w:val="auto"/>
              </w:rPr>
            </w:pPr>
            <w:r>
              <w:rPr>
                <w:rFonts w:ascii="Arial" w:cs="Arial" w:eastAsia="Arial" w:hAnsi="Arial"/>
                <w:sz w:val="14"/>
                <w:szCs w:val="14"/>
                <w:b w:val="1"/>
                <w:bCs w:val="1"/>
                <w:color w:val="auto"/>
              </w:rPr>
              <w:t>Operating expenses</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FFCC"/>
          </w:tcPr>
          <w:p>
            <w:pPr>
              <w:ind w:left="320"/>
              <w:spacing w:after="0" w:line="149" w:lineRule="exact"/>
              <w:rPr>
                <w:sz w:val="20"/>
                <w:szCs w:val="20"/>
                <w:color w:val="auto"/>
              </w:rPr>
            </w:pPr>
            <w:r>
              <w:rPr>
                <w:rFonts w:ascii="Arial" w:cs="Arial" w:eastAsia="Arial" w:hAnsi="Arial"/>
                <w:sz w:val="14"/>
                <w:szCs w:val="14"/>
                <w:color w:val="auto"/>
              </w:rPr>
              <w:t>Salaries and employees benefits</w:t>
            </w:r>
          </w:p>
        </w:tc>
        <w:tc>
          <w:tcPr>
            <w:tcW w:w="10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(95,404)</w:t>
            </w:r>
          </w:p>
        </w:tc>
        <w:tc>
          <w:tcPr>
            <w:tcW w:w="10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(90,961)</w:t>
            </w:r>
          </w:p>
        </w:tc>
        <w:tc>
          <w:tcPr>
            <w:tcW w:w="10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(80,318)</w:t>
            </w:r>
          </w:p>
        </w:tc>
        <w:tc>
          <w:tcPr>
            <w:tcW w:w="10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4.9%</w:t>
            </w:r>
          </w:p>
        </w:tc>
        <w:tc>
          <w:tcPr>
            <w:tcW w:w="22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18.8%</w:t>
            </w:r>
          </w:p>
        </w:tc>
        <w:tc>
          <w:tcPr>
            <w:tcW w:w="10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(284,810)</w:t>
            </w:r>
          </w:p>
        </w:tc>
        <w:tc>
          <w:tcPr>
            <w:tcW w:w="90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(238,983)</w:t>
            </w:r>
          </w:p>
        </w:tc>
        <w:tc>
          <w:tcPr>
            <w:tcW w:w="1160" w:type="dxa"/>
            <w:vAlign w:val="bottom"/>
            <w:gridSpan w:val="3"/>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ind w:left="320"/>
              <w:spacing w:after="0" w:line="149" w:lineRule="exact"/>
              <w:rPr>
                <w:sz w:val="20"/>
                <w:szCs w:val="20"/>
                <w:color w:val="auto"/>
              </w:rPr>
            </w:pPr>
            <w:r>
              <w:rPr>
                <w:rFonts w:ascii="Arial" w:cs="Arial" w:eastAsia="Arial" w:hAnsi="Arial"/>
                <w:sz w:val="14"/>
                <w:szCs w:val="14"/>
                <w:color w:val="auto"/>
              </w:rPr>
              <w:t>Administrative expenses</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(67,549)</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(67,866)</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(59,269)</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-0.5%</w:t>
            </w:r>
          </w:p>
        </w:tc>
        <w:tc>
          <w:tcPr>
            <w:tcW w:w="2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14.0%</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(201,200)</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(186,741)</w:t>
            </w:r>
          </w:p>
        </w:tc>
        <w:tc>
          <w:tcPr>
            <w:tcW w:w="116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FFCC"/>
          </w:tcPr>
          <w:p>
            <w:pPr>
              <w:ind w:left="320"/>
              <w:spacing w:after="0" w:line="149" w:lineRule="exact"/>
              <w:rPr>
                <w:sz w:val="20"/>
                <w:szCs w:val="20"/>
                <w:color w:val="auto"/>
              </w:rPr>
            </w:pPr>
            <w:r>
              <w:rPr>
                <w:rFonts w:ascii="Arial" w:cs="Arial" w:eastAsia="Arial" w:hAnsi="Arial"/>
                <w:sz w:val="14"/>
                <w:szCs w:val="14"/>
                <w:color w:val="auto"/>
              </w:rPr>
              <w:t>Depreciation and amortization</w:t>
            </w:r>
          </w:p>
        </w:tc>
        <w:tc>
          <w:tcPr>
            <w:tcW w:w="10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(17,392)</w:t>
            </w:r>
          </w:p>
        </w:tc>
        <w:tc>
          <w:tcPr>
            <w:tcW w:w="10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(16,837)</w:t>
            </w:r>
          </w:p>
        </w:tc>
        <w:tc>
          <w:tcPr>
            <w:tcW w:w="10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(14,712)</w:t>
            </w:r>
          </w:p>
        </w:tc>
        <w:tc>
          <w:tcPr>
            <w:tcW w:w="10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3.3%</w:t>
            </w:r>
          </w:p>
        </w:tc>
        <w:tc>
          <w:tcPr>
            <w:tcW w:w="22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18.2%</w:t>
            </w:r>
          </w:p>
        </w:tc>
        <w:tc>
          <w:tcPr>
            <w:tcW w:w="10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(50,652)</w:t>
            </w:r>
          </w:p>
        </w:tc>
        <w:tc>
          <w:tcPr>
            <w:tcW w:w="90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(42,556)</w:t>
            </w:r>
          </w:p>
        </w:tc>
        <w:tc>
          <w:tcPr>
            <w:tcW w:w="1160" w:type="dxa"/>
            <w:vAlign w:val="bottom"/>
            <w:gridSpan w:val="3"/>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ind w:left="320"/>
              <w:spacing w:after="0" w:line="149" w:lineRule="exact"/>
              <w:rPr>
                <w:sz w:val="20"/>
                <w:szCs w:val="20"/>
                <w:color w:val="auto"/>
              </w:rPr>
            </w:pPr>
            <w:r>
              <w:rPr>
                <w:rFonts w:ascii="Arial" w:cs="Arial" w:eastAsia="Arial" w:hAnsi="Arial"/>
                <w:sz w:val="14"/>
                <w:szCs w:val="14"/>
                <w:color w:val="auto"/>
              </w:rPr>
              <w:t>Other</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(4,406)</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(7,516)</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(6,794)</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-41.4%</w:t>
            </w:r>
          </w:p>
        </w:tc>
        <w:tc>
          <w:tcPr>
            <w:tcW w:w="2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-35.1%</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(16,602)</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(27,493)</w:t>
            </w:r>
          </w:p>
        </w:tc>
        <w:tc>
          <w:tcPr>
            <w:tcW w:w="116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-39.6%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FFCC"/>
          </w:tcPr>
          <w:p>
            <w:pPr>
              <w:ind w:left="320"/>
              <w:spacing w:after="0" w:line="149" w:lineRule="exact"/>
              <w:rPr>
                <w:sz w:val="20"/>
                <w:szCs w:val="20"/>
                <w:color w:val="auto"/>
              </w:rPr>
            </w:pPr>
            <w:r>
              <w:rPr>
                <w:rFonts w:ascii="Arial" w:cs="Arial" w:eastAsia="Arial" w:hAnsi="Arial"/>
                <w:sz w:val="14"/>
                <w:szCs w:val="14"/>
                <w:b w:val="1"/>
                <w:bCs w:val="1"/>
                <w:color w:val="auto"/>
              </w:rPr>
              <w:t>Total operating expenses</w:t>
            </w:r>
          </w:p>
        </w:tc>
        <w:tc>
          <w:tcPr>
            <w:tcW w:w="10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b w:val="1"/>
                <w:bCs w:val="1"/>
                <w:color w:val="auto"/>
              </w:rPr>
              <w:t>(184,751)</w:t>
            </w:r>
          </w:p>
        </w:tc>
        <w:tc>
          <w:tcPr>
            <w:tcW w:w="10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b w:val="1"/>
                <w:bCs w:val="1"/>
                <w:color w:val="auto"/>
              </w:rPr>
              <w:t>(183,180)</w:t>
            </w:r>
          </w:p>
        </w:tc>
        <w:tc>
          <w:tcPr>
            <w:tcW w:w="10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b w:val="1"/>
                <w:bCs w:val="1"/>
                <w:color w:val="auto"/>
              </w:rPr>
              <w:t>(161,093)</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0.9%</w:t>
            </w:r>
          </w:p>
        </w:tc>
        <w:tc>
          <w:tcPr>
            <w:tcW w:w="22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14.7%</w:t>
            </w:r>
          </w:p>
        </w:tc>
        <w:tc>
          <w:tcPr>
            <w:tcW w:w="10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b w:val="1"/>
                <w:bCs w:val="1"/>
                <w:color w:val="auto"/>
              </w:rPr>
              <w:t>(553,264)</w:t>
            </w:r>
          </w:p>
        </w:tc>
        <w:tc>
          <w:tcPr>
            <w:tcW w:w="90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b w:val="1"/>
                <w:bCs w:val="1"/>
                <w:color w:val="auto"/>
              </w:rPr>
              <w:t>(495,773)</w:t>
            </w:r>
          </w:p>
        </w:tc>
        <w:tc>
          <w:tcPr>
            <w:tcW w:w="1160" w:type="dxa"/>
            <w:vAlign w:val="bottom"/>
            <w:gridSpan w:val="3"/>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11.6%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6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Operating income</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172,257</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183,830</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126,941</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-6.3%</w:t>
            </w:r>
          </w:p>
        </w:tc>
        <w:tc>
          <w:tcPr>
            <w:tcW w:w="22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35.7%</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484,325</w:t>
            </w:r>
          </w:p>
        </w:tc>
        <w:tc>
          <w:tcPr>
            <w:tcW w:w="9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405,462</w:t>
            </w:r>
          </w:p>
        </w:tc>
        <w:tc>
          <w:tcPr>
            <w:tcW w:w="1160" w:type="dxa"/>
            <w:vAlign w:val="bottom"/>
            <w:gridSpan w:val="3"/>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ind w:left="320"/>
              <w:spacing w:after="0" w:line="149" w:lineRule="exact"/>
              <w:rPr>
                <w:sz w:val="20"/>
                <w:szCs w:val="20"/>
                <w:color w:val="auto"/>
              </w:rPr>
            </w:pPr>
            <w:r>
              <w:rPr>
                <w:rFonts w:ascii="Arial" w:cs="Arial" w:eastAsia="Arial" w:hAnsi="Arial"/>
                <w:sz w:val="14"/>
                <w:szCs w:val="14"/>
                <w:color w:val="auto"/>
              </w:rPr>
              <w:t>Translation result</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12,896</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4,972</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10,204</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159.4%</w:t>
            </w:r>
          </w:p>
        </w:tc>
        <w:tc>
          <w:tcPr>
            <w:tcW w:w="2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26.4%</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29,548</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(4,955)</w:t>
            </w:r>
          </w:p>
        </w:tc>
        <w:tc>
          <w:tcPr>
            <w:tcW w:w="116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696.3%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FFCC"/>
          </w:tcPr>
          <w:p>
            <w:pPr>
              <w:ind w:left="320"/>
              <w:spacing w:after="0" w:line="149" w:lineRule="exact"/>
              <w:rPr>
                <w:sz w:val="20"/>
                <w:szCs w:val="20"/>
                <w:color w:val="auto"/>
              </w:rPr>
            </w:pPr>
            <w:r>
              <w:rPr>
                <w:rFonts w:ascii="Arial" w:cs="Arial" w:eastAsia="Arial" w:hAnsi="Arial"/>
                <w:sz w:val="14"/>
                <w:szCs w:val="14"/>
                <w:color w:val="auto"/>
              </w:rPr>
              <w:t>Workers’ profit sharing</w:t>
            </w:r>
          </w:p>
        </w:tc>
        <w:tc>
          <w:tcPr>
            <w:tcW w:w="10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(6,699)</w:t>
            </w:r>
          </w:p>
        </w:tc>
        <w:tc>
          <w:tcPr>
            <w:tcW w:w="10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(7,459)</w:t>
            </w:r>
          </w:p>
        </w:tc>
        <w:tc>
          <w:tcPr>
            <w:tcW w:w="10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(4,842)</w:t>
            </w:r>
          </w:p>
        </w:tc>
        <w:tc>
          <w:tcPr>
            <w:tcW w:w="10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-10.2%</w:t>
            </w:r>
          </w:p>
        </w:tc>
        <w:tc>
          <w:tcPr>
            <w:tcW w:w="22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38.4%</w:t>
            </w:r>
          </w:p>
        </w:tc>
        <w:tc>
          <w:tcPr>
            <w:tcW w:w="10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(18,998)</w:t>
            </w:r>
          </w:p>
        </w:tc>
        <w:tc>
          <w:tcPr>
            <w:tcW w:w="90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(14,422)</w:t>
            </w:r>
          </w:p>
        </w:tc>
        <w:tc>
          <w:tcPr>
            <w:tcW w:w="1160" w:type="dxa"/>
            <w:vAlign w:val="bottom"/>
            <w:gridSpan w:val="3"/>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31.7%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ind w:left="320"/>
              <w:spacing w:after="0" w:line="149" w:lineRule="exact"/>
              <w:rPr>
                <w:sz w:val="20"/>
                <w:szCs w:val="20"/>
                <w:color w:val="auto"/>
              </w:rPr>
            </w:pPr>
            <w:r>
              <w:rPr>
                <w:rFonts w:ascii="Arial" w:cs="Arial" w:eastAsia="Arial" w:hAnsi="Arial"/>
                <w:sz w:val="14"/>
                <w:szCs w:val="14"/>
                <w:color w:val="auto"/>
              </w:rPr>
              <w:t>Income taxes</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(39,683)</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(46,995)</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(30,558)</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-15.6%</w:t>
            </w:r>
          </w:p>
        </w:tc>
        <w:tc>
          <w:tcPr>
            <w:tcW w:w="2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29.9%</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(119,584)</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(95,255)</w:t>
            </w:r>
          </w:p>
        </w:tc>
        <w:tc>
          <w:tcPr>
            <w:tcW w:w="116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FFCC"/>
          </w:tcPr>
          <w:p>
            <w:pPr>
              <w:ind w:left="320"/>
              <w:spacing w:after="0" w:line="149" w:lineRule="exact"/>
              <w:rPr>
                <w:sz w:val="20"/>
                <w:szCs w:val="20"/>
                <w:color w:val="auto"/>
              </w:rPr>
            </w:pPr>
            <w:r>
              <w:rPr>
                <w:rFonts w:ascii="Arial" w:cs="Arial" w:eastAsia="Arial" w:hAnsi="Arial"/>
                <w:sz w:val="14"/>
                <w:szCs w:val="14"/>
                <w:color w:val="auto"/>
              </w:rPr>
              <w:t>Minority interest</w:t>
            </w:r>
          </w:p>
        </w:tc>
        <w:tc>
          <w:tcPr>
            <w:tcW w:w="10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(151)</w:t>
            </w:r>
          </w:p>
        </w:tc>
        <w:tc>
          <w:tcPr>
            <w:tcW w:w="10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(127)</w:t>
            </w:r>
          </w:p>
        </w:tc>
        <w:tc>
          <w:tcPr>
            <w:tcW w:w="10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(289)</w:t>
            </w:r>
          </w:p>
        </w:tc>
        <w:tc>
          <w:tcPr>
            <w:tcW w:w="10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18.9%</w:t>
            </w:r>
          </w:p>
        </w:tc>
        <w:tc>
          <w:tcPr>
            <w:tcW w:w="22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-47.8%</w:t>
            </w:r>
          </w:p>
        </w:tc>
        <w:tc>
          <w:tcPr>
            <w:tcW w:w="10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(541)</w:t>
            </w:r>
          </w:p>
        </w:tc>
        <w:tc>
          <w:tcPr>
            <w:tcW w:w="90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(850)</w:t>
            </w:r>
          </w:p>
        </w:tc>
        <w:tc>
          <w:tcPr>
            <w:tcW w:w="1160" w:type="dxa"/>
            <w:vAlign w:val="bottom"/>
            <w:gridSpan w:val="3"/>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-36.4%</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260" w:type="dxa"/>
            <w:vAlign w:val="bottom"/>
          </w:tcPr>
          <w:p>
            <w:pPr>
              <w:spacing w:after="0"/>
              <w:rPr>
                <w:sz w:val="20"/>
                <w:szCs w:val="20"/>
                <w:color w:val="auto"/>
              </w:rPr>
            </w:pPr>
            <w:r>
              <w:rPr>
                <w:rFonts w:ascii="Arial" w:cs="Arial" w:eastAsia="Arial" w:hAnsi="Arial"/>
                <w:sz w:val="14"/>
                <w:szCs w:val="14"/>
                <w:b w:val="1"/>
                <w:bCs w:val="1"/>
                <w:color w:val="auto"/>
              </w:rPr>
              <w:t>Net income</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138,620</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134,221</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101,456</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3.3%</w:t>
            </w:r>
          </w:p>
        </w:tc>
        <w:tc>
          <w:tcPr>
            <w:tcW w:w="220" w:type="dxa"/>
            <w:vAlign w:val="bottom"/>
          </w:tcPr>
          <w:p>
            <w:pPr>
              <w:spacing w:after="0"/>
              <w:rPr>
                <w:sz w:val="16"/>
                <w:szCs w:val="16"/>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36.6%</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374,750</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289,980</w:t>
            </w:r>
          </w:p>
        </w:tc>
        <w:tc>
          <w:tcPr>
            <w:tcW w:w="1160" w:type="dxa"/>
            <w:vAlign w:val="bottom"/>
            <w:gridSpan w:val="3"/>
          </w:tcPr>
          <w:p>
            <w:pPr>
              <w:jc w:val="right"/>
              <w:spacing w:after="0"/>
              <w:rPr>
                <w:sz w:val="20"/>
                <w:szCs w:val="20"/>
                <w:color w:val="auto"/>
              </w:rPr>
            </w:pPr>
            <w:r>
              <w:rPr>
                <w:rFonts w:ascii="Arial" w:cs="Arial" w:eastAsia="Arial" w:hAnsi="Arial"/>
                <w:sz w:val="14"/>
                <w:szCs w:val="14"/>
                <w:b w:val="1"/>
                <w:bCs w:val="1"/>
                <w:color w:val="auto"/>
              </w:rPr>
              <w:t>29.2%</w:t>
            </w:r>
          </w:p>
        </w:tc>
        <w:tc>
          <w:tcPr>
            <w:tcW w:w="0" w:type="dxa"/>
            <w:vAlign w:val="bottom"/>
          </w:tcPr>
          <w:p>
            <w:pPr>
              <w:spacing w:after="0"/>
              <w:rPr>
                <w:sz w:val="1"/>
                <w:szCs w:val="1"/>
                <w:color w:val="auto"/>
              </w:rPr>
            </w:pPr>
          </w:p>
        </w:tc>
      </w:tr>
      <w:tr>
        <w:trPr>
          <w:trHeight w:val="570"/>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26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6"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175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BANCO DE CREDITO DEL PERU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INDICATORS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Quarter</w:t>
            </w: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40" w:type="dxa"/>
            <w:vAlign w:val="bottom"/>
            <w:gridSpan w:val="4"/>
          </w:tcPr>
          <w:p>
            <w:pPr>
              <w:jc w:val="right"/>
              <w:ind w:right="740"/>
              <w:spacing w:after="0"/>
              <w:rPr>
                <w:sz w:val="20"/>
                <w:szCs w:val="20"/>
                <w:color w:val="auto"/>
              </w:rPr>
            </w:pPr>
            <w:r>
              <w:rPr>
                <w:rFonts w:ascii="Arial" w:cs="Arial" w:eastAsia="Arial" w:hAnsi="Arial"/>
                <w:sz w:val="18"/>
                <w:szCs w:val="18"/>
                <w:b w:val="1"/>
                <w:bCs w:val="1"/>
                <w:color w:val="auto"/>
              </w:rPr>
              <w:t>Year to date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top w:val="single" w:sz="8" w:color="auto"/>
            </w:tcBorders>
            <w:gridSpan w:val="2"/>
          </w:tcPr>
          <w:p>
            <w:pPr>
              <w:jc w:val="right"/>
              <w:ind w:right="500"/>
              <w:spacing w:after="0"/>
              <w:rPr>
                <w:sz w:val="20"/>
                <w:szCs w:val="20"/>
                <w:color w:val="auto"/>
              </w:rPr>
            </w:pPr>
            <w:r>
              <w:rPr>
                <w:rFonts w:ascii="Arial" w:cs="Arial" w:eastAsia="Arial" w:hAnsi="Arial"/>
                <w:sz w:val="18"/>
                <w:szCs w:val="18"/>
                <w:b w:val="1"/>
                <w:bCs w:val="1"/>
                <w:color w:val="auto"/>
              </w:rPr>
              <w:t>3Q10</w:t>
            </w:r>
          </w:p>
        </w:tc>
        <w:tc>
          <w:tcPr>
            <w:tcW w:w="1180" w:type="dxa"/>
            <w:vAlign w:val="bottom"/>
            <w:tcBorders>
              <w:top w:val="single" w:sz="8" w:color="auto"/>
            </w:tcBorders>
            <w:gridSpan w:val="2"/>
          </w:tcPr>
          <w:p>
            <w:pPr>
              <w:jc w:val="right"/>
              <w:ind w:right="520"/>
              <w:spacing w:after="0"/>
              <w:rPr>
                <w:sz w:val="20"/>
                <w:szCs w:val="20"/>
                <w:color w:val="auto"/>
              </w:rPr>
            </w:pPr>
            <w:r>
              <w:rPr>
                <w:rFonts w:ascii="Arial" w:cs="Arial" w:eastAsia="Arial" w:hAnsi="Arial"/>
                <w:sz w:val="18"/>
                <w:szCs w:val="18"/>
                <w:b w:val="1"/>
                <w:bCs w:val="1"/>
                <w:color w:val="auto"/>
              </w:rPr>
              <w:t>2Q10</w:t>
            </w:r>
          </w:p>
        </w:tc>
        <w:tc>
          <w:tcPr>
            <w:tcW w:w="900" w:type="dxa"/>
            <w:vAlign w:val="bottom"/>
            <w:tcBorders>
              <w:top w:val="single" w:sz="8" w:color="auto"/>
            </w:tcBorders>
          </w:tcPr>
          <w:p>
            <w:pPr>
              <w:ind w:left="260"/>
              <w:spacing w:after="0"/>
              <w:rPr>
                <w:sz w:val="20"/>
                <w:szCs w:val="20"/>
                <w:color w:val="auto"/>
              </w:rPr>
            </w:pPr>
            <w:r>
              <w:rPr>
                <w:rFonts w:ascii="Arial" w:cs="Arial" w:eastAsia="Arial" w:hAnsi="Arial"/>
                <w:sz w:val="18"/>
                <w:szCs w:val="18"/>
                <w:b w:val="1"/>
                <w:bCs w:val="1"/>
                <w:color w:val="auto"/>
              </w:rPr>
              <w:t>3Q09</w:t>
            </w:r>
          </w:p>
        </w:tc>
        <w:tc>
          <w:tcPr>
            <w:tcW w:w="280" w:type="dxa"/>
            <w:vAlign w:val="bottom"/>
          </w:tcPr>
          <w:p>
            <w:pPr>
              <w:spacing w:after="0"/>
              <w:rPr>
                <w:sz w:val="19"/>
                <w:szCs w:val="19"/>
                <w:color w:val="auto"/>
              </w:rPr>
            </w:pPr>
          </w:p>
        </w:tc>
        <w:tc>
          <w:tcPr>
            <w:tcW w:w="1180" w:type="dxa"/>
            <w:vAlign w:val="bottom"/>
            <w:tcBorders>
              <w:top w:val="single" w:sz="8" w:color="auto"/>
            </w:tcBorders>
            <w:gridSpan w:val="2"/>
          </w:tcPr>
          <w:p>
            <w:pPr>
              <w:jc w:val="right"/>
              <w:ind w:right="480"/>
              <w:spacing w:after="0"/>
              <w:rPr>
                <w:sz w:val="20"/>
                <w:szCs w:val="20"/>
                <w:color w:val="auto"/>
              </w:rPr>
            </w:pPr>
            <w:r>
              <w:rPr>
                <w:rFonts w:ascii="Arial" w:cs="Arial" w:eastAsia="Arial" w:hAnsi="Arial"/>
                <w:sz w:val="18"/>
                <w:szCs w:val="18"/>
                <w:b w:val="1"/>
                <w:bCs w:val="1"/>
                <w:color w:val="auto"/>
              </w:rPr>
              <w:t>Sep 10</w:t>
            </w:r>
          </w:p>
        </w:tc>
        <w:tc>
          <w:tcPr>
            <w:tcW w:w="9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Sep 09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Profitability</w:t>
            </w:r>
          </w:p>
        </w:tc>
        <w:tc>
          <w:tcPr>
            <w:tcW w:w="120" w:type="dxa"/>
            <w:vAlign w:val="bottom"/>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20" w:type="dxa"/>
            <w:vAlign w:val="bottom"/>
            <w:tcBorders>
              <w:top w:val="single" w:sz="8" w:color="auto"/>
            </w:tcBorders>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Net income per common share (US$ per share)(1)</w:t>
            </w:r>
          </w:p>
        </w:tc>
        <w:tc>
          <w:tcPr>
            <w:tcW w:w="1280" w:type="dxa"/>
            <w:vAlign w:val="bottom"/>
            <w:gridSpan w:val="3"/>
          </w:tcPr>
          <w:p>
            <w:pPr>
              <w:jc w:val="right"/>
              <w:ind w:right="260"/>
              <w:spacing w:after="0"/>
              <w:rPr>
                <w:sz w:val="20"/>
                <w:szCs w:val="20"/>
                <w:color w:val="auto"/>
              </w:rPr>
            </w:pPr>
            <w:r>
              <w:rPr>
                <w:rFonts w:ascii="Arial" w:cs="Arial" w:eastAsia="Arial" w:hAnsi="Arial"/>
                <w:sz w:val="18"/>
                <w:szCs w:val="18"/>
                <w:color w:val="auto"/>
              </w:rPr>
              <w:t>0.062</w:t>
            </w:r>
          </w:p>
        </w:tc>
        <w:tc>
          <w:tcPr>
            <w:tcW w:w="920" w:type="dxa"/>
            <w:vAlign w:val="bottom"/>
          </w:tcPr>
          <w:p>
            <w:pPr>
              <w:jc w:val="right"/>
              <w:spacing w:after="0"/>
              <w:rPr>
                <w:sz w:val="20"/>
                <w:szCs w:val="20"/>
                <w:color w:val="auto"/>
              </w:rPr>
            </w:pPr>
            <w:r>
              <w:rPr>
                <w:rFonts w:ascii="Arial" w:cs="Arial" w:eastAsia="Arial" w:hAnsi="Arial"/>
                <w:sz w:val="18"/>
                <w:szCs w:val="18"/>
                <w:color w:val="auto"/>
              </w:rPr>
              <w:t>0.060</w:t>
            </w:r>
          </w:p>
        </w:tc>
        <w:tc>
          <w:tcPr>
            <w:tcW w:w="2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0.046</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0.168</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0.130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Net interest margin on interest earning assets (2)</w:t>
            </w:r>
          </w:p>
        </w:tc>
        <w:tc>
          <w:tcPr>
            <w:tcW w:w="128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4.81%</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4.91%</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4.87%</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4.86%</w:t>
            </w: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Return on average total assets (2)(3)</w:t>
            </w:r>
          </w:p>
        </w:tc>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2.5%</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2.6%</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Return on average shareholders' equity (2)(3)</w:t>
            </w:r>
          </w:p>
        </w:tc>
        <w:tc>
          <w:tcPr>
            <w:tcW w:w="128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31.3%</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33.0%</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27.1%</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29.3%</w:t>
            </w: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No. of outstanding shares (millions)</w:t>
            </w:r>
          </w:p>
        </w:tc>
        <w:tc>
          <w:tcPr>
            <w:tcW w:w="1280" w:type="dxa"/>
            <w:vAlign w:val="bottom"/>
            <w:gridSpan w:val="3"/>
          </w:tcPr>
          <w:p>
            <w:pPr>
              <w:jc w:val="right"/>
              <w:ind w:right="260"/>
              <w:spacing w:after="0"/>
              <w:rPr>
                <w:sz w:val="20"/>
                <w:szCs w:val="20"/>
                <w:color w:val="auto"/>
              </w:rPr>
            </w:pPr>
            <w:r>
              <w:rPr>
                <w:rFonts w:ascii="Arial" w:cs="Arial" w:eastAsia="Arial" w:hAnsi="Arial"/>
                <w:sz w:val="18"/>
                <w:szCs w:val="18"/>
                <w:color w:val="auto"/>
              </w:rPr>
              <w:t>2,228.29</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2,228.29</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2,228.29</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2,228.29</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2,228.29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b w:val="1"/>
                <w:bCs w:val="1"/>
                <w:color w:val="auto"/>
              </w:rPr>
              <w:t>Quality of loan portfolio</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Past due loans as a percentage of total loans</w:t>
            </w:r>
          </w:p>
        </w:tc>
        <w:tc>
          <w:tcPr>
            <w:tcW w:w="128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1.59%</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1.71%</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1.56%</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1.59%</w:t>
            </w: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20" w:type="dxa"/>
            <w:vAlign w:val="bottom"/>
          </w:tcPr>
          <w:p>
            <w:pPr>
              <w:ind w:left="160"/>
              <w:spacing w:after="0" w:line="201" w:lineRule="exact"/>
              <w:rPr>
                <w:sz w:val="20"/>
                <w:szCs w:val="20"/>
                <w:color w:val="auto"/>
              </w:rPr>
            </w:pPr>
            <w:r>
              <w:rPr>
                <w:rFonts w:ascii="Arial" w:cs="Arial" w:eastAsia="Arial" w:hAnsi="Arial"/>
                <w:sz w:val="18"/>
                <w:szCs w:val="18"/>
                <w:color w:val="auto"/>
              </w:rPr>
              <w:t>Reserves for loan losses as a percentage of</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20" w:type="dxa"/>
            <w:vAlign w:val="bottom"/>
          </w:tcPr>
          <w:p>
            <w:pPr>
              <w:ind w:left="320"/>
              <w:spacing w:after="0"/>
              <w:rPr>
                <w:sz w:val="20"/>
                <w:szCs w:val="20"/>
                <w:color w:val="auto"/>
              </w:rPr>
            </w:pPr>
            <w:r>
              <w:rPr>
                <w:rFonts w:ascii="Arial" w:cs="Arial" w:eastAsia="Arial" w:hAnsi="Arial"/>
                <w:sz w:val="18"/>
                <w:szCs w:val="18"/>
                <w:color w:val="auto"/>
              </w:rPr>
              <w:t>total past due loans</w:t>
            </w:r>
          </w:p>
        </w:tc>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193.3%</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179.5%</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191.8%</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193.3%</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Reserves for loan losses as a percentage of</w:t>
            </w:r>
          </w:p>
        </w:tc>
        <w:tc>
          <w:tcPr>
            <w:tcW w:w="1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FFCC"/>
          </w:tcPr>
          <w:p>
            <w:pPr>
              <w:ind w:left="320"/>
              <w:spacing w:after="0"/>
              <w:rPr>
                <w:sz w:val="20"/>
                <w:szCs w:val="20"/>
                <w:color w:val="auto"/>
              </w:rPr>
            </w:pPr>
            <w:r>
              <w:rPr>
                <w:rFonts w:ascii="Arial" w:cs="Arial" w:eastAsia="Arial" w:hAnsi="Arial"/>
                <w:sz w:val="18"/>
                <w:szCs w:val="18"/>
                <w:color w:val="auto"/>
              </w:rPr>
              <w:t>total loans</w:t>
            </w:r>
          </w:p>
        </w:tc>
        <w:tc>
          <w:tcPr>
            <w:tcW w:w="128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3.1%</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3.1%</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3.0%</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3.1%</w:t>
            </w: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Operating efficiency</w:t>
            </w:r>
          </w:p>
        </w:tc>
        <w:tc>
          <w:tcPr>
            <w:tcW w:w="1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Oper. expenses as a percent. of total income (4)</w:t>
            </w:r>
          </w:p>
        </w:tc>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46.3%</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48.0%</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48.8%</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48.5%</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Oper. expenses as a percent. of av. tot. assets(2)(3)(4)</w:t>
            </w:r>
          </w:p>
        </w:tc>
        <w:tc>
          <w:tcPr>
            <w:tcW w:w="128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3.3%</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3.4%</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3.4%</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3.3%</w:t>
            </w: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Capital adequacy</w:t>
            </w:r>
          </w:p>
        </w:tc>
        <w:tc>
          <w:tcPr>
            <w:tcW w:w="1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Total Regulatory Capital (US$ million)</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1,984.8</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1,969.2</w:t>
            </w:r>
          </w:p>
        </w:tc>
        <w:tc>
          <w:tcPr>
            <w:tcW w:w="2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1,739.0</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Tier I capital (US$ million)</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1,561.0</w:t>
            </w:r>
          </w:p>
        </w:tc>
        <w:tc>
          <w:tcPr>
            <w:tcW w:w="26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1,514.9</w:t>
            </w:r>
          </w:p>
        </w:tc>
        <w:tc>
          <w:tcPr>
            <w:tcW w:w="26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1,289.4</w:t>
            </w: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BIS ratio (5)</w:t>
            </w:r>
          </w:p>
        </w:tc>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13.9%</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13.6%</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14.5%</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b w:val="1"/>
                <w:bCs w:val="1"/>
                <w:color w:val="auto"/>
              </w:rPr>
              <w:t>Average balances (US$ million) (3)</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Interest earning assets</w:t>
            </w:r>
          </w:p>
        </w:tc>
        <w:tc>
          <w:tcPr>
            <w:tcW w:w="1280" w:type="dxa"/>
            <w:vAlign w:val="bottom"/>
            <w:gridSpan w:val="3"/>
            <w:shd w:val="clear" w:color="auto" w:fill="CCFFCC"/>
          </w:tcPr>
          <w:p>
            <w:pPr>
              <w:jc w:val="right"/>
              <w:ind w:right="260"/>
              <w:spacing w:after="0"/>
              <w:rPr>
                <w:sz w:val="20"/>
                <w:szCs w:val="20"/>
                <w:color w:val="auto"/>
              </w:rPr>
            </w:pPr>
            <w:r>
              <w:rPr>
                <w:rFonts w:ascii="Arial" w:cs="Arial" w:eastAsia="Arial" w:hAnsi="Arial"/>
                <w:sz w:val="18"/>
                <w:szCs w:val="18"/>
                <w:color w:val="auto"/>
              </w:rPr>
              <w:t>20,147.4</w:t>
            </w:r>
          </w:p>
        </w:tc>
        <w:tc>
          <w:tcPr>
            <w:tcW w:w="11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18,643.6</w:t>
            </w:r>
          </w:p>
        </w:tc>
        <w:tc>
          <w:tcPr>
            <w:tcW w:w="11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16,203.5</w:t>
            </w:r>
          </w:p>
        </w:tc>
        <w:tc>
          <w:tcPr>
            <w:tcW w:w="11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18,942.9</w:t>
            </w: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16,497.2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Total Assets</w:t>
            </w:r>
          </w:p>
        </w:tc>
        <w:tc>
          <w:tcPr>
            <w:tcW w:w="1280" w:type="dxa"/>
            <w:vAlign w:val="bottom"/>
            <w:gridSpan w:val="3"/>
          </w:tcPr>
          <w:p>
            <w:pPr>
              <w:jc w:val="right"/>
              <w:ind w:right="260"/>
              <w:spacing w:after="0"/>
              <w:rPr>
                <w:sz w:val="20"/>
                <w:szCs w:val="20"/>
                <w:color w:val="auto"/>
              </w:rPr>
            </w:pPr>
            <w:r>
              <w:rPr>
                <w:rFonts w:ascii="Arial" w:cs="Arial" w:eastAsia="Arial" w:hAnsi="Arial"/>
                <w:sz w:val="18"/>
                <w:szCs w:val="18"/>
                <w:color w:val="auto"/>
              </w:rPr>
              <w:t>22,171.5</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20,761.4</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18,033.8</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21,665.6</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18,197.2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Net shareholders' equity</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1,772.1</w:t>
            </w:r>
          </w:p>
        </w:tc>
        <w:tc>
          <w:tcPr>
            <w:tcW w:w="26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1,629.1</w:t>
            </w:r>
          </w:p>
        </w:tc>
        <w:tc>
          <w:tcPr>
            <w:tcW w:w="26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1,499.5</w:t>
            </w:r>
          </w:p>
        </w:tc>
        <w:tc>
          <w:tcPr>
            <w:tcW w:w="11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1,707.6</w:t>
            </w: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1,437.0</w:t>
            </w:r>
          </w:p>
        </w:tc>
        <w:tc>
          <w:tcPr>
            <w:tcW w:w="0" w:type="dxa"/>
            <w:vAlign w:val="bottom"/>
          </w:tcPr>
          <w:p>
            <w:pPr>
              <w:spacing w:after="0"/>
              <w:rPr>
                <w:sz w:val="1"/>
                <w:szCs w:val="1"/>
                <w:color w:val="auto"/>
              </w:rPr>
            </w:pPr>
          </w:p>
        </w:tc>
      </w:tr>
    </w:tbl>
    <w:p>
      <w:pPr>
        <w:ind w:left="260" w:hanging="252"/>
        <w:spacing w:after="0"/>
        <w:tabs>
          <w:tab w:leader="none" w:pos="260" w:val="left"/>
        </w:tabs>
        <w:numPr>
          <w:ilvl w:val="0"/>
          <w:numId w:val="17"/>
        </w:numPr>
        <w:rPr>
          <w:rFonts w:ascii="Arial" w:cs="Arial" w:eastAsia="Arial" w:hAnsi="Arial"/>
          <w:sz w:val="17"/>
          <w:szCs w:val="17"/>
          <w:i w:val="1"/>
          <w:iCs w:val="1"/>
          <w:color w:val="auto"/>
        </w:rPr>
      </w:pPr>
      <w:r>
        <w:rPr>
          <w:rFonts w:ascii="Arial" w:cs="Arial" w:eastAsia="Arial" w:hAnsi="Arial"/>
          <w:sz w:val="17"/>
          <w:szCs w:val="17"/>
          <w:i w:val="1"/>
          <w:iCs w:val="1"/>
          <w:color w:val="auto"/>
        </w:rPr>
        <w:t>Shares outstanding of 2,228 million is used for all periods since shares have been issued only for capitalization of profits and inflation adjustment.</w:t>
      </w:r>
    </w:p>
    <w:p>
      <w:pPr>
        <w:spacing w:after="0" w:line="20" w:lineRule="exact"/>
        <w:rPr>
          <w:rFonts w:ascii="Arial" w:cs="Arial" w:eastAsia="Arial" w:hAnsi="Arial"/>
          <w:sz w:val="17"/>
          <w:szCs w:val="17"/>
          <w:i w:val="1"/>
          <w:iCs w:val="1"/>
          <w:color w:val="auto"/>
        </w:rPr>
      </w:pPr>
    </w:p>
    <w:p>
      <w:pPr>
        <w:ind w:left="260" w:hanging="252"/>
        <w:spacing w:after="0"/>
        <w:tabs>
          <w:tab w:leader="none" w:pos="26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Ratios are annualized.</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Averages are determined as the average of period-beginning and period-ending balances.</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Total income includes net interest income, fee income and net gain on foreign exchange transactions.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 includes personnel expenses, administrative expenses and depreciation and amortization.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(5) Regulatory Capital / risk-weighted assets. Risk weighted assets include market risk and operation risk</w:t>
      </w:r>
    </w:p>
    <w:p>
      <w:pPr>
        <w:spacing w:after="0" w:line="3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6"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175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17500"/>
                    </a:xfrm>
                    <a:prstGeom prst="rect">
                      <a:avLst/>
                    </a:prstGeom>
                    <a:noFill/>
                  </pic:spPr>
                </pic:pic>
              </a:graphicData>
            </a:graphic>
          </wp:anchor>
        </w:drawing>
        <w:t>EL PACIFICO - PERUANO SUIZA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thousand)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312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2"/>
              </w:rPr>
              <w:t>Balance to and for the period of</w:t>
            </w:r>
          </w:p>
        </w:tc>
        <w:tc>
          <w:tcPr>
            <w:tcW w:w="1840" w:type="dxa"/>
            <w:vAlign w:val="bottom"/>
            <w:gridSpan w:val="3"/>
            <w:vMerge w:val="restart"/>
          </w:tcPr>
          <w:p>
            <w:pPr>
              <w:jc w:val="right"/>
              <w:ind w:right="468"/>
              <w:spacing w:after="0"/>
              <w:rPr>
                <w:sz w:val="20"/>
                <w:szCs w:val="20"/>
                <w:color w:val="auto"/>
              </w:rPr>
            </w:pPr>
            <w:r>
              <w:rPr>
                <w:rFonts w:ascii="Arial" w:cs="Arial" w:eastAsia="Arial" w:hAnsi="Arial"/>
                <w:sz w:val="14"/>
                <w:szCs w:val="14"/>
                <w:b w:val="1"/>
                <w:bCs w:val="1"/>
                <w:color w:val="auto"/>
              </w:rPr>
              <w:t>Year to date</w:t>
            </w:r>
          </w:p>
        </w:tc>
        <w:tc>
          <w:tcPr>
            <w:tcW w:w="240" w:type="dxa"/>
            <w:vAlign w:val="bottom"/>
            <w:vMerge w:val="restart"/>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Change %</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Three month ending</w:t>
            </w:r>
          </w:p>
        </w:tc>
        <w:tc>
          <w:tcPr>
            <w:tcW w:w="8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840" w:type="dxa"/>
            <w:vAlign w:val="bottom"/>
            <w:tcBorders>
              <w:bottom w:val="single" w:sz="8" w:color="auto"/>
            </w:tcBorders>
            <w:gridSpan w:val="3"/>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vMerge w:val="continue"/>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1040" w:type="dxa"/>
            <w:vAlign w:val="bottom"/>
            <w:gridSpan w:val="2"/>
          </w:tcPr>
          <w:p>
            <w:pPr>
              <w:jc w:val="right"/>
              <w:ind w:right="268"/>
              <w:spacing w:after="0" w:line="126" w:lineRule="exact"/>
              <w:rPr>
                <w:sz w:val="20"/>
                <w:szCs w:val="20"/>
                <w:color w:val="auto"/>
              </w:rPr>
            </w:pPr>
            <w:r>
              <w:rPr>
                <w:rFonts w:ascii="Arial" w:cs="Arial" w:eastAsia="Arial" w:hAnsi="Arial"/>
                <w:sz w:val="14"/>
                <w:szCs w:val="14"/>
                <w:b w:val="1"/>
                <w:bCs w:val="1"/>
                <w:color w:val="auto"/>
              </w:rPr>
              <w:t>30 Sep 10</w:t>
            </w:r>
          </w:p>
        </w:tc>
        <w:tc>
          <w:tcPr>
            <w:tcW w:w="1040" w:type="dxa"/>
            <w:vAlign w:val="bottom"/>
            <w:gridSpan w:val="2"/>
          </w:tcPr>
          <w:p>
            <w:pPr>
              <w:jc w:val="center"/>
              <w:ind w:right="240"/>
              <w:spacing w:after="0" w:line="126" w:lineRule="exact"/>
              <w:rPr>
                <w:sz w:val="20"/>
                <w:szCs w:val="20"/>
                <w:color w:val="auto"/>
              </w:rPr>
            </w:pPr>
            <w:r>
              <w:rPr>
                <w:rFonts w:ascii="Arial" w:cs="Arial" w:eastAsia="Arial" w:hAnsi="Arial"/>
                <w:sz w:val="14"/>
                <w:szCs w:val="14"/>
                <w:b w:val="1"/>
                <w:bCs w:val="1"/>
                <w:color w:val="auto"/>
                <w:w w:val="93"/>
              </w:rPr>
              <w:t>30 Jun 10</w:t>
            </w:r>
          </w:p>
        </w:tc>
        <w:tc>
          <w:tcPr>
            <w:tcW w:w="800" w:type="dxa"/>
            <w:vAlign w:val="bottom"/>
          </w:tcPr>
          <w:p>
            <w:pPr>
              <w:jc w:val="right"/>
              <w:ind w:right="28"/>
              <w:spacing w:after="0" w:line="126" w:lineRule="exact"/>
              <w:rPr>
                <w:sz w:val="20"/>
                <w:szCs w:val="20"/>
                <w:color w:val="auto"/>
              </w:rPr>
            </w:pPr>
            <w:r>
              <w:rPr>
                <w:rFonts w:ascii="Arial" w:cs="Arial" w:eastAsia="Arial" w:hAnsi="Arial"/>
                <w:sz w:val="14"/>
                <w:szCs w:val="14"/>
                <w:b w:val="1"/>
                <w:bCs w:val="1"/>
                <w:color w:val="auto"/>
              </w:rPr>
              <w:t>30 Sep 09</w:t>
            </w:r>
          </w:p>
        </w:tc>
        <w:tc>
          <w:tcPr>
            <w:tcW w:w="240" w:type="dxa"/>
            <w:vAlign w:val="bottom"/>
          </w:tcPr>
          <w:p>
            <w:pPr>
              <w:spacing w:after="0"/>
              <w:rPr>
                <w:sz w:val="10"/>
                <w:szCs w:val="10"/>
                <w:color w:val="auto"/>
              </w:rPr>
            </w:pPr>
          </w:p>
        </w:tc>
        <w:tc>
          <w:tcPr>
            <w:tcW w:w="104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Sep 10</w:t>
            </w:r>
          </w:p>
        </w:tc>
        <w:tc>
          <w:tcPr>
            <w:tcW w:w="104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Sep 09</w:t>
            </w:r>
          </w:p>
        </w:tc>
        <w:tc>
          <w:tcPr>
            <w:tcW w:w="10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QoQ</w:t>
            </w:r>
          </w:p>
        </w:tc>
        <w:tc>
          <w:tcPr>
            <w:tcW w:w="102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YoY</w:t>
            </w:r>
          </w:p>
        </w:tc>
        <w:tc>
          <w:tcPr>
            <w:tcW w:w="780" w:type="dxa"/>
            <w:vAlign w:val="bottom"/>
          </w:tcPr>
          <w:p>
            <w:pPr>
              <w:jc w:val="right"/>
              <w:ind w:right="88"/>
              <w:spacing w:after="0" w:line="126" w:lineRule="exact"/>
              <w:rPr>
                <w:sz w:val="20"/>
                <w:szCs w:val="20"/>
                <w:color w:val="auto"/>
              </w:rPr>
            </w:pPr>
            <w:r>
              <w:rPr>
                <w:rFonts w:ascii="Arial" w:cs="Arial" w:eastAsia="Arial" w:hAnsi="Arial"/>
                <w:sz w:val="14"/>
                <w:szCs w:val="14"/>
                <w:b w:val="1"/>
                <w:bCs w:val="1"/>
                <w:color w:val="auto"/>
              </w:rPr>
              <w:t>Sep 10 /</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1040" w:type="dxa"/>
            <w:vAlign w:val="bottom"/>
            <w:gridSpan w:val="2"/>
          </w:tcPr>
          <w:p>
            <w:pPr>
              <w:jc w:val="right"/>
              <w:ind w:right="408"/>
              <w:spacing w:after="0"/>
              <w:rPr>
                <w:sz w:val="20"/>
                <w:szCs w:val="20"/>
                <w:color w:val="auto"/>
              </w:rPr>
            </w:pPr>
            <w:r>
              <w:rPr>
                <w:rFonts w:ascii="Arial" w:cs="Arial" w:eastAsia="Arial" w:hAnsi="Arial"/>
                <w:sz w:val="14"/>
                <w:szCs w:val="14"/>
                <w:b w:val="1"/>
                <w:bCs w:val="1"/>
                <w:color w:val="auto"/>
              </w:rPr>
              <w:t>3Q10</w:t>
            </w: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2Q10</w:t>
            </w:r>
          </w:p>
        </w:tc>
        <w:tc>
          <w:tcPr>
            <w:tcW w:w="10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3Q09</w:t>
            </w:r>
          </w:p>
        </w:tc>
        <w:tc>
          <w:tcPr>
            <w:tcW w:w="1040" w:type="dxa"/>
            <w:vAlign w:val="bottom"/>
            <w:gridSpan w:val="2"/>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Sep 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Results</w:t>
            </w:r>
          </w:p>
        </w:tc>
        <w:tc>
          <w:tcPr>
            <w:tcW w:w="800" w:type="dxa"/>
            <w:vAlign w:val="bottom"/>
            <w:tcBorders>
              <w:top w:val="single" w:sz="8" w:color="auto"/>
            </w:tcBorders>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tcBorders>
              <w:top w:val="single" w:sz="8" w:color="auto"/>
            </w:tcBorders>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tcBorders>
              <w:top w:val="single" w:sz="8" w:color="auto"/>
            </w:tcBorders>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tcBorders>
              <w:top w:val="single" w:sz="8" w:color="auto"/>
            </w:tcBorders>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tcBorders>
              <w:top w:val="single" w:sz="8" w:color="auto"/>
            </w:tcBorders>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tcBorders>
              <w:top w:val="single" w:sz="8" w:color="auto"/>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780" w:type="dxa"/>
            <w:vAlign w:val="bottom"/>
            <w:tcBorders>
              <w:top w:val="single" w:sz="8" w:color="auto"/>
            </w:tcBorders>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780" w:type="dxa"/>
            <w:vAlign w:val="bottom"/>
            <w:tcBorders>
              <w:top w:val="single" w:sz="8" w:color="auto"/>
            </w:tcBorders>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ind w:left="160"/>
              <w:spacing w:after="0" w:line="149" w:lineRule="exact"/>
              <w:rPr>
                <w:sz w:val="20"/>
                <w:szCs w:val="20"/>
                <w:color w:val="auto"/>
              </w:rPr>
            </w:pPr>
            <w:r>
              <w:rPr>
                <w:rFonts w:ascii="Arial" w:cs="Arial" w:eastAsia="Arial" w:hAnsi="Arial"/>
                <w:sz w:val="14"/>
                <w:szCs w:val="14"/>
                <w:color w:val="auto"/>
              </w:rPr>
              <w:t>Total Premiums</w:t>
            </w:r>
          </w:p>
        </w:tc>
        <w:tc>
          <w:tcPr>
            <w:tcW w:w="104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202,871</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163,372</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148,718</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521,869</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436,128</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24.2%</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36.4%</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Ceded Premiums</w:t>
            </w:r>
          </w:p>
        </w:tc>
        <w:tc>
          <w:tcPr>
            <w:tcW w:w="1040" w:type="dxa"/>
            <w:vAlign w:val="bottom"/>
            <w:gridSpan w:val="2"/>
            <w:shd w:val="clear" w:color="auto" w:fill="CCFFCC"/>
          </w:tcPr>
          <w:p>
            <w:pPr>
              <w:jc w:val="right"/>
              <w:ind w:right="168"/>
              <w:spacing w:after="0" w:line="149" w:lineRule="exact"/>
              <w:rPr>
                <w:sz w:val="20"/>
                <w:szCs w:val="20"/>
                <w:color w:val="auto"/>
              </w:rPr>
            </w:pPr>
            <w:r>
              <w:rPr>
                <w:rFonts w:ascii="Arial" w:cs="Arial" w:eastAsia="Arial" w:hAnsi="Arial"/>
                <w:sz w:val="14"/>
                <w:szCs w:val="14"/>
                <w:color w:val="auto"/>
              </w:rPr>
              <w:t>37,986</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17,748</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19,637</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81,002</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66,775</w:t>
            </w:r>
          </w:p>
        </w:tc>
        <w:tc>
          <w:tcPr>
            <w:tcW w:w="10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114.0%</w:t>
            </w:r>
          </w:p>
        </w:tc>
        <w:tc>
          <w:tcPr>
            <w:tcW w:w="10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93.4%</w:t>
            </w:r>
          </w:p>
        </w:tc>
        <w:tc>
          <w:tcPr>
            <w:tcW w:w="9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21.3%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ind w:left="160"/>
              <w:spacing w:after="0" w:line="149" w:lineRule="exact"/>
              <w:rPr>
                <w:sz w:val="20"/>
                <w:szCs w:val="20"/>
                <w:color w:val="auto"/>
              </w:rPr>
            </w:pPr>
            <w:r>
              <w:rPr>
                <w:rFonts w:ascii="Arial" w:cs="Arial" w:eastAsia="Arial" w:hAnsi="Arial"/>
                <w:sz w:val="14"/>
                <w:szCs w:val="14"/>
                <w:color w:val="auto"/>
              </w:rPr>
              <w:t>Unearned premium reserves</w:t>
            </w:r>
          </w:p>
        </w:tc>
        <w:tc>
          <w:tcPr>
            <w:tcW w:w="104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40,675</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20,204</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16,341</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76,040</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48,985</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101.3%</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148.9%</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Net earned premiums</w:t>
            </w:r>
          </w:p>
        </w:tc>
        <w:tc>
          <w:tcPr>
            <w:tcW w:w="1040" w:type="dxa"/>
            <w:vAlign w:val="bottom"/>
            <w:gridSpan w:val="2"/>
            <w:shd w:val="clear" w:color="auto" w:fill="CCFFCC"/>
          </w:tcPr>
          <w:p>
            <w:pPr>
              <w:jc w:val="right"/>
              <w:ind w:right="168"/>
              <w:spacing w:after="0" w:line="149" w:lineRule="exact"/>
              <w:rPr>
                <w:sz w:val="20"/>
                <w:szCs w:val="20"/>
                <w:color w:val="auto"/>
              </w:rPr>
            </w:pPr>
            <w:r>
              <w:rPr>
                <w:rFonts w:ascii="Arial" w:cs="Arial" w:eastAsia="Arial" w:hAnsi="Arial"/>
                <w:sz w:val="14"/>
                <w:szCs w:val="14"/>
                <w:b w:val="1"/>
                <w:bCs w:val="1"/>
                <w:color w:val="auto"/>
              </w:rPr>
              <w:t>124,210</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125,420</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112,740</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364,827</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320,368</w:t>
            </w:r>
          </w:p>
        </w:tc>
        <w:tc>
          <w:tcPr>
            <w:tcW w:w="10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-1.0%</w:t>
            </w:r>
          </w:p>
        </w:tc>
        <w:tc>
          <w:tcPr>
            <w:tcW w:w="10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10.2%</w:t>
            </w:r>
          </w:p>
        </w:tc>
        <w:tc>
          <w:tcPr>
            <w:tcW w:w="9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ind w:left="160"/>
              <w:spacing w:after="0" w:line="149" w:lineRule="exact"/>
              <w:rPr>
                <w:sz w:val="20"/>
                <w:szCs w:val="20"/>
                <w:color w:val="auto"/>
              </w:rPr>
            </w:pPr>
            <w:r>
              <w:rPr>
                <w:rFonts w:ascii="Arial" w:cs="Arial" w:eastAsia="Arial" w:hAnsi="Arial"/>
                <w:sz w:val="14"/>
                <w:szCs w:val="14"/>
                <w:color w:val="auto"/>
              </w:rPr>
              <w:t>Direct claims</w:t>
            </w:r>
          </w:p>
        </w:tc>
        <w:tc>
          <w:tcPr>
            <w:tcW w:w="104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79,716</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76,990</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57,091</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251,550</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243,485</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3.5%</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39.6%</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Ceded claims</w:t>
            </w:r>
          </w:p>
        </w:tc>
        <w:tc>
          <w:tcPr>
            <w:tcW w:w="1040" w:type="dxa"/>
            <w:vAlign w:val="bottom"/>
            <w:gridSpan w:val="2"/>
            <w:shd w:val="clear" w:color="auto" w:fill="CCFFCC"/>
          </w:tcPr>
          <w:p>
            <w:pPr>
              <w:jc w:val="right"/>
              <w:ind w:right="168"/>
              <w:spacing w:after="0" w:line="149" w:lineRule="exact"/>
              <w:rPr>
                <w:sz w:val="20"/>
                <w:szCs w:val="20"/>
                <w:color w:val="auto"/>
              </w:rPr>
            </w:pPr>
            <w:r>
              <w:rPr>
                <w:rFonts w:ascii="Arial" w:cs="Arial" w:eastAsia="Arial" w:hAnsi="Arial"/>
                <w:sz w:val="14"/>
                <w:szCs w:val="14"/>
                <w:color w:val="auto"/>
              </w:rPr>
              <w:t>3,233</w:t>
            </w:r>
          </w:p>
        </w:tc>
        <w:tc>
          <w:tcPr>
            <w:tcW w:w="8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932</w:t>
            </w:r>
          </w:p>
        </w:tc>
        <w:tc>
          <w:tcPr>
            <w:tcW w:w="24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(15,856)</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20,467</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27,106</w:t>
            </w:r>
          </w:p>
        </w:tc>
        <w:tc>
          <w:tcPr>
            <w:tcW w:w="10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246.8%</w:t>
            </w:r>
          </w:p>
        </w:tc>
        <w:tc>
          <w:tcPr>
            <w:tcW w:w="10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120.4%</w:t>
            </w:r>
          </w:p>
        </w:tc>
        <w:tc>
          <w:tcPr>
            <w:tcW w:w="9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-24.5%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Arial" w:cs="Arial" w:eastAsia="Arial" w:hAnsi="Arial"/>
                <w:sz w:val="14"/>
                <w:szCs w:val="14"/>
                <w:b w:val="1"/>
                <w:bCs w:val="1"/>
                <w:color w:val="auto"/>
              </w:rPr>
              <w:t>Net claims</w:t>
            </w:r>
          </w:p>
        </w:tc>
        <w:tc>
          <w:tcPr>
            <w:tcW w:w="1040" w:type="dxa"/>
            <w:vAlign w:val="bottom"/>
            <w:gridSpan w:val="2"/>
          </w:tcPr>
          <w:p>
            <w:pPr>
              <w:jc w:val="right"/>
              <w:ind w:right="168"/>
              <w:spacing w:after="0" w:line="149" w:lineRule="exact"/>
              <w:rPr>
                <w:sz w:val="20"/>
                <w:szCs w:val="20"/>
                <w:color w:val="auto"/>
              </w:rPr>
            </w:pPr>
            <w:r>
              <w:rPr>
                <w:rFonts w:ascii="Arial" w:cs="Arial" w:eastAsia="Arial" w:hAnsi="Arial"/>
                <w:sz w:val="14"/>
                <w:szCs w:val="14"/>
                <w:b w:val="1"/>
                <w:bCs w:val="1"/>
                <w:color w:val="auto"/>
              </w:rPr>
              <w:t>76,483</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76,058</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72,947</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231,083</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216,380</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0.6%</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4.8%</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Direct commissions</w:t>
            </w:r>
          </w:p>
        </w:tc>
        <w:tc>
          <w:tcPr>
            <w:tcW w:w="1040" w:type="dxa"/>
            <w:vAlign w:val="bottom"/>
            <w:gridSpan w:val="2"/>
            <w:shd w:val="clear" w:color="auto" w:fill="CCFFCC"/>
          </w:tcPr>
          <w:p>
            <w:pPr>
              <w:jc w:val="right"/>
              <w:ind w:right="168"/>
              <w:spacing w:after="0" w:line="149" w:lineRule="exact"/>
              <w:rPr>
                <w:sz w:val="20"/>
                <w:szCs w:val="20"/>
                <w:color w:val="auto"/>
              </w:rPr>
            </w:pPr>
            <w:r>
              <w:rPr>
                <w:rFonts w:ascii="Arial" w:cs="Arial" w:eastAsia="Arial" w:hAnsi="Arial"/>
                <w:sz w:val="14"/>
                <w:szCs w:val="14"/>
                <w:color w:val="auto"/>
              </w:rPr>
              <w:t>21,709</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19,901</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17,029</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59,757</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51,169</w:t>
            </w:r>
          </w:p>
        </w:tc>
        <w:tc>
          <w:tcPr>
            <w:tcW w:w="10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9.1%</w:t>
            </w:r>
          </w:p>
        </w:tc>
        <w:tc>
          <w:tcPr>
            <w:tcW w:w="10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27.5%</w:t>
            </w:r>
          </w:p>
        </w:tc>
        <w:tc>
          <w:tcPr>
            <w:tcW w:w="9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ind w:left="160"/>
              <w:spacing w:after="0" w:line="149" w:lineRule="exact"/>
              <w:rPr>
                <w:sz w:val="20"/>
                <w:szCs w:val="20"/>
                <w:color w:val="auto"/>
              </w:rPr>
            </w:pPr>
            <w:r>
              <w:rPr>
                <w:rFonts w:ascii="Arial" w:cs="Arial" w:eastAsia="Arial" w:hAnsi="Arial"/>
                <w:sz w:val="14"/>
                <w:szCs w:val="14"/>
                <w:color w:val="auto"/>
              </w:rPr>
              <w:t>Commissions received</w:t>
            </w:r>
          </w:p>
        </w:tc>
        <w:tc>
          <w:tcPr>
            <w:tcW w:w="104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3,212</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2,766</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2,420</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8,397</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7,170</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16.1%</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32.7%</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Net commissions</w:t>
            </w:r>
          </w:p>
        </w:tc>
        <w:tc>
          <w:tcPr>
            <w:tcW w:w="1040" w:type="dxa"/>
            <w:vAlign w:val="bottom"/>
            <w:gridSpan w:val="2"/>
            <w:shd w:val="clear" w:color="auto" w:fill="CCFFCC"/>
          </w:tcPr>
          <w:p>
            <w:pPr>
              <w:jc w:val="right"/>
              <w:ind w:right="168"/>
              <w:spacing w:after="0" w:line="149" w:lineRule="exact"/>
              <w:rPr>
                <w:sz w:val="20"/>
                <w:szCs w:val="20"/>
                <w:color w:val="auto"/>
              </w:rPr>
            </w:pPr>
            <w:r>
              <w:rPr>
                <w:rFonts w:ascii="Arial" w:cs="Arial" w:eastAsia="Arial" w:hAnsi="Arial"/>
                <w:sz w:val="14"/>
                <w:szCs w:val="14"/>
                <w:b w:val="1"/>
                <w:bCs w:val="1"/>
                <w:color w:val="auto"/>
              </w:rPr>
              <w:t>18,497</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17,135</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14,609</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51,359</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43,999</w:t>
            </w:r>
          </w:p>
        </w:tc>
        <w:tc>
          <w:tcPr>
            <w:tcW w:w="10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7.9%</w:t>
            </w:r>
          </w:p>
        </w:tc>
        <w:tc>
          <w:tcPr>
            <w:tcW w:w="10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26.6%</w:t>
            </w:r>
          </w:p>
        </w:tc>
        <w:tc>
          <w:tcPr>
            <w:tcW w:w="9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ind w:left="160"/>
              <w:spacing w:after="0" w:line="149" w:lineRule="exact"/>
              <w:rPr>
                <w:sz w:val="20"/>
                <w:szCs w:val="20"/>
                <w:color w:val="auto"/>
              </w:rPr>
            </w:pPr>
            <w:r>
              <w:rPr>
                <w:rFonts w:ascii="Arial" w:cs="Arial" w:eastAsia="Arial" w:hAnsi="Arial"/>
                <w:sz w:val="14"/>
                <w:szCs w:val="14"/>
                <w:color w:val="auto"/>
              </w:rPr>
              <w:t>Technical expenses</w:t>
            </w:r>
          </w:p>
        </w:tc>
        <w:tc>
          <w:tcPr>
            <w:tcW w:w="104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7,556</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6,437</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6,099</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20,658</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17,509</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17.4%</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23.9%</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Technical resolves</w:t>
            </w:r>
          </w:p>
        </w:tc>
        <w:tc>
          <w:tcPr>
            <w:tcW w:w="1040" w:type="dxa"/>
            <w:vAlign w:val="bottom"/>
            <w:gridSpan w:val="2"/>
            <w:shd w:val="clear" w:color="auto" w:fill="CCFFCC"/>
          </w:tcPr>
          <w:p>
            <w:pPr>
              <w:jc w:val="right"/>
              <w:ind w:right="168"/>
              <w:spacing w:after="0" w:line="149" w:lineRule="exact"/>
              <w:rPr>
                <w:sz w:val="20"/>
                <w:szCs w:val="20"/>
                <w:color w:val="auto"/>
              </w:rPr>
            </w:pPr>
            <w:r>
              <w:rPr>
                <w:rFonts w:ascii="Arial" w:cs="Arial" w:eastAsia="Arial" w:hAnsi="Arial"/>
                <w:sz w:val="14"/>
                <w:szCs w:val="14"/>
                <w:color w:val="auto"/>
              </w:rPr>
              <w:t>2,531</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1,962</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3,549</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7,397</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8,453</w:t>
            </w:r>
          </w:p>
        </w:tc>
        <w:tc>
          <w:tcPr>
            <w:tcW w:w="10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29.0%</w:t>
            </w:r>
          </w:p>
        </w:tc>
        <w:tc>
          <w:tcPr>
            <w:tcW w:w="10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-28.7%</w:t>
            </w:r>
          </w:p>
        </w:tc>
        <w:tc>
          <w:tcPr>
            <w:tcW w:w="9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Arial" w:cs="Arial" w:eastAsia="Arial" w:hAnsi="Arial"/>
                <w:sz w:val="14"/>
                <w:szCs w:val="14"/>
                <w:b w:val="1"/>
                <w:bCs w:val="1"/>
                <w:color w:val="auto"/>
              </w:rPr>
              <w:t>Net technical expenses</w:t>
            </w:r>
          </w:p>
        </w:tc>
        <w:tc>
          <w:tcPr>
            <w:tcW w:w="1040" w:type="dxa"/>
            <w:vAlign w:val="bottom"/>
            <w:gridSpan w:val="2"/>
          </w:tcPr>
          <w:p>
            <w:pPr>
              <w:jc w:val="right"/>
              <w:ind w:right="168"/>
              <w:spacing w:after="0" w:line="149" w:lineRule="exact"/>
              <w:rPr>
                <w:sz w:val="20"/>
                <w:szCs w:val="20"/>
                <w:color w:val="auto"/>
              </w:rPr>
            </w:pPr>
            <w:r>
              <w:rPr>
                <w:rFonts w:ascii="Arial" w:cs="Arial" w:eastAsia="Arial" w:hAnsi="Arial"/>
                <w:sz w:val="14"/>
                <w:szCs w:val="14"/>
                <w:b w:val="1"/>
                <w:bCs w:val="1"/>
                <w:color w:val="auto"/>
              </w:rPr>
              <w:t>5,025</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4,475</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2,550</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13,261</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9,056</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12.3%</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97.1%</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Underwriting results</w:t>
            </w:r>
          </w:p>
        </w:tc>
        <w:tc>
          <w:tcPr>
            <w:tcW w:w="1040" w:type="dxa"/>
            <w:vAlign w:val="bottom"/>
            <w:gridSpan w:val="2"/>
            <w:shd w:val="clear" w:color="auto" w:fill="CCFFCC"/>
          </w:tcPr>
          <w:p>
            <w:pPr>
              <w:jc w:val="right"/>
              <w:ind w:right="168"/>
              <w:spacing w:after="0" w:line="149" w:lineRule="exact"/>
              <w:rPr>
                <w:sz w:val="20"/>
                <w:szCs w:val="20"/>
                <w:color w:val="auto"/>
              </w:rPr>
            </w:pPr>
            <w:r>
              <w:rPr>
                <w:rFonts w:ascii="Arial" w:cs="Arial" w:eastAsia="Arial" w:hAnsi="Arial"/>
                <w:sz w:val="14"/>
                <w:szCs w:val="14"/>
                <w:b w:val="1"/>
                <w:bCs w:val="1"/>
                <w:color w:val="auto"/>
              </w:rPr>
              <w:t>24,205</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27,753</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22,634</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69,124</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50,934</w:t>
            </w:r>
          </w:p>
        </w:tc>
        <w:tc>
          <w:tcPr>
            <w:tcW w:w="10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-12.8%</w:t>
            </w:r>
          </w:p>
        </w:tc>
        <w:tc>
          <w:tcPr>
            <w:tcW w:w="10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6.9%</w:t>
            </w:r>
          </w:p>
        </w:tc>
        <w:tc>
          <w:tcPr>
            <w:tcW w:w="9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35.7%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Financial income</w:t>
            </w:r>
          </w:p>
        </w:tc>
        <w:tc>
          <w:tcPr>
            <w:tcW w:w="1040" w:type="dxa"/>
            <w:vAlign w:val="bottom"/>
            <w:gridSpan w:val="2"/>
            <w:shd w:val="clear" w:color="auto" w:fill="CCFFCC"/>
          </w:tcPr>
          <w:p>
            <w:pPr>
              <w:jc w:val="right"/>
              <w:ind w:right="168"/>
              <w:spacing w:after="0" w:line="149" w:lineRule="exact"/>
              <w:rPr>
                <w:sz w:val="20"/>
                <w:szCs w:val="20"/>
                <w:color w:val="auto"/>
              </w:rPr>
            </w:pPr>
            <w:r>
              <w:rPr>
                <w:rFonts w:ascii="Arial" w:cs="Arial" w:eastAsia="Arial" w:hAnsi="Arial"/>
                <w:sz w:val="14"/>
                <w:szCs w:val="14"/>
                <w:color w:val="auto"/>
              </w:rPr>
              <w:t>17,766</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17,690</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15,774</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53,254</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45,428</w:t>
            </w:r>
          </w:p>
        </w:tc>
        <w:tc>
          <w:tcPr>
            <w:tcW w:w="10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0.4%</w:t>
            </w:r>
          </w:p>
        </w:tc>
        <w:tc>
          <w:tcPr>
            <w:tcW w:w="10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12.6%</w:t>
            </w:r>
          </w:p>
        </w:tc>
        <w:tc>
          <w:tcPr>
            <w:tcW w:w="9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ind w:left="160"/>
              <w:spacing w:after="0" w:line="149" w:lineRule="exact"/>
              <w:rPr>
                <w:sz w:val="20"/>
                <w:szCs w:val="20"/>
                <w:color w:val="auto"/>
              </w:rPr>
            </w:pPr>
            <w:r>
              <w:rPr>
                <w:rFonts w:ascii="Arial" w:cs="Arial" w:eastAsia="Arial" w:hAnsi="Arial"/>
                <w:sz w:val="14"/>
                <w:szCs w:val="14"/>
                <w:color w:val="auto"/>
              </w:rPr>
              <w:t>Gains on sale of real state and secutirities</w:t>
            </w:r>
          </w:p>
        </w:tc>
        <w:tc>
          <w:tcPr>
            <w:tcW w:w="104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5,768</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3,372</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4,122</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12,223</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9,910</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71.0%</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39.9%</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Net property and rental income</w:t>
            </w:r>
          </w:p>
        </w:tc>
        <w:tc>
          <w:tcPr>
            <w:tcW w:w="1040" w:type="dxa"/>
            <w:vAlign w:val="bottom"/>
            <w:gridSpan w:val="2"/>
            <w:shd w:val="clear" w:color="auto" w:fill="CCFFCC"/>
          </w:tcPr>
          <w:p>
            <w:pPr>
              <w:jc w:val="right"/>
              <w:ind w:right="168"/>
              <w:spacing w:after="0" w:line="149" w:lineRule="exact"/>
              <w:rPr>
                <w:sz w:val="20"/>
                <w:szCs w:val="20"/>
                <w:color w:val="auto"/>
              </w:rPr>
            </w:pPr>
            <w:r>
              <w:rPr>
                <w:rFonts w:ascii="Arial" w:cs="Arial" w:eastAsia="Arial" w:hAnsi="Arial"/>
                <w:sz w:val="14"/>
                <w:szCs w:val="14"/>
                <w:color w:val="auto"/>
              </w:rPr>
              <w:t>1,117</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1,150</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1,136</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3,453</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2,879</w:t>
            </w:r>
          </w:p>
        </w:tc>
        <w:tc>
          <w:tcPr>
            <w:tcW w:w="10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-2.8%</w:t>
            </w:r>
          </w:p>
        </w:tc>
        <w:tc>
          <w:tcPr>
            <w:tcW w:w="10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-1.6%</w:t>
            </w:r>
          </w:p>
        </w:tc>
        <w:tc>
          <w:tcPr>
            <w:tcW w:w="9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ind w:left="160"/>
              <w:spacing w:after="0" w:line="149" w:lineRule="exact"/>
              <w:rPr>
                <w:sz w:val="20"/>
                <w:szCs w:val="20"/>
                <w:color w:val="auto"/>
              </w:rPr>
            </w:pPr>
            <w:r>
              <w:rPr>
                <w:rFonts w:ascii="Arial" w:cs="Arial" w:eastAsia="Arial" w:hAnsi="Arial"/>
                <w:sz w:val="14"/>
                <w:szCs w:val="14"/>
                <w:color w:val="auto"/>
              </w:rPr>
              <w:t>(-) Financial expenses</w:t>
            </w:r>
          </w:p>
        </w:tc>
        <w:tc>
          <w:tcPr>
            <w:tcW w:w="104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(621)</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1,295</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412</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1,148</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1,524</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-147.9%</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-250.7%</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Financial income, net</w:t>
            </w:r>
          </w:p>
        </w:tc>
        <w:tc>
          <w:tcPr>
            <w:tcW w:w="1040" w:type="dxa"/>
            <w:vAlign w:val="bottom"/>
            <w:gridSpan w:val="2"/>
            <w:shd w:val="clear" w:color="auto" w:fill="CCFFCC"/>
          </w:tcPr>
          <w:p>
            <w:pPr>
              <w:jc w:val="right"/>
              <w:ind w:right="168"/>
              <w:spacing w:after="0" w:line="149" w:lineRule="exact"/>
              <w:rPr>
                <w:sz w:val="20"/>
                <w:szCs w:val="20"/>
                <w:color w:val="auto"/>
              </w:rPr>
            </w:pPr>
            <w:r>
              <w:rPr>
                <w:rFonts w:ascii="Arial" w:cs="Arial" w:eastAsia="Arial" w:hAnsi="Arial"/>
                <w:sz w:val="14"/>
                <w:szCs w:val="14"/>
                <w:b w:val="1"/>
                <w:bCs w:val="1"/>
                <w:color w:val="auto"/>
              </w:rPr>
              <w:t>25,272</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20,917</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20,620</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67,781</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56,693</w:t>
            </w:r>
          </w:p>
        </w:tc>
        <w:tc>
          <w:tcPr>
            <w:tcW w:w="10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20.8%</w:t>
            </w:r>
          </w:p>
        </w:tc>
        <w:tc>
          <w:tcPr>
            <w:tcW w:w="10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22.6%</w:t>
            </w:r>
          </w:p>
        </w:tc>
        <w:tc>
          <w:tcPr>
            <w:tcW w:w="9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Salaries and benefits</w:t>
            </w:r>
          </w:p>
        </w:tc>
        <w:tc>
          <w:tcPr>
            <w:tcW w:w="1040" w:type="dxa"/>
            <w:vAlign w:val="bottom"/>
            <w:gridSpan w:val="2"/>
            <w:shd w:val="clear" w:color="auto" w:fill="CCFFCC"/>
          </w:tcPr>
          <w:p>
            <w:pPr>
              <w:jc w:val="right"/>
              <w:ind w:right="168"/>
              <w:spacing w:after="0" w:line="149" w:lineRule="exact"/>
              <w:rPr>
                <w:sz w:val="20"/>
                <w:szCs w:val="20"/>
                <w:color w:val="auto"/>
              </w:rPr>
            </w:pPr>
            <w:r>
              <w:rPr>
                <w:rFonts w:ascii="Arial" w:cs="Arial" w:eastAsia="Arial" w:hAnsi="Arial"/>
                <w:sz w:val="14"/>
                <w:szCs w:val="14"/>
                <w:b w:val="1"/>
                <w:bCs w:val="1"/>
                <w:color w:val="auto"/>
              </w:rPr>
              <w:t>14,768</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13,995</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11,752</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41,774</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32,454</w:t>
            </w:r>
          </w:p>
        </w:tc>
        <w:tc>
          <w:tcPr>
            <w:tcW w:w="10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5.5%</w:t>
            </w:r>
          </w:p>
        </w:tc>
        <w:tc>
          <w:tcPr>
            <w:tcW w:w="10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25.7%</w:t>
            </w:r>
          </w:p>
        </w:tc>
        <w:tc>
          <w:tcPr>
            <w:tcW w:w="9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28.7%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ind w:left="160"/>
              <w:spacing w:after="0" w:line="149" w:lineRule="exact"/>
              <w:rPr>
                <w:sz w:val="20"/>
                <w:szCs w:val="20"/>
                <w:color w:val="auto"/>
              </w:rPr>
            </w:pPr>
            <w:r>
              <w:rPr>
                <w:rFonts w:ascii="Arial" w:cs="Arial" w:eastAsia="Arial" w:hAnsi="Arial"/>
                <w:sz w:val="14"/>
                <w:szCs w:val="14"/>
                <w:color w:val="auto"/>
              </w:rPr>
              <w:t>Administrative expenses</w:t>
            </w:r>
          </w:p>
        </w:tc>
        <w:tc>
          <w:tcPr>
            <w:tcW w:w="1040" w:type="dxa"/>
            <w:vAlign w:val="bottom"/>
            <w:gridSpan w:val="2"/>
          </w:tcPr>
          <w:p>
            <w:pPr>
              <w:jc w:val="right"/>
              <w:ind w:right="168"/>
              <w:spacing w:after="0" w:line="149" w:lineRule="exact"/>
              <w:rPr>
                <w:sz w:val="20"/>
                <w:szCs w:val="20"/>
                <w:color w:val="auto"/>
              </w:rPr>
            </w:pPr>
            <w:r>
              <w:rPr>
                <w:rFonts w:ascii="Arial" w:cs="Arial" w:eastAsia="Arial" w:hAnsi="Arial"/>
                <w:sz w:val="14"/>
                <w:szCs w:val="14"/>
                <w:b w:val="1"/>
                <w:bCs w:val="1"/>
                <w:color w:val="auto"/>
              </w:rPr>
              <w:t>14,593</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11,126</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11,117</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35,639</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27,649</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31.2%</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31.3%</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FFCC"/>
          </w:tcPr>
          <w:p>
            <w:pPr>
              <w:ind w:left="320"/>
              <w:spacing w:after="0" w:line="149" w:lineRule="exact"/>
              <w:rPr>
                <w:sz w:val="20"/>
                <w:szCs w:val="20"/>
                <w:color w:val="auto"/>
              </w:rPr>
            </w:pPr>
            <w:r>
              <w:rPr>
                <w:rFonts w:ascii="Arial" w:cs="Arial" w:eastAsia="Arial" w:hAnsi="Arial"/>
                <w:sz w:val="14"/>
                <w:szCs w:val="14"/>
                <w:color w:val="auto"/>
              </w:rPr>
              <w:t>Third party services</w:t>
            </w:r>
          </w:p>
        </w:tc>
        <w:tc>
          <w:tcPr>
            <w:tcW w:w="1040" w:type="dxa"/>
            <w:vAlign w:val="bottom"/>
            <w:gridSpan w:val="2"/>
            <w:shd w:val="clear" w:color="auto" w:fill="CCFFCC"/>
          </w:tcPr>
          <w:p>
            <w:pPr>
              <w:jc w:val="right"/>
              <w:ind w:right="168"/>
              <w:spacing w:after="0" w:line="149" w:lineRule="exact"/>
              <w:rPr>
                <w:sz w:val="20"/>
                <w:szCs w:val="20"/>
                <w:color w:val="auto"/>
              </w:rPr>
            </w:pPr>
            <w:r>
              <w:rPr>
                <w:rFonts w:ascii="Arial" w:cs="Arial" w:eastAsia="Arial" w:hAnsi="Arial"/>
                <w:sz w:val="14"/>
                <w:szCs w:val="14"/>
                <w:color w:val="auto"/>
              </w:rPr>
              <w:t>6,841</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5,357</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4,531</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17,017</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12,767</w:t>
            </w:r>
          </w:p>
        </w:tc>
        <w:tc>
          <w:tcPr>
            <w:tcW w:w="10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27.7%</w:t>
            </w:r>
          </w:p>
        </w:tc>
        <w:tc>
          <w:tcPr>
            <w:tcW w:w="10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51.0%</w:t>
            </w:r>
          </w:p>
        </w:tc>
        <w:tc>
          <w:tcPr>
            <w:tcW w:w="9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33.3%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ind w:left="320"/>
              <w:spacing w:after="0" w:line="149" w:lineRule="exact"/>
              <w:rPr>
                <w:sz w:val="20"/>
                <w:szCs w:val="20"/>
                <w:color w:val="auto"/>
              </w:rPr>
            </w:pPr>
            <w:r>
              <w:rPr>
                <w:rFonts w:ascii="Arial" w:cs="Arial" w:eastAsia="Arial" w:hAnsi="Arial"/>
                <w:sz w:val="14"/>
                <w:szCs w:val="14"/>
                <w:color w:val="auto"/>
              </w:rPr>
              <w:t>Management expenses</w:t>
            </w:r>
          </w:p>
        </w:tc>
        <w:tc>
          <w:tcPr>
            <w:tcW w:w="104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2,544</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2,285</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1,602</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7,032</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5,111</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11.3%</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58.7%</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FFCC"/>
          </w:tcPr>
          <w:p>
            <w:pPr>
              <w:ind w:left="320"/>
              <w:spacing w:after="0" w:line="149" w:lineRule="exact"/>
              <w:rPr>
                <w:sz w:val="20"/>
                <w:szCs w:val="20"/>
                <w:color w:val="auto"/>
              </w:rPr>
            </w:pPr>
            <w:r>
              <w:rPr>
                <w:rFonts w:ascii="Arial" w:cs="Arial" w:eastAsia="Arial" w:hAnsi="Arial"/>
                <w:sz w:val="14"/>
                <w:szCs w:val="14"/>
                <w:color w:val="auto"/>
              </w:rPr>
              <w:t>Provisions</w:t>
            </w:r>
          </w:p>
        </w:tc>
        <w:tc>
          <w:tcPr>
            <w:tcW w:w="1040" w:type="dxa"/>
            <w:vAlign w:val="bottom"/>
            <w:gridSpan w:val="2"/>
            <w:shd w:val="clear" w:color="auto" w:fill="CCFFCC"/>
          </w:tcPr>
          <w:p>
            <w:pPr>
              <w:jc w:val="right"/>
              <w:ind w:right="168"/>
              <w:spacing w:after="0" w:line="149" w:lineRule="exact"/>
              <w:rPr>
                <w:sz w:val="20"/>
                <w:szCs w:val="20"/>
                <w:color w:val="auto"/>
              </w:rPr>
            </w:pPr>
            <w:r>
              <w:rPr>
                <w:rFonts w:ascii="Arial" w:cs="Arial" w:eastAsia="Arial" w:hAnsi="Arial"/>
                <w:sz w:val="14"/>
                <w:szCs w:val="14"/>
                <w:color w:val="auto"/>
              </w:rPr>
              <w:t>1,796</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1,609</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1,751</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4,900</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4,259</w:t>
            </w:r>
          </w:p>
        </w:tc>
        <w:tc>
          <w:tcPr>
            <w:tcW w:w="10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11.6%</w:t>
            </w:r>
          </w:p>
        </w:tc>
        <w:tc>
          <w:tcPr>
            <w:tcW w:w="10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2.6%</w:t>
            </w:r>
          </w:p>
        </w:tc>
        <w:tc>
          <w:tcPr>
            <w:tcW w:w="9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ind w:left="320"/>
              <w:spacing w:after="0" w:line="149" w:lineRule="exact"/>
              <w:rPr>
                <w:sz w:val="20"/>
                <w:szCs w:val="20"/>
                <w:color w:val="auto"/>
              </w:rPr>
            </w:pPr>
            <w:r>
              <w:rPr>
                <w:rFonts w:ascii="Arial" w:cs="Arial" w:eastAsia="Arial" w:hAnsi="Arial"/>
                <w:sz w:val="14"/>
                <w:szCs w:val="14"/>
                <w:color w:val="auto"/>
              </w:rPr>
              <w:t>Taxes</w:t>
            </w:r>
          </w:p>
        </w:tc>
        <w:tc>
          <w:tcPr>
            <w:tcW w:w="104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1,384</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1,120</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1,382</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3,960</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3,744</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23.6%</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0.2%</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FFCC"/>
          </w:tcPr>
          <w:p>
            <w:pPr>
              <w:ind w:left="320"/>
              <w:spacing w:after="0" w:line="149" w:lineRule="exact"/>
              <w:rPr>
                <w:sz w:val="20"/>
                <w:szCs w:val="20"/>
                <w:color w:val="auto"/>
              </w:rPr>
            </w:pPr>
            <w:r>
              <w:rPr>
                <w:rFonts w:ascii="Arial" w:cs="Arial" w:eastAsia="Arial" w:hAnsi="Arial"/>
                <w:sz w:val="14"/>
                <w:szCs w:val="14"/>
                <w:color w:val="auto"/>
              </w:rPr>
              <w:t>Other expenses</w:t>
            </w:r>
          </w:p>
        </w:tc>
        <w:tc>
          <w:tcPr>
            <w:tcW w:w="1040" w:type="dxa"/>
            <w:vAlign w:val="bottom"/>
            <w:gridSpan w:val="2"/>
            <w:shd w:val="clear" w:color="auto" w:fill="CCFFCC"/>
          </w:tcPr>
          <w:p>
            <w:pPr>
              <w:jc w:val="right"/>
              <w:ind w:right="168"/>
              <w:spacing w:after="0" w:line="149" w:lineRule="exact"/>
              <w:rPr>
                <w:sz w:val="20"/>
                <w:szCs w:val="20"/>
                <w:color w:val="auto"/>
              </w:rPr>
            </w:pPr>
            <w:r>
              <w:rPr>
                <w:rFonts w:ascii="Arial" w:cs="Arial" w:eastAsia="Arial" w:hAnsi="Arial"/>
                <w:sz w:val="14"/>
                <w:szCs w:val="14"/>
                <w:color w:val="auto"/>
              </w:rPr>
              <w:t>2,029</w:t>
            </w:r>
          </w:p>
        </w:tc>
        <w:tc>
          <w:tcPr>
            <w:tcW w:w="8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755</w:t>
            </w:r>
          </w:p>
        </w:tc>
        <w:tc>
          <w:tcPr>
            <w:tcW w:w="24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1,851</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2,730</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1,767</w:t>
            </w:r>
          </w:p>
        </w:tc>
        <w:tc>
          <w:tcPr>
            <w:tcW w:w="10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168.7%</w:t>
            </w:r>
          </w:p>
        </w:tc>
        <w:tc>
          <w:tcPr>
            <w:tcW w:w="10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9.6%</w:t>
            </w:r>
          </w:p>
        </w:tc>
        <w:tc>
          <w:tcPr>
            <w:tcW w:w="9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54.5%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Arial" w:cs="Arial" w:eastAsia="Arial" w:hAnsi="Arial"/>
                <w:sz w:val="14"/>
                <w:szCs w:val="14"/>
                <w:b w:val="1"/>
                <w:bCs w:val="1"/>
                <w:color w:val="auto"/>
              </w:rPr>
              <w:t>General expenses</w:t>
            </w:r>
          </w:p>
        </w:tc>
        <w:tc>
          <w:tcPr>
            <w:tcW w:w="1040" w:type="dxa"/>
            <w:vAlign w:val="bottom"/>
            <w:gridSpan w:val="2"/>
          </w:tcPr>
          <w:p>
            <w:pPr>
              <w:jc w:val="right"/>
              <w:ind w:right="168"/>
              <w:spacing w:after="0" w:line="149" w:lineRule="exact"/>
              <w:rPr>
                <w:sz w:val="20"/>
                <w:szCs w:val="20"/>
                <w:color w:val="auto"/>
              </w:rPr>
            </w:pPr>
            <w:r>
              <w:rPr>
                <w:rFonts w:ascii="Arial" w:cs="Arial" w:eastAsia="Arial" w:hAnsi="Arial"/>
                <w:sz w:val="14"/>
                <w:szCs w:val="14"/>
                <w:b w:val="1"/>
                <w:bCs w:val="1"/>
                <w:color w:val="auto"/>
              </w:rPr>
              <w:t>29,360</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25,121</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22,869</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77,413</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60,103</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16.9%</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28.4%</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26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60" w:type="dxa"/>
            <w:vAlign w:val="bottom"/>
          </w:tcPr>
          <w:p>
            <w:pPr>
              <w:spacing w:after="0" w:line="149" w:lineRule="exact"/>
              <w:rPr>
                <w:sz w:val="20"/>
                <w:szCs w:val="20"/>
                <w:color w:val="auto"/>
              </w:rPr>
            </w:pPr>
            <w:r>
              <w:rPr>
                <w:rFonts w:ascii="Arial" w:cs="Arial" w:eastAsia="Arial" w:hAnsi="Arial"/>
                <w:sz w:val="14"/>
                <w:szCs w:val="14"/>
                <w:color w:val="auto"/>
              </w:rPr>
              <w:t>Other income</w:t>
            </w:r>
          </w:p>
        </w:tc>
        <w:tc>
          <w:tcPr>
            <w:tcW w:w="104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20</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343</w:t>
            </w:r>
          </w:p>
        </w:tc>
        <w:tc>
          <w:tcPr>
            <w:tcW w:w="24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(92)</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574</w:t>
            </w:r>
          </w:p>
        </w:tc>
        <w:tc>
          <w:tcPr>
            <w:tcW w:w="240" w:type="dxa"/>
            <w:vAlign w:val="bottom"/>
          </w:tcPr>
          <w:p>
            <w:pPr>
              <w:spacing w:after="0"/>
              <w:rPr>
                <w:sz w:val="12"/>
                <w:szCs w:val="12"/>
                <w:color w:val="auto"/>
              </w:rPr>
            </w:pP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832</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-94.3%</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121.3%</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Traslations results</w:t>
            </w:r>
          </w:p>
        </w:tc>
        <w:tc>
          <w:tcPr>
            <w:tcW w:w="1040" w:type="dxa"/>
            <w:vAlign w:val="bottom"/>
            <w:gridSpan w:val="2"/>
            <w:shd w:val="clear" w:color="auto" w:fill="CCFFCC"/>
          </w:tcPr>
          <w:p>
            <w:pPr>
              <w:jc w:val="right"/>
              <w:ind w:right="168"/>
              <w:spacing w:after="0" w:line="149" w:lineRule="exact"/>
              <w:rPr>
                <w:sz w:val="20"/>
                <w:szCs w:val="20"/>
                <w:color w:val="auto"/>
              </w:rPr>
            </w:pPr>
            <w:r>
              <w:rPr>
                <w:rFonts w:ascii="Arial" w:cs="Arial" w:eastAsia="Arial" w:hAnsi="Arial"/>
                <w:sz w:val="14"/>
                <w:szCs w:val="14"/>
                <w:color w:val="auto"/>
              </w:rPr>
              <w:t>1,516</w:t>
            </w:r>
          </w:p>
        </w:tc>
        <w:tc>
          <w:tcPr>
            <w:tcW w:w="8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529</w:t>
            </w:r>
          </w:p>
        </w:tc>
        <w:tc>
          <w:tcPr>
            <w:tcW w:w="24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1,879</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3,049</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4,092</w:t>
            </w:r>
          </w:p>
        </w:tc>
        <w:tc>
          <w:tcPr>
            <w:tcW w:w="10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186.8%</w:t>
            </w:r>
          </w:p>
        </w:tc>
        <w:tc>
          <w:tcPr>
            <w:tcW w:w="10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-19.3%</w:t>
            </w:r>
          </w:p>
        </w:tc>
        <w:tc>
          <w:tcPr>
            <w:tcW w:w="9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-25.5%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Arial" w:cs="Arial" w:eastAsia="Arial" w:hAnsi="Arial"/>
                <w:sz w:val="14"/>
                <w:szCs w:val="14"/>
                <w:color w:val="auto"/>
              </w:rPr>
              <w:t>Employee participation and income tax</w:t>
            </w:r>
          </w:p>
        </w:tc>
        <w:tc>
          <w:tcPr>
            <w:tcW w:w="104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5,267</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3,959</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6,282</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11,225</w:t>
            </w:r>
          </w:p>
        </w:tc>
        <w:tc>
          <w:tcPr>
            <w:tcW w:w="240" w:type="dxa"/>
            <w:vAlign w:val="bottom"/>
          </w:tcPr>
          <w:p>
            <w:pPr>
              <w:spacing w:after="0"/>
              <w:rPr>
                <w:sz w:val="12"/>
                <w:szCs w:val="12"/>
                <w:color w:val="auto"/>
              </w:rPr>
            </w:pP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11,025</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33.0%</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-16.2%</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26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60" w:type="dxa"/>
            <w:vAlign w:val="bottom"/>
          </w:tcPr>
          <w:p>
            <w:pPr>
              <w:spacing w:after="0" w:line="149" w:lineRule="exact"/>
              <w:rPr>
                <w:sz w:val="20"/>
                <w:szCs w:val="20"/>
                <w:color w:val="auto"/>
              </w:rPr>
            </w:pPr>
            <w:r>
              <w:rPr>
                <w:rFonts w:ascii="Arial" w:cs="Arial" w:eastAsia="Arial" w:hAnsi="Arial"/>
                <w:sz w:val="14"/>
                <w:szCs w:val="14"/>
                <w:b w:val="1"/>
                <w:bCs w:val="1"/>
                <w:color w:val="auto"/>
              </w:rPr>
              <w:t>Income before minority interest</w:t>
            </w:r>
          </w:p>
        </w:tc>
        <w:tc>
          <w:tcPr>
            <w:tcW w:w="1040" w:type="dxa"/>
            <w:vAlign w:val="bottom"/>
            <w:gridSpan w:val="2"/>
          </w:tcPr>
          <w:p>
            <w:pPr>
              <w:jc w:val="right"/>
              <w:ind w:right="168"/>
              <w:spacing w:after="0" w:line="149" w:lineRule="exact"/>
              <w:rPr>
                <w:sz w:val="20"/>
                <w:szCs w:val="20"/>
                <w:color w:val="auto"/>
              </w:rPr>
            </w:pPr>
            <w:r>
              <w:rPr>
                <w:rFonts w:ascii="Arial" w:cs="Arial" w:eastAsia="Arial" w:hAnsi="Arial"/>
                <w:sz w:val="14"/>
                <w:szCs w:val="14"/>
                <w:b w:val="1"/>
                <w:bCs w:val="1"/>
                <w:color w:val="auto"/>
              </w:rPr>
              <w:t>16,386</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20,461</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15,890</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51,890</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41,423</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-19.9%</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3.1%</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Minority interest</w:t>
            </w:r>
          </w:p>
        </w:tc>
        <w:tc>
          <w:tcPr>
            <w:tcW w:w="1040" w:type="dxa"/>
            <w:vAlign w:val="bottom"/>
            <w:gridSpan w:val="2"/>
            <w:shd w:val="clear" w:color="auto" w:fill="CCFFCC"/>
          </w:tcPr>
          <w:p>
            <w:pPr>
              <w:jc w:val="right"/>
              <w:ind w:right="168"/>
              <w:spacing w:after="0" w:line="149" w:lineRule="exact"/>
              <w:rPr>
                <w:sz w:val="20"/>
                <w:szCs w:val="20"/>
                <w:color w:val="auto"/>
              </w:rPr>
            </w:pPr>
            <w:r>
              <w:rPr>
                <w:rFonts w:ascii="Arial" w:cs="Arial" w:eastAsia="Arial" w:hAnsi="Arial"/>
                <w:sz w:val="14"/>
                <w:szCs w:val="14"/>
                <w:color w:val="auto"/>
              </w:rPr>
              <w:t>2,645</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3,985</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2,613</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9,579</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8,514</w:t>
            </w:r>
          </w:p>
        </w:tc>
        <w:tc>
          <w:tcPr>
            <w:tcW w:w="10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-33.6%</w:t>
            </w:r>
          </w:p>
        </w:tc>
        <w:tc>
          <w:tcPr>
            <w:tcW w:w="10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1.2%</w:t>
            </w:r>
          </w:p>
        </w:tc>
        <w:tc>
          <w:tcPr>
            <w:tcW w:w="9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6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1040" w:type="dxa"/>
            <w:vAlign w:val="bottom"/>
            <w:gridSpan w:val="2"/>
            <w:shd w:val="clear" w:color="auto" w:fill="CCFFCC"/>
          </w:tcPr>
          <w:p>
            <w:pPr>
              <w:jc w:val="right"/>
              <w:ind w:right="168"/>
              <w:spacing w:after="0" w:line="149" w:lineRule="exact"/>
              <w:rPr>
                <w:sz w:val="20"/>
                <w:szCs w:val="20"/>
                <w:color w:val="auto"/>
              </w:rPr>
            </w:pPr>
            <w:r>
              <w:rPr>
                <w:rFonts w:ascii="Arial" w:cs="Arial" w:eastAsia="Arial" w:hAnsi="Arial"/>
                <w:sz w:val="14"/>
                <w:szCs w:val="14"/>
                <w:b w:val="1"/>
                <w:bCs w:val="1"/>
                <w:color w:val="auto"/>
              </w:rPr>
              <w:t>13,741</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16,475</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13,277</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42,311</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32,909</w:t>
            </w:r>
          </w:p>
        </w:tc>
        <w:tc>
          <w:tcPr>
            <w:tcW w:w="10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-16.6%</w:t>
            </w:r>
          </w:p>
        </w:tc>
        <w:tc>
          <w:tcPr>
            <w:tcW w:w="10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3.5%</w:t>
            </w:r>
          </w:p>
        </w:tc>
        <w:tc>
          <w:tcPr>
            <w:tcW w:w="9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28.6%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6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Balance (end of period)</w:t>
            </w: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Total Assets</w:t>
            </w:r>
          </w:p>
        </w:tc>
        <w:tc>
          <w:tcPr>
            <w:tcW w:w="1040" w:type="dxa"/>
            <w:vAlign w:val="bottom"/>
            <w:gridSpan w:val="2"/>
            <w:shd w:val="clear" w:color="auto" w:fill="CCFFCC"/>
          </w:tcPr>
          <w:p>
            <w:pPr>
              <w:jc w:val="right"/>
              <w:ind w:right="168"/>
              <w:spacing w:after="0" w:line="149" w:lineRule="exact"/>
              <w:rPr>
                <w:sz w:val="20"/>
                <w:szCs w:val="20"/>
                <w:color w:val="auto"/>
              </w:rPr>
            </w:pPr>
            <w:r>
              <w:rPr>
                <w:rFonts w:ascii="Arial" w:cs="Arial" w:eastAsia="Arial" w:hAnsi="Arial"/>
                <w:sz w:val="14"/>
                <w:szCs w:val="14"/>
                <w:color w:val="auto"/>
              </w:rPr>
              <w:t>1,739,047</w:t>
            </w:r>
          </w:p>
        </w:tc>
        <w:tc>
          <w:tcPr>
            <w:tcW w:w="8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1,591,564</w:t>
            </w:r>
          </w:p>
        </w:tc>
        <w:tc>
          <w:tcPr>
            <w:tcW w:w="24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1,476,861</w:t>
            </w:r>
          </w:p>
        </w:tc>
        <w:tc>
          <w:tcPr>
            <w:tcW w:w="8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1,739,047</w:t>
            </w:r>
          </w:p>
        </w:tc>
        <w:tc>
          <w:tcPr>
            <w:tcW w:w="24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1,476,861</w:t>
            </w:r>
          </w:p>
        </w:tc>
        <w:tc>
          <w:tcPr>
            <w:tcW w:w="10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147,483</w:t>
            </w:r>
          </w:p>
        </w:tc>
        <w:tc>
          <w:tcPr>
            <w:tcW w:w="10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262,186</w:t>
            </w:r>
          </w:p>
        </w:tc>
        <w:tc>
          <w:tcPr>
            <w:tcW w:w="9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262,186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Arial" w:cs="Arial" w:eastAsia="Arial" w:hAnsi="Arial"/>
                <w:sz w:val="14"/>
                <w:szCs w:val="14"/>
                <w:color w:val="auto"/>
              </w:rPr>
              <w:t>Invesment on securities and real state (1)</w:t>
            </w:r>
          </w:p>
        </w:tc>
        <w:tc>
          <w:tcPr>
            <w:tcW w:w="104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1,259,896</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1,133,861</w:t>
            </w:r>
          </w:p>
        </w:tc>
        <w:tc>
          <w:tcPr>
            <w:tcW w:w="240" w:type="dxa"/>
            <w:vAlign w:val="bottom"/>
          </w:tcPr>
          <w:p>
            <w:pPr>
              <w:spacing w:after="0"/>
              <w:rPr>
                <w:sz w:val="12"/>
                <w:szCs w:val="12"/>
                <w:color w:val="auto"/>
              </w:rPr>
            </w:pP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1,026,507</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1,259,896</w:t>
            </w:r>
          </w:p>
        </w:tc>
        <w:tc>
          <w:tcPr>
            <w:tcW w:w="240" w:type="dxa"/>
            <w:vAlign w:val="bottom"/>
          </w:tcPr>
          <w:p>
            <w:pPr>
              <w:spacing w:after="0"/>
              <w:rPr>
                <w:sz w:val="12"/>
                <w:szCs w:val="12"/>
                <w:color w:val="auto"/>
              </w:rPr>
            </w:pP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1,026,507</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126,035</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233,389</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233,389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Technical reserves</w:t>
            </w:r>
          </w:p>
        </w:tc>
        <w:tc>
          <w:tcPr>
            <w:tcW w:w="1040" w:type="dxa"/>
            <w:vAlign w:val="bottom"/>
            <w:gridSpan w:val="2"/>
            <w:shd w:val="clear" w:color="auto" w:fill="CCFFCC"/>
          </w:tcPr>
          <w:p>
            <w:pPr>
              <w:jc w:val="right"/>
              <w:ind w:right="168"/>
              <w:spacing w:after="0" w:line="149" w:lineRule="exact"/>
              <w:rPr>
                <w:sz w:val="20"/>
                <w:szCs w:val="20"/>
                <w:color w:val="auto"/>
              </w:rPr>
            </w:pPr>
            <w:r>
              <w:rPr>
                <w:rFonts w:ascii="Arial" w:cs="Arial" w:eastAsia="Arial" w:hAnsi="Arial"/>
                <w:sz w:val="14"/>
                <w:szCs w:val="14"/>
                <w:color w:val="auto"/>
              </w:rPr>
              <w:t>1,126,039</w:t>
            </w:r>
          </w:p>
        </w:tc>
        <w:tc>
          <w:tcPr>
            <w:tcW w:w="8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1,079,531</w:t>
            </w:r>
          </w:p>
        </w:tc>
        <w:tc>
          <w:tcPr>
            <w:tcW w:w="24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1,016,054</w:t>
            </w:r>
          </w:p>
        </w:tc>
        <w:tc>
          <w:tcPr>
            <w:tcW w:w="8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1,126,039</w:t>
            </w:r>
          </w:p>
        </w:tc>
        <w:tc>
          <w:tcPr>
            <w:tcW w:w="24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1,016,054</w:t>
            </w:r>
          </w:p>
        </w:tc>
        <w:tc>
          <w:tcPr>
            <w:tcW w:w="10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46,508</w:t>
            </w:r>
          </w:p>
        </w:tc>
        <w:tc>
          <w:tcPr>
            <w:tcW w:w="10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109,985</w:t>
            </w:r>
          </w:p>
        </w:tc>
        <w:tc>
          <w:tcPr>
            <w:tcW w:w="9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109,985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Arial" w:cs="Arial" w:eastAsia="Arial" w:hAnsi="Arial"/>
                <w:sz w:val="14"/>
                <w:szCs w:val="14"/>
                <w:color w:val="auto"/>
              </w:rPr>
              <w:t>Net equity</w:t>
            </w:r>
          </w:p>
        </w:tc>
        <w:tc>
          <w:tcPr>
            <w:tcW w:w="104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338,320</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288,277</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242,243</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338,320</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242,243</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50,042</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96,077</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96,077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26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60" w:type="dxa"/>
            <w:vAlign w:val="bottom"/>
          </w:tcPr>
          <w:p>
            <w:pPr>
              <w:spacing w:after="0" w:line="149" w:lineRule="exact"/>
              <w:rPr>
                <w:sz w:val="20"/>
                <w:szCs w:val="20"/>
                <w:color w:val="auto"/>
              </w:rPr>
            </w:pPr>
            <w:r>
              <w:rPr>
                <w:rFonts w:ascii="Arial" w:cs="Arial" w:eastAsia="Arial" w:hAnsi="Arial"/>
                <w:sz w:val="14"/>
                <w:szCs w:val="14"/>
                <w:b w:val="1"/>
                <w:bCs w:val="1"/>
                <w:color w:val="auto"/>
              </w:rPr>
              <w:t>Ratios</w:t>
            </w: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26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60" w:type="dxa"/>
            <w:vAlign w:val="bottom"/>
          </w:tcPr>
          <w:p>
            <w:pPr>
              <w:spacing w:after="0" w:line="149" w:lineRule="exact"/>
              <w:rPr>
                <w:sz w:val="20"/>
                <w:szCs w:val="20"/>
                <w:color w:val="auto"/>
              </w:rPr>
            </w:pPr>
            <w:r>
              <w:rPr>
                <w:rFonts w:ascii="Arial" w:cs="Arial" w:eastAsia="Arial" w:hAnsi="Arial"/>
                <w:sz w:val="14"/>
                <w:szCs w:val="14"/>
                <w:color w:val="auto"/>
              </w:rPr>
              <w:t>Ceded</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18.7%</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10.9%</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13.2%</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15.5%</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15.3%</w:t>
            </w: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Gross loss ratio</w:t>
            </w: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39.3%</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47.1%</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38.4%</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48.2%</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55.8%</w:t>
            </w:r>
          </w:p>
        </w:tc>
        <w:tc>
          <w:tcPr>
            <w:tcW w:w="8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Arial" w:cs="Arial" w:eastAsia="Arial" w:hAnsi="Arial"/>
                <w:sz w:val="14"/>
                <w:szCs w:val="14"/>
                <w:color w:val="auto"/>
              </w:rPr>
              <w:t>Loss ratio</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61.6%</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60.6%</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64.7%</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63.3%</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67.5%</w:t>
            </w: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Acquisition costs/ earned premium</w:t>
            </w: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14.9%</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13.7%</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13.0%</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14.1%</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13.7%</w:t>
            </w:r>
          </w:p>
        </w:tc>
        <w:tc>
          <w:tcPr>
            <w:tcW w:w="8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60" w:type="dxa"/>
            <w:vAlign w:val="bottom"/>
          </w:tcPr>
          <w:p>
            <w:pPr>
              <w:spacing w:after="0" w:line="130" w:lineRule="exact"/>
              <w:rPr>
                <w:sz w:val="20"/>
                <w:szCs w:val="20"/>
                <w:color w:val="auto"/>
              </w:rPr>
            </w:pPr>
            <w:r>
              <w:rPr>
                <w:rFonts w:ascii="Arial" w:cs="Arial" w:eastAsia="Arial" w:hAnsi="Arial"/>
                <w:sz w:val="14"/>
                <w:szCs w:val="14"/>
                <w:color w:val="auto"/>
                <w:w w:val="99"/>
              </w:rPr>
              <w:t>Commissions + technical expenses, net / net earned</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280" w:type="dxa"/>
            <w:vAlign w:val="bottom"/>
            <w:gridSpan w:val="2"/>
          </w:tcPr>
          <w:p>
            <w:pPr>
              <w:spacing w:after="0"/>
              <w:rPr>
                <w:sz w:val="20"/>
                <w:szCs w:val="20"/>
                <w:color w:val="auto"/>
              </w:rPr>
            </w:pPr>
            <w:r>
              <w:rPr>
                <w:rFonts w:ascii="Arial" w:cs="Arial" w:eastAsia="Arial" w:hAnsi="Arial"/>
                <w:sz w:val="14"/>
                <w:szCs w:val="14"/>
                <w:color w:val="auto"/>
              </w:rPr>
              <w:t>premiums</w:t>
            </w:r>
          </w:p>
        </w:tc>
        <w:tc>
          <w:tcPr>
            <w:tcW w:w="1040" w:type="dxa"/>
            <w:vAlign w:val="bottom"/>
            <w:gridSpan w:val="2"/>
          </w:tcPr>
          <w:p>
            <w:pPr>
              <w:jc w:val="right"/>
              <w:ind w:right="48"/>
              <w:spacing w:after="0"/>
              <w:rPr>
                <w:sz w:val="20"/>
                <w:szCs w:val="20"/>
                <w:color w:val="auto"/>
              </w:rPr>
            </w:pPr>
            <w:r>
              <w:rPr>
                <w:rFonts w:ascii="Arial" w:cs="Arial" w:eastAsia="Arial" w:hAnsi="Arial"/>
                <w:sz w:val="14"/>
                <w:szCs w:val="14"/>
                <w:color w:val="auto"/>
              </w:rPr>
              <w:t>18.9%</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17.2%</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15.2%</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17.7%</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16.6%</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Underwriting results / total premium</w:t>
            </w: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11.9%</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17.0%</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15.2%</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13.2%</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11.7%</w:t>
            </w:r>
          </w:p>
        </w:tc>
        <w:tc>
          <w:tcPr>
            <w:tcW w:w="8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Arial" w:cs="Arial" w:eastAsia="Arial" w:hAnsi="Arial"/>
                <w:sz w:val="14"/>
                <w:szCs w:val="14"/>
                <w:color w:val="auto"/>
              </w:rPr>
              <w:t>Underwriting results / net earned premiums</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19.5%</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22.1%</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20.1%</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18.9%</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15.9%</w:t>
            </w: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General expenses / net earned premiums</w:t>
            </w: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23.6%</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20.0%</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20.3%</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21.2%</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18.8%</w:t>
            </w:r>
          </w:p>
        </w:tc>
        <w:tc>
          <w:tcPr>
            <w:tcW w:w="8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Arial" w:cs="Arial" w:eastAsia="Arial" w:hAnsi="Arial"/>
                <w:sz w:val="14"/>
                <w:szCs w:val="14"/>
                <w:color w:val="auto"/>
              </w:rPr>
              <w:t>Net income / total premiums</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6.8%</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10.1%</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8.9%</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8.1%</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7.5%</w:t>
            </w: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Return on equity (2)(3)</w:t>
            </w: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18.7%</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25.8%</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26.6%</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19.1%</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18.7%</w:t>
            </w:r>
          </w:p>
        </w:tc>
        <w:tc>
          <w:tcPr>
            <w:tcW w:w="8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Arial" w:cs="Arial" w:eastAsia="Arial" w:hAnsi="Arial"/>
                <w:sz w:val="14"/>
                <w:szCs w:val="14"/>
                <w:color w:val="auto"/>
              </w:rPr>
              <w:t>Return on total premiums</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6.8%</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10.1%</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8.9%</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8.1%</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7.5%</w:t>
            </w: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Net equity / total assets</w:t>
            </w: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19.5%</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18.1%</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16.4%</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19.5%</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16.4%</w:t>
            </w:r>
          </w:p>
        </w:tc>
        <w:tc>
          <w:tcPr>
            <w:tcW w:w="8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Arial" w:cs="Arial" w:eastAsia="Arial" w:hAnsi="Arial"/>
                <w:sz w:val="14"/>
                <w:szCs w:val="14"/>
                <w:color w:val="auto"/>
              </w:rPr>
              <w:t>Increase in technical reserves</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24.7%</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13.9%</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12.7%</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17.2%</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13.3%</w:t>
            </w: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General expenses / assets (2)(3)</w:t>
            </w: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7.2%</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6.6%</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6.5%</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6.4%</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6.5%</w:t>
            </w:r>
          </w:p>
        </w:tc>
        <w:tc>
          <w:tcPr>
            <w:tcW w:w="8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6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Combined ratio of PPS + PS (4)</w:t>
            </w:r>
          </w:p>
        </w:tc>
        <w:tc>
          <w:tcPr>
            <w:tcW w:w="1040" w:type="dxa"/>
            <w:vAlign w:val="bottom"/>
            <w:gridSpan w:val="2"/>
            <w:shd w:val="clear" w:color="auto" w:fill="CCFFCC"/>
          </w:tcPr>
          <w:p>
            <w:pPr>
              <w:jc w:val="right"/>
              <w:ind w:right="28"/>
              <w:spacing w:after="0" w:line="149" w:lineRule="exact"/>
              <w:rPr>
                <w:sz w:val="20"/>
                <w:szCs w:val="20"/>
                <w:color w:val="auto"/>
              </w:rPr>
            </w:pPr>
            <w:r>
              <w:rPr>
                <w:rFonts w:ascii="Arial" w:cs="Arial" w:eastAsia="Arial" w:hAnsi="Arial"/>
                <w:sz w:val="14"/>
                <w:szCs w:val="14"/>
                <w:b w:val="1"/>
                <w:bCs w:val="1"/>
                <w:color w:val="auto"/>
              </w:rPr>
              <w:t>93.8%</w:t>
            </w:r>
          </w:p>
        </w:tc>
        <w:tc>
          <w:tcPr>
            <w:tcW w:w="10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92.0%</w:t>
            </w:r>
          </w:p>
        </w:tc>
        <w:tc>
          <w:tcPr>
            <w:tcW w:w="10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95.2%</w:t>
            </w:r>
          </w:p>
        </w:tc>
        <w:tc>
          <w:tcPr>
            <w:tcW w:w="10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94.0%</w:t>
            </w:r>
          </w:p>
        </w:tc>
        <w:tc>
          <w:tcPr>
            <w:tcW w:w="10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97.8%</w:t>
            </w:r>
          </w:p>
        </w:tc>
        <w:tc>
          <w:tcPr>
            <w:tcW w:w="8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Arial" w:cs="Arial" w:eastAsia="Arial" w:hAnsi="Arial"/>
                <w:sz w:val="14"/>
                <w:szCs w:val="14"/>
                <w:color w:val="auto"/>
              </w:rPr>
              <w:t>Net claims / net earned premiums</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58.2%</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60.9%</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65.6%</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61.2%</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69.6%</w:t>
            </w: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6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General expenses and commissions / net earned</w:t>
            </w:r>
          </w:p>
        </w:tc>
        <w:tc>
          <w:tcPr>
            <w:tcW w:w="8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260" w:type="dxa"/>
            <w:vAlign w:val="bottom"/>
            <w:shd w:val="clear" w:color="auto" w:fill="CCFFCC"/>
          </w:tcPr>
          <w:p>
            <w:pPr>
              <w:spacing w:after="0"/>
              <w:rPr>
                <w:sz w:val="20"/>
                <w:szCs w:val="20"/>
                <w:color w:val="auto"/>
              </w:rPr>
            </w:pPr>
            <w:r>
              <w:rPr>
                <w:rFonts w:ascii="Arial" w:cs="Arial" w:eastAsia="Arial" w:hAnsi="Arial"/>
                <w:sz w:val="14"/>
                <w:szCs w:val="14"/>
                <w:color w:val="auto"/>
              </w:rPr>
              <w:t>premiums</w:t>
            </w:r>
          </w:p>
        </w:tc>
        <w:tc>
          <w:tcPr>
            <w:tcW w:w="1040" w:type="dxa"/>
            <w:vAlign w:val="bottom"/>
            <w:gridSpan w:val="2"/>
            <w:shd w:val="clear" w:color="auto" w:fill="CCFFCC"/>
          </w:tcPr>
          <w:p>
            <w:pPr>
              <w:jc w:val="right"/>
              <w:ind w:right="48"/>
              <w:spacing w:after="0"/>
              <w:rPr>
                <w:sz w:val="20"/>
                <w:szCs w:val="20"/>
                <w:color w:val="auto"/>
              </w:rPr>
            </w:pPr>
            <w:r>
              <w:rPr>
                <w:rFonts w:ascii="Arial" w:cs="Arial" w:eastAsia="Arial" w:hAnsi="Arial"/>
                <w:sz w:val="14"/>
                <w:szCs w:val="14"/>
                <w:color w:val="auto"/>
              </w:rPr>
              <w:t>35.6%</w:t>
            </w: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31.1%</w:t>
            </w: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29.6%</w:t>
            </w: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32.8%</w:t>
            </w: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28.2%</w:t>
            </w:r>
          </w:p>
        </w:tc>
        <w:tc>
          <w:tcPr>
            <w:tcW w:w="80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78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7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bl>
    <w:p>
      <w:pPr>
        <w:ind w:left="260" w:hanging="252"/>
        <w:spacing w:after="0"/>
        <w:tabs>
          <w:tab w:leader="none" w:pos="26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Real state investment were excluded</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Annualized</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Average are determined as the average of period - begging and period ending</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Without consolidated adjusments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6" w:right="239" w:bottom="1440" w:gutter="0" w:footer="0" w:header="0"/>
        </w:sectPr>
      </w:pPr>
    </w:p>
    <w:bookmarkStart w:id="44" w:name="page45"/>
    <w:bookmarkEnd w:id="44"/>
    <w:p>
      <w:pPr>
        <w:jc w:val="center"/>
        <w:ind w:right="-65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November 12, 2010</w:t>
      </w:r>
    </w:p>
    <w:p>
      <w:pPr>
        <w:spacing w:after="0" w:line="200" w:lineRule="exact"/>
        <w:rPr>
          <w:sz w:val="20"/>
          <w:szCs w:val="20"/>
          <w:color w:val="auto"/>
        </w:rPr>
      </w:pPr>
    </w:p>
    <w:p>
      <w:pPr>
        <w:spacing w:after="0" w:line="26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CREDICORP LTD.</w:t>
      </w:r>
    </w:p>
    <w:p>
      <w:pPr>
        <w:spacing w:after="0" w:line="200" w:lineRule="exact"/>
        <w:rPr>
          <w:sz w:val="20"/>
          <w:szCs w:val="20"/>
          <w:color w:val="auto"/>
        </w:rPr>
      </w:pPr>
    </w:p>
    <w:p>
      <w:pPr>
        <w:spacing w:after="0" w:line="29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Giuliana Cuzquen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26"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Giuliana Cuzquen</w:t>
      </w:r>
    </w:p>
    <w:p>
      <w:pPr>
        <w:spacing w:after="0" w:line="27"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Authorized Representative</w:t>
      </w:r>
    </w:p>
    <w:sectPr>
      <w:pgSz w:w="11900" w:h="16838" w:orient="portrait"/>
      <w:cols w:equalWidth="0" w:num="1">
        <w:col w:w="10780"/>
      </w:cols>
      <w:pgMar w:left="240" w:top="607"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1)"/>
      <w:numFmt w:val="decimal"/>
      <w:start w:val="1"/>
    </w:lvl>
  </w:abstractNum>
  <w:abstractNum w:abstractNumId="2">
    <w:nsid w:val="216231B"/>
    <w:multiLevelType w:val="hybridMultilevel"/>
    <w:lvl w:ilvl="0">
      <w:lvlJc w:val="left"/>
      <w:lvlText w:val="%1)"/>
      <w:numFmt w:val="lowerRoman"/>
      <w:start w:val="1"/>
    </w:lvl>
  </w:abstractNum>
  <w:abstractNum w:abstractNumId="3">
    <w:nsid w:val="1F16E9E8"/>
    <w:multiLevelType w:val="hybridMultilevel"/>
    <w:lvl w:ilvl="0">
      <w:lvlJc w:val="left"/>
      <w:lvlText w:val="%1)"/>
      <w:numFmt w:val="lowerRoman"/>
      <w:start w:val="1"/>
    </w:lvl>
  </w:abstractNum>
  <w:abstractNum w:abstractNumId="4">
    <w:nsid w:val="1190CDE7"/>
    <w:multiLevelType w:val="hybridMultilevel"/>
    <w:lvl w:ilvl="0">
      <w:lvlJc w:val="left"/>
      <w:lvlText w:val="(%1)"/>
      <w:numFmt w:val="lowerRoman"/>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1)"/>
      <w:numFmt w:val="lowerRoman"/>
      <w:start w:val="2"/>
    </w:lvl>
  </w:abstractNum>
  <w:abstractNum w:abstractNumId="8">
    <w:nsid w:val="109CF92E"/>
    <w:multiLevelType w:val="hybridMultilevel"/>
    <w:lvl w:ilvl="0">
      <w:lvlJc w:val="left"/>
      <w:lvlText w:val="(%1)"/>
      <w:numFmt w:val="lowerRoman"/>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lowerRoman"/>
      <w:start w:val="1"/>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1)"/>
      <w:numFmt w:val="decimal"/>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2019-12-10T13:53:16Z</dcterms:created>
  <dcterms:modified xsi:type="dcterms:W3CDTF">2019-12-10T13:53:16Z</dcterms:modified>
</cp:coreProperties>
</file>