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4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35"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9"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68"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Report of Foreign Private Issuer</w:t>
      </w:r>
    </w:p>
    <w:p>
      <w:pPr>
        <w:spacing w:after="0" w:line="27"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Pursuant to Rule 13a-16 or 15d-16 under the</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230"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For the month of February 2023</w:t>
      </w:r>
    </w:p>
    <w:p>
      <w:pPr>
        <w:spacing w:after="0" w:line="256"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Commission File Number: 001-14014</w:t>
      </w:r>
    </w:p>
    <w:p>
      <w:pPr>
        <w:spacing w:after="0" w:line="21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43"/>
          <w:szCs w:val="43"/>
          <w:b w:val="1"/>
          <w:bCs w:val="1"/>
          <w:color w:val="auto"/>
        </w:rPr>
        <w:t>CREDICORP LTD.</w:t>
      </w:r>
    </w:p>
    <w:p>
      <w:pPr>
        <w:spacing w:after="0" w:line="58"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28"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Of our subsidiary</w:t>
      </w:r>
    </w:p>
    <w:p>
      <w:pPr>
        <w:spacing w:after="0" w:line="31"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Banco de Credito del Peru:</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Calle Centenario 156</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La Molina 15026</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Lima, Peru</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34"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235" w:lineRule="exact"/>
        <w:rPr>
          <w:sz w:val="24"/>
          <w:szCs w:val="24"/>
          <w:color w:val="auto"/>
        </w:rPr>
      </w:pPr>
    </w:p>
    <w:p>
      <w:pPr>
        <w:ind w:left="4640"/>
        <w:spacing w:after="0" w:line="242" w:lineRule="exact"/>
        <w:rPr>
          <w:sz w:val="20"/>
          <w:szCs w:val="20"/>
          <w:color w:val="auto"/>
        </w:rPr>
      </w:pPr>
      <w:r>
        <w:rPr>
          <w:rFonts w:ascii="Times New Roman" w:cs="Times New Roman" w:eastAsia="Times New Roman" w:hAnsi="Times New Roman"/>
          <w:sz w:val="18"/>
          <w:szCs w:val="18"/>
          <w:color w:val="auto"/>
        </w:rPr>
        <w:t xml:space="preserve">Form 20-F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Form 40-F</w:t>
      </w:r>
    </w:p>
    <w:p>
      <w:pPr>
        <w:spacing w:after="0" w:line="24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 ____</w:t>
      </w: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214630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308610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445770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79"/>
          </w:cols>
          <w:pgMar w:left="380" w:top="772"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177415" cy="2571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177415" cy="257175"/>
                    </a:xfrm>
                    <a:prstGeom prst="rect">
                      <a:avLst/>
                    </a:prstGeom>
                    <a:noFill/>
                  </pic:spPr>
                </pic:pic>
              </a:graphicData>
            </a:graphic>
          </wp:anchor>
        </w:drawing>
        <w:t>February 28, 2023</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 - SEC</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disclosed in the Form 6-K furnished to the SEC on January 27 and February 27, 2023, the Board of Directors of Credicorp Ltd. (‘Credicorp’) agreed to set the date for the Annual General Meeting of Shareholders for March 27, 2023, at 3:00 p.m. (Peruvian time) in a virtual meeting.</w:t>
      </w:r>
    </w:p>
    <w:p>
      <w:pPr>
        <w:spacing w:after="0" w:line="19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In this sense, we hereby notify you as a Material Event, that since February 28, 2023, Credicorp has started the distribution of the documents that support the proposals that will be addressed in the Annual General Meeting of Shareholders. The documents (letter to shareholders and Notice of Annual General Meeting of Shareholders) are available through the following hyperlink: </w:t>
      </w:r>
      <w:r>
        <w:rPr>
          <w:rFonts w:ascii="Arial" w:cs="Arial" w:eastAsia="Arial" w:hAnsi="Arial"/>
          <w:sz w:val="18"/>
          <w:szCs w:val="18"/>
          <w:u w:val="single" w:color="auto"/>
          <w:color w:val="auto"/>
        </w:rPr>
        <w:t>https://credicorp.gcs-web.com/annual-materials</w:t>
      </w:r>
      <w:r>
        <w:rPr>
          <w:rFonts w:ascii="Arial" w:cs="Arial" w:eastAsia="Arial" w:hAnsi="Arial"/>
          <w:sz w:val="18"/>
          <w:szCs w:val="18"/>
          <w:color w:val="auto"/>
        </w:rPr>
        <w:t>.</w:t>
      </w:r>
    </w:p>
    <w:p>
      <w:pPr>
        <w:spacing w:after="0" w:line="20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information in this Form 6-K (including any exhibit hereto and any information available through the hyperlink above)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u w:val="single" w:color="auto"/>
          <w:color w:val="auto"/>
        </w:rPr>
        <w:t>Miriam Böttger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Authorized Representative</w:t>
      </w: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8" w:right="339" w:bottom="1440" w:gutter="0" w:footer="0" w:header="0"/>
        </w:sectPr>
      </w:pPr>
    </w:p>
    <w:bookmarkStart w:id="2" w:name="page3"/>
    <w:bookmarkEnd w:id="2"/>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ind w:firstLine="53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Date: February 28, 2023</w:t>
      </w:r>
    </w:p>
    <w:p>
      <w:pPr>
        <w:spacing w:after="0" w:line="25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CREDICORP LTD.</w:t>
      </w:r>
    </w:p>
    <w:p>
      <w:pPr>
        <w:spacing w:after="0" w:line="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(Registrant)</w:t>
      </w:r>
    </w:p>
    <w:p>
      <w:pPr>
        <w:spacing w:after="0" w:line="180" w:lineRule="exact"/>
        <w:rPr>
          <w:sz w:val="20"/>
          <w:szCs w:val="20"/>
          <w:color w:val="auto"/>
        </w:rPr>
      </w:pPr>
    </w:p>
    <w:p>
      <w:pPr>
        <w:ind w:left="558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Miriam Böttger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26035</wp:posOffset>
            </wp:positionV>
            <wp:extent cx="237490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74900" cy="17145"/>
                    </a:xfrm>
                    <a:prstGeom prst="rect">
                      <a:avLst/>
                    </a:prstGeom>
                    <a:noFill/>
                  </pic:spPr>
                </pic:pic>
              </a:graphicData>
            </a:graphic>
          </wp:anchor>
        </w:drawing>
      </w:r>
    </w:p>
    <w:p>
      <w:pPr>
        <w:spacing w:after="0" w:line="2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Miriam Böttger</w:t>
      </w:r>
    </w:p>
    <w:p>
      <w:pPr>
        <w:spacing w:after="0" w:line="31"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820"/>
      </w:cols>
      <w:pgMar w:left="320" w:top="117"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2023-03-01T01:42:21Z</dcterms:created>
  <dcterms:modified xsi:type="dcterms:W3CDTF">2023-03-01T01:42:21Z</dcterms:modified>
</cp:coreProperties>
</file>