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225305903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9,905,130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9,905,130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9,905,130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9"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10.5%</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2,844,990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9,518,750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9,518,750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540" w:hanging="427"/>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Emerging Markets Growth Fund,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95-4026510</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6,673,760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3359" w:hanging="427"/>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6,673,760</w:t>
      </w:r>
    </w:p>
    <w:p>
      <w:pPr>
        <w:spacing w:after="0" w:line="214" w:lineRule="exact"/>
        <w:rPr>
          <w:sz w:val="20"/>
          <w:szCs w:val="20"/>
          <w:color w:val="auto"/>
        </w:rPr>
      </w:pPr>
    </w:p>
    <w:p>
      <w:pPr>
        <w:ind w:left="540" w:hanging="427"/>
        <w:spacing w:after="0"/>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Clarendon House</w:t>
      </w:r>
    </w:p>
    <w:p>
      <w:pPr>
        <w:ind w:left="740"/>
        <w:spacing w:after="0"/>
        <w:rPr>
          <w:sz w:val="20"/>
          <w:szCs w:val="20"/>
          <w:color w:val="auto"/>
        </w:rPr>
      </w:pPr>
      <w:r>
        <w:rPr>
          <w:rFonts w:ascii="Courier New" w:cs="Courier New" w:eastAsia="Courier New" w:hAnsi="Courier New"/>
          <w:sz w:val="18"/>
          <w:szCs w:val="18"/>
          <w:color w:val="auto"/>
        </w:rPr>
        <w:t>Church Street</w:t>
      </w:r>
    </w:p>
    <w:p>
      <w:pPr>
        <w:ind w:left="740"/>
        <w:spacing w:after="0" w:line="237" w:lineRule="auto"/>
        <w:rPr>
          <w:sz w:val="20"/>
          <w:szCs w:val="20"/>
          <w:color w:val="auto"/>
        </w:rPr>
      </w:pPr>
      <w:r>
        <w:rPr>
          <w:rFonts w:ascii="Courier New" w:cs="Courier New" w:eastAsia="Courier New" w:hAnsi="Courier New"/>
          <w:sz w:val="18"/>
          <w:szCs w:val="18"/>
          <w:color w:val="auto"/>
        </w:rPr>
        <w:t>Hamilton HM11, BERMUDA</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tabs>
          <w:tab w:leader="none" w:pos="4520" w:val="left"/>
        </w:tabs>
        <w:rPr>
          <w:sz w:val="20"/>
          <w:szCs w:val="20"/>
          <w:color w:val="auto"/>
        </w:rPr>
      </w:pPr>
      <w:r>
        <w:rPr>
          <w:rFonts w:ascii="Courier New" w:cs="Courier New" w:eastAsia="Courier New" w:hAnsi="Courier New"/>
          <w:sz w:val="18"/>
          <w:szCs w:val="18"/>
          <w:color w:val="auto"/>
        </w:rPr>
        <w:t>Capital Group International, Inc.,</w:t>
      </w:r>
      <w:r>
        <w:rPr>
          <w:sz w:val="20"/>
          <w:szCs w:val="20"/>
          <w:color w:val="auto"/>
        </w:rPr>
        <w:tab/>
      </w:r>
      <w:r>
        <w:rPr>
          <w:rFonts w:ascii="Courier New" w:cs="Courier New" w:eastAsia="Courier New" w:hAnsi="Courier New"/>
          <w:sz w:val="16"/>
          <w:szCs w:val="16"/>
          <w:color w:val="auto"/>
        </w:rPr>
        <w:t>Capital International, Inc.</w:t>
      </w:r>
    </w:p>
    <w:p>
      <w:pPr>
        <w:ind w:left="740"/>
        <w:spacing w:after="0"/>
        <w:rPr>
          <w:sz w:val="20"/>
          <w:szCs w:val="20"/>
          <w:color w:val="auto"/>
        </w:rPr>
      </w:pPr>
      <w:r>
        <w:rPr>
          <w:rFonts w:ascii="Courier New" w:cs="Courier New" w:eastAsia="Courier New" w:hAnsi="Courier New"/>
          <w:sz w:val="18"/>
          <w:szCs w:val="18"/>
          <w:color w:val="auto"/>
        </w:rPr>
        <w:t>and Emerging Markets Growth Fund, Inc.</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Boulevard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739" w:hanging="535"/>
        <w:spacing w:after="0" w:line="235" w:lineRule="auto"/>
        <w:tabs>
          <w:tab w:leader="none" w:pos="138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280" w:right="2839" w:hanging="535"/>
        <w:spacing w:after="0" w:line="235" w:lineRule="auto"/>
        <w:tabs>
          <w:tab w:leader="none" w:pos="149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1280" w:right="3259" w:hanging="535"/>
        <w:spacing w:after="0" w:line="235" w:lineRule="auto"/>
        <w:tabs>
          <w:tab w:leader="none" w:pos="180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ectPr>
          <w:pgSz w:w="11900" w:h="16838" w:orient="portrait"/>
          <w:cols w:equalWidth="0" w:num="1">
            <w:col w:w="10219"/>
          </w:cols>
          <w:pgMar w:left="240" w:top="717" w:right="1440" w:bottom="1440" w:gutter="0" w:footer="0" w:header="0"/>
        </w:sectPr>
      </w:pPr>
    </w:p>
    <w:bookmarkStart w:id="10" w:name="page11"/>
    <w:bookmarkEnd w:id="10"/>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740" w:right="261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is deemed to be the beneficial owner of 9,518,750 shares or 10.1% of the 94,301,000 shares of Common Stock believed to be outstanding as a result of acting as investment adviser to various investment companies and institutional accounts.</w:t>
      </w:r>
    </w:p>
    <w:p>
      <w:pPr>
        <w:spacing w:after="0" w:line="210"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Emerging Markets Growth Fund, Inc. , an investment company registered under the Investment Company Act of 1940, which is advised by Capital International, Inc., is the beneficial owner of 6,673,760 shares or 7.1% of the 94,301,000 shares of Common Stock believed to be outstanding.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 Act of 1940 and is a wholly owned subsidiary of Capital Group International, Inc. which is a wholly owned subsidiary of The Capital Group Companies, Inc.</w:t>
      </w: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060" w:right="2939"/>
        <w:spacing w:after="0" w:line="279" w:lineRule="auto"/>
        <w:rPr>
          <w:sz w:val="20"/>
          <w:szCs w:val="20"/>
          <w:color w:val="auto"/>
        </w:rPr>
      </w:pPr>
      <w:r>
        <w:rPr>
          <w:rFonts w:ascii="Courier New" w:cs="Courier New" w:eastAsia="Courier New" w:hAnsi="Courier New"/>
          <w:sz w:val="16"/>
          <w:szCs w:val="16"/>
          <w:color w:val="auto"/>
        </w:rPr>
        <w:t>Capital International, Inc. serves as investment adviser to Emerging Markets Growth Fund, Inc. , an investment company registered under the Investment Company Act of 1940.</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10219"/>
          </w:cols>
          <w:pgMar w:left="240" w:top="925" w:right="1440" w:bottom="1440" w:gutter="0" w:footer="0" w:header="0"/>
        </w:sectPr>
      </w:pPr>
    </w:p>
    <w:bookmarkStart w:id="12" w:name="page13"/>
    <w:bookmarkEnd w:id="12"/>
    <w:p>
      <w:pPr>
        <w:spacing w:after="0"/>
        <w:tabs>
          <w:tab w:leader="none" w:pos="1040" w:val="left"/>
        </w:tabs>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42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20" w:type="dxa"/>
            <w:vAlign w:val="bottom"/>
          </w:tcPr>
          <w:p>
            <w:pPr>
              <w:ind w:left="220"/>
              <w:spacing w:after="0"/>
              <w:rPr>
                <w:sz w:val="20"/>
                <w:szCs w:val="20"/>
                <w:color w:val="auto"/>
              </w:rPr>
            </w:pPr>
            <w:r>
              <w:rPr>
                <w:rFonts w:ascii="Courier New" w:cs="Courier New" w:eastAsia="Courier New" w:hAnsi="Courier New"/>
                <w:sz w:val="18"/>
                <w:szCs w:val="18"/>
                <w:color w:val="auto"/>
                <w:w w:val="99"/>
              </w:rPr>
              <w:t>February 9,</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1999</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(For the</w:t>
            </w:r>
          </w:p>
        </w:tc>
        <w:tc>
          <w:tcPr>
            <w:tcW w:w="1320" w:type="dxa"/>
            <w:vAlign w:val="bottom"/>
          </w:tcPr>
          <w:p>
            <w:pPr>
              <w:ind w:left="40"/>
              <w:spacing w:after="0"/>
              <w:rPr>
                <w:sz w:val="20"/>
                <w:szCs w:val="20"/>
                <w:color w:val="auto"/>
              </w:rPr>
            </w:pPr>
            <w:r>
              <w:rPr>
                <w:rFonts w:ascii="Courier New" w:cs="Courier New" w:eastAsia="Courier New" w:hAnsi="Courier New"/>
                <w:sz w:val="18"/>
                <w:szCs w:val="18"/>
                <w:color w:val="auto"/>
                <w:w w:val="97"/>
              </w:rPr>
              <w:t>period ended</w:t>
            </w:r>
          </w:p>
        </w:tc>
      </w:tr>
      <w:tr>
        <w:trPr>
          <w:trHeight w:val="203"/>
        </w:trPr>
        <w:tc>
          <w:tcPr>
            <w:tcW w:w="1360" w:type="dxa"/>
            <w:vAlign w:val="bottom"/>
          </w:tcPr>
          <w:p>
            <w:pPr>
              <w:spacing w:after="0"/>
              <w:rPr>
                <w:sz w:val="17"/>
                <w:szCs w:val="17"/>
                <w:color w:val="auto"/>
              </w:rPr>
            </w:pP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January 31,</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1999)</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*David I. Fisher</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29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David I. Fisher, Chairman</w:t>
            </w:r>
          </w:p>
        </w:tc>
        <w:tc>
          <w:tcPr>
            <w:tcW w:w="1320" w:type="dxa"/>
            <w:vAlign w:val="bottom"/>
          </w:tcPr>
          <w:p>
            <w:pPr>
              <w:spacing w:after="0"/>
              <w:rPr>
                <w:sz w:val="24"/>
                <w:szCs w:val="24"/>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Group International, Inc.</w:t>
      </w:r>
    </w:p>
    <w:p>
      <w:pPr>
        <w:sectPr>
          <w:pgSz w:w="11900" w:h="16838" w:orient="portrait"/>
          <w:cols w:equalWidth="0" w:num="1">
            <w:col w:w="9899"/>
          </w:cols>
          <w:pgMar w:left="560" w:top="925"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1999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31, 1999)</w:t>
      </w:r>
    </w:p>
    <w:p>
      <w:pPr>
        <w:spacing w:after="0" w:line="200" w:lineRule="exact"/>
        <w:rPr>
          <w:sz w:val="20"/>
          <w:szCs w:val="20"/>
          <w:color w:val="auto"/>
        </w:rPr>
      </w:pPr>
    </w:p>
    <w:p>
      <w:pPr>
        <w:sectPr>
          <w:pgSz w:w="11900" w:h="16838" w:orient="portrait"/>
          <w:cols w:equalWidth="0" w:num="2">
            <w:col w:w="1400" w:space="720"/>
            <w:col w:w="7779"/>
          </w:cols>
          <w:pgMar w:left="560" w:top="925" w:right="1440" w:bottom="1440"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7"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6"/>
          <w:szCs w:val="16"/>
          <w:color w:val="auto"/>
        </w:rPr>
        <w:t>Name/Title:</w:t>
      </w:r>
      <w:r>
        <w:rPr>
          <w:sz w:val="20"/>
          <w:szCs w:val="20"/>
          <w:color w:val="auto"/>
        </w:rPr>
        <w:tab/>
      </w:r>
      <w:r>
        <w:rPr>
          <w:rFonts w:ascii="Courier New" w:cs="Courier New" w:eastAsia="Courier New" w:hAnsi="Courier New"/>
          <w:sz w:val="16"/>
          <w:szCs w:val="16"/>
          <w:color w:val="auto"/>
        </w:rPr>
        <w:t>David I. Fisher, Vice Chairman</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International, Inc.</w:t>
      </w:r>
    </w:p>
    <w:p>
      <w:pPr>
        <w:sectPr>
          <w:pgSz w:w="11900" w:h="16838" w:orient="portrait"/>
          <w:cols w:equalWidth="0" w:num="1">
            <w:col w:w="9899"/>
          </w:cols>
          <w:pgMar w:left="56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1999 (For the period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ended January 31, 1999)</w:t>
      </w:r>
    </w:p>
    <w:p>
      <w:pPr>
        <w:spacing w:after="0" w:line="200" w:lineRule="exact"/>
        <w:rPr>
          <w:sz w:val="20"/>
          <w:szCs w:val="20"/>
          <w:color w:val="auto"/>
        </w:rPr>
      </w:pPr>
    </w:p>
    <w:p>
      <w:pPr>
        <w:sectPr>
          <w:pgSz w:w="11900" w:h="16838" w:orient="portrait"/>
          <w:cols w:equalWidth="0" w:num="2">
            <w:col w:w="1400" w:space="720"/>
            <w:col w:w="7779"/>
          </w:cols>
          <w:pgMar w:left="560" w:top="925" w:right="1440" w:bottom="1440"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Emerging Markets Growth Fund,</w:t>
      </w:r>
    </w:p>
    <w:p>
      <w:pPr>
        <w:ind w:left="2120"/>
        <w:spacing w:after="0" w:line="238"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Michael J. Downer</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Guardian Trust Company on February 8, 1999 with respect to Acclaim Entertainment, Inc.</w:t>
      </w:r>
    </w:p>
    <w:p>
      <w:pPr>
        <w:sectPr>
          <w:pgSz w:w="11900" w:h="16838" w:orient="portrait"/>
          <w:cols w:equalWidth="0" w:num="1">
            <w:col w:w="9899"/>
          </w:cols>
          <w:pgMar w:left="560" w:top="925" w:right="1440" w:bottom="1440" w:gutter="0" w:footer="0" w:header="0"/>
          <w:type w:val="continuous"/>
        </w:sectPr>
      </w:pPr>
    </w:p>
    <w:bookmarkStart w:id="14" w:name="page15"/>
    <w:bookmarkEnd w:id="14"/>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2960"/>
        <w:spacing w:after="0" w:line="238" w:lineRule="auto"/>
        <w:rPr>
          <w:sz w:val="20"/>
          <w:szCs w:val="20"/>
          <w:color w:val="auto"/>
        </w:rPr>
      </w:pPr>
      <w:r>
        <w:rPr>
          <w:rFonts w:ascii="Courier New" w:cs="Courier New" w:eastAsia="Courier New" w:hAnsi="Courier New"/>
          <w:sz w:val="18"/>
          <w:szCs w:val="18"/>
          <w:color w:val="auto"/>
        </w:rPr>
        <w:t>February 9, 1999</w:t>
      </w:r>
    </w:p>
    <w:p>
      <w:pPr>
        <w:spacing w:after="0" w:line="207" w:lineRule="exact"/>
        <w:rPr>
          <w:sz w:val="20"/>
          <w:szCs w:val="20"/>
          <w:color w:val="auto"/>
        </w:rPr>
      </w:pPr>
    </w:p>
    <w:p>
      <w:pPr>
        <w:ind w:right="273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Capital International, Inc. ("CII"), and Emerging Markets Growth Fund, Inc. ("EMGF"), hereby agree to file a joint statement on Schedule 13G under the Securities Exchange Act of 1934 (the "Act") in connection with their beneficial ownership of Common Stock issued by Credicorp Ltd.</w:t>
      </w:r>
    </w:p>
    <w:p>
      <w:pPr>
        <w:spacing w:after="0" w:line="209"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CGII, CII and EMGF state that they are each entitled to individually use Schedule 13G pursuant to Rule 13d-1(c) of the Act.</w:t>
      </w:r>
    </w:p>
    <w:p>
      <w:pPr>
        <w:spacing w:after="0" w:line="208" w:lineRule="exact"/>
        <w:rPr>
          <w:sz w:val="20"/>
          <w:szCs w:val="20"/>
          <w:color w:val="auto"/>
        </w:rPr>
      </w:pPr>
    </w:p>
    <w:p>
      <w:pPr>
        <w:ind w:right="2839" w:firstLine="211"/>
        <w:spacing w:after="0" w:line="237" w:lineRule="auto"/>
        <w:rPr>
          <w:sz w:val="20"/>
          <w:szCs w:val="20"/>
          <w:color w:val="auto"/>
        </w:rPr>
      </w:pPr>
      <w:r>
        <w:rPr>
          <w:rFonts w:ascii="Courier New" w:cs="Courier New" w:eastAsia="Courier New" w:hAnsi="Courier New"/>
          <w:sz w:val="18"/>
          <w:szCs w:val="18"/>
          <w:color w:val="auto"/>
        </w:rPr>
        <w:t>CGII, CII and EMGF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Chairman</w:t>
      </w:r>
    </w:p>
    <w:p>
      <w:pPr>
        <w:ind w:left="370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Emerging Markets Growth Fund,</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Michael J. Downer</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29, 1999 included as an Exhibit to Schedule 13G filed with the Securities and Exchange Commission by Capital Guardian Trust Company on February 8, 1999 with respect to Acclaim Entertainment,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3"/>
      <w:numFmt w:val="bullet"/>
      <w:start w:val="1"/>
    </w:lvl>
  </w:abstractNum>
  <w:abstractNum w:abstractNumId="2">
    <w:nsid w:val="3352255A"/>
    <w:multiLevelType w:val="hybridMultilevel"/>
    <w:lvl w:ilvl="0">
      <w:lvlJc w:val="left"/>
      <w:lvlText w:val="4"/>
      <w:numFmt w:val="bullet"/>
      <w:start w:val="1"/>
    </w:lvl>
  </w:abstractNum>
  <w:abstractNum w:abstractNumId="3">
    <w:nsid w:val="109CF92E"/>
    <w:multiLevelType w:val="hybridMultilevel"/>
    <w:lvl w:ilvl="0">
      <w:lvlJc w:val="left"/>
      <w:lvlText w:val="5"/>
      <w:numFmt w:val="bullet"/>
      <w:start w:val="1"/>
    </w:lvl>
  </w:abstractNum>
  <w:abstractNum w:abstractNumId="4">
    <w:nsid w:val="DED7263"/>
    <w:multiLevelType w:val="hybridMultilevel"/>
    <w:lvl w:ilvl="0">
      <w:lvlJc w:val="left"/>
      <w:lvlText w:val="8"/>
      <w:numFmt w:val="bullet"/>
      <w:start w:val="1"/>
    </w:lvl>
  </w:abstractNum>
  <w:abstractNum w:abstractNumId="5">
    <w:nsid w:val="7FDCC233"/>
    <w:multiLevelType w:val="hybridMultilevel"/>
    <w:lvl w:ilvl="0">
      <w:lvlJc w:val="left"/>
      <w:lvlText w:val="9"/>
      <w:numFmt w:val="bullet"/>
      <w:start w:val="1"/>
    </w:lvl>
  </w:abstractNum>
  <w:abstractNum w:abstractNumId="6">
    <w:nsid w:val="1BEFD79F"/>
    <w:multiLevelType w:val="hybridMultilevel"/>
    <w:lvl w:ilvl="0">
      <w:lvlJc w:val="left"/>
      <w:lvlText w:val="%1"/>
      <w:numFmt w:val="decimal"/>
      <w:start w:val="10"/>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4"/>
      <w:numFmt w:val="bullet"/>
      <w:start w:val="1"/>
    </w:lvl>
  </w:abstractNum>
  <w:abstractNum w:abstractNumId="10">
    <w:nsid w:val="25E45D32"/>
    <w:multiLevelType w:val="hybridMultilevel"/>
    <w:lvl w:ilvl="0">
      <w:lvlJc w:val="left"/>
      <w:lvlText w:val="5"/>
      <w:numFmt w:val="bullet"/>
      <w:start w:val="1"/>
    </w:lvl>
  </w:abstractNum>
  <w:abstractNum w:abstractNumId="11">
    <w:nsid w:val="519B500D"/>
    <w:multiLevelType w:val="hybridMultilevel"/>
    <w:lvl w:ilvl="0">
      <w:lvlJc w:val="left"/>
      <w:lvlText w:val="8"/>
      <w:numFmt w:val="bullet"/>
      <w:start w:val="1"/>
    </w:lvl>
  </w:abstractNum>
  <w:abstractNum w:abstractNumId="12">
    <w:nsid w:val="431BD7B7"/>
    <w:multiLevelType w:val="hybridMultilevel"/>
    <w:lvl w:ilvl="0">
      <w:lvlJc w:val="left"/>
      <w:lvlText w:val="9"/>
      <w:numFmt w:val="bullet"/>
      <w:start w:val="1"/>
    </w:lvl>
  </w:abstractNum>
  <w:abstractNum w:abstractNumId="13">
    <w:nsid w:val="3F2DBA31"/>
    <w:multiLevelType w:val="hybridMultilevel"/>
    <w:lvl w:ilvl="0">
      <w:lvlJc w:val="left"/>
      <w:lvlText w:val="%1"/>
      <w:numFmt w:val="decimal"/>
      <w:start w:val="10"/>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3"/>
      <w:numFmt w:val="bullet"/>
      <w:start w:val="1"/>
    </w:lvl>
  </w:abstractNum>
  <w:abstractNum w:abstractNumId="16">
    <w:nsid w:val="62BBD95A"/>
    <w:multiLevelType w:val="hybridMultilevel"/>
    <w:lvl w:ilvl="0">
      <w:lvlJc w:val="left"/>
      <w:lvlText w:val="4"/>
      <w:numFmt w:val="bullet"/>
      <w:start w:val="1"/>
    </w:lvl>
  </w:abstractNum>
  <w:abstractNum w:abstractNumId="17">
    <w:nsid w:val="436C6125"/>
    <w:multiLevelType w:val="hybridMultilevel"/>
    <w:lvl w:ilvl="0">
      <w:lvlJc w:val="left"/>
      <w:lvlText w:val="5"/>
      <w:numFmt w:val="bullet"/>
      <w:start w:val="1"/>
    </w:lvl>
  </w:abstractNum>
  <w:abstractNum w:abstractNumId="18">
    <w:nsid w:val="628C895D"/>
    <w:multiLevelType w:val="hybridMultilevel"/>
    <w:lvl w:ilvl="0">
      <w:lvlJc w:val="left"/>
      <w:lvlText w:val="8"/>
      <w:numFmt w:val="bullet"/>
      <w:start w:val="1"/>
    </w:lvl>
  </w:abstractNum>
  <w:abstractNum w:abstractNumId="19">
    <w:nsid w:val="333AB105"/>
    <w:multiLevelType w:val="hybridMultilevel"/>
    <w:lvl w:ilvl="0">
      <w:lvlJc w:val="left"/>
      <w:lvlText w:val="9"/>
      <w:numFmt w:val="bullet"/>
      <w:start w:val="1"/>
    </w:lvl>
  </w:abstractNum>
  <w:abstractNum w:abstractNumId="20">
    <w:nsid w:val="721DA317"/>
    <w:multiLevelType w:val="hybridMultilevel"/>
    <w:lvl w:ilvl="0">
      <w:lvlJc w:val="left"/>
      <w:lvlText w:val="%1"/>
      <w:numFmt w:val="decimal"/>
      <w:start w:val="10"/>
    </w:lvl>
  </w:abstractNum>
  <w:abstractNum w:abstractNumId="21">
    <w:nsid w:val="2443A858"/>
    <w:multiLevelType w:val="hybridMultilevel"/>
    <w:lvl w:ilvl="0">
      <w:lvlJc w:val="left"/>
      <w:lvlText w:val="(%1)"/>
      <w:numFmt w:val="lowerLetter"/>
      <w:start w:val="4"/>
    </w:lvl>
  </w:abstractNum>
  <w:abstractNum w:abstractNumId="22">
    <w:nsid w:val="2D1D5AE9"/>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2020-02-22T11:18:23Z</dcterms:created>
  <dcterms:modified xsi:type="dcterms:W3CDTF">2020-02-22T11:18:23Z</dcterms:modified>
</cp:coreProperties>
</file>