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December 2012</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48"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 20-F x Form 40-F o</w:t>
      </w:r>
    </w:p>
    <w:p>
      <w:pPr>
        <w:spacing w:after="0" w:line="200" w:lineRule="exact"/>
        <w:rPr>
          <w:sz w:val="24"/>
          <w:szCs w:val="24"/>
          <w:color w:val="auto"/>
        </w:rPr>
      </w:pPr>
    </w:p>
    <w:p>
      <w:pPr>
        <w:spacing w:after="0" w:line="24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45" w:right="9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448945</wp:posOffset>
            </wp:positionV>
            <wp:extent cx="122618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26185" cy="3517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December 3</w:t>
      </w:r>
      <w:r>
        <w:rPr>
          <w:rFonts w:ascii="Arial" w:cs="Arial" w:eastAsia="Arial" w:hAnsi="Arial"/>
          <w:sz w:val="30"/>
          <w:szCs w:val="30"/>
          <w:color w:val="auto"/>
          <w:vertAlign w:val="superscript"/>
        </w:rPr>
        <w:t>rd</w:t>
      </w:r>
      <w:r>
        <w:rPr>
          <w:rFonts w:ascii="Arial" w:cs="Arial" w:eastAsia="Arial" w:hAnsi="Arial"/>
          <w:sz w:val="18"/>
          <w:szCs w:val="18"/>
          <w:color w:val="auto"/>
        </w:rPr>
        <w:t>, 2012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CONASEV Resolution for Material Events, Reserved Information and Other Communications N° 107-2002-EF/94.10, as modified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CONASEV Resolution N° 009-2003-EF/94.10, Credicorp Ltd. complies with notifying you of the following Material Event:</w:t>
      </w:r>
    </w:p>
    <w:p>
      <w:pPr>
        <w:spacing w:after="0" w:line="21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relation with the Material Events published on September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27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2012, on November 30</w:t>
      </w:r>
      <w:r>
        <w:rPr>
          <w:rFonts w:ascii="Arial" w:cs="Arial" w:eastAsia="Arial" w:hAnsi="Arial"/>
          <w:sz w:val="30"/>
          <w:szCs w:val="30"/>
          <w:color w:val="auto"/>
          <w:vertAlign w:val="superscript"/>
        </w:rPr>
        <w:t>th</w:t>
      </w:r>
      <w:r>
        <w:rPr>
          <w:rFonts w:ascii="Arial" w:cs="Arial" w:eastAsia="Arial" w:hAnsi="Arial"/>
          <w:sz w:val="18"/>
          <w:szCs w:val="18"/>
          <w:color w:val="auto"/>
        </w:rPr>
        <w:t>, 2012 Credicorp Ltd. made an initial capital contribution of US$ 111,257,000 (one hundred eleven million and two hundred fifty seven thousand U.S dollars) out of a total contribution of US$ 210,000,000 (two hundred and ten million U.S dollars) to its subsidiary Credicorp Investments Ltd., so that the latter can acquire the shares that Banco de Credito del Peru holds in BCP Chile S.A.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Mario Ferrari Quiñe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December 3, 2012</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90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2019-12-09T11:18:13Z</dcterms:created>
  <dcterms:modified xsi:type="dcterms:W3CDTF">2019-12-09T11:18:13Z</dcterms:modified>
</cp:coreProperties>
</file>